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7CEAC0E">
      <w:pPr>
        <w:keepNext w:val="0"/>
        <w:keepLines w:val="0"/>
        <w:pageBreakBefore w:val="0"/>
        <w:widowControl w:val="0"/>
        <w:kinsoku/>
        <w:wordWrap/>
        <w:overflowPunct/>
        <w:topLinePunct w:val="0"/>
        <w:autoSpaceDE/>
        <w:autoSpaceDN/>
        <w:bidi w:val="0"/>
        <w:adjustRightInd/>
        <w:snapToGrid/>
        <w:spacing w:line="1200" w:lineRule="exact"/>
        <w:ind w:left="0" w:leftChars="0" w:firstLine="0" w:firstLineChars="0"/>
        <w:jc w:val="center"/>
        <w:textAlignment w:val="auto"/>
        <w:outlineLvl w:val="0"/>
        <w:rPr>
          <w:rFonts w:hint="eastAsia" w:ascii="仿宋" w:hAnsi="仿宋" w:eastAsia="仿宋" w:cs="仿宋"/>
          <w:b/>
          <w:spacing w:val="80"/>
          <w:sz w:val="44"/>
          <w:szCs w:val="44"/>
        </w:rPr>
      </w:pPr>
      <w:bookmarkStart w:id="49" w:name="_GoBack"/>
      <w:bookmarkEnd w:id="49"/>
      <w:bookmarkStart w:id="0" w:name="_Toc313893526"/>
      <w:bookmarkStart w:id="1" w:name="_Toc7625"/>
      <w:bookmarkStart w:id="2" w:name="_Toc18881"/>
      <w:bookmarkStart w:id="3" w:name="_Toc317775175"/>
      <w:bookmarkStart w:id="4" w:name="_Toc12808"/>
      <w:bookmarkStart w:id="5" w:name="_Toc18159"/>
      <w:bookmarkStart w:id="6" w:name="_Toc3463"/>
      <w:bookmarkStart w:id="7" w:name="_Toc25458"/>
      <w:bookmarkStart w:id="8" w:name="_Toc26820"/>
      <w:r>
        <w:rPr>
          <w:rFonts w:hint="eastAsia" w:ascii="仿宋" w:hAnsi="仿宋" w:eastAsia="仿宋" w:cs="仿宋"/>
          <w:b/>
          <w:spacing w:val="80"/>
          <w:sz w:val="44"/>
          <w:szCs w:val="44"/>
        </w:rPr>
        <w:t>重庆市璧山区凤凰小学校</w:t>
      </w:r>
    </w:p>
    <w:p w14:paraId="3A3A9021">
      <w:pPr>
        <w:keepNext w:val="0"/>
        <w:keepLines w:val="0"/>
        <w:pageBreakBefore w:val="0"/>
        <w:widowControl w:val="0"/>
        <w:kinsoku/>
        <w:wordWrap/>
        <w:overflowPunct/>
        <w:topLinePunct w:val="0"/>
        <w:autoSpaceDE/>
        <w:autoSpaceDN/>
        <w:bidi w:val="0"/>
        <w:adjustRightInd/>
        <w:snapToGrid/>
        <w:spacing w:line="1200" w:lineRule="exact"/>
        <w:ind w:left="0" w:leftChars="0" w:firstLine="0" w:firstLineChars="0"/>
        <w:jc w:val="center"/>
        <w:textAlignment w:val="auto"/>
        <w:outlineLvl w:val="0"/>
        <w:rPr>
          <w:rFonts w:hint="eastAsia" w:ascii="仿宋" w:hAnsi="仿宋" w:eastAsia="仿宋" w:cs="仿宋"/>
          <w:b/>
          <w:spacing w:val="80"/>
          <w:sz w:val="72"/>
          <w:szCs w:val="72"/>
        </w:rPr>
      </w:pPr>
      <w:r>
        <w:rPr>
          <w:rFonts w:hint="eastAsia" w:ascii="仿宋" w:hAnsi="仿宋" w:eastAsia="仿宋" w:cs="仿宋"/>
          <w:b/>
          <w:bCs w:val="0"/>
          <w:spacing w:val="80"/>
          <w:sz w:val="44"/>
          <w:szCs w:val="44"/>
        </w:rPr>
        <w:t>分散采购代理机构服务项目</w:t>
      </w:r>
      <w:r>
        <w:rPr>
          <w:rFonts w:hint="eastAsia" w:ascii="仿宋" w:hAnsi="仿宋" w:eastAsia="仿宋" w:cs="仿宋"/>
          <w:b/>
          <w:spacing w:val="80"/>
          <w:sz w:val="48"/>
          <w:szCs w:val="48"/>
        </w:rPr>
        <w:t xml:space="preserve"> </w:t>
      </w:r>
    </w:p>
    <w:p w14:paraId="78DD34E1">
      <w:pPr>
        <w:spacing w:line="700" w:lineRule="exact"/>
        <w:rPr>
          <w:rFonts w:hint="eastAsia" w:ascii="仿宋" w:hAnsi="仿宋" w:eastAsia="仿宋" w:cs="仿宋"/>
          <w:b/>
          <w:sz w:val="32"/>
        </w:rPr>
      </w:pPr>
      <w:r>
        <w:rPr>
          <w:rFonts w:hint="eastAsia" w:ascii="仿宋" w:hAnsi="仿宋" w:eastAsia="仿宋" w:cs="仿宋"/>
          <w:sz w:val="32"/>
        </w:rPr>
        <w:t xml:space="preserve">                         </w:t>
      </w:r>
      <w:r>
        <w:rPr>
          <w:rFonts w:hint="eastAsia" w:ascii="仿宋" w:hAnsi="仿宋" w:eastAsia="仿宋" w:cs="仿宋"/>
          <w:b/>
          <w:sz w:val="32"/>
        </w:rPr>
        <w:t xml:space="preserve"> </w:t>
      </w:r>
    </w:p>
    <w:p w14:paraId="12CAB019">
      <w:pPr>
        <w:spacing w:line="700" w:lineRule="exact"/>
        <w:rPr>
          <w:rFonts w:hint="eastAsia" w:ascii="仿宋" w:hAnsi="仿宋" w:eastAsia="仿宋" w:cs="仿宋"/>
          <w:sz w:val="32"/>
        </w:rPr>
      </w:pPr>
    </w:p>
    <w:p w14:paraId="4F9B453B">
      <w:pPr>
        <w:spacing w:line="700" w:lineRule="exact"/>
        <w:rPr>
          <w:rFonts w:hint="eastAsia" w:ascii="仿宋" w:hAnsi="仿宋" w:eastAsia="仿宋" w:cs="仿宋"/>
          <w:sz w:val="32"/>
        </w:rPr>
      </w:pPr>
    </w:p>
    <w:p w14:paraId="0CE8933F">
      <w:pPr>
        <w:spacing w:line="700" w:lineRule="exact"/>
        <w:ind w:firstLine="960" w:firstLineChars="300"/>
        <w:rPr>
          <w:rFonts w:hint="eastAsia" w:ascii="仿宋" w:hAnsi="仿宋" w:eastAsia="仿宋" w:cs="仿宋"/>
          <w:sz w:val="32"/>
          <w:szCs w:val="32"/>
          <w:u w:val="single"/>
          <w:lang w:eastAsia="zh-CN"/>
        </w:rPr>
      </w:pPr>
      <w:r>
        <w:rPr>
          <w:rFonts w:hint="eastAsia" w:ascii="仿宋" w:hAnsi="仿宋" w:eastAsia="仿宋" w:cs="仿宋"/>
          <w:sz w:val="32"/>
          <w:szCs w:val="32"/>
        </w:rPr>
        <w:t>项目名称</w:t>
      </w:r>
      <w:r>
        <w:rPr>
          <w:rFonts w:hint="eastAsia" w:ascii="仿宋" w:hAnsi="仿宋" w:eastAsia="仿宋" w:cs="仿宋"/>
          <w:szCs w:val="28"/>
        </w:rPr>
        <w:t>：</w:t>
      </w:r>
      <w:r>
        <w:rPr>
          <w:rFonts w:hint="eastAsia" w:ascii="仿宋" w:hAnsi="仿宋" w:eastAsia="仿宋" w:cs="仿宋"/>
          <w:sz w:val="32"/>
          <w:szCs w:val="32"/>
          <w:u w:val="single"/>
          <w:lang w:eastAsia="zh-CN"/>
        </w:rPr>
        <w:t>重庆市璧山区凤凰小学校分散采购代理机构</w:t>
      </w:r>
    </w:p>
    <w:p w14:paraId="3B09E44D">
      <w:pPr>
        <w:spacing w:line="700" w:lineRule="exact"/>
        <w:ind w:firstLine="2560" w:firstLineChars="800"/>
        <w:rPr>
          <w:rFonts w:hint="eastAsia" w:ascii="仿宋" w:hAnsi="仿宋" w:eastAsia="仿宋" w:cs="仿宋"/>
          <w:sz w:val="32"/>
          <w:szCs w:val="32"/>
          <w:u w:val="single"/>
          <w:lang w:eastAsia="zh-CN"/>
        </w:rPr>
      </w:pPr>
      <w:r>
        <w:rPr>
          <w:rFonts w:hint="eastAsia" w:ascii="仿宋" w:hAnsi="仿宋" w:eastAsia="仿宋" w:cs="仿宋"/>
          <w:sz w:val="32"/>
          <w:szCs w:val="32"/>
          <w:u w:val="single"/>
          <w:lang w:eastAsia="zh-CN"/>
        </w:rPr>
        <w:t>服务项目</w:t>
      </w:r>
    </w:p>
    <w:p w14:paraId="4B343C80">
      <w:pPr>
        <w:spacing w:line="700" w:lineRule="exact"/>
        <w:rPr>
          <w:rFonts w:hint="eastAsia" w:ascii="仿宋" w:hAnsi="仿宋" w:eastAsia="仿宋" w:cs="仿宋"/>
          <w:sz w:val="32"/>
          <w:szCs w:val="32"/>
          <w:u w:val="single"/>
        </w:rPr>
      </w:pPr>
    </w:p>
    <w:p w14:paraId="1B191796">
      <w:pPr>
        <w:spacing w:line="700" w:lineRule="exact"/>
        <w:rPr>
          <w:rFonts w:hint="eastAsia" w:ascii="仿宋" w:hAnsi="仿宋" w:eastAsia="仿宋" w:cs="仿宋"/>
          <w:sz w:val="32"/>
          <w:szCs w:val="32"/>
          <w:u w:val="single"/>
        </w:rPr>
      </w:pPr>
    </w:p>
    <w:p w14:paraId="56E15078">
      <w:pPr>
        <w:spacing w:line="700" w:lineRule="exact"/>
        <w:rPr>
          <w:rFonts w:hint="eastAsia" w:ascii="仿宋" w:hAnsi="仿宋" w:eastAsia="仿宋" w:cs="仿宋"/>
          <w:sz w:val="32"/>
          <w:szCs w:val="32"/>
          <w:u w:val="single"/>
        </w:rPr>
      </w:pPr>
    </w:p>
    <w:p w14:paraId="498E9FE6">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仿宋" w:hAnsi="仿宋" w:eastAsia="仿宋" w:cs="仿宋"/>
          <w:sz w:val="32"/>
          <w:szCs w:val="32"/>
          <w:u w:val="single"/>
        </w:rPr>
      </w:pPr>
      <w:r>
        <w:rPr>
          <w:rFonts w:hint="eastAsia" w:ascii="仿宋" w:hAnsi="仿宋" w:eastAsia="仿宋" w:cs="仿宋"/>
          <w:sz w:val="32"/>
          <w:szCs w:val="32"/>
          <w:u w:val="single"/>
        </w:rPr>
        <w:t>采   购   人： 重庆市璧山区凤凰小学校</w:t>
      </w:r>
    </w:p>
    <w:p w14:paraId="7E8C8F00">
      <w:pPr>
        <w:spacing w:line="700" w:lineRule="exact"/>
        <w:jc w:val="center"/>
        <w:rPr>
          <w:rFonts w:hint="eastAsia" w:ascii="仿宋" w:hAnsi="仿宋" w:eastAsia="仿宋" w:cs="仿宋"/>
          <w:sz w:val="32"/>
          <w:szCs w:val="32"/>
        </w:rPr>
      </w:pPr>
    </w:p>
    <w:p w14:paraId="79E3F829">
      <w:pPr>
        <w:pStyle w:val="2"/>
        <w:spacing w:before="0" w:after="0" w:line="312" w:lineRule="auto"/>
        <w:rPr>
          <w:rFonts w:hint="eastAsia" w:ascii="仿宋" w:hAnsi="仿宋" w:eastAsia="仿宋" w:cs="仿宋"/>
          <w:color w:val="000000"/>
          <w:sz w:val="30"/>
          <w:szCs w:val="30"/>
        </w:rPr>
      </w:pPr>
    </w:p>
    <w:p w14:paraId="24A3C782">
      <w:pPr>
        <w:rPr>
          <w:rFonts w:hint="eastAsia" w:ascii="仿宋" w:hAnsi="仿宋" w:eastAsia="仿宋" w:cs="仿宋"/>
          <w:color w:val="000000"/>
          <w:sz w:val="32"/>
          <w:szCs w:val="32"/>
        </w:rPr>
      </w:pPr>
    </w:p>
    <w:p w14:paraId="3C4FFE6C">
      <w:pPr>
        <w:pStyle w:val="22"/>
        <w:rPr>
          <w:rFonts w:hint="eastAsia" w:ascii="仿宋" w:hAnsi="仿宋" w:eastAsia="仿宋" w:cs="仿宋"/>
          <w:color w:val="000000"/>
          <w:sz w:val="32"/>
          <w:szCs w:val="32"/>
        </w:rPr>
      </w:pPr>
    </w:p>
    <w:p w14:paraId="459A1F98">
      <w:pPr>
        <w:pStyle w:val="23"/>
        <w:rPr>
          <w:rFonts w:hint="eastAsia" w:ascii="仿宋" w:hAnsi="仿宋" w:eastAsia="仿宋" w:cs="仿宋"/>
        </w:rPr>
      </w:pPr>
    </w:p>
    <w:p w14:paraId="6CAD28D1">
      <w:pPr>
        <w:rPr>
          <w:rFonts w:hint="eastAsia" w:ascii="仿宋" w:hAnsi="仿宋" w:eastAsia="仿宋" w:cs="仿宋"/>
          <w:color w:val="000000"/>
          <w:sz w:val="32"/>
          <w:szCs w:val="32"/>
        </w:rPr>
      </w:pPr>
    </w:p>
    <w:p w14:paraId="59E2A8B0">
      <w:pPr>
        <w:pStyle w:val="22"/>
        <w:rPr>
          <w:rFonts w:hint="eastAsia" w:ascii="仿宋" w:hAnsi="仿宋" w:eastAsia="仿宋" w:cs="仿宋"/>
          <w:color w:val="000000"/>
          <w:sz w:val="32"/>
          <w:szCs w:val="32"/>
        </w:rPr>
      </w:pPr>
    </w:p>
    <w:p w14:paraId="35EF1C71">
      <w:pPr>
        <w:pStyle w:val="23"/>
        <w:rPr>
          <w:rFonts w:hint="eastAsia" w:ascii="仿宋" w:hAnsi="仿宋" w:eastAsia="仿宋" w:cs="仿宋"/>
          <w:color w:val="000000"/>
          <w:sz w:val="32"/>
          <w:szCs w:val="32"/>
        </w:rPr>
      </w:pPr>
    </w:p>
    <w:p w14:paraId="21BC47C8">
      <w:pPr>
        <w:rPr>
          <w:rFonts w:hint="eastAsia"/>
        </w:rPr>
      </w:pPr>
    </w:p>
    <w:p w14:paraId="29B425CC">
      <w:pPr>
        <w:rPr>
          <w:rFonts w:hint="eastAsia" w:ascii="仿宋" w:hAnsi="仿宋" w:eastAsia="仿宋" w:cs="仿宋"/>
          <w:color w:val="000000"/>
          <w:sz w:val="32"/>
          <w:szCs w:val="32"/>
        </w:rPr>
      </w:pPr>
    </w:p>
    <w:p w14:paraId="2DC3A5D4">
      <w:pPr>
        <w:pStyle w:val="22"/>
        <w:rPr>
          <w:rFonts w:hint="eastAsia" w:ascii="仿宋" w:hAnsi="仿宋" w:eastAsia="仿宋" w:cs="仿宋"/>
        </w:rPr>
      </w:pPr>
    </w:p>
    <w:p w14:paraId="0B4DDA41">
      <w:pPr>
        <w:rPr>
          <w:rFonts w:hint="eastAsia" w:ascii="仿宋" w:hAnsi="仿宋" w:eastAsia="仿宋" w:cs="仿宋"/>
          <w:color w:val="000000"/>
          <w:sz w:val="32"/>
          <w:szCs w:val="32"/>
        </w:rPr>
      </w:pPr>
    </w:p>
    <w:p w14:paraId="1A72E3C6">
      <w:pPr>
        <w:pStyle w:val="22"/>
        <w:rPr>
          <w:rFonts w:hint="eastAsia"/>
        </w:rPr>
      </w:pPr>
    </w:p>
    <w:p w14:paraId="6A718C2E">
      <w:pPr>
        <w:rPr>
          <w:rFonts w:hint="eastAsia" w:ascii="仿宋" w:hAnsi="仿宋" w:eastAsia="仿宋" w:cs="仿宋"/>
          <w:color w:val="000000"/>
          <w:sz w:val="32"/>
          <w:szCs w:val="32"/>
        </w:rPr>
      </w:pPr>
    </w:p>
    <w:p w14:paraId="6106ECC1">
      <w:pPr>
        <w:pStyle w:val="2"/>
        <w:pageBreakBefore w:val="0"/>
        <w:kinsoku/>
        <w:wordWrap/>
        <w:overflowPunct/>
        <w:topLinePunct w:val="0"/>
        <w:autoSpaceDE/>
        <w:autoSpaceDN/>
        <w:bidi w:val="0"/>
        <w:adjustRightInd/>
        <w:spacing w:before="0" w:after="0" w:line="400" w:lineRule="exact"/>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rPr>
        <w:t>一、</w:t>
      </w:r>
      <w:bookmarkEnd w:id="0"/>
      <w:bookmarkEnd w:id="1"/>
      <w:bookmarkEnd w:id="2"/>
      <w:bookmarkEnd w:id="3"/>
      <w:bookmarkEnd w:id="4"/>
      <w:bookmarkEnd w:id="5"/>
      <w:bookmarkEnd w:id="6"/>
      <w:bookmarkEnd w:id="7"/>
      <w:bookmarkEnd w:id="8"/>
      <w:r>
        <w:rPr>
          <w:rFonts w:hint="eastAsia" w:ascii="仿宋" w:hAnsi="仿宋" w:eastAsia="仿宋" w:cs="仿宋"/>
          <w:bCs/>
          <w:color w:val="000000"/>
          <w:sz w:val="24"/>
          <w:szCs w:val="24"/>
          <w:lang w:eastAsia="zh-CN"/>
        </w:rPr>
        <w:t>项目概况</w:t>
      </w:r>
    </w:p>
    <w:tbl>
      <w:tblPr>
        <w:tblStyle w:val="58"/>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6"/>
        <w:gridCol w:w="1987"/>
        <w:gridCol w:w="4897"/>
      </w:tblGrid>
      <w:tr w14:paraId="6C4C6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436" w:type="dxa"/>
            <w:tcBorders>
              <w:top w:val="single" w:color="auto" w:sz="4" w:space="0"/>
              <w:left w:val="single" w:color="auto" w:sz="4" w:space="0"/>
              <w:right w:val="single" w:color="auto" w:sz="4" w:space="0"/>
            </w:tcBorders>
            <w:vAlign w:val="center"/>
          </w:tcPr>
          <w:p w14:paraId="043AAF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项目名称</w:t>
            </w:r>
          </w:p>
        </w:tc>
        <w:tc>
          <w:tcPr>
            <w:tcW w:w="1987" w:type="dxa"/>
            <w:tcBorders>
              <w:top w:val="single" w:color="auto" w:sz="4" w:space="0"/>
              <w:left w:val="single" w:color="auto" w:sz="4" w:space="0"/>
              <w:right w:val="single" w:color="auto" w:sz="4" w:space="0"/>
            </w:tcBorders>
            <w:vAlign w:val="center"/>
          </w:tcPr>
          <w:p w14:paraId="22096A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采购预算（元）</w:t>
            </w:r>
          </w:p>
        </w:tc>
        <w:tc>
          <w:tcPr>
            <w:tcW w:w="4897" w:type="dxa"/>
            <w:tcBorders>
              <w:top w:val="single" w:color="auto" w:sz="4" w:space="0"/>
              <w:left w:val="single" w:color="auto" w:sz="4" w:space="0"/>
              <w:right w:val="single" w:color="auto" w:sz="4" w:space="0"/>
            </w:tcBorders>
            <w:vAlign w:val="center"/>
          </w:tcPr>
          <w:p w14:paraId="63EAB2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备注</w:t>
            </w:r>
          </w:p>
        </w:tc>
      </w:tr>
      <w:tr w14:paraId="62242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436" w:type="dxa"/>
            <w:tcBorders>
              <w:top w:val="single" w:color="auto" w:sz="4" w:space="0"/>
              <w:left w:val="single" w:color="auto" w:sz="4" w:space="0"/>
              <w:right w:val="single" w:color="auto" w:sz="4" w:space="0"/>
            </w:tcBorders>
            <w:vAlign w:val="center"/>
          </w:tcPr>
          <w:p w14:paraId="034509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eastAsia="zh-CN"/>
              </w:rPr>
            </w:pPr>
            <w:bookmarkStart w:id="9" w:name="_Hlk344477914"/>
            <w:r>
              <w:rPr>
                <w:rFonts w:hint="eastAsia" w:ascii="仿宋" w:hAnsi="仿宋" w:eastAsia="仿宋" w:cs="仿宋"/>
                <w:color w:val="000000"/>
                <w:sz w:val="24"/>
                <w:szCs w:val="24"/>
                <w:lang w:eastAsia="zh-CN"/>
              </w:rPr>
              <w:t>重庆市璧山区凤凰小学校分散采购代理机构服务项目</w:t>
            </w:r>
          </w:p>
        </w:tc>
        <w:tc>
          <w:tcPr>
            <w:tcW w:w="1987" w:type="dxa"/>
            <w:tcBorders>
              <w:top w:val="single" w:color="auto" w:sz="4" w:space="0"/>
              <w:left w:val="single" w:color="auto" w:sz="4" w:space="0"/>
              <w:right w:val="single" w:color="auto" w:sz="4" w:space="0"/>
            </w:tcBorders>
            <w:vAlign w:val="center"/>
          </w:tcPr>
          <w:p w14:paraId="494D39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4897" w:type="dxa"/>
            <w:tcBorders>
              <w:top w:val="single" w:color="auto" w:sz="4" w:space="0"/>
              <w:left w:val="single" w:color="auto" w:sz="4" w:space="0"/>
              <w:right w:val="single" w:color="auto" w:sz="4" w:space="0"/>
            </w:tcBorders>
            <w:vAlign w:val="center"/>
          </w:tcPr>
          <w:p w14:paraId="6E5531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rPr>
            </w:pPr>
            <w:r>
              <w:rPr>
                <w:rFonts w:hint="eastAsia" w:ascii="仿宋" w:hAnsi="仿宋" w:eastAsia="仿宋" w:cs="仿宋"/>
                <w:sz w:val="24"/>
                <w:szCs w:val="24"/>
              </w:rPr>
              <w:t>本项目预算金额受格式所限</w:t>
            </w:r>
            <w:r>
              <w:rPr>
                <w:rFonts w:hint="eastAsia" w:ascii="仿宋" w:hAnsi="仿宋" w:eastAsia="仿宋" w:cs="仿宋"/>
                <w:sz w:val="24"/>
                <w:szCs w:val="24"/>
                <w:lang w:eastAsia="zh-CN"/>
              </w:rPr>
              <w:t>为</w:t>
            </w:r>
            <w:r>
              <w:rPr>
                <w:rFonts w:hint="eastAsia" w:ascii="仿宋" w:hAnsi="仿宋" w:eastAsia="仿宋" w:cs="仿宋"/>
                <w:sz w:val="24"/>
                <w:szCs w:val="24"/>
              </w:rPr>
              <w:t>虚拟金额，价格不作竞争，所有供应商报价均为1元，否则视为响应无效。</w:t>
            </w:r>
          </w:p>
        </w:tc>
      </w:tr>
      <w:bookmarkEnd w:id="9"/>
    </w:tbl>
    <w:p w14:paraId="11817ACD">
      <w:pPr>
        <w:pStyle w:val="2"/>
        <w:pageBreakBefore w:val="0"/>
        <w:kinsoku/>
        <w:wordWrap/>
        <w:overflowPunct/>
        <w:topLinePunct w:val="0"/>
        <w:autoSpaceDE/>
        <w:autoSpaceDN/>
        <w:bidi w:val="0"/>
        <w:adjustRightInd/>
        <w:spacing w:before="0" w:after="0" w:line="400" w:lineRule="exact"/>
        <w:rPr>
          <w:rFonts w:hint="eastAsia" w:ascii="仿宋" w:hAnsi="仿宋" w:eastAsia="仿宋" w:cs="仿宋"/>
          <w:bCs/>
          <w:color w:val="000000"/>
          <w:sz w:val="24"/>
          <w:szCs w:val="24"/>
        </w:rPr>
      </w:pPr>
      <w:bookmarkStart w:id="10" w:name="_Toc22399"/>
      <w:bookmarkStart w:id="11" w:name="_Toc19437"/>
      <w:bookmarkStart w:id="12" w:name="_Toc1790"/>
      <w:bookmarkStart w:id="13" w:name="_Toc15727"/>
      <w:bookmarkStart w:id="14" w:name="_Toc15576"/>
      <w:bookmarkStart w:id="15" w:name="_Toc25190"/>
      <w:bookmarkStart w:id="16" w:name="_Toc6462"/>
      <w:bookmarkStart w:id="17" w:name="_Toc317775178"/>
      <w:bookmarkStart w:id="18" w:name="_Toc373860293"/>
      <w:r>
        <w:rPr>
          <w:rFonts w:hint="eastAsia" w:ascii="仿宋" w:hAnsi="仿宋" w:eastAsia="仿宋" w:cs="仿宋"/>
          <w:bCs/>
          <w:color w:val="000000"/>
          <w:sz w:val="24"/>
          <w:szCs w:val="24"/>
        </w:rPr>
        <w:t>二、</w:t>
      </w:r>
      <w:bookmarkEnd w:id="10"/>
      <w:bookmarkEnd w:id="11"/>
      <w:bookmarkEnd w:id="12"/>
      <w:bookmarkEnd w:id="13"/>
      <w:bookmarkEnd w:id="14"/>
      <w:bookmarkEnd w:id="15"/>
      <w:bookmarkEnd w:id="16"/>
      <w:r>
        <w:rPr>
          <w:rFonts w:hint="eastAsia" w:ascii="仿宋" w:hAnsi="仿宋" w:eastAsia="仿宋" w:cs="仿宋"/>
          <w:bCs/>
          <w:color w:val="000000"/>
          <w:sz w:val="24"/>
          <w:szCs w:val="24"/>
        </w:rPr>
        <w:t>资格条件</w:t>
      </w:r>
    </w:p>
    <w:p w14:paraId="1DCB9EC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（一）一般资格条件</w:t>
      </w:r>
    </w:p>
    <w:p w14:paraId="77DC466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具有独立承担民事责任的能力；</w:t>
      </w:r>
    </w:p>
    <w:p w14:paraId="214301D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具有良好的商业信誉和健全的财务会计制度；</w:t>
      </w:r>
    </w:p>
    <w:p w14:paraId="5EF236D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具有履行合同所必需的设备和专业技术能力；</w:t>
      </w:r>
    </w:p>
    <w:p w14:paraId="3974BF9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有依法缴纳税收和社会保障资金的良好记录；</w:t>
      </w:r>
    </w:p>
    <w:p w14:paraId="5A91DB5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参加政府采购活动前三年内，在经营活动中没有重大违法记录；</w:t>
      </w:r>
    </w:p>
    <w:p w14:paraId="7A22C3A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法律、行政法规规定的其他条件。</w:t>
      </w:r>
    </w:p>
    <w:p w14:paraId="7D7ABDF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（二）特定资格条件</w:t>
      </w:r>
      <w:bookmarkEnd w:id="17"/>
      <w:bookmarkEnd w:id="18"/>
    </w:p>
    <w:p w14:paraId="195F5BA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供应商加入重庆市政府采购代理机构库（提供重庆市政府采购网代理机构库截图）。</w:t>
      </w:r>
    </w:p>
    <w:p w14:paraId="4E4FBE48">
      <w:pPr>
        <w:pStyle w:val="2"/>
        <w:pageBreakBefore w:val="0"/>
        <w:kinsoku/>
        <w:wordWrap/>
        <w:overflowPunct/>
        <w:topLinePunct w:val="0"/>
        <w:autoSpaceDE/>
        <w:autoSpaceDN/>
        <w:bidi w:val="0"/>
        <w:adjustRightInd/>
        <w:spacing w:before="0" w:after="0"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三、采购服务内容</w:t>
      </w:r>
    </w:p>
    <w:p w14:paraId="4E5F8C9D">
      <w:pPr>
        <w:pStyle w:val="129"/>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服务期内负责</w:t>
      </w:r>
      <w:r>
        <w:rPr>
          <w:rFonts w:hint="eastAsia" w:ascii="仿宋" w:hAnsi="仿宋" w:eastAsia="仿宋" w:cs="仿宋"/>
          <w:sz w:val="24"/>
          <w:szCs w:val="24"/>
          <w:lang w:eastAsia="zh-CN"/>
        </w:rPr>
        <w:t>采购人</w:t>
      </w:r>
      <w:r>
        <w:rPr>
          <w:rFonts w:hint="eastAsia" w:ascii="仿宋" w:hAnsi="仿宋" w:eastAsia="仿宋" w:cs="仿宋"/>
          <w:sz w:val="24"/>
          <w:szCs w:val="24"/>
        </w:rPr>
        <w:t>除政府集中采购目录外的工程、货物、服务等采购项目的采购代理工作且采购代理项目不限金额、不限数量（根据采购人实时情况确定），具体项目类别、预算金额限额按重庆市璧山区财政局实时《重庆市政府集中采购目录及采购限额标准》执行，具体包括以下内容：</w:t>
      </w:r>
    </w:p>
    <w:p w14:paraId="5C880B88">
      <w:pPr>
        <w:pStyle w:val="129"/>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1.负责编制采购文件，包括该类文件的澄清或补遗文件，若采购人有需要，须配合处理质疑答复。</w:t>
      </w:r>
    </w:p>
    <w:p w14:paraId="2263B65C">
      <w:pPr>
        <w:pStyle w:val="129"/>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2.负责采购文件的发售、开标、评标、编写评标报告、评标结果的公示。</w:t>
      </w:r>
    </w:p>
    <w:p w14:paraId="798CA428">
      <w:pPr>
        <w:pStyle w:val="129"/>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3.根据采购项目需求，负责依法依规组织重庆市财政局政府采购评标专家库中的专家参与评标。</w:t>
      </w:r>
    </w:p>
    <w:p w14:paraId="61EC9989">
      <w:pPr>
        <w:pStyle w:val="129"/>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4.协助采购人进行项目合同的签订。</w:t>
      </w:r>
    </w:p>
    <w:p w14:paraId="37FF3B18">
      <w:pPr>
        <w:pStyle w:val="129"/>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5.编制完整的采购项目备案文件提供采购人存档，编制内容按财政部要求执行。</w:t>
      </w:r>
    </w:p>
    <w:p w14:paraId="1331BFE9">
      <w:pPr>
        <w:pStyle w:val="129"/>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6.完成采购人交办的其他工作。</w:t>
      </w:r>
    </w:p>
    <w:p w14:paraId="0506BB0C">
      <w:pPr>
        <w:pStyle w:val="2"/>
        <w:pageBreakBefore w:val="0"/>
        <w:kinsoku/>
        <w:wordWrap/>
        <w:overflowPunct/>
        <w:topLinePunct w:val="0"/>
        <w:autoSpaceDE/>
        <w:autoSpaceDN/>
        <w:bidi w:val="0"/>
        <w:adjustRightInd/>
        <w:spacing w:before="0" w:after="0"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四、服务要求</w:t>
      </w:r>
    </w:p>
    <w:p w14:paraId="75F4E85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（一）</w:t>
      </w:r>
      <w:r>
        <w:rPr>
          <w:rFonts w:hint="eastAsia" w:ascii="仿宋" w:hAnsi="仿宋" w:eastAsia="仿宋" w:cs="仿宋"/>
          <w:sz w:val="24"/>
          <w:szCs w:val="24"/>
        </w:rPr>
        <w:t>项目采购过程严格按照区财政局和采购人的有关规定流程进行。</w:t>
      </w:r>
    </w:p>
    <w:p w14:paraId="2575AC7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（二）</w:t>
      </w:r>
      <w:r>
        <w:rPr>
          <w:rFonts w:hint="eastAsia" w:ascii="仿宋" w:hAnsi="仿宋" w:eastAsia="仿宋" w:cs="仿宋"/>
          <w:sz w:val="24"/>
          <w:szCs w:val="24"/>
        </w:rPr>
        <w:t>评标地点：</w:t>
      </w:r>
    </w:p>
    <w:p w14:paraId="6C75753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采购预算金额在50万元以下的货物、服务和100万元以下的工程项目评标场所由</w:t>
      </w:r>
      <w:r>
        <w:rPr>
          <w:rFonts w:hint="eastAsia" w:ascii="仿宋" w:hAnsi="仿宋" w:eastAsia="仿宋" w:cs="仿宋"/>
          <w:sz w:val="24"/>
          <w:szCs w:val="24"/>
          <w:lang w:eastAsia="zh-CN"/>
        </w:rPr>
        <w:t>采购人或</w:t>
      </w:r>
      <w:r>
        <w:rPr>
          <w:rFonts w:hint="eastAsia" w:ascii="仿宋" w:hAnsi="仿宋" w:eastAsia="仿宋" w:cs="仿宋"/>
          <w:sz w:val="24"/>
          <w:szCs w:val="24"/>
        </w:rPr>
        <w:t>成交供应商提供，若产生相关费用由供应商承担，不得向采购人或投标供应商另行收费。</w:t>
      </w:r>
    </w:p>
    <w:p w14:paraId="4548AE0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采购预算金额在50万元以上（含50万元）的货物、服务和100万元以上（含100万元）的工程项目按区财政局要求须入场交易的在区财政局指定地点评标。</w:t>
      </w:r>
    </w:p>
    <w:p w14:paraId="39EBEC4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（三）</w:t>
      </w:r>
      <w:r>
        <w:rPr>
          <w:rFonts w:hint="eastAsia" w:ascii="仿宋" w:hAnsi="仿宋" w:eastAsia="仿宋" w:cs="仿宋"/>
          <w:sz w:val="24"/>
          <w:szCs w:val="24"/>
        </w:rPr>
        <w:t>评审专家的组成及费用</w:t>
      </w:r>
    </w:p>
    <w:p w14:paraId="49F5425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集中采购目录外，政府采购限额及以上采购项目由采购人在财政库中抽取专家，成交供应商支付评审专家劳务报酬；政府采购限额以下由成交供应商在财政库中组织专家或由本单位组织专家评审（政府采购限额以下项目专家来源由采购人根据项目情况确定），成交供应商支付评审专家劳务报酬（本单位专家不支付评审专家劳务报酬）。</w:t>
      </w:r>
    </w:p>
    <w:p w14:paraId="3C5DEE8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（四）</w:t>
      </w:r>
      <w:r>
        <w:rPr>
          <w:rFonts w:hint="eastAsia" w:ascii="仿宋" w:hAnsi="仿宋" w:eastAsia="仿宋" w:cs="仿宋"/>
          <w:sz w:val="24"/>
          <w:szCs w:val="24"/>
        </w:rPr>
        <w:t>供应商需具有丰富的工作经验，能够熟练编制标书及了解现行政策法规，在本单位需要的情况下提供上门咨询服务，并在有需求的情况下配合审计工作。</w:t>
      </w:r>
    </w:p>
    <w:p w14:paraId="1A5038A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（五）</w:t>
      </w:r>
      <w:r>
        <w:rPr>
          <w:rFonts w:hint="eastAsia" w:ascii="仿宋" w:hAnsi="仿宋" w:eastAsia="仿宋" w:cs="仿宋"/>
          <w:sz w:val="24"/>
          <w:szCs w:val="24"/>
        </w:rPr>
        <w:t>供应商标书的编制需及时、准确，从接收到项目需求至采购文件初稿完成，原则上不应超过2个工作日。</w:t>
      </w:r>
    </w:p>
    <w:p w14:paraId="50AA969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（六）</w:t>
      </w:r>
      <w:r>
        <w:rPr>
          <w:rFonts w:hint="eastAsia" w:ascii="仿宋" w:hAnsi="仿宋" w:eastAsia="仿宋" w:cs="仿宋"/>
          <w:sz w:val="24"/>
          <w:szCs w:val="24"/>
        </w:rPr>
        <w:t>供应商所编制采购文件与工作流程需符合法律法规要求，秉持公平、公正、公开的职业操守面对社会各潜在供应商进行招投标服务，成交供应商要从政策上依法依规对采购人提出的技术、商务、资质需求进行把控，由代理机构工作过失而造成的损失（引起质疑、审计出现问题或被主管部门点名批评等），须由供应商承担责任，本单位有权提出赔偿并提前与供应商解约。</w:t>
      </w:r>
    </w:p>
    <w:p w14:paraId="7F4B587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000000"/>
          <w:sz w:val="24"/>
          <w:szCs w:val="24"/>
        </w:rPr>
      </w:pPr>
      <w:r>
        <w:rPr>
          <w:rFonts w:hint="eastAsia" w:ascii="仿宋" w:hAnsi="仿宋" w:eastAsia="仿宋" w:cs="仿宋"/>
          <w:sz w:val="24"/>
          <w:szCs w:val="24"/>
          <w:lang w:eastAsia="zh-CN"/>
        </w:rPr>
        <w:t>（七）</w:t>
      </w:r>
      <w:r>
        <w:rPr>
          <w:rFonts w:hint="eastAsia" w:ascii="仿宋" w:hAnsi="仿宋" w:eastAsia="仿宋" w:cs="仿宋"/>
          <w:sz w:val="24"/>
          <w:szCs w:val="24"/>
        </w:rPr>
        <w:t>供应商应在采购人提出要求之日起10个工作日内，完成采购档案的归档和移交工作。</w:t>
      </w:r>
    </w:p>
    <w:p w14:paraId="48D19AFF">
      <w:pPr>
        <w:pStyle w:val="2"/>
        <w:pageBreakBefore w:val="0"/>
        <w:kinsoku/>
        <w:wordWrap/>
        <w:overflowPunct/>
        <w:topLinePunct w:val="0"/>
        <w:autoSpaceDE/>
        <w:autoSpaceDN/>
        <w:bidi w:val="0"/>
        <w:adjustRightInd/>
        <w:spacing w:before="0" w:after="0"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五、服务期限</w:t>
      </w:r>
    </w:p>
    <w:p w14:paraId="428B5C0E">
      <w:pPr>
        <w:pageBreakBefore w:val="0"/>
        <w:kinsoku/>
        <w:wordWrap/>
        <w:overflowPunct/>
        <w:topLinePunct w:val="0"/>
        <w:autoSpaceDE/>
        <w:autoSpaceDN/>
        <w:bidi w:val="0"/>
        <w:adjustRightInd/>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（一）</w:t>
      </w:r>
      <w:r>
        <w:rPr>
          <w:rFonts w:hint="eastAsia" w:ascii="仿宋" w:hAnsi="仿宋" w:eastAsia="仿宋" w:cs="仿宋"/>
          <w:sz w:val="24"/>
          <w:szCs w:val="24"/>
        </w:rPr>
        <w:t>服务期为三年。</w:t>
      </w:r>
    </w:p>
    <w:p w14:paraId="5AD9EBE2">
      <w:pPr>
        <w:pageBreakBefore w:val="0"/>
        <w:kinsoku/>
        <w:wordWrap/>
        <w:overflowPunct/>
        <w:topLinePunct w:val="0"/>
        <w:autoSpaceDE/>
        <w:autoSpaceDN/>
        <w:bidi w:val="0"/>
        <w:adjustRightInd/>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（二）</w:t>
      </w:r>
      <w:r>
        <w:rPr>
          <w:rFonts w:hint="eastAsia" w:ascii="仿宋" w:hAnsi="仿宋" w:eastAsia="仿宋" w:cs="仿宋"/>
          <w:sz w:val="24"/>
          <w:szCs w:val="24"/>
        </w:rPr>
        <w:t>合同一年一签，我单位在服务期每满一年后对供应商进行考核，若考核不合格将不再续签下一年合同。</w:t>
      </w:r>
    </w:p>
    <w:p w14:paraId="4F56071D">
      <w:pPr>
        <w:pageBreakBefore w:val="0"/>
        <w:kinsoku/>
        <w:wordWrap/>
        <w:overflowPunct/>
        <w:topLinePunct w:val="0"/>
        <w:autoSpaceDE/>
        <w:autoSpaceDN/>
        <w:bidi w:val="0"/>
        <w:adjustRightInd/>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合同周期（一年）结束时，我单位将对供应商进行考核，考核满分为100分，考核内容包含但不限于如下条款（合同签订时由采购人与供应商共同协商完善考核标准）：</w:t>
      </w:r>
    </w:p>
    <w:p w14:paraId="2662A1B3">
      <w:pPr>
        <w:pageBreakBefore w:val="0"/>
        <w:kinsoku/>
        <w:wordWrap/>
        <w:overflowPunct/>
        <w:topLinePunct w:val="0"/>
        <w:autoSpaceDE/>
        <w:autoSpaceDN/>
        <w:bidi w:val="0"/>
        <w:adjustRightInd/>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1.是否按时递交采购文件初稿。</w:t>
      </w:r>
    </w:p>
    <w:p w14:paraId="65C409ED">
      <w:pPr>
        <w:pageBreakBefore w:val="0"/>
        <w:kinsoku/>
        <w:wordWrap/>
        <w:overflowPunct/>
        <w:topLinePunct w:val="0"/>
        <w:autoSpaceDE/>
        <w:autoSpaceDN/>
        <w:bidi w:val="0"/>
        <w:adjustRightInd/>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2.项目采购过程是否符合相关法律规定和相关程序要求。</w:t>
      </w:r>
    </w:p>
    <w:p w14:paraId="2B095048">
      <w:pPr>
        <w:pageBreakBefore w:val="0"/>
        <w:kinsoku/>
        <w:wordWrap/>
        <w:overflowPunct/>
        <w:topLinePunct w:val="0"/>
        <w:autoSpaceDE/>
        <w:autoSpaceDN/>
        <w:bidi w:val="0"/>
        <w:adjustRightInd/>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3.项目推进是否及时，是否存在过失行为。</w:t>
      </w:r>
    </w:p>
    <w:p w14:paraId="5B9A994A">
      <w:pPr>
        <w:pageBreakBefore w:val="0"/>
        <w:kinsoku/>
        <w:wordWrap/>
        <w:overflowPunct/>
        <w:topLinePunct w:val="0"/>
        <w:autoSpaceDE/>
        <w:autoSpaceDN/>
        <w:bidi w:val="0"/>
        <w:adjustRightInd/>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4.采购档案是否及时归档并移交我单位。</w:t>
      </w:r>
    </w:p>
    <w:p w14:paraId="058FED6B">
      <w:pPr>
        <w:pageBreakBefore w:val="0"/>
        <w:kinsoku/>
        <w:wordWrap/>
        <w:overflowPunct/>
        <w:topLinePunct w:val="0"/>
        <w:autoSpaceDE/>
        <w:autoSpaceDN/>
        <w:bidi w:val="0"/>
        <w:adjustRightInd/>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按每一项目计分，有一项目不符合要求，则扣掉5分，80分为及格，不及格者我单位有权选择不续签合同。</w:t>
      </w:r>
    </w:p>
    <w:p w14:paraId="549DA607">
      <w:pPr>
        <w:pStyle w:val="2"/>
        <w:pageBreakBefore w:val="0"/>
        <w:kinsoku/>
        <w:wordWrap/>
        <w:overflowPunct/>
        <w:topLinePunct w:val="0"/>
        <w:autoSpaceDE/>
        <w:autoSpaceDN/>
        <w:bidi w:val="0"/>
        <w:adjustRightInd/>
        <w:spacing w:before="0" w:after="0"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六、评选方法</w:t>
      </w:r>
    </w:p>
    <w:p w14:paraId="7B530DC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评审小组采用综合评分法对合格的供应商的响应文件进行综合评分。综合评分法，是指响应文件满足采购文件全部实质性要求且按照评审因素的量化指标评审得分最高的供应商为成交候选供应商的评审方法。供应商总得分为技术、商务等评定因素分别按照相应权重值计算分项得分后相加，满分为100分。</w:t>
      </w:r>
    </w:p>
    <w:p w14:paraId="17C8A42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评审小组各成员独立对每个有效响应（通过资格性检查、符合性检查的供应商）的文件进行评价、打分，然后汇总每个供应商每项评分因素的得分，并根据综合评分情况按照评审得分由高到低顺序推荐2名以上成交候选供应商，并编写评审报告。若供应商的评审得分相同的，按照技术部分得分高低顺序排列推荐；以上都相同的，按商务部分得分高低顺序排列推荐。</w:t>
      </w:r>
    </w:p>
    <w:p w14:paraId="5BDBB60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sz w:val="24"/>
          <w:szCs w:val="24"/>
          <w:lang w:val="en-US"/>
        </w:rPr>
      </w:pPr>
      <w:r>
        <w:rPr>
          <w:rFonts w:hint="eastAsia" w:ascii="仿宋" w:hAnsi="仿宋" w:eastAsia="仿宋" w:cs="仿宋"/>
          <w:sz w:val="24"/>
          <w:szCs w:val="24"/>
          <w:lang w:val="en-US" w:eastAsia="zh-CN"/>
        </w:rPr>
        <w:t>（三）评分标准</w:t>
      </w:r>
    </w:p>
    <w:tbl>
      <w:tblPr>
        <w:tblStyle w:val="58"/>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605"/>
        <w:gridCol w:w="1345"/>
        <w:gridCol w:w="4265"/>
        <w:gridCol w:w="1939"/>
      </w:tblGrid>
      <w:tr w14:paraId="1A9E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2" w:type="dxa"/>
            <w:vAlign w:val="center"/>
          </w:tcPr>
          <w:p w14:paraId="2CF008F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605" w:type="dxa"/>
            <w:vAlign w:val="center"/>
          </w:tcPr>
          <w:p w14:paraId="260B823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评分因素</w:t>
            </w:r>
          </w:p>
          <w:p w14:paraId="147BE14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及权重</w:t>
            </w:r>
          </w:p>
        </w:tc>
        <w:tc>
          <w:tcPr>
            <w:tcW w:w="1345" w:type="dxa"/>
            <w:vAlign w:val="center"/>
          </w:tcPr>
          <w:p w14:paraId="3187204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分值</w:t>
            </w:r>
          </w:p>
        </w:tc>
        <w:tc>
          <w:tcPr>
            <w:tcW w:w="4265" w:type="dxa"/>
            <w:vAlign w:val="center"/>
          </w:tcPr>
          <w:p w14:paraId="1A45D86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评分标准</w:t>
            </w:r>
          </w:p>
        </w:tc>
        <w:tc>
          <w:tcPr>
            <w:tcW w:w="1939" w:type="dxa"/>
            <w:vAlign w:val="center"/>
          </w:tcPr>
          <w:p w14:paraId="50200B7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说明</w:t>
            </w:r>
          </w:p>
        </w:tc>
      </w:tr>
      <w:tr w14:paraId="0BA39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2" w:type="dxa"/>
            <w:vAlign w:val="center"/>
          </w:tcPr>
          <w:p w14:paraId="4F5C207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1</w:t>
            </w:r>
          </w:p>
        </w:tc>
        <w:tc>
          <w:tcPr>
            <w:tcW w:w="1605" w:type="dxa"/>
            <w:vAlign w:val="center"/>
          </w:tcPr>
          <w:p w14:paraId="2AE4CBD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技术部分</w:t>
            </w:r>
          </w:p>
          <w:p w14:paraId="52620C3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45</w:t>
            </w:r>
            <w:r>
              <w:rPr>
                <w:rFonts w:hint="eastAsia" w:ascii="仿宋" w:hAnsi="仿宋" w:eastAsia="仿宋" w:cs="仿宋"/>
                <w:b w:val="0"/>
                <w:bCs w:val="0"/>
                <w:color w:val="auto"/>
                <w:sz w:val="24"/>
                <w:szCs w:val="24"/>
              </w:rPr>
              <w:t>%）</w:t>
            </w:r>
          </w:p>
        </w:tc>
        <w:tc>
          <w:tcPr>
            <w:tcW w:w="1345" w:type="dxa"/>
            <w:vAlign w:val="center"/>
          </w:tcPr>
          <w:p w14:paraId="6EECD59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45分</w:t>
            </w:r>
          </w:p>
        </w:tc>
        <w:tc>
          <w:tcPr>
            <w:tcW w:w="4265" w:type="dxa"/>
            <w:vAlign w:val="center"/>
          </w:tcPr>
          <w:p w14:paraId="34A03E98">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根据投标人提供的采购代理工作总体方案进行评审，包含但不限于：①组织机构设置、②服务措施、③代理招标流程、④服务质量保障、⑤防范风险措施、⑥质疑投诉管理办法、⑦项目完成后的归档方案。</w:t>
            </w:r>
          </w:p>
          <w:p w14:paraId="25D8580A">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①组织机构设置（5分）</w:t>
            </w:r>
          </w:p>
          <w:p w14:paraId="457C637A">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内容完整、针对性强的得5分；内容较完整、针对性较强的得4分；内容基本完整、针对性较强的得3分；内容不够完整、针对性不够强的得1分；未提供不得分。</w:t>
            </w:r>
          </w:p>
          <w:p w14:paraId="2204A5CC">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②服务措施（10分）</w:t>
            </w:r>
          </w:p>
          <w:p w14:paraId="7418AB95">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内容完整、针对性强的得10分；内容较完整、针对性较强的得7分；内容基本完整、针对性较强的得4分；内容不够完整、针对性不够强的得1分；未提供不得分。</w:t>
            </w:r>
          </w:p>
          <w:p w14:paraId="7B4234AA">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③代理招标流程（10分）</w:t>
            </w:r>
          </w:p>
          <w:p w14:paraId="21519BED">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流程表达非常清晰，能体现出对招标代理项目能够涉及的政策及规章非常熟悉得10分；流程表达较清晰，对招标代理项目能够涉及的政策及规章较熟悉得7分；流程表达基本清晰，对招标代理项目能够涉及的政策及规章基本熟悉得4分；流程表达不够清晰，对招标代理项目能够涉及的政策及规章不够熟悉得1分；未提供不得分。</w:t>
            </w:r>
          </w:p>
          <w:p w14:paraId="7C843836">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④服务质量保障（5分）</w:t>
            </w:r>
          </w:p>
          <w:p w14:paraId="07E90A27">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流程表达非常清晰，能体现出对招标代理项目能够涉及的政策及规章非常熟悉得5分；流程表达较清晰，对招标代理项目能够涉及的政策及规章较熟悉得4分；流程表达基本清晰，对招标代理项目能够涉及的政策及规章基本熟悉得3分；流程表达不够清晰，对招标代理项目能够涉及的政策及规章不够熟悉得1分；未提供不得分。</w:t>
            </w:r>
          </w:p>
          <w:p w14:paraId="3FD4EB70">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⑤防范风险措施（5分）</w:t>
            </w:r>
          </w:p>
          <w:p w14:paraId="78A4BC4D">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内容完整、针对性强的得5分；内容较完整、针对性较强的得4分；内容基本完整、针对性较强的得3分；内容不够完整、针对性不够强的得1分；未提供不得分。</w:t>
            </w:r>
          </w:p>
          <w:p w14:paraId="46D610DA">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⑥质疑投诉管理办法（5分）</w:t>
            </w:r>
          </w:p>
          <w:p w14:paraId="042AC641">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流程表达非常清晰，能体现出对招标代理项目能够涉及的政策及规章非常熟悉得5分；流程表达较清晰，对招标代理项目能够涉及的政策及规章较熟悉得4分；流程表达基本清晰，对招标代理项目能够涉及的政策及规章基本熟悉得3分；流程表达不够清晰，对招标代理项目能够涉及的政策及规章不够熟悉得1分；未提供不得分。</w:t>
            </w:r>
          </w:p>
          <w:p w14:paraId="1CD02EDE">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⑦项目完成后的归档方案（5分）</w:t>
            </w:r>
          </w:p>
          <w:p w14:paraId="23AEAE9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流程表达非常清晰，能体现出对招标代理项目能够涉及的政策及规章非常熟悉得5分；流程表达较清晰，对招标代理项目能够涉及的政策及规章较熟悉得4分；流程表达基本清晰，对招标代理项目能够涉及的政策及规章基本熟悉得3分；流程表达不够清晰，对招标代理项目能够涉及的政策及规章不够熟悉得1分；未提供不得分。</w:t>
            </w:r>
          </w:p>
        </w:tc>
        <w:tc>
          <w:tcPr>
            <w:tcW w:w="1939" w:type="dxa"/>
            <w:vAlign w:val="center"/>
          </w:tcPr>
          <w:p w14:paraId="1B78F04A">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提供书面方案进行评审。</w:t>
            </w:r>
          </w:p>
        </w:tc>
      </w:tr>
      <w:tr w14:paraId="1A8B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2" w:type="dxa"/>
            <w:vMerge w:val="restart"/>
            <w:vAlign w:val="center"/>
          </w:tcPr>
          <w:p w14:paraId="4A28AE3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1605" w:type="dxa"/>
            <w:vMerge w:val="restart"/>
            <w:vAlign w:val="center"/>
          </w:tcPr>
          <w:p w14:paraId="0966582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商务部分（</w:t>
            </w:r>
            <w:r>
              <w:rPr>
                <w:rFonts w:hint="eastAsia" w:ascii="仿宋" w:hAnsi="仿宋" w:eastAsia="仿宋" w:cs="仿宋"/>
                <w:color w:val="auto"/>
                <w:sz w:val="24"/>
                <w:szCs w:val="24"/>
                <w:lang w:val="en-US" w:eastAsia="zh-CN"/>
              </w:rPr>
              <w:t>55</w:t>
            </w:r>
            <w:r>
              <w:rPr>
                <w:rFonts w:hint="eastAsia" w:ascii="仿宋" w:hAnsi="仿宋" w:eastAsia="仿宋" w:cs="仿宋"/>
                <w:color w:val="auto"/>
                <w:sz w:val="24"/>
                <w:szCs w:val="24"/>
              </w:rPr>
              <w:t>%）</w:t>
            </w:r>
          </w:p>
        </w:tc>
        <w:tc>
          <w:tcPr>
            <w:tcW w:w="1345" w:type="dxa"/>
            <w:vAlign w:val="center"/>
          </w:tcPr>
          <w:p w14:paraId="64CE8B9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16分</w:t>
            </w:r>
          </w:p>
        </w:tc>
        <w:tc>
          <w:tcPr>
            <w:tcW w:w="4265" w:type="dxa"/>
            <w:vAlign w:val="center"/>
          </w:tcPr>
          <w:p w14:paraId="3115598F">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投标人派至本项目服务团队中参加“2023年重庆市政府采购代理机构从业人员线上培训”，且取得重庆市政府采购代理机构从业人员培训合格证书的，每提供一人得2分，最多得16分。</w:t>
            </w:r>
          </w:p>
        </w:tc>
        <w:tc>
          <w:tcPr>
            <w:tcW w:w="1939" w:type="dxa"/>
            <w:vAlign w:val="center"/>
          </w:tcPr>
          <w:p w14:paraId="72985FB6">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提供①重庆市政府采购网【代理机构管理】培训记录查询网页截图、②重庆市政府采购代理机构从业人员培训合格证书复印件、③投标人为其缴纳2025年2月-2025年3月社保证明材料复印件（2025年2月之后成立的公司，提供成立之后至开标前月或开标当月的社保缴纳证明材料），加盖投标人公章。</w:t>
            </w:r>
          </w:p>
        </w:tc>
      </w:tr>
      <w:tr w14:paraId="52DB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2" w:type="dxa"/>
            <w:vMerge w:val="continue"/>
            <w:vAlign w:val="center"/>
          </w:tcPr>
          <w:p w14:paraId="740AAF1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color w:val="auto"/>
                <w:sz w:val="24"/>
                <w:szCs w:val="24"/>
              </w:rPr>
            </w:pPr>
          </w:p>
        </w:tc>
        <w:tc>
          <w:tcPr>
            <w:tcW w:w="1605" w:type="dxa"/>
            <w:vMerge w:val="continue"/>
            <w:vAlign w:val="center"/>
          </w:tcPr>
          <w:p w14:paraId="3AE95938">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color w:val="auto"/>
                <w:sz w:val="24"/>
                <w:szCs w:val="24"/>
              </w:rPr>
            </w:pPr>
          </w:p>
        </w:tc>
        <w:tc>
          <w:tcPr>
            <w:tcW w:w="1345" w:type="dxa"/>
            <w:vAlign w:val="center"/>
          </w:tcPr>
          <w:p w14:paraId="0C17677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10分</w:t>
            </w:r>
          </w:p>
        </w:tc>
        <w:tc>
          <w:tcPr>
            <w:tcW w:w="4265" w:type="dxa"/>
            <w:vAlign w:val="center"/>
          </w:tcPr>
          <w:p w14:paraId="780BCE89">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2022年1月1日至今（以开标时间为准），投标人派至本项目服务团队中，经办过采购项目累计数量达到300个及以上的，每提供一人得5分，最多得10分。</w:t>
            </w:r>
          </w:p>
          <w:p w14:paraId="011938A0">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注：经办过指项目采购文件或项目采购公告中须体现其姓名。中标后，招标人有权对中标（成交）投标人提供的明细表项目进行核实，若经核实发现有不实信息的招标人将取消其中标（成交）资格。</w:t>
            </w:r>
          </w:p>
        </w:tc>
        <w:tc>
          <w:tcPr>
            <w:tcW w:w="1939" w:type="dxa"/>
            <w:vAlign w:val="center"/>
          </w:tcPr>
          <w:p w14:paraId="03E38B5A">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提供①业绩清单明细表、②投标人为其缴纳2025年2月-2025年3月社保证明材料复印件（2025年2月之后成立的公司，提供成立之后至开标前月或开标当月的社保缴纳证明材料），加盖投标人公章，加盖投标人公章。</w:t>
            </w:r>
          </w:p>
        </w:tc>
      </w:tr>
      <w:tr w14:paraId="2092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2" w:type="dxa"/>
            <w:vMerge w:val="continue"/>
            <w:vAlign w:val="center"/>
          </w:tcPr>
          <w:p w14:paraId="41EE2B20">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color w:val="auto"/>
                <w:sz w:val="24"/>
                <w:szCs w:val="24"/>
              </w:rPr>
            </w:pPr>
          </w:p>
        </w:tc>
        <w:tc>
          <w:tcPr>
            <w:tcW w:w="1605" w:type="dxa"/>
            <w:vMerge w:val="continue"/>
            <w:vAlign w:val="center"/>
          </w:tcPr>
          <w:p w14:paraId="2774C5CF">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color w:val="auto"/>
                <w:sz w:val="24"/>
                <w:szCs w:val="24"/>
              </w:rPr>
            </w:pPr>
          </w:p>
        </w:tc>
        <w:tc>
          <w:tcPr>
            <w:tcW w:w="1345" w:type="dxa"/>
            <w:vAlign w:val="center"/>
          </w:tcPr>
          <w:p w14:paraId="0447E98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21分</w:t>
            </w:r>
          </w:p>
        </w:tc>
        <w:tc>
          <w:tcPr>
            <w:tcW w:w="4265" w:type="dxa"/>
            <w:vAlign w:val="center"/>
          </w:tcPr>
          <w:p w14:paraId="0EF28198">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1.2020年1月1日起至今（以项目计</w:t>
            </w:r>
            <w:r>
              <w:rPr>
                <w:rFonts w:hint="eastAsia" w:ascii="仿宋" w:hAnsi="仿宋" w:eastAsia="仿宋" w:cs="仿宋"/>
                <w:color w:val="auto"/>
                <w:sz w:val="24"/>
                <w:szCs w:val="24"/>
                <w:highlight w:val="none"/>
                <w:lang w:val="en-US" w:eastAsia="zh-CN"/>
              </w:rPr>
              <w:t>划下达时间为准），</w:t>
            </w:r>
            <w:bookmarkStart w:id="19" w:name="OLE_LINK7"/>
            <w:r>
              <w:rPr>
                <w:rFonts w:hint="eastAsia" w:ascii="仿宋" w:hAnsi="仿宋" w:eastAsia="仿宋" w:cs="仿宋"/>
                <w:color w:val="auto"/>
                <w:sz w:val="24"/>
                <w:szCs w:val="24"/>
                <w:highlight w:val="none"/>
                <w:lang w:val="en-US" w:eastAsia="zh-CN"/>
              </w:rPr>
              <w:t>投标人累计代理政府采购项目的招标人个数达到50个的得3分，每增加10个加1分，最多得5分。</w:t>
            </w:r>
          </w:p>
          <w:bookmarkEnd w:id="19"/>
          <w:p w14:paraId="4EE698C8">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2.2020年1月1日起至今（以项目计划下达时间为准），</w:t>
            </w:r>
            <w:bookmarkStart w:id="20" w:name="OLE_LINK8"/>
            <w:r>
              <w:rPr>
                <w:rFonts w:hint="eastAsia" w:ascii="仿宋" w:hAnsi="仿宋" w:eastAsia="仿宋" w:cs="仿宋"/>
                <w:color w:val="auto"/>
                <w:sz w:val="24"/>
                <w:szCs w:val="24"/>
                <w:highlight w:val="none"/>
                <w:lang w:val="en-US" w:eastAsia="zh-CN"/>
              </w:rPr>
              <w:t>投标人累计代理政府采购项目达到100个的得4分，项目每增加100个加2分，最多得8分。</w:t>
            </w:r>
            <w:bookmarkEnd w:id="20"/>
          </w:p>
          <w:p w14:paraId="0118B35F">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3.2020年1月1日起至今（以项目计划下达时间为准），投标人累计代理政府采购项目预算金额达到20000万（含）的得2分，预算金额每增加10000万（含）加1分，此项最多得8分。</w:t>
            </w:r>
          </w:p>
        </w:tc>
        <w:tc>
          <w:tcPr>
            <w:tcW w:w="1939" w:type="dxa"/>
            <w:vAlign w:val="center"/>
          </w:tcPr>
          <w:p w14:paraId="2BF8B187">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w:t>
            </w:r>
            <w:r>
              <w:rPr>
                <w:rFonts w:hint="eastAsia" w:ascii="仿宋" w:hAnsi="仿宋" w:eastAsia="仿宋" w:cs="仿宋"/>
                <w:color w:val="auto"/>
                <w:sz w:val="24"/>
                <w:szCs w:val="24"/>
                <w:highlight w:val="none"/>
                <w:lang w:val="en-US" w:eastAsia="zh-CN"/>
              </w:rPr>
              <w:t>供①业绩清单明细表、</w:t>
            </w:r>
            <w:bookmarkStart w:id="21" w:name="OLE_LINK9"/>
            <w:r>
              <w:rPr>
                <w:rFonts w:hint="eastAsia" w:ascii="仿宋" w:hAnsi="仿宋" w:eastAsia="仿宋" w:cs="仿宋"/>
                <w:color w:val="auto"/>
                <w:sz w:val="24"/>
                <w:szCs w:val="24"/>
                <w:highlight w:val="none"/>
                <w:lang w:val="en-US" w:eastAsia="zh-CN"/>
              </w:rPr>
              <w:t>②重庆市政府采购网【政府采购交易管理系统</w:t>
            </w:r>
            <w:bookmarkEnd w:id="21"/>
            <w:r>
              <w:rPr>
                <w:rFonts w:hint="eastAsia" w:ascii="仿宋" w:hAnsi="仿宋" w:eastAsia="仿宋" w:cs="仿宋"/>
                <w:color w:val="auto"/>
                <w:sz w:val="24"/>
                <w:szCs w:val="24"/>
                <w:highlight w:val="none"/>
                <w:lang w:val="en-US" w:eastAsia="zh-CN"/>
              </w:rPr>
              <w:t>】项目计划管理截图，加盖投标</w:t>
            </w:r>
            <w:r>
              <w:rPr>
                <w:rFonts w:hint="eastAsia" w:ascii="仿宋" w:hAnsi="仿宋" w:eastAsia="仿宋" w:cs="仿宋"/>
                <w:color w:val="auto"/>
                <w:sz w:val="24"/>
                <w:szCs w:val="24"/>
                <w:lang w:val="en-US" w:eastAsia="zh-CN"/>
              </w:rPr>
              <w:t>人公章。</w:t>
            </w:r>
          </w:p>
          <w:p w14:paraId="6A86EA30">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color w:val="auto"/>
                <w:sz w:val="24"/>
                <w:szCs w:val="24"/>
                <w:lang w:val="en-US" w:eastAsia="zh-CN"/>
              </w:rPr>
            </w:pPr>
          </w:p>
        </w:tc>
      </w:tr>
      <w:tr w14:paraId="72C04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3" w:hRule="atLeast"/>
          <w:jc w:val="center"/>
        </w:trPr>
        <w:tc>
          <w:tcPr>
            <w:tcW w:w="902" w:type="dxa"/>
            <w:vMerge w:val="continue"/>
            <w:vAlign w:val="center"/>
          </w:tcPr>
          <w:p w14:paraId="74A4D5C1">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color w:val="auto"/>
                <w:sz w:val="24"/>
                <w:szCs w:val="24"/>
              </w:rPr>
            </w:pPr>
          </w:p>
        </w:tc>
        <w:tc>
          <w:tcPr>
            <w:tcW w:w="1605" w:type="dxa"/>
            <w:vMerge w:val="continue"/>
            <w:vAlign w:val="center"/>
          </w:tcPr>
          <w:p w14:paraId="2CABBC1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color w:val="auto"/>
                <w:sz w:val="24"/>
                <w:szCs w:val="24"/>
              </w:rPr>
            </w:pPr>
          </w:p>
        </w:tc>
        <w:tc>
          <w:tcPr>
            <w:tcW w:w="1345" w:type="dxa"/>
            <w:vAlign w:val="center"/>
          </w:tcPr>
          <w:p w14:paraId="7885FBD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8分</w:t>
            </w:r>
          </w:p>
        </w:tc>
        <w:tc>
          <w:tcPr>
            <w:tcW w:w="4265" w:type="dxa"/>
            <w:vAlign w:val="center"/>
          </w:tcPr>
          <w:p w14:paraId="29AB7F67">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1.在渝有固定的办公场地：150平方米以下的得1分；150平方米-350平方米的得3分；350平方米以上的得5分，最多得5分。</w:t>
            </w:r>
          </w:p>
          <w:p w14:paraId="42F795F9">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2.在渝有独立评标室、独立档案室（提供目前档案存储情况及现场照片），且具有电子监控设备的得3分。</w:t>
            </w:r>
          </w:p>
        </w:tc>
        <w:tc>
          <w:tcPr>
            <w:tcW w:w="1939" w:type="dxa"/>
            <w:vAlign w:val="center"/>
          </w:tcPr>
          <w:p w14:paraId="16F4437A">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第1项:</w:t>
            </w:r>
            <w:r>
              <w:rPr>
                <w:rFonts w:hint="eastAsia" w:ascii="仿宋" w:hAnsi="仿宋" w:eastAsia="仿宋" w:cs="仿宋"/>
                <w:color w:val="auto"/>
                <w:sz w:val="24"/>
                <w:szCs w:val="24"/>
                <w:lang w:val="en-US" w:eastAsia="zh-CN"/>
              </w:rPr>
              <w:t>提供房屋产权证书复印件或房屋租赁合同复印件，加盖投标人公章。</w:t>
            </w:r>
          </w:p>
          <w:p w14:paraId="5A1F684A">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第2项:</w:t>
            </w:r>
            <w:r>
              <w:rPr>
                <w:rFonts w:hint="eastAsia" w:ascii="仿宋" w:hAnsi="仿宋" w:eastAsia="仿宋" w:cs="仿宋"/>
                <w:color w:val="auto"/>
                <w:sz w:val="24"/>
                <w:szCs w:val="24"/>
                <w:lang w:val="en-US" w:eastAsia="zh-CN"/>
              </w:rPr>
              <w:t>提供①场地照片、②功能分区标注（评标室、档案室）、③电子监控设备照片，加盖投标人公章。</w:t>
            </w:r>
          </w:p>
        </w:tc>
      </w:tr>
    </w:tbl>
    <w:p w14:paraId="726F3935">
      <w:pPr>
        <w:pStyle w:val="2"/>
        <w:pageBreakBefore w:val="0"/>
        <w:kinsoku/>
        <w:wordWrap/>
        <w:overflowPunct/>
        <w:topLinePunct w:val="0"/>
        <w:autoSpaceDE/>
        <w:autoSpaceDN/>
        <w:bidi w:val="0"/>
        <w:adjustRightInd/>
        <w:spacing w:before="0" w:after="0"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七、付款</w:t>
      </w:r>
      <w:r>
        <w:rPr>
          <w:rFonts w:hint="eastAsia" w:ascii="仿宋" w:hAnsi="仿宋" w:eastAsia="仿宋" w:cs="仿宋"/>
          <w:bCs/>
          <w:color w:val="000000"/>
          <w:sz w:val="24"/>
          <w:szCs w:val="24"/>
          <w:lang w:eastAsia="zh-CN"/>
        </w:rPr>
        <w:t>及结算要求</w:t>
      </w:r>
    </w:p>
    <w:p w14:paraId="17C5E80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（一）</w:t>
      </w:r>
      <w:r>
        <w:rPr>
          <w:rFonts w:hint="eastAsia" w:ascii="仿宋" w:hAnsi="仿宋" w:eastAsia="仿宋" w:cs="仿宋"/>
          <w:sz w:val="24"/>
          <w:szCs w:val="24"/>
        </w:rPr>
        <w:t>本项目预算金额受格式所限</w:t>
      </w:r>
      <w:r>
        <w:rPr>
          <w:rFonts w:hint="eastAsia" w:ascii="仿宋" w:hAnsi="仿宋" w:eastAsia="仿宋" w:cs="仿宋"/>
          <w:sz w:val="24"/>
          <w:szCs w:val="24"/>
          <w:lang w:eastAsia="zh-CN"/>
        </w:rPr>
        <w:t>为</w:t>
      </w:r>
      <w:r>
        <w:rPr>
          <w:rFonts w:hint="eastAsia" w:ascii="仿宋" w:hAnsi="仿宋" w:eastAsia="仿宋" w:cs="仿宋"/>
          <w:sz w:val="24"/>
          <w:szCs w:val="24"/>
        </w:rPr>
        <w:t>虚拟金额，价格不作竞争，所有供应商报价均为1元，否则视为响应无效。</w:t>
      </w:r>
    </w:p>
    <w:p w14:paraId="10944FE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本项目代理服务费应包括完成项目的全部费用，包括（但不限于）评审专家劳务费、办公配套费、资料费、人工费、税费及其它与本项目相关的一切费用。服务期内采购人均不支付任何费用。</w:t>
      </w:r>
    </w:p>
    <w:p w14:paraId="79124B3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采购人不向成交供应商支付任何款项，待后续进行项目代理时，由项目中标人向成交供应商支付采购代理服务费。</w:t>
      </w:r>
    </w:p>
    <w:p w14:paraId="78F7B2B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 xml:space="preserve">本项目报价分为“按标准收费”和“最低收费”两项： </w:t>
      </w:r>
    </w:p>
    <w:p w14:paraId="2E01029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“按标准收费”标准按下表执行，代理服务收费按差额定率累进法计算：</w:t>
      </w:r>
      <w:bookmarkStart w:id="22" w:name="_Toc27955"/>
      <w:bookmarkStart w:id="23" w:name="_Toc9654"/>
      <w:bookmarkStart w:id="24" w:name="_Toc5085"/>
      <w:bookmarkStart w:id="25" w:name="_Toc11828"/>
      <w:bookmarkStart w:id="26" w:name="_Toc3475"/>
      <w:bookmarkStart w:id="27" w:name="_Toc20778"/>
      <w:bookmarkStart w:id="28" w:name="_Toc25886"/>
      <w:bookmarkStart w:id="29" w:name="_Toc9027"/>
      <w:bookmarkStart w:id="30" w:name="_Toc15478"/>
      <w:bookmarkStart w:id="31" w:name="_Toc25516"/>
      <w:bookmarkStart w:id="32" w:name="_Toc19730"/>
      <w:bookmarkStart w:id="33" w:name="_Toc31315"/>
      <w:bookmarkStart w:id="34" w:name="_Toc14778"/>
      <w:bookmarkStart w:id="35" w:name="_Toc13969"/>
    </w:p>
    <w:tbl>
      <w:tblPr>
        <w:tblStyle w:val="58"/>
        <w:tblW w:w="9191"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2095"/>
        <w:gridCol w:w="2095"/>
        <w:gridCol w:w="2096"/>
      </w:tblGrid>
      <w:tr w14:paraId="198C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905" w:type="dxa"/>
            <w:tcBorders>
              <w:top w:val="single" w:color="auto" w:sz="4" w:space="0"/>
              <w:left w:val="single" w:color="auto" w:sz="4" w:space="0"/>
              <w:bottom w:val="single" w:color="auto" w:sz="4" w:space="0"/>
              <w:right w:val="single" w:color="auto" w:sz="4" w:space="0"/>
              <w:tl2br w:val="single" w:color="auto" w:sz="4" w:space="0"/>
            </w:tcBorders>
          </w:tcPr>
          <w:p w14:paraId="4FD110A0">
            <w:pPr>
              <w:spacing w:line="240" w:lineRule="atLeast"/>
              <w:jc w:val="right"/>
              <w:rPr>
                <w:rFonts w:ascii="仿宋" w:hAnsi="仿宋" w:eastAsia="仿宋"/>
                <w:color w:val="000000"/>
                <w:sz w:val="24"/>
                <w:szCs w:val="24"/>
              </w:rPr>
            </w:pPr>
            <w:r>
              <w:rPr>
                <w:rFonts w:hint="eastAsia" w:ascii="仿宋" w:hAnsi="仿宋" w:eastAsia="仿宋"/>
                <w:color w:val="000000"/>
                <w:sz w:val="24"/>
                <w:szCs w:val="24"/>
              </w:rPr>
              <w:t>采购</w:t>
            </w:r>
            <w:r>
              <w:rPr>
                <w:rFonts w:ascii="仿宋" w:hAnsi="仿宋" w:eastAsia="仿宋"/>
                <w:color w:val="000000"/>
                <w:sz w:val="24"/>
                <w:szCs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2" name="直线 7"/>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8++YPWAAAACAEA&#10;AA8AAAAAAAAAAQAgAAAAIgAAAGRycy9kb3ducmV2LnhtbFBLAQIUABQAAAAIAIdO4kCVDqx14wEA&#10;ANkDAAAOAAAAAAAAAAEAIAAAACUBAABkcnMvZTJvRG9jLnhtbFBLBQYAAAAABgAGAFkBAAB6BQAA&#10;AAA=&#10;">
                      <v:fill on="f" focussize="0,0"/>
                      <v:stroke color="#000000" joinstyle="round"/>
                      <v:imagedata o:title=""/>
                      <o:lock v:ext="edit" aspectratio="f"/>
                    </v:line>
                  </w:pict>
                </mc:Fallback>
              </mc:AlternateContent>
            </w:r>
            <w:r>
              <w:rPr>
                <w:rFonts w:hint="eastAsia" w:ascii="仿宋" w:hAnsi="仿宋" w:eastAsia="仿宋"/>
                <w:color w:val="000000"/>
                <w:sz w:val="24"/>
                <w:szCs w:val="24"/>
              </w:rPr>
              <w:t>类型</w:t>
            </w:r>
          </w:p>
          <w:p w14:paraId="2277AB62">
            <w:pPr>
              <w:spacing w:line="240" w:lineRule="atLeast"/>
              <w:rPr>
                <w:rFonts w:ascii="仿宋" w:hAnsi="仿宋" w:eastAsia="仿宋"/>
                <w:color w:val="000000"/>
                <w:sz w:val="24"/>
                <w:szCs w:val="24"/>
              </w:rPr>
            </w:pPr>
            <w:r>
              <w:rPr>
                <w:rFonts w:hint="eastAsia" w:ascii="仿宋" w:hAnsi="仿宋" w:eastAsia="仿宋"/>
                <w:color w:val="000000"/>
                <w:sz w:val="24"/>
                <w:szCs w:val="24"/>
              </w:rPr>
              <w:t>成交金额（万元）</w:t>
            </w:r>
          </w:p>
        </w:tc>
        <w:tc>
          <w:tcPr>
            <w:tcW w:w="2095" w:type="dxa"/>
            <w:tcBorders>
              <w:top w:val="single" w:color="auto" w:sz="4" w:space="0"/>
              <w:left w:val="single" w:color="auto" w:sz="4" w:space="0"/>
              <w:bottom w:val="single" w:color="auto" w:sz="4" w:space="0"/>
              <w:right w:val="single" w:color="auto" w:sz="4" w:space="0"/>
            </w:tcBorders>
            <w:vAlign w:val="center"/>
          </w:tcPr>
          <w:p w14:paraId="63F69F99">
            <w:pPr>
              <w:spacing w:line="240" w:lineRule="atLeast"/>
              <w:jc w:val="center"/>
              <w:rPr>
                <w:rFonts w:ascii="仿宋" w:hAnsi="仿宋" w:eastAsia="仿宋"/>
                <w:color w:val="000000"/>
                <w:sz w:val="24"/>
                <w:szCs w:val="24"/>
              </w:rPr>
            </w:pPr>
            <w:r>
              <w:rPr>
                <w:rFonts w:hint="eastAsia" w:ascii="仿宋" w:hAnsi="仿宋" w:eastAsia="仿宋"/>
                <w:color w:val="000000"/>
                <w:sz w:val="24"/>
                <w:szCs w:val="24"/>
              </w:rPr>
              <w:t>货物采购</w:t>
            </w:r>
          </w:p>
        </w:tc>
        <w:tc>
          <w:tcPr>
            <w:tcW w:w="2095" w:type="dxa"/>
            <w:tcBorders>
              <w:top w:val="single" w:color="auto" w:sz="4" w:space="0"/>
              <w:left w:val="single" w:color="auto" w:sz="4" w:space="0"/>
              <w:bottom w:val="single" w:color="auto" w:sz="4" w:space="0"/>
              <w:right w:val="single" w:color="auto" w:sz="4" w:space="0"/>
            </w:tcBorders>
            <w:vAlign w:val="center"/>
          </w:tcPr>
          <w:p w14:paraId="075597FD">
            <w:pPr>
              <w:spacing w:line="240" w:lineRule="atLeast"/>
              <w:jc w:val="center"/>
              <w:rPr>
                <w:rFonts w:ascii="仿宋" w:hAnsi="仿宋" w:eastAsia="仿宋"/>
                <w:color w:val="000000"/>
                <w:sz w:val="24"/>
                <w:szCs w:val="24"/>
              </w:rPr>
            </w:pPr>
            <w:r>
              <w:rPr>
                <w:rFonts w:hint="eastAsia" w:ascii="仿宋" w:hAnsi="仿宋" w:eastAsia="仿宋"/>
                <w:color w:val="000000"/>
                <w:sz w:val="24"/>
                <w:szCs w:val="24"/>
              </w:rPr>
              <w:t>服务采购</w:t>
            </w:r>
          </w:p>
        </w:tc>
        <w:tc>
          <w:tcPr>
            <w:tcW w:w="2096" w:type="dxa"/>
            <w:tcBorders>
              <w:top w:val="single" w:color="auto" w:sz="4" w:space="0"/>
              <w:left w:val="single" w:color="auto" w:sz="4" w:space="0"/>
              <w:bottom w:val="single" w:color="auto" w:sz="4" w:space="0"/>
              <w:right w:val="single" w:color="auto" w:sz="4" w:space="0"/>
            </w:tcBorders>
            <w:vAlign w:val="center"/>
          </w:tcPr>
          <w:p w14:paraId="79B46B7F">
            <w:pPr>
              <w:pStyle w:val="242"/>
              <w:widowControl w:val="0"/>
              <w:pBdr>
                <w:left w:val="none" w:color="auto" w:sz="0" w:space="0"/>
                <w:right w:val="none" w:color="auto" w:sz="0" w:space="0"/>
              </w:pBdr>
              <w:spacing w:before="0" w:beforeAutospacing="0" w:after="0" w:afterAutospacing="0" w:line="240" w:lineRule="atLeast"/>
              <w:rPr>
                <w:rFonts w:ascii="仿宋" w:hAnsi="仿宋" w:eastAsia="仿宋"/>
                <w:color w:val="000000"/>
                <w:kern w:val="2"/>
                <w:szCs w:val="24"/>
              </w:rPr>
            </w:pPr>
            <w:r>
              <w:rPr>
                <w:rFonts w:hint="eastAsia" w:ascii="仿宋" w:hAnsi="仿宋" w:eastAsia="仿宋"/>
                <w:color w:val="000000"/>
                <w:kern w:val="2"/>
                <w:szCs w:val="24"/>
              </w:rPr>
              <w:t>工程</w:t>
            </w:r>
            <w:r>
              <w:rPr>
                <w:rFonts w:hint="eastAsia" w:ascii="仿宋" w:hAnsi="仿宋" w:eastAsia="仿宋"/>
                <w:color w:val="000000"/>
                <w:szCs w:val="24"/>
              </w:rPr>
              <w:t>采购</w:t>
            </w:r>
          </w:p>
        </w:tc>
      </w:tr>
      <w:tr w14:paraId="7B02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05" w:type="dxa"/>
            <w:tcBorders>
              <w:top w:val="single" w:color="auto" w:sz="4" w:space="0"/>
              <w:left w:val="single" w:color="auto" w:sz="4" w:space="0"/>
              <w:bottom w:val="single" w:color="auto" w:sz="4" w:space="0"/>
              <w:right w:val="single" w:color="auto" w:sz="4" w:space="0"/>
            </w:tcBorders>
            <w:vAlign w:val="center"/>
          </w:tcPr>
          <w:p w14:paraId="4AF6048F">
            <w:pPr>
              <w:spacing w:line="240" w:lineRule="atLeast"/>
              <w:jc w:val="center"/>
              <w:rPr>
                <w:rFonts w:ascii="仿宋" w:hAnsi="仿宋" w:eastAsia="仿宋"/>
                <w:color w:val="000000"/>
                <w:sz w:val="24"/>
                <w:szCs w:val="24"/>
              </w:rPr>
            </w:pPr>
            <w:r>
              <w:rPr>
                <w:rFonts w:hint="eastAsia" w:ascii="仿宋" w:hAnsi="仿宋" w:eastAsia="仿宋"/>
                <w:color w:val="000000"/>
                <w:sz w:val="24"/>
                <w:szCs w:val="24"/>
              </w:rPr>
              <w:t>100以下</w:t>
            </w:r>
          </w:p>
        </w:tc>
        <w:tc>
          <w:tcPr>
            <w:tcW w:w="2095" w:type="dxa"/>
            <w:tcBorders>
              <w:top w:val="single" w:color="auto" w:sz="4" w:space="0"/>
              <w:left w:val="single" w:color="auto" w:sz="4" w:space="0"/>
              <w:bottom w:val="single" w:color="auto" w:sz="4" w:space="0"/>
              <w:right w:val="single" w:color="auto" w:sz="4" w:space="0"/>
            </w:tcBorders>
            <w:vAlign w:val="center"/>
          </w:tcPr>
          <w:p w14:paraId="5B19CA66">
            <w:pPr>
              <w:spacing w:line="240" w:lineRule="atLeast"/>
              <w:jc w:val="center"/>
              <w:rPr>
                <w:rFonts w:ascii="仿宋" w:hAnsi="仿宋" w:eastAsia="仿宋"/>
                <w:color w:val="000000"/>
                <w:sz w:val="24"/>
                <w:szCs w:val="24"/>
              </w:rPr>
            </w:pPr>
            <w:r>
              <w:rPr>
                <w:rFonts w:hint="eastAsia" w:ascii="仿宋" w:hAnsi="仿宋" w:eastAsia="仿宋"/>
                <w:color w:val="000000"/>
                <w:sz w:val="24"/>
                <w:szCs w:val="24"/>
              </w:rPr>
              <w:t>1.5%</w:t>
            </w:r>
          </w:p>
        </w:tc>
        <w:tc>
          <w:tcPr>
            <w:tcW w:w="2095" w:type="dxa"/>
            <w:tcBorders>
              <w:top w:val="single" w:color="auto" w:sz="4" w:space="0"/>
              <w:left w:val="single" w:color="auto" w:sz="4" w:space="0"/>
              <w:bottom w:val="single" w:color="auto" w:sz="4" w:space="0"/>
              <w:right w:val="single" w:color="auto" w:sz="4" w:space="0"/>
            </w:tcBorders>
            <w:vAlign w:val="center"/>
          </w:tcPr>
          <w:p w14:paraId="07768CD7">
            <w:pPr>
              <w:spacing w:line="240" w:lineRule="atLeast"/>
              <w:jc w:val="center"/>
              <w:rPr>
                <w:rFonts w:ascii="仿宋" w:hAnsi="仿宋" w:eastAsia="仿宋"/>
                <w:color w:val="000000"/>
                <w:sz w:val="24"/>
                <w:szCs w:val="24"/>
              </w:rPr>
            </w:pPr>
            <w:r>
              <w:rPr>
                <w:rFonts w:hint="eastAsia" w:ascii="仿宋" w:hAnsi="仿宋" w:eastAsia="仿宋"/>
                <w:color w:val="000000"/>
                <w:sz w:val="24"/>
                <w:szCs w:val="24"/>
              </w:rPr>
              <w:t>1.5%</w:t>
            </w:r>
          </w:p>
        </w:tc>
        <w:tc>
          <w:tcPr>
            <w:tcW w:w="2096" w:type="dxa"/>
            <w:tcBorders>
              <w:top w:val="single" w:color="auto" w:sz="4" w:space="0"/>
              <w:left w:val="single" w:color="auto" w:sz="4" w:space="0"/>
              <w:bottom w:val="single" w:color="auto" w:sz="4" w:space="0"/>
              <w:right w:val="single" w:color="auto" w:sz="4" w:space="0"/>
            </w:tcBorders>
            <w:vAlign w:val="center"/>
          </w:tcPr>
          <w:p w14:paraId="6A05C927">
            <w:pPr>
              <w:spacing w:line="240" w:lineRule="atLeast"/>
              <w:jc w:val="center"/>
              <w:rPr>
                <w:rFonts w:ascii="仿宋" w:hAnsi="仿宋" w:eastAsia="仿宋"/>
                <w:color w:val="000000"/>
                <w:sz w:val="24"/>
                <w:szCs w:val="24"/>
              </w:rPr>
            </w:pPr>
            <w:r>
              <w:rPr>
                <w:rFonts w:hint="eastAsia" w:ascii="仿宋" w:hAnsi="仿宋" w:eastAsia="仿宋"/>
                <w:color w:val="000000"/>
                <w:sz w:val="24"/>
                <w:szCs w:val="24"/>
              </w:rPr>
              <w:t>1.0%</w:t>
            </w:r>
          </w:p>
        </w:tc>
      </w:tr>
      <w:tr w14:paraId="4441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05" w:type="dxa"/>
            <w:tcBorders>
              <w:top w:val="single" w:color="auto" w:sz="4" w:space="0"/>
              <w:left w:val="single" w:color="auto" w:sz="4" w:space="0"/>
              <w:bottom w:val="single" w:color="auto" w:sz="4" w:space="0"/>
              <w:right w:val="single" w:color="auto" w:sz="4" w:space="0"/>
            </w:tcBorders>
            <w:vAlign w:val="center"/>
          </w:tcPr>
          <w:p w14:paraId="35A8F191">
            <w:pPr>
              <w:spacing w:line="240" w:lineRule="atLeast"/>
              <w:jc w:val="center"/>
              <w:rPr>
                <w:rFonts w:ascii="仿宋" w:hAnsi="仿宋" w:eastAsia="仿宋"/>
                <w:color w:val="000000"/>
                <w:sz w:val="24"/>
                <w:szCs w:val="24"/>
              </w:rPr>
            </w:pPr>
            <w:r>
              <w:rPr>
                <w:rFonts w:hint="eastAsia" w:ascii="仿宋" w:hAnsi="仿宋" w:eastAsia="仿宋"/>
                <w:color w:val="000000"/>
                <w:sz w:val="24"/>
                <w:szCs w:val="24"/>
              </w:rPr>
              <w:t>100-200</w:t>
            </w:r>
          </w:p>
        </w:tc>
        <w:tc>
          <w:tcPr>
            <w:tcW w:w="2095" w:type="dxa"/>
            <w:tcBorders>
              <w:top w:val="single" w:color="auto" w:sz="4" w:space="0"/>
              <w:left w:val="single" w:color="auto" w:sz="4" w:space="0"/>
              <w:bottom w:val="single" w:color="auto" w:sz="4" w:space="0"/>
              <w:right w:val="single" w:color="auto" w:sz="4" w:space="0"/>
            </w:tcBorders>
            <w:vAlign w:val="center"/>
          </w:tcPr>
          <w:p w14:paraId="2D481DEB">
            <w:pPr>
              <w:spacing w:line="240" w:lineRule="atLeast"/>
              <w:jc w:val="center"/>
              <w:rPr>
                <w:rFonts w:ascii="仿宋" w:hAnsi="仿宋" w:eastAsia="仿宋"/>
                <w:color w:val="000000"/>
                <w:sz w:val="24"/>
                <w:szCs w:val="24"/>
              </w:rPr>
            </w:pPr>
            <w:r>
              <w:rPr>
                <w:rFonts w:hint="eastAsia" w:ascii="仿宋" w:hAnsi="仿宋" w:eastAsia="仿宋"/>
                <w:color w:val="000000"/>
                <w:sz w:val="24"/>
                <w:szCs w:val="24"/>
              </w:rPr>
              <w:t>1.1%</w:t>
            </w:r>
          </w:p>
        </w:tc>
        <w:tc>
          <w:tcPr>
            <w:tcW w:w="2095" w:type="dxa"/>
            <w:tcBorders>
              <w:top w:val="single" w:color="auto" w:sz="4" w:space="0"/>
              <w:left w:val="single" w:color="auto" w:sz="4" w:space="0"/>
              <w:bottom w:val="single" w:color="auto" w:sz="4" w:space="0"/>
              <w:right w:val="single" w:color="auto" w:sz="4" w:space="0"/>
            </w:tcBorders>
            <w:vAlign w:val="center"/>
          </w:tcPr>
          <w:p w14:paraId="42B09CD5">
            <w:pPr>
              <w:spacing w:line="240" w:lineRule="atLeast"/>
              <w:jc w:val="center"/>
              <w:rPr>
                <w:rFonts w:ascii="仿宋" w:hAnsi="仿宋" w:eastAsia="仿宋"/>
                <w:color w:val="000000"/>
                <w:sz w:val="24"/>
                <w:szCs w:val="24"/>
              </w:rPr>
            </w:pPr>
            <w:r>
              <w:rPr>
                <w:rFonts w:hint="eastAsia" w:ascii="仿宋" w:hAnsi="仿宋" w:eastAsia="仿宋"/>
                <w:color w:val="000000"/>
                <w:sz w:val="24"/>
                <w:szCs w:val="24"/>
              </w:rPr>
              <w:t>0.8%</w:t>
            </w:r>
          </w:p>
        </w:tc>
        <w:tc>
          <w:tcPr>
            <w:tcW w:w="2096" w:type="dxa"/>
            <w:tcBorders>
              <w:top w:val="single" w:color="auto" w:sz="4" w:space="0"/>
              <w:left w:val="single" w:color="auto" w:sz="4" w:space="0"/>
              <w:bottom w:val="single" w:color="auto" w:sz="4" w:space="0"/>
              <w:right w:val="single" w:color="auto" w:sz="4" w:space="0"/>
            </w:tcBorders>
            <w:vAlign w:val="center"/>
          </w:tcPr>
          <w:p w14:paraId="0C7D76C4">
            <w:pPr>
              <w:spacing w:line="240" w:lineRule="atLeast"/>
              <w:jc w:val="center"/>
              <w:rPr>
                <w:rFonts w:ascii="仿宋" w:hAnsi="仿宋" w:eastAsia="仿宋"/>
                <w:color w:val="000000"/>
                <w:sz w:val="24"/>
                <w:szCs w:val="24"/>
              </w:rPr>
            </w:pPr>
            <w:r>
              <w:rPr>
                <w:rFonts w:hint="eastAsia" w:ascii="仿宋" w:hAnsi="仿宋" w:eastAsia="仿宋"/>
                <w:color w:val="000000"/>
                <w:sz w:val="24"/>
                <w:szCs w:val="24"/>
              </w:rPr>
              <w:t>0.7%</w:t>
            </w:r>
          </w:p>
        </w:tc>
      </w:tr>
      <w:tr w14:paraId="562B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05" w:type="dxa"/>
            <w:tcBorders>
              <w:top w:val="single" w:color="auto" w:sz="4" w:space="0"/>
              <w:left w:val="single" w:color="auto" w:sz="4" w:space="0"/>
              <w:bottom w:val="single" w:color="auto" w:sz="4" w:space="0"/>
              <w:right w:val="single" w:color="auto" w:sz="4" w:space="0"/>
            </w:tcBorders>
            <w:vAlign w:val="center"/>
          </w:tcPr>
          <w:p w14:paraId="320B65C1">
            <w:pPr>
              <w:spacing w:line="240" w:lineRule="atLeast"/>
              <w:jc w:val="center"/>
              <w:rPr>
                <w:rFonts w:ascii="仿宋" w:hAnsi="仿宋" w:eastAsia="仿宋"/>
                <w:color w:val="000000"/>
                <w:sz w:val="24"/>
                <w:szCs w:val="24"/>
              </w:rPr>
            </w:pPr>
            <w:r>
              <w:rPr>
                <w:rFonts w:hint="eastAsia" w:ascii="仿宋" w:hAnsi="仿宋" w:eastAsia="仿宋"/>
                <w:color w:val="000000"/>
                <w:sz w:val="24"/>
                <w:szCs w:val="24"/>
              </w:rPr>
              <w:t>200-500</w:t>
            </w:r>
          </w:p>
        </w:tc>
        <w:tc>
          <w:tcPr>
            <w:tcW w:w="2095" w:type="dxa"/>
            <w:tcBorders>
              <w:top w:val="single" w:color="auto" w:sz="4" w:space="0"/>
              <w:left w:val="single" w:color="auto" w:sz="4" w:space="0"/>
              <w:bottom w:val="single" w:color="auto" w:sz="4" w:space="0"/>
              <w:right w:val="single" w:color="auto" w:sz="4" w:space="0"/>
            </w:tcBorders>
            <w:vAlign w:val="center"/>
          </w:tcPr>
          <w:p w14:paraId="7A4B60B2">
            <w:pPr>
              <w:spacing w:line="240" w:lineRule="atLeast"/>
              <w:jc w:val="center"/>
              <w:rPr>
                <w:rFonts w:ascii="仿宋" w:hAnsi="仿宋" w:eastAsia="仿宋"/>
                <w:color w:val="000000"/>
                <w:sz w:val="24"/>
                <w:szCs w:val="24"/>
              </w:rPr>
            </w:pPr>
            <w:r>
              <w:rPr>
                <w:rFonts w:hint="eastAsia" w:ascii="仿宋" w:hAnsi="仿宋" w:eastAsia="仿宋"/>
                <w:color w:val="000000"/>
                <w:sz w:val="24"/>
                <w:szCs w:val="24"/>
              </w:rPr>
              <w:t>1.08%</w:t>
            </w:r>
          </w:p>
        </w:tc>
        <w:tc>
          <w:tcPr>
            <w:tcW w:w="2095" w:type="dxa"/>
            <w:tcBorders>
              <w:top w:val="single" w:color="auto" w:sz="4" w:space="0"/>
              <w:left w:val="single" w:color="auto" w:sz="4" w:space="0"/>
              <w:bottom w:val="single" w:color="auto" w:sz="4" w:space="0"/>
              <w:right w:val="single" w:color="auto" w:sz="4" w:space="0"/>
            </w:tcBorders>
            <w:vAlign w:val="center"/>
          </w:tcPr>
          <w:p w14:paraId="38C986B9">
            <w:pPr>
              <w:spacing w:line="240" w:lineRule="atLeast"/>
              <w:jc w:val="center"/>
              <w:rPr>
                <w:rFonts w:ascii="仿宋" w:hAnsi="仿宋" w:eastAsia="仿宋"/>
                <w:color w:val="000000"/>
                <w:sz w:val="24"/>
                <w:szCs w:val="24"/>
              </w:rPr>
            </w:pPr>
            <w:r>
              <w:rPr>
                <w:rFonts w:hint="eastAsia" w:ascii="仿宋" w:hAnsi="仿宋" w:eastAsia="仿宋"/>
                <w:color w:val="000000"/>
                <w:sz w:val="24"/>
                <w:szCs w:val="24"/>
              </w:rPr>
              <w:t>0.78%</w:t>
            </w:r>
          </w:p>
        </w:tc>
        <w:tc>
          <w:tcPr>
            <w:tcW w:w="2096" w:type="dxa"/>
            <w:tcBorders>
              <w:top w:val="single" w:color="auto" w:sz="4" w:space="0"/>
              <w:left w:val="single" w:color="auto" w:sz="4" w:space="0"/>
              <w:bottom w:val="single" w:color="auto" w:sz="4" w:space="0"/>
              <w:right w:val="single" w:color="auto" w:sz="4" w:space="0"/>
            </w:tcBorders>
            <w:vAlign w:val="center"/>
          </w:tcPr>
          <w:p w14:paraId="26423D00">
            <w:pPr>
              <w:spacing w:line="240" w:lineRule="atLeast"/>
              <w:jc w:val="center"/>
              <w:rPr>
                <w:rFonts w:ascii="仿宋" w:hAnsi="仿宋" w:eastAsia="仿宋"/>
                <w:color w:val="000000"/>
                <w:sz w:val="24"/>
                <w:szCs w:val="24"/>
              </w:rPr>
            </w:pPr>
            <w:r>
              <w:rPr>
                <w:rFonts w:hint="eastAsia" w:ascii="仿宋" w:hAnsi="仿宋" w:eastAsia="仿宋"/>
                <w:color w:val="000000"/>
                <w:sz w:val="24"/>
                <w:szCs w:val="24"/>
              </w:rPr>
              <w:t>0.69%</w:t>
            </w:r>
          </w:p>
        </w:tc>
      </w:tr>
      <w:tr w14:paraId="22009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05" w:type="dxa"/>
            <w:tcBorders>
              <w:top w:val="single" w:color="auto" w:sz="4" w:space="0"/>
              <w:left w:val="single" w:color="auto" w:sz="4" w:space="0"/>
              <w:bottom w:val="single" w:color="auto" w:sz="4" w:space="0"/>
              <w:right w:val="single" w:color="auto" w:sz="4" w:space="0"/>
            </w:tcBorders>
            <w:vAlign w:val="center"/>
          </w:tcPr>
          <w:p w14:paraId="4AF92533">
            <w:pPr>
              <w:spacing w:line="240" w:lineRule="atLeast"/>
              <w:jc w:val="center"/>
              <w:rPr>
                <w:rFonts w:ascii="仿宋" w:hAnsi="仿宋" w:eastAsia="仿宋"/>
                <w:color w:val="000000"/>
                <w:sz w:val="24"/>
                <w:szCs w:val="24"/>
              </w:rPr>
            </w:pPr>
            <w:r>
              <w:rPr>
                <w:rFonts w:hint="eastAsia" w:ascii="仿宋" w:hAnsi="仿宋" w:eastAsia="仿宋"/>
                <w:color w:val="000000"/>
                <w:sz w:val="24"/>
                <w:szCs w:val="24"/>
              </w:rPr>
              <w:t>500-1000</w:t>
            </w:r>
          </w:p>
        </w:tc>
        <w:tc>
          <w:tcPr>
            <w:tcW w:w="2095" w:type="dxa"/>
            <w:tcBorders>
              <w:top w:val="single" w:color="auto" w:sz="4" w:space="0"/>
              <w:left w:val="single" w:color="auto" w:sz="4" w:space="0"/>
              <w:bottom w:val="single" w:color="auto" w:sz="4" w:space="0"/>
              <w:right w:val="single" w:color="auto" w:sz="4" w:space="0"/>
            </w:tcBorders>
            <w:vAlign w:val="center"/>
          </w:tcPr>
          <w:p w14:paraId="5314F5E2">
            <w:pPr>
              <w:spacing w:line="240" w:lineRule="atLeast"/>
              <w:jc w:val="center"/>
              <w:rPr>
                <w:rFonts w:ascii="仿宋" w:hAnsi="仿宋" w:eastAsia="仿宋"/>
                <w:color w:val="000000"/>
                <w:sz w:val="24"/>
                <w:szCs w:val="24"/>
              </w:rPr>
            </w:pPr>
            <w:r>
              <w:rPr>
                <w:rFonts w:hint="eastAsia" w:ascii="仿宋" w:hAnsi="仿宋" w:eastAsia="仿宋"/>
                <w:color w:val="000000"/>
                <w:sz w:val="24"/>
                <w:szCs w:val="24"/>
              </w:rPr>
              <w:t>0.76%</w:t>
            </w:r>
          </w:p>
        </w:tc>
        <w:tc>
          <w:tcPr>
            <w:tcW w:w="2095" w:type="dxa"/>
            <w:tcBorders>
              <w:top w:val="single" w:color="auto" w:sz="4" w:space="0"/>
              <w:left w:val="single" w:color="auto" w:sz="4" w:space="0"/>
              <w:bottom w:val="single" w:color="auto" w:sz="4" w:space="0"/>
              <w:right w:val="single" w:color="auto" w:sz="4" w:space="0"/>
            </w:tcBorders>
            <w:vAlign w:val="center"/>
          </w:tcPr>
          <w:p w14:paraId="6629CF91">
            <w:pPr>
              <w:spacing w:line="240" w:lineRule="atLeast"/>
              <w:jc w:val="center"/>
              <w:rPr>
                <w:rFonts w:ascii="仿宋" w:hAnsi="仿宋" w:eastAsia="仿宋"/>
                <w:color w:val="000000"/>
                <w:sz w:val="24"/>
                <w:szCs w:val="24"/>
              </w:rPr>
            </w:pPr>
            <w:r>
              <w:rPr>
                <w:rFonts w:hint="eastAsia" w:ascii="仿宋" w:hAnsi="仿宋" w:eastAsia="仿宋"/>
                <w:color w:val="000000"/>
                <w:sz w:val="24"/>
                <w:szCs w:val="24"/>
              </w:rPr>
              <w:t>0.43%</w:t>
            </w:r>
          </w:p>
        </w:tc>
        <w:tc>
          <w:tcPr>
            <w:tcW w:w="2096" w:type="dxa"/>
            <w:tcBorders>
              <w:top w:val="single" w:color="auto" w:sz="4" w:space="0"/>
              <w:left w:val="single" w:color="auto" w:sz="4" w:space="0"/>
              <w:bottom w:val="single" w:color="auto" w:sz="4" w:space="0"/>
              <w:right w:val="single" w:color="auto" w:sz="4" w:space="0"/>
            </w:tcBorders>
            <w:vAlign w:val="center"/>
          </w:tcPr>
          <w:p w14:paraId="6D0CE02A">
            <w:pPr>
              <w:spacing w:line="240" w:lineRule="atLeast"/>
              <w:jc w:val="center"/>
              <w:rPr>
                <w:rFonts w:ascii="仿宋" w:hAnsi="仿宋" w:eastAsia="仿宋"/>
                <w:color w:val="000000"/>
                <w:sz w:val="24"/>
                <w:szCs w:val="24"/>
              </w:rPr>
            </w:pPr>
            <w:r>
              <w:rPr>
                <w:rFonts w:hint="eastAsia" w:ascii="仿宋" w:hAnsi="仿宋" w:eastAsia="仿宋"/>
                <w:color w:val="000000"/>
                <w:sz w:val="24"/>
                <w:szCs w:val="24"/>
              </w:rPr>
              <w:t>0.52%</w:t>
            </w:r>
          </w:p>
        </w:tc>
      </w:tr>
      <w:tr w14:paraId="400D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05" w:type="dxa"/>
            <w:tcBorders>
              <w:top w:val="single" w:color="auto" w:sz="4" w:space="0"/>
              <w:left w:val="single" w:color="auto" w:sz="4" w:space="0"/>
              <w:bottom w:val="single" w:color="auto" w:sz="4" w:space="0"/>
              <w:right w:val="single" w:color="auto" w:sz="4" w:space="0"/>
            </w:tcBorders>
            <w:vAlign w:val="center"/>
          </w:tcPr>
          <w:p w14:paraId="0C23BD9F">
            <w:pPr>
              <w:spacing w:line="240" w:lineRule="atLeast"/>
              <w:jc w:val="center"/>
              <w:rPr>
                <w:rFonts w:ascii="仿宋" w:hAnsi="仿宋" w:eastAsia="仿宋"/>
                <w:color w:val="000000"/>
                <w:sz w:val="24"/>
                <w:szCs w:val="24"/>
              </w:rPr>
            </w:pPr>
            <w:r>
              <w:rPr>
                <w:rFonts w:hint="eastAsia" w:ascii="仿宋" w:hAnsi="仿宋" w:eastAsia="仿宋"/>
                <w:color w:val="000000"/>
                <w:sz w:val="24"/>
                <w:szCs w:val="24"/>
              </w:rPr>
              <w:t>1000-5000</w:t>
            </w:r>
          </w:p>
        </w:tc>
        <w:tc>
          <w:tcPr>
            <w:tcW w:w="2095" w:type="dxa"/>
            <w:tcBorders>
              <w:top w:val="single" w:color="auto" w:sz="4" w:space="0"/>
              <w:left w:val="single" w:color="auto" w:sz="4" w:space="0"/>
              <w:bottom w:val="single" w:color="auto" w:sz="4" w:space="0"/>
              <w:right w:val="single" w:color="auto" w:sz="4" w:space="0"/>
            </w:tcBorders>
            <w:vAlign w:val="center"/>
          </w:tcPr>
          <w:p w14:paraId="522E33C2">
            <w:pPr>
              <w:spacing w:line="240" w:lineRule="atLeast"/>
              <w:jc w:val="center"/>
              <w:rPr>
                <w:rFonts w:ascii="仿宋" w:hAnsi="仿宋" w:eastAsia="仿宋"/>
                <w:color w:val="000000"/>
                <w:sz w:val="24"/>
                <w:szCs w:val="24"/>
              </w:rPr>
            </w:pPr>
            <w:r>
              <w:rPr>
                <w:rFonts w:hint="eastAsia" w:ascii="仿宋" w:hAnsi="仿宋" w:eastAsia="仿宋"/>
                <w:color w:val="000000"/>
                <w:sz w:val="24"/>
                <w:szCs w:val="24"/>
              </w:rPr>
              <w:t>0.45%</w:t>
            </w:r>
          </w:p>
        </w:tc>
        <w:tc>
          <w:tcPr>
            <w:tcW w:w="2095" w:type="dxa"/>
            <w:tcBorders>
              <w:top w:val="single" w:color="auto" w:sz="4" w:space="0"/>
              <w:left w:val="single" w:color="auto" w:sz="4" w:space="0"/>
              <w:bottom w:val="single" w:color="auto" w:sz="4" w:space="0"/>
              <w:right w:val="single" w:color="auto" w:sz="4" w:space="0"/>
            </w:tcBorders>
            <w:vAlign w:val="center"/>
          </w:tcPr>
          <w:p w14:paraId="51847FC1">
            <w:pPr>
              <w:spacing w:line="240" w:lineRule="atLeast"/>
              <w:jc w:val="center"/>
              <w:rPr>
                <w:rFonts w:ascii="仿宋" w:hAnsi="仿宋" w:eastAsia="仿宋"/>
                <w:color w:val="000000"/>
                <w:sz w:val="24"/>
                <w:szCs w:val="24"/>
              </w:rPr>
            </w:pPr>
            <w:r>
              <w:rPr>
                <w:rFonts w:hint="eastAsia" w:ascii="仿宋" w:hAnsi="仿宋" w:eastAsia="仿宋"/>
                <w:color w:val="000000"/>
                <w:sz w:val="24"/>
                <w:szCs w:val="24"/>
              </w:rPr>
              <w:t>0.23%</w:t>
            </w:r>
          </w:p>
        </w:tc>
        <w:tc>
          <w:tcPr>
            <w:tcW w:w="2096" w:type="dxa"/>
            <w:tcBorders>
              <w:top w:val="single" w:color="auto" w:sz="4" w:space="0"/>
              <w:left w:val="single" w:color="auto" w:sz="4" w:space="0"/>
              <w:bottom w:val="single" w:color="auto" w:sz="4" w:space="0"/>
              <w:right w:val="single" w:color="auto" w:sz="4" w:space="0"/>
            </w:tcBorders>
            <w:vAlign w:val="center"/>
          </w:tcPr>
          <w:p w14:paraId="6325E6A1">
            <w:pPr>
              <w:spacing w:line="240" w:lineRule="atLeast"/>
              <w:jc w:val="center"/>
              <w:rPr>
                <w:rFonts w:ascii="仿宋" w:hAnsi="仿宋" w:eastAsia="仿宋"/>
                <w:color w:val="000000"/>
                <w:sz w:val="24"/>
                <w:szCs w:val="24"/>
              </w:rPr>
            </w:pPr>
            <w:r>
              <w:rPr>
                <w:rFonts w:hint="eastAsia" w:ascii="仿宋" w:hAnsi="仿宋" w:eastAsia="仿宋"/>
                <w:color w:val="000000"/>
                <w:sz w:val="24"/>
                <w:szCs w:val="24"/>
              </w:rPr>
              <w:t>0.32%</w:t>
            </w:r>
          </w:p>
        </w:tc>
      </w:tr>
      <w:tr w14:paraId="370DC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05" w:type="dxa"/>
            <w:tcBorders>
              <w:top w:val="single" w:color="auto" w:sz="4" w:space="0"/>
              <w:left w:val="single" w:color="auto" w:sz="4" w:space="0"/>
              <w:bottom w:val="single" w:color="auto" w:sz="4" w:space="0"/>
              <w:right w:val="single" w:color="auto" w:sz="4" w:space="0"/>
            </w:tcBorders>
            <w:vAlign w:val="center"/>
          </w:tcPr>
          <w:p w14:paraId="6319C5D7">
            <w:pPr>
              <w:spacing w:line="240" w:lineRule="atLeast"/>
              <w:jc w:val="center"/>
              <w:rPr>
                <w:rFonts w:ascii="仿宋" w:hAnsi="仿宋" w:eastAsia="仿宋"/>
                <w:color w:val="000000"/>
                <w:sz w:val="24"/>
                <w:szCs w:val="24"/>
              </w:rPr>
            </w:pPr>
            <w:r>
              <w:rPr>
                <w:rFonts w:hint="eastAsia" w:ascii="仿宋" w:hAnsi="仿宋" w:eastAsia="仿宋"/>
                <w:color w:val="000000"/>
                <w:sz w:val="24"/>
                <w:szCs w:val="24"/>
              </w:rPr>
              <w:t>5000-10000</w:t>
            </w:r>
          </w:p>
        </w:tc>
        <w:tc>
          <w:tcPr>
            <w:tcW w:w="2095" w:type="dxa"/>
            <w:tcBorders>
              <w:top w:val="single" w:color="auto" w:sz="4" w:space="0"/>
              <w:left w:val="single" w:color="auto" w:sz="4" w:space="0"/>
              <w:bottom w:val="single" w:color="auto" w:sz="4" w:space="0"/>
              <w:right w:val="single" w:color="auto" w:sz="4" w:space="0"/>
            </w:tcBorders>
            <w:vAlign w:val="center"/>
          </w:tcPr>
          <w:p w14:paraId="6EC7B214">
            <w:pPr>
              <w:spacing w:line="240" w:lineRule="atLeast"/>
              <w:jc w:val="center"/>
              <w:rPr>
                <w:rFonts w:ascii="仿宋" w:hAnsi="仿宋" w:eastAsia="仿宋"/>
                <w:color w:val="000000"/>
                <w:sz w:val="24"/>
                <w:szCs w:val="24"/>
              </w:rPr>
            </w:pPr>
            <w:r>
              <w:rPr>
                <w:rFonts w:hint="eastAsia" w:ascii="仿宋" w:hAnsi="仿宋" w:eastAsia="仿宋"/>
                <w:color w:val="000000"/>
                <w:sz w:val="24"/>
                <w:szCs w:val="24"/>
              </w:rPr>
              <w:t>0.23%</w:t>
            </w:r>
          </w:p>
        </w:tc>
        <w:tc>
          <w:tcPr>
            <w:tcW w:w="2095" w:type="dxa"/>
            <w:tcBorders>
              <w:top w:val="single" w:color="auto" w:sz="4" w:space="0"/>
              <w:left w:val="single" w:color="auto" w:sz="4" w:space="0"/>
              <w:bottom w:val="single" w:color="auto" w:sz="4" w:space="0"/>
              <w:right w:val="single" w:color="auto" w:sz="4" w:space="0"/>
            </w:tcBorders>
            <w:vAlign w:val="center"/>
          </w:tcPr>
          <w:p w14:paraId="7E079575">
            <w:pPr>
              <w:spacing w:line="240" w:lineRule="atLeast"/>
              <w:jc w:val="center"/>
              <w:rPr>
                <w:rFonts w:ascii="仿宋" w:hAnsi="仿宋" w:eastAsia="仿宋"/>
                <w:color w:val="000000"/>
                <w:sz w:val="24"/>
                <w:szCs w:val="24"/>
              </w:rPr>
            </w:pPr>
            <w:r>
              <w:rPr>
                <w:rFonts w:hint="eastAsia" w:ascii="仿宋" w:hAnsi="仿宋" w:eastAsia="仿宋"/>
                <w:color w:val="000000"/>
                <w:sz w:val="24"/>
                <w:szCs w:val="24"/>
              </w:rPr>
              <w:t>0.09%</w:t>
            </w:r>
          </w:p>
        </w:tc>
        <w:tc>
          <w:tcPr>
            <w:tcW w:w="2096" w:type="dxa"/>
            <w:tcBorders>
              <w:top w:val="single" w:color="auto" w:sz="4" w:space="0"/>
              <w:left w:val="single" w:color="auto" w:sz="4" w:space="0"/>
              <w:bottom w:val="single" w:color="auto" w:sz="4" w:space="0"/>
              <w:right w:val="single" w:color="auto" w:sz="4" w:space="0"/>
            </w:tcBorders>
            <w:vAlign w:val="center"/>
          </w:tcPr>
          <w:p w14:paraId="03FDB4CD">
            <w:pPr>
              <w:spacing w:line="240" w:lineRule="atLeast"/>
              <w:jc w:val="center"/>
              <w:rPr>
                <w:rFonts w:ascii="仿宋" w:hAnsi="仿宋" w:eastAsia="仿宋"/>
                <w:color w:val="000000"/>
                <w:sz w:val="24"/>
                <w:szCs w:val="24"/>
              </w:rPr>
            </w:pPr>
            <w:r>
              <w:rPr>
                <w:rFonts w:hint="eastAsia" w:ascii="仿宋" w:hAnsi="仿宋" w:eastAsia="仿宋"/>
                <w:color w:val="000000"/>
                <w:sz w:val="24"/>
                <w:szCs w:val="24"/>
              </w:rPr>
              <w:t>0.18%</w:t>
            </w:r>
          </w:p>
        </w:tc>
      </w:tr>
      <w:tr w14:paraId="00EA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05" w:type="dxa"/>
            <w:tcBorders>
              <w:top w:val="single" w:color="auto" w:sz="4" w:space="0"/>
              <w:left w:val="single" w:color="auto" w:sz="4" w:space="0"/>
              <w:bottom w:val="single" w:color="auto" w:sz="4" w:space="0"/>
              <w:right w:val="single" w:color="auto" w:sz="4" w:space="0"/>
            </w:tcBorders>
            <w:vAlign w:val="center"/>
          </w:tcPr>
          <w:p w14:paraId="260C84AE">
            <w:pPr>
              <w:spacing w:line="240" w:lineRule="atLeast"/>
              <w:jc w:val="center"/>
              <w:rPr>
                <w:rFonts w:ascii="仿宋" w:hAnsi="仿宋" w:eastAsia="仿宋"/>
                <w:color w:val="000000"/>
                <w:sz w:val="24"/>
                <w:szCs w:val="24"/>
              </w:rPr>
            </w:pPr>
            <w:r>
              <w:rPr>
                <w:rFonts w:hint="eastAsia" w:ascii="仿宋" w:hAnsi="仿宋" w:eastAsia="仿宋"/>
                <w:color w:val="000000"/>
                <w:sz w:val="24"/>
                <w:szCs w:val="24"/>
              </w:rPr>
              <w:t>10000-100000</w:t>
            </w:r>
          </w:p>
        </w:tc>
        <w:tc>
          <w:tcPr>
            <w:tcW w:w="2095" w:type="dxa"/>
            <w:tcBorders>
              <w:top w:val="single" w:color="auto" w:sz="4" w:space="0"/>
              <w:left w:val="single" w:color="auto" w:sz="4" w:space="0"/>
              <w:bottom w:val="single" w:color="auto" w:sz="4" w:space="0"/>
              <w:right w:val="single" w:color="auto" w:sz="4" w:space="0"/>
            </w:tcBorders>
            <w:vAlign w:val="center"/>
          </w:tcPr>
          <w:p w14:paraId="494ABC09">
            <w:pPr>
              <w:spacing w:line="240" w:lineRule="atLeast"/>
              <w:jc w:val="center"/>
              <w:rPr>
                <w:rFonts w:ascii="仿宋" w:hAnsi="仿宋" w:eastAsia="仿宋"/>
                <w:color w:val="000000"/>
                <w:sz w:val="24"/>
                <w:szCs w:val="24"/>
              </w:rPr>
            </w:pPr>
            <w:r>
              <w:rPr>
                <w:rFonts w:hint="eastAsia" w:ascii="仿宋" w:hAnsi="仿宋" w:eastAsia="仿宋"/>
                <w:color w:val="000000"/>
                <w:sz w:val="24"/>
                <w:szCs w:val="24"/>
              </w:rPr>
              <w:t>0.045%</w:t>
            </w:r>
          </w:p>
        </w:tc>
        <w:tc>
          <w:tcPr>
            <w:tcW w:w="2095" w:type="dxa"/>
            <w:tcBorders>
              <w:top w:val="single" w:color="auto" w:sz="4" w:space="0"/>
              <w:left w:val="single" w:color="auto" w:sz="4" w:space="0"/>
              <w:bottom w:val="single" w:color="auto" w:sz="4" w:space="0"/>
              <w:right w:val="single" w:color="auto" w:sz="4" w:space="0"/>
            </w:tcBorders>
            <w:vAlign w:val="center"/>
          </w:tcPr>
          <w:p w14:paraId="531C8148">
            <w:pPr>
              <w:spacing w:line="240" w:lineRule="atLeast"/>
              <w:jc w:val="center"/>
              <w:rPr>
                <w:rFonts w:ascii="仿宋" w:hAnsi="仿宋" w:eastAsia="仿宋"/>
                <w:color w:val="000000"/>
                <w:sz w:val="24"/>
                <w:szCs w:val="24"/>
              </w:rPr>
            </w:pPr>
            <w:r>
              <w:rPr>
                <w:rFonts w:hint="eastAsia" w:ascii="仿宋" w:hAnsi="仿宋" w:eastAsia="仿宋"/>
                <w:color w:val="000000"/>
                <w:sz w:val="24"/>
                <w:szCs w:val="24"/>
              </w:rPr>
              <w:t>0.045%</w:t>
            </w:r>
          </w:p>
        </w:tc>
        <w:tc>
          <w:tcPr>
            <w:tcW w:w="2096" w:type="dxa"/>
            <w:tcBorders>
              <w:top w:val="single" w:color="auto" w:sz="4" w:space="0"/>
              <w:left w:val="single" w:color="auto" w:sz="4" w:space="0"/>
              <w:bottom w:val="single" w:color="auto" w:sz="4" w:space="0"/>
              <w:right w:val="single" w:color="auto" w:sz="4" w:space="0"/>
            </w:tcBorders>
            <w:vAlign w:val="center"/>
          </w:tcPr>
          <w:p w14:paraId="07988319">
            <w:pPr>
              <w:spacing w:line="240" w:lineRule="atLeast"/>
              <w:jc w:val="center"/>
              <w:rPr>
                <w:rFonts w:ascii="仿宋" w:hAnsi="仿宋" w:eastAsia="仿宋"/>
                <w:color w:val="000000"/>
                <w:sz w:val="24"/>
                <w:szCs w:val="24"/>
              </w:rPr>
            </w:pPr>
            <w:r>
              <w:rPr>
                <w:rFonts w:hint="eastAsia" w:ascii="仿宋" w:hAnsi="仿宋" w:eastAsia="仿宋"/>
                <w:color w:val="000000"/>
                <w:sz w:val="24"/>
                <w:szCs w:val="24"/>
              </w:rPr>
              <w:t>0.045%</w:t>
            </w:r>
          </w:p>
        </w:tc>
      </w:tr>
      <w:tr w14:paraId="2080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05" w:type="dxa"/>
            <w:tcBorders>
              <w:top w:val="single" w:color="auto" w:sz="4" w:space="0"/>
              <w:left w:val="single" w:color="auto" w:sz="4" w:space="0"/>
              <w:bottom w:val="single" w:color="auto" w:sz="4" w:space="0"/>
              <w:right w:val="single" w:color="auto" w:sz="4" w:space="0"/>
            </w:tcBorders>
            <w:vAlign w:val="center"/>
          </w:tcPr>
          <w:p w14:paraId="2CC2AD07">
            <w:pPr>
              <w:spacing w:line="240" w:lineRule="atLeast"/>
              <w:jc w:val="center"/>
              <w:rPr>
                <w:rFonts w:ascii="仿宋" w:hAnsi="仿宋" w:eastAsia="仿宋"/>
                <w:color w:val="000000"/>
                <w:sz w:val="24"/>
                <w:szCs w:val="24"/>
              </w:rPr>
            </w:pPr>
            <w:r>
              <w:rPr>
                <w:rFonts w:hint="eastAsia" w:ascii="仿宋" w:hAnsi="仿宋" w:eastAsia="仿宋"/>
                <w:color w:val="000000"/>
                <w:sz w:val="24"/>
                <w:szCs w:val="24"/>
              </w:rPr>
              <w:t>100000以上</w:t>
            </w:r>
          </w:p>
        </w:tc>
        <w:tc>
          <w:tcPr>
            <w:tcW w:w="2095" w:type="dxa"/>
            <w:tcBorders>
              <w:top w:val="single" w:color="auto" w:sz="4" w:space="0"/>
              <w:left w:val="single" w:color="auto" w:sz="4" w:space="0"/>
              <w:bottom w:val="single" w:color="auto" w:sz="4" w:space="0"/>
              <w:right w:val="single" w:color="auto" w:sz="4" w:space="0"/>
            </w:tcBorders>
            <w:vAlign w:val="center"/>
          </w:tcPr>
          <w:p w14:paraId="4374BE42">
            <w:pPr>
              <w:spacing w:line="240" w:lineRule="atLeast"/>
              <w:jc w:val="center"/>
              <w:rPr>
                <w:rFonts w:ascii="仿宋" w:hAnsi="仿宋" w:eastAsia="仿宋"/>
                <w:color w:val="000000"/>
                <w:sz w:val="24"/>
                <w:szCs w:val="24"/>
              </w:rPr>
            </w:pPr>
            <w:r>
              <w:rPr>
                <w:rFonts w:hint="eastAsia" w:ascii="仿宋" w:hAnsi="仿宋" w:eastAsia="仿宋"/>
                <w:color w:val="000000"/>
                <w:sz w:val="24"/>
                <w:szCs w:val="24"/>
              </w:rPr>
              <w:t>0.009%</w:t>
            </w:r>
          </w:p>
        </w:tc>
        <w:tc>
          <w:tcPr>
            <w:tcW w:w="2095" w:type="dxa"/>
            <w:tcBorders>
              <w:top w:val="single" w:color="auto" w:sz="4" w:space="0"/>
              <w:left w:val="single" w:color="auto" w:sz="4" w:space="0"/>
              <w:bottom w:val="single" w:color="auto" w:sz="4" w:space="0"/>
              <w:right w:val="single" w:color="auto" w:sz="4" w:space="0"/>
            </w:tcBorders>
            <w:vAlign w:val="center"/>
          </w:tcPr>
          <w:p w14:paraId="70B3D1B6">
            <w:pPr>
              <w:spacing w:line="240" w:lineRule="atLeast"/>
              <w:jc w:val="center"/>
              <w:rPr>
                <w:rFonts w:ascii="仿宋" w:hAnsi="仿宋" w:eastAsia="仿宋"/>
                <w:color w:val="000000"/>
                <w:sz w:val="24"/>
                <w:szCs w:val="24"/>
              </w:rPr>
            </w:pPr>
            <w:r>
              <w:rPr>
                <w:rFonts w:hint="eastAsia" w:ascii="仿宋" w:hAnsi="仿宋" w:eastAsia="仿宋"/>
                <w:color w:val="000000"/>
                <w:sz w:val="24"/>
                <w:szCs w:val="24"/>
              </w:rPr>
              <w:t>0.009%</w:t>
            </w:r>
          </w:p>
        </w:tc>
        <w:tc>
          <w:tcPr>
            <w:tcW w:w="2096" w:type="dxa"/>
            <w:tcBorders>
              <w:top w:val="single" w:color="auto" w:sz="4" w:space="0"/>
              <w:left w:val="single" w:color="auto" w:sz="4" w:space="0"/>
              <w:bottom w:val="single" w:color="auto" w:sz="4" w:space="0"/>
              <w:right w:val="single" w:color="auto" w:sz="4" w:space="0"/>
            </w:tcBorders>
            <w:vAlign w:val="center"/>
          </w:tcPr>
          <w:p w14:paraId="3D8132A5">
            <w:pPr>
              <w:spacing w:line="240" w:lineRule="atLeast"/>
              <w:jc w:val="center"/>
              <w:rPr>
                <w:rFonts w:ascii="仿宋" w:hAnsi="仿宋" w:eastAsia="仿宋"/>
                <w:color w:val="000000"/>
                <w:sz w:val="24"/>
                <w:szCs w:val="24"/>
              </w:rPr>
            </w:pPr>
            <w:r>
              <w:rPr>
                <w:rFonts w:hint="eastAsia" w:ascii="仿宋" w:hAnsi="仿宋" w:eastAsia="仿宋"/>
                <w:color w:val="000000"/>
                <w:sz w:val="24"/>
                <w:szCs w:val="24"/>
              </w:rPr>
              <w:t>0.009%</w:t>
            </w:r>
          </w:p>
        </w:tc>
      </w:tr>
    </w:tbl>
    <w:p w14:paraId="06E368F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最低收费：当“按标准收费”计算出的采购代理费低于“最低收费”人民币叁仟元整时，采购代理费按“最低收费”人民币叁仟元整计取。</w:t>
      </w:r>
    </w:p>
    <w:p w14:paraId="5D3F4E2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注：若采购项目挂网平台为“重庆市政府采购云平台.网上竞采中心”，所产生的平台服务费用由成交供应商另行计入该项目采购代理服务费中。</w:t>
      </w:r>
    </w:p>
    <w:bookmarkEnd w:id="22"/>
    <w:bookmarkEnd w:id="23"/>
    <w:bookmarkEnd w:id="24"/>
    <w:bookmarkEnd w:id="25"/>
    <w:bookmarkEnd w:id="26"/>
    <w:bookmarkEnd w:id="27"/>
    <w:bookmarkEnd w:id="28"/>
    <w:p w14:paraId="33FD3DF1">
      <w:pPr>
        <w:pStyle w:val="2"/>
        <w:pageBreakBefore w:val="0"/>
        <w:kinsoku/>
        <w:wordWrap/>
        <w:overflowPunct/>
        <w:topLinePunct w:val="0"/>
        <w:autoSpaceDE/>
        <w:autoSpaceDN/>
        <w:bidi w:val="0"/>
        <w:adjustRightInd/>
        <w:spacing w:before="0" w:after="0"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八、</w:t>
      </w:r>
      <w:bookmarkEnd w:id="29"/>
      <w:bookmarkEnd w:id="30"/>
      <w:bookmarkEnd w:id="31"/>
      <w:bookmarkEnd w:id="32"/>
      <w:bookmarkEnd w:id="33"/>
      <w:bookmarkEnd w:id="34"/>
      <w:bookmarkEnd w:id="35"/>
      <w:r>
        <w:rPr>
          <w:rFonts w:hint="eastAsia" w:ascii="仿宋" w:hAnsi="仿宋" w:eastAsia="仿宋" w:cs="仿宋"/>
          <w:bCs/>
          <w:color w:val="000000"/>
          <w:sz w:val="24"/>
          <w:szCs w:val="24"/>
        </w:rPr>
        <w:t>其它有关规定</w:t>
      </w:r>
    </w:p>
    <w:p w14:paraId="636A1AD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凡有意参加的供应商，请于公告发布之日起至报名截止时间之前，在重庆市政府采购平台网上下载查看本项目需求文件以及变更公告等公布的所有项目资料，无论供应商下载查看与否，均视为已知晓所有实质性要求内容。</w:t>
      </w:r>
    </w:p>
    <w:p w14:paraId="5845F94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（二）无效投标条款</w:t>
      </w:r>
    </w:p>
    <w:p w14:paraId="663C691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bookmarkStart w:id="36" w:name="_Toc476231683"/>
      <w:r>
        <w:rPr>
          <w:rFonts w:hint="eastAsia" w:ascii="仿宋" w:hAnsi="仿宋" w:eastAsia="仿宋" w:cs="仿宋"/>
          <w:sz w:val="24"/>
          <w:szCs w:val="24"/>
        </w:rPr>
        <w:t>投标人或其投标文件出现下列情况之一者，应为无效投标：</w:t>
      </w:r>
      <w:bookmarkEnd w:id="36"/>
    </w:p>
    <w:p w14:paraId="78FF738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bookmarkStart w:id="37" w:name="_Toc476231685"/>
      <w:bookmarkStart w:id="38" w:name="_Hlk517349549"/>
      <w:r>
        <w:rPr>
          <w:rFonts w:hint="eastAsia" w:ascii="仿宋" w:hAnsi="仿宋" w:eastAsia="仿宋" w:cs="仿宋"/>
          <w:sz w:val="24"/>
          <w:szCs w:val="24"/>
          <w:lang w:val="en-US" w:eastAsia="zh-CN"/>
        </w:rPr>
        <w:t>1.</w:t>
      </w:r>
      <w:r>
        <w:rPr>
          <w:rFonts w:hint="eastAsia" w:ascii="仿宋" w:hAnsi="仿宋" w:eastAsia="仿宋" w:cs="仿宋"/>
          <w:sz w:val="24"/>
          <w:szCs w:val="24"/>
        </w:rPr>
        <w:t>投标人未通过资格性检查或投标文件未通过符合性检查的；</w:t>
      </w:r>
      <w:bookmarkEnd w:id="37"/>
      <w:bookmarkEnd w:id="38"/>
    </w:p>
    <w:p w14:paraId="7E61056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bookmarkStart w:id="39" w:name="_Toc476231687"/>
      <w:r>
        <w:rPr>
          <w:rFonts w:hint="eastAsia" w:ascii="仿宋" w:hAnsi="仿宋" w:eastAsia="仿宋" w:cs="仿宋"/>
          <w:sz w:val="24"/>
          <w:szCs w:val="24"/>
          <w:lang w:val="en-US" w:eastAsia="zh-CN"/>
        </w:rPr>
        <w:t>2.</w:t>
      </w:r>
      <w:r>
        <w:rPr>
          <w:rFonts w:hint="eastAsia" w:ascii="仿宋" w:hAnsi="仿宋" w:eastAsia="仿宋" w:cs="仿宋"/>
          <w:sz w:val="24"/>
          <w:szCs w:val="24"/>
        </w:rPr>
        <w:t>单位负责人为同一人或者存在直接控股、管理关系的不同供应商</w:t>
      </w:r>
      <w:bookmarkEnd w:id="39"/>
      <w:r>
        <w:rPr>
          <w:rFonts w:hint="eastAsia" w:ascii="仿宋" w:hAnsi="仿宋" w:eastAsia="仿宋" w:cs="仿宋"/>
          <w:sz w:val="24"/>
          <w:szCs w:val="24"/>
        </w:rPr>
        <w:t xml:space="preserve">的； </w:t>
      </w:r>
    </w:p>
    <w:p w14:paraId="74AE0FD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bookmarkStart w:id="40" w:name="_Toc476231688"/>
      <w:r>
        <w:rPr>
          <w:rFonts w:hint="eastAsia" w:ascii="仿宋" w:hAnsi="仿宋" w:eastAsia="仿宋" w:cs="仿宋"/>
          <w:sz w:val="24"/>
          <w:szCs w:val="24"/>
          <w:lang w:val="en-US" w:eastAsia="zh-CN"/>
        </w:rPr>
        <w:t>3.</w:t>
      </w:r>
      <w:r>
        <w:rPr>
          <w:rFonts w:hint="eastAsia" w:ascii="仿宋" w:hAnsi="仿宋" w:eastAsia="仿宋" w:cs="仿宋"/>
          <w:sz w:val="24"/>
          <w:szCs w:val="24"/>
        </w:rPr>
        <w:t>为采购项目提供整体设计、规范编制或者项目管理、监理、检测等服务的供应商，再参加该采购项目的其他采购活动的；</w:t>
      </w:r>
      <w:bookmarkEnd w:id="40"/>
    </w:p>
    <w:p w14:paraId="4FDA1AB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bookmarkStart w:id="41" w:name="_Toc476231689"/>
      <w:r>
        <w:rPr>
          <w:rFonts w:hint="eastAsia" w:ascii="仿宋" w:hAnsi="仿宋" w:eastAsia="仿宋" w:cs="仿宋"/>
          <w:sz w:val="24"/>
          <w:szCs w:val="24"/>
          <w:lang w:val="en-US" w:eastAsia="zh-CN"/>
        </w:rPr>
        <w:t>4.</w:t>
      </w:r>
      <w:r>
        <w:rPr>
          <w:rFonts w:hint="eastAsia" w:ascii="仿宋" w:hAnsi="仿宋" w:eastAsia="仿宋" w:cs="仿宋"/>
          <w:sz w:val="24"/>
          <w:szCs w:val="24"/>
        </w:rPr>
        <w:t>同一项目的货物，制造商参与投标，再委托代理商参与投标的；</w:t>
      </w:r>
      <w:bookmarkEnd w:id="41"/>
    </w:p>
    <w:p w14:paraId="500B70E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bookmarkStart w:id="42" w:name="_Toc476231690"/>
      <w:r>
        <w:rPr>
          <w:rFonts w:hint="eastAsia" w:ascii="仿宋" w:hAnsi="仿宋" w:eastAsia="仿宋" w:cs="仿宋"/>
          <w:sz w:val="24"/>
          <w:szCs w:val="24"/>
          <w:lang w:val="en-US" w:eastAsia="zh-CN"/>
        </w:rPr>
        <w:t>5.</w:t>
      </w:r>
      <w:r>
        <w:rPr>
          <w:rFonts w:hint="eastAsia" w:ascii="仿宋" w:hAnsi="仿宋" w:eastAsia="仿宋" w:cs="仿宋"/>
          <w:sz w:val="24"/>
          <w:szCs w:val="24"/>
        </w:rPr>
        <w:t>投标文件未按照招标文件格式中所规定签字</w:t>
      </w:r>
      <w:r>
        <w:rPr>
          <w:rFonts w:hint="eastAsia" w:ascii="仿宋" w:hAnsi="仿宋" w:eastAsia="仿宋" w:cs="仿宋"/>
          <w:sz w:val="24"/>
          <w:szCs w:val="24"/>
          <w:lang w:val="en-US" w:eastAsia="zh-CN"/>
        </w:rPr>
        <w:t>或</w:t>
      </w:r>
      <w:r>
        <w:rPr>
          <w:rFonts w:hint="eastAsia" w:ascii="仿宋" w:hAnsi="仿宋" w:eastAsia="仿宋" w:cs="仿宋"/>
          <w:sz w:val="24"/>
          <w:szCs w:val="24"/>
        </w:rPr>
        <w:t>盖章的；</w:t>
      </w:r>
      <w:bookmarkEnd w:id="42"/>
    </w:p>
    <w:p w14:paraId="0AD2F0F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bookmarkStart w:id="43" w:name="_Toc476231691"/>
      <w:r>
        <w:rPr>
          <w:rFonts w:hint="eastAsia" w:ascii="仿宋" w:hAnsi="仿宋" w:eastAsia="仿宋" w:cs="仿宋"/>
          <w:sz w:val="24"/>
          <w:szCs w:val="24"/>
          <w:lang w:val="en-US" w:eastAsia="zh-CN"/>
        </w:rPr>
        <w:t>6.</w:t>
      </w:r>
      <w:r>
        <w:rPr>
          <w:rFonts w:hint="eastAsia" w:ascii="仿宋" w:hAnsi="仿宋" w:eastAsia="仿宋" w:cs="仿宋"/>
          <w:sz w:val="24"/>
          <w:szCs w:val="24"/>
        </w:rPr>
        <w:t>投标文件出现多个投标方案或投标报价的；</w:t>
      </w:r>
      <w:bookmarkEnd w:id="43"/>
    </w:p>
    <w:p w14:paraId="38E9028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bookmarkStart w:id="44" w:name="_Toc476231692"/>
      <w:r>
        <w:rPr>
          <w:rFonts w:hint="eastAsia" w:ascii="仿宋" w:hAnsi="仿宋" w:eastAsia="仿宋" w:cs="仿宋"/>
          <w:sz w:val="24"/>
          <w:szCs w:val="24"/>
          <w:lang w:val="en-US" w:eastAsia="zh-CN"/>
        </w:rPr>
        <w:t>7.</w:t>
      </w:r>
      <w:r>
        <w:rPr>
          <w:rFonts w:hint="eastAsia" w:ascii="仿宋" w:hAnsi="仿宋" w:eastAsia="仿宋" w:cs="仿宋"/>
          <w:sz w:val="24"/>
          <w:szCs w:val="24"/>
        </w:rPr>
        <w:t>投标报价超出招标文件规定的采</w:t>
      </w:r>
      <w:bookmarkEnd w:id="44"/>
      <w:r>
        <w:rPr>
          <w:rFonts w:hint="eastAsia" w:ascii="仿宋" w:hAnsi="仿宋" w:eastAsia="仿宋" w:cs="仿宋"/>
          <w:sz w:val="24"/>
          <w:szCs w:val="24"/>
          <w:lang w:val="en-US" w:eastAsia="zh-CN"/>
        </w:rPr>
        <w:t>购</w:t>
      </w:r>
      <w:r>
        <w:rPr>
          <w:rFonts w:hint="eastAsia" w:ascii="仿宋" w:hAnsi="仿宋" w:eastAsia="仿宋" w:cs="仿宋"/>
          <w:sz w:val="24"/>
          <w:szCs w:val="24"/>
        </w:rPr>
        <w:t>限价；</w:t>
      </w:r>
    </w:p>
    <w:p w14:paraId="7EEE75E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bookmarkStart w:id="45" w:name="_Toc476231693"/>
      <w:r>
        <w:rPr>
          <w:rFonts w:hint="eastAsia" w:ascii="仿宋" w:hAnsi="仿宋" w:eastAsia="仿宋" w:cs="仿宋"/>
          <w:sz w:val="24"/>
          <w:szCs w:val="24"/>
          <w:lang w:val="en-US" w:eastAsia="zh-CN"/>
        </w:rPr>
        <w:t>8.</w:t>
      </w:r>
      <w:r>
        <w:rPr>
          <w:rFonts w:hint="eastAsia" w:ascii="仿宋" w:hAnsi="仿宋" w:eastAsia="仿宋" w:cs="仿宋"/>
          <w:sz w:val="24"/>
          <w:szCs w:val="24"/>
        </w:rPr>
        <w:t>投标产品不符合必须强制执行的国家标准的；</w:t>
      </w:r>
      <w:bookmarkEnd w:id="45"/>
    </w:p>
    <w:p w14:paraId="6763219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bookmarkStart w:id="46" w:name="_Toc476231694"/>
      <w:r>
        <w:rPr>
          <w:rFonts w:hint="eastAsia" w:ascii="仿宋" w:hAnsi="仿宋" w:eastAsia="仿宋" w:cs="仿宋"/>
          <w:sz w:val="24"/>
          <w:szCs w:val="24"/>
          <w:lang w:val="en-US" w:eastAsia="zh-CN"/>
        </w:rPr>
        <w:t>9.</w:t>
      </w:r>
      <w:r>
        <w:rPr>
          <w:rFonts w:hint="eastAsia" w:ascii="仿宋" w:hAnsi="仿宋" w:eastAsia="仿宋" w:cs="仿宋"/>
          <w:sz w:val="24"/>
          <w:szCs w:val="24"/>
        </w:rPr>
        <w:t>投标人的服务期限（或为：实施时间）、质量保证期及投标有效期不满足招标文件要求的；</w:t>
      </w:r>
      <w:bookmarkEnd w:id="46"/>
    </w:p>
    <w:p w14:paraId="10938A7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投标文件含有违反国家法律、法规的内容，或附有采购人不能接受的条件的；</w:t>
      </w:r>
    </w:p>
    <w:p w14:paraId="40FF9AE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投标人串通投标的；</w:t>
      </w:r>
    </w:p>
    <w:p w14:paraId="7A4683D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投标人组成联合体投标的（拒绝联合体投标时适用）；</w:t>
      </w:r>
    </w:p>
    <w:p w14:paraId="6D8F449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13.响应文件未列目录或目录及内容错乱的；</w:t>
      </w:r>
    </w:p>
    <w:p w14:paraId="7A639BA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法律、法规和招标文件规定的其他无效情形。</w:t>
      </w:r>
    </w:p>
    <w:p w14:paraId="5DDE3A6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bookmarkStart w:id="47" w:name="_Toc1282797159"/>
      <w:r>
        <w:rPr>
          <w:rFonts w:hint="eastAsia" w:ascii="仿宋" w:hAnsi="仿宋" w:eastAsia="仿宋" w:cs="仿宋"/>
          <w:sz w:val="24"/>
          <w:szCs w:val="24"/>
          <w:lang w:eastAsia="zh-CN"/>
        </w:rPr>
        <w:t>（三）</w:t>
      </w:r>
      <w:r>
        <w:rPr>
          <w:rFonts w:hint="eastAsia" w:ascii="仿宋" w:hAnsi="仿宋" w:eastAsia="仿宋" w:cs="仿宋"/>
          <w:sz w:val="24"/>
          <w:szCs w:val="24"/>
        </w:rPr>
        <w:t>废标条款</w:t>
      </w:r>
      <w:bookmarkEnd w:id="47"/>
    </w:p>
    <w:p w14:paraId="3131294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评审小组评审时出现以下情况之一的，应予废标：</w:t>
      </w:r>
    </w:p>
    <w:p w14:paraId="74B3584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符合专业条件的投标人或者对招标文件作实质响应的投标人不足</w:t>
      </w:r>
      <w:r>
        <w:rPr>
          <w:rFonts w:hint="eastAsia" w:ascii="仿宋" w:hAnsi="仿宋" w:eastAsia="仿宋" w:cs="仿宋"/>
          <w:sz w:val="24"/>
          <w:szCs w:val="24"/>
          <w:lang w:val="en-US" w:eastAsia="zh-CN"/>
        </w:rPr>
        <w:t>2</w:t>
      </w:r>
      <w:r>
        <w:rPr>
          <w:rFonts w:hint="eastAsia" w:ascii="仿宋" w:hAnsi="仿宋" w:eastAsia="仿宋" w:cs="仿宋"/>
          <w:sz w:val="24"/>
          <w:szCs w:val="24"/>
        </w:rPr>
        <w:t>家的；</w:t>
      </w:r>
    </w:p>
    <w:p w14:paraId="661D2E5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投标人的报价均超过了采购预算，采购人不能支付的；</w:t>
      </w:r>
    </w:p>
    <w:p w14:paraId="55527B5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出现影响采购公正的违法、违规行为的；</w:t>
      </w:r>
    </w:p>
    <w:p w14:paraId="50702A2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因重大变故，采购任务取消的。</w:t>
      </w:r>
    </w:p>
    <w:p w14:paraId="6DE6B6B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废标后，除采购任务取消情形外，应当重新组织采购。</w:t>
      </w:r>
    </w:p>
    <w:p w14:paraId="555864C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（四</w:t>
      </w:r>
      <w:r>
        <w:rPr>
          <w:rFonts w:hint="eastAsia" w:ascii="仿宋" w:hAnsi="仿宋" w:eastAsia="仿宋" w:cs="仿宋"/>
          <w:sz w:val="24"/>
          <w:szCs w:val="24"/>
          <w:lang w:val="en-US" w:eastAsia="zh-CN"/>
        </w:rPr>
        <w:t>）</w:t>
      </w:r>
      <w:r>
        <w:rPr>
          <w:rFonts w:hint="eastAsia" w:ascii="仿宋" w:hAnsi="仿宋" w:eastAsia="仿宋" w:cs="仿宋"/>
          <w:sz w:val="24"/>
          <w:szCs w:val="24"/>
        </w:rPr>
        <w:t>资格审查</w:t>
      </w:r>
      <w:r>
        <w:rPr>
          <w:rFonts w:hint="eastAsia" w:ascii="仿宋" w:hAnsi="仿宋" w:eastAsia="仿宋" w:cs="仿宋"/>
          <w:sz w:val="24"/>
          <w:szCs w:val="24"/>
          <w:lang w:val="en-US" w:eastAsia="zh-CN"/>
        </w:rPr>
        <w:t>要素</w:t>
      </w:r>
    </w:p>
    <w:p w14:paraId="438DE6F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依据政府采购相关法律法规规定,由采购人或采购代理机构对投标文件中的资格证明文件进行审查。资格审查资料表如下：</w:t>
      </w:r>
    </w:p>
    <w:tbl>
      <w:tblPr>
        <w:tblStyle w:val="58"/>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4857"/>
        <w:gridCol w:w="3695"/>
      </w:tblGrid>
      <w:tr w14:paraId="2491F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840" w:type="dxa"/>
            <w:vAlign w:val="center"/>
          </w:tcPr>
          <w:p w14:paraId="2D90F0A7">
            <w:pPr>
              <w:pageBreakBefore w:val="0"/>
              <w:kinsoku/>
              <w:wordWrap/>
              <w:overflowPunct/>
              <w:topLinePunct w:val="0"/>
              <w:autoSpaceDE/>
              <w:autoSpaceDN/>
              <w:bidi w:val="0"/>
              <w:adjustRightInd/>
              <w:spacing w:line="40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4857" w:type="dxa"/>
            <w:vAlign w:val="center"/>
          </w:tcPr>
          <w:p w14:paraId="657A9010">
            <w:pPr>
              <w:pageBreakBefore w:val="0"/>
              <w:kinsoku/>
              <w:wordWrap/>
              <w:overflowPunct/>
              <w:topLinePunct w:val="0"/>
              <w:autoSpaceDE/>
              <w:autoSpaceDN/>
              <w:bidi w:val="0"/>
              <w:adjustRightInd/>
              <w:spacing w:line="400" w:lineRule="exact"/>
              <w:jc w:val="center"/>
              <w:rPr>
                <w:rFonts w:hint="eastAsia" w:ascii="仿宋" w:hAnsi="仿宋" w:eastAsia="仿宋" w:cs="仿宋"/>
                <w:sz w:val="24"/>
                <w:szCs w:val="24"/>
              </w:rPr>
            </w:pPr>
            <w:r>
              <w:rPr>
                <w:rFonts w:hint="eastAsia" w:ascii="仿宋" w:hAnsi="仿宋" w:eastAsia="仿宋" w:cs="仿宋"/>
                <w:sz w:val="24"/>
                <w:szCs w:val="24"/>
              </w:rPr>
              <w:t>检查因素</w:t>
            </w:r>
          </w:p>
        </w:tc>
        <w:tc>
          <w:tcPr>
            <w:tcW w:w="3695" w:type="dxa"/>
            <w:vAlign w:val="center"/>
          </w:tcPr>
          <w:p w14:paraId="417DCBAC">
            <w:pPr>
              <w:pageBreakBefore w:val="0"/>
              <w:kinsoku/>
              <w:wordWrap/>
              <w:overflowPunct/>
              <w:topLinePunct w:val="0"/>
              <w:autoSpaceDE/>
              <w:autoSpaceDN/>
              <w:bidi w:val="0"/>
              <w:adjustRightInd/>
              <w:spacing w:line="400" w:lineRule="exact"/>
              <w:jc w:val="center"/>
              <w:rPr>
                <w:rFonts w:hint="eastAsia" w:ascii="仿宋" w:hAnsi="仿宋" w:eastAsia="仿宋" w:cs="仿宋"/>
                <w:sz w:val="24"/>
                <w:szCs w:val="24"/>
              </w:rPr>
            </w:pPr>
            <w:r>
              <w:rPr>
                <w:rFonts w:hint="eastAsia" w:ascii="仿宋" w:hAnsi="仿宋" w:eastAsia="仿宋" w:cs="仿宋"/>
                <w:sz w:val="24"/>
                <w:szCs w:val="24"/>
              </w:rPr>
              <w:t>检查内容</w:t>
            </w:r>
          </w:p>
        </w:tc>
      </w:tr>
      <w:tr w14:paraId="7E4E8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840" w:type="dxa"/>
            <w:vAlign w:val="center"/>
          </w:tcPr>
          <w:p w14:paraId="7FAB7B9E">
            <w:pPr>
              <w:pageBreakBefore w:val="0"/>
              <w:kinsoku/>
              <w:wordWrap/>
              <w:overflowPunct/>
              <w:topLinePunct w:val="0"/>
              <w:autoSpaceDE/>
              <w:autoSpaceDN/>
              <w:bidi w:val="0"/>
              <w:adjustRightInd/>
              <w:spacing w:line="40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4857" w:type="dxa"/>
            <w:vAlign w:val="center"/>
          </w:tcPr>
          <w:p w14:paraId="48A57E4B">
            <w:pPr>
              <w:pageBreakBefore w:val="0"/>
              <w:kinsoku/>
              <w:wordWrap/>
              <w:overflowPunct/>
              <w:topLinePunct w:val="0"/>
              <w:autoSpaceDE/>
              <w:autoSpaceDN/>
              <w:bidi w:val="0"/>
              <w:adjustRightInd/>
              <w:spacing w:line="400" w:lineRule="exact"/>
              <w:rPr>
                <w:rFonts w:hint="eastAsia" w:ascii="仿宋" w:hAnsi="仿宋" w:eastAsia="仿宋" w:cs="仿宋"/>
                <w:sz w:val="24"/>
                <w:szCs w:val="24"/>
              </w:rPr>
            </w:pPr>
            <w:r>
              <w:rPr>
                <w:rFonts w:hint="eastAsia" w:ascii="仿宋" w:hAnsi="仿宋" w:eastAsia="仿宋" w:cs="仿宋"/>
                <w:sz w:val="24"/>
                <w:szCs w:val="24"/>
              </w:rPr>
              <w:t>具有独立承担民事责任的能力</w:t>
            </w:r>
          </w:p>
        </w:tc>
        <w:tc>
          <w:tcPr>
            <w:tcW w:w="3695" w:type="dxa"/>
            <w:vAlign w:val="center"/>
          </w:tcPr>
          <w:p w14:paraId="35FB353D">
            <w:pPr>
              <w:pageBreakBefore w:val="0"/>
              <w:kinsoku/>
              <w:wordWrap/>
              <w:overflowPunct/>
              <w:topLinePunct w:val="0"/>
              <w:autoSpaceDE/>
              <w:autoSpaceDN/>
              <w:bidi w:val="0"/>
              <w:adjustRightInd/>
              <w:spacing w:line="400" w:lineRule="exact"/>
              <w:rPr>
                <w:rFonts w:hint="eastAsia" w:ascii="仿宋" w:hAnsi="仿宋" w:eastAsia="仿宋" w:cs="仿宋"/>
                <w:sz w:val="24"/>
                <w:szCs w:val="24"/>
              </w:rPr>
            </w:pPr>
            <w:r>
              <w:rPr>
                <w:rFonts w:hint="eastAsia" w:ascii="仿宋" w:hAnsi="仿宋" w:eastAsia="仿宋" w:cs="仿宋"/>
                <w:sz w:val="24"/>
                <w:szCs w:val="24"/>
              </w:rPr>
              <w:t>1.投标人法人营业执照（副本）或事业单位法人证书（副本）或组织机构代码证复印件；</w:t>
            </w:r>
          </w:p>
          <w:p w14:paraId="3135EAFE">
            <w:pPr>
              <w:pageBreakBefore w:val="0"/>
              <w:kinsoku/>
              <w:wordWrap/>
              <w:overflowPunct/>
              <w:topLinePunct w:val="0"/>
              <w:autoSpaceDE/>
              <w:autoSpaceDN/>
              <w:bidi w:val="0"/>
              <w:adjustRightInd/>
              <w:spacing w:line="400" w:lineRule="exact"/>
              <w:rPr>
                <w:rFonts w:hint="eastAsia" w:ascii="仿宋" w:hAnsi="仿宋" w:eastAsia="仿宋" w:cs="仿宋"/>
                <w:sz w:val="24"/>
                <w:szCs w:val="24"/>
              </w:rPr>
            </w:pPr>
            <w:r>
              <w:rPr>
                <w:rFonts w:hint="eastAsia" w:ascii="仿宋" w:hAnsi="仿宋" w:eastAsia="仿宋" w:cs="仿宋"/>
                <w:sz w:val="24"/>
                <w:szCs w:val="24"/>
              </w:rPr>
              <w:t>2.投标人法定代表人身份证明或法定代表人授权代表委托书。</w:t>
            </w:r>
          </w:p>
        </w:tc>
      </w:tr>
      <w:tr w14:paraId="6044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40" w:type="dxa"/>
            <w:vAlign w:val="center"/>
          </w:tcPr>
          <w:p w14:paraId="1C4D7579">
            <w:pPr>
              <w:pageBreakBefore w:val="0"/>
              <w:kinsoku/>
              <w:wordWrap/>
              <w:overflowPunct/>
              <w:topLinePunct w:val="0"/>
              <w:autoSpaceDE/>
              <w:autoSpaceDN/>
              <w:bidi w:val="0"/>
              <w:adjustRightInd/>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857" w:type="dxa"/>
            <w:vAlign w:val="center"/>
          </w:tcPr>
          <w:p w14:paraId="393C07F0">
            <w:pPr>
              <w:pageBreakBefore w:val="0"/>
              <w:kinsoku/>
              <w:wordWrap/>
              <w:overflowPunct/>
              <w:topLinePunct w:val="0"/>
              <w:autoSpaceDE/>
              <w:autoSpaceDN/>
              <w:bidi w:val="0"/>
              <w:adjustRightInd/>
              <w:spacing w:line="400" w:lineRule="exact"/>
              <w:rPr>
                <w:rFonts w:hint="eastAsia" w:ascii="仿宋" w:hAnsi="仿宋" w:eastAsia="仿宋" w:cs="仿宋"/>
                <w:sz w:val="24"/>
                <w:szCs w:val="24"/>
              </w:rPr>
            </w:pPr>
            <w:r>
              <w:rPr>
                <w:rFonts w:hint="eastAsia" w:ascii="仿宋" w:hAnsi="仿宋" w:eastAsia="仿宋" w:cs="仿宋"/>
                <w:sz w:val="24"/>
                <w:szCs w:val="24"/>
              </w:rPr>
              <w:t>具有良好的商业信誉和健全的财务会计制度</w:t>
            </w:r>
          </w:p>
        </w:tc>
        <w:tc>
          <w:tcPr>
            <w:tcW w:w="3695" w:type="dxa"/>
            <w:vMerge w:val="restart"/>
            <w:vAlign w:val="center"/>
          </w:tcPr>
          <w:p w14:paraId="6A4A7D48">
            <w:pPr>
              <w:pageBreakBefore w:val="0"/>
              <w:kinsoku/>
              <w:wordWrap/>
              <w:overflowPunct/>
              <w:topLinePunct w:val="0"/>
              <w:autoSpaceDE/>
              <w:autoSpaceDN/>
              <w:bidi w:val="0"/>
              <w:adjustRightInd/>
              <w:spacing w:line="400" w:lineRule="exact"/>
              <w:rPr>
                <w:rFonts w:hint="eastAsia" w:ascii="仿宋" w:hAnsi="仿宋" w:eastAsia="仿宋" w:cs="仿宋"/>
                <w:sz w:val="24"/>
                <w:szCs w:val="24"/>
              </w:rPr>
            </w:pPr>
            <w:r>
              <w:rPr>
                <w:rFonts w:hint="eastAsia" w:ascii="仿宋" w:hAnsi="仿宋" w:eastAsia="仿宋" w:cs="仿宋"/>
                <w:sz w:val="24"/>
                <w:szCs w:val="24"/>
              </w:rPr>
              <w:t>投标人提供“基本资格条件承诺函”</w:t>
            </w:r>
          </w:p>
        </w:tc>
      </w:tr>
      <w:tr w14:paraId="2386E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40" w:type="dxa"/>
            <w:vAlign w:val="center"/>
          </w:tcPr>
          <w:p w14:paraId="66968CE5">
            <w:pPr>
              <w:pageBreakBefore w:val="0"/>
              <w:kinsoku/>
              <w:wordWrap/>
              <w:overflowPunct/>
              <w:topLinePunct w:val="0"/>
              <w:autoSpaceDE/>
              <w:autoSpaceDN/>
              <w:bidi w:val="0"/>
              <w:adjustRightInd/>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4857" w:type="dxa"/>
            <w:vAlign w:val="center"/>
          </w:tcPr>
          <w:p w14:paraId="1A322D66">
            <w:pPr>
              <w:pageBreakBefore w:val="0"/>
              <w:kinsoku/>
              <w:wordWrap/>
              <w:overflowPunct/>
              <w:topLinePunct w:val="0"/>
              <w:autoSpaceDE/>
              <w:autoSpaceDN/>
              <w:bidi w:val="0"/>
              <w:adjustRightInd/>
              <w:spacing w:line="400" w:lineRule="exact"/>
              <w:rPr>
                <w:rFonts w:hint="eastAsia" w:ascii="仿宋" w:hAnsi="仿宋" w:eastAsia="仿宋" w:cs="仿宋"/>
                <w:sz w:val="24"/>
                <w:szCs w:val="24"/>
              </w:rPr>
            </w:pPr>
            <w:r>
              <w:rPr>
                <w:rFonts w:hint="eastAsia" w:ascii="仿宋" w:hAnsi="仿宋" w:eastAsia="仿宋" w:cs="仿宋"/>
                <w:sz w:val="24"/>
                <w:szCs w:val="24"/>
              </w:rPr>
              <w:t>具有履行合同所必需的设备和专业技术能力</w:t>
            </w:r>
          </w:p>
        </w:tc>
        <w:tc>
          <w:tcPr>
            <w:tcW w:w="3695" w:type="dxa"/>
            <w:vMerge w:val="continue"/>
            <w:vAlign w:val="center"/>
          </w:tcPr>
          <w:p w14:paraId="3195FE30">
            <w:pPr>
              <w:pageBreakBefore w:val="0"/>
              <w:kinsoku/>
              <w:wordWrap/>
              <w:overflowPunct/>
              <w:topLinePunct w:val="0"/>
              <w:autoSpaceDE/>
              <w:autoSpaceDN/>
              <w:bidi w:val="0"/>
              <w:adjustRightInd/>
              <w:spacing w:line="400" w:lineRule="exact"/>
              <w:rPr>
                <w:rFonts w:hint="eastAsia" w:ascii="仿宋" w:hAnsi="仿宋" w:eastAsia="仿宋" w:cs="仿宋"/>
                <w:sz w:val="24"/>
                <w:szCs w:val="24"/>
              </w:rPr>
            </w:pPr>
          </w:p>
        </w:tc>
      </w:tr>
      <w:tr w14:paraId="7CED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40" w:type="dxa"/>
            <w:vAlign w:val="center"/>
          </w:tcPr>
          <w:p w14:paraId="393CC136">
            <w:pPr>
              <w:pageBreakBefore w:val="0"/>
              <w:kinsoku/>
              <w:wordWrap/>
              <w:overflowPunct/>
              <w:topLinePunct w:val="0"/>
              <w:autoSpaceDE/>
              <w:autoSpaceDN/>
              <w:bidi w:val="0"/>
              <w:adjustRightInd/>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4857" w:type="dxa"/>
            <w:vAlign w:val="center"/>
          </w:tcPr>
          <w:p w14:paraId="2EEDC6C3">
            <w:pPr>
              <w:pageBreakBefore w:val="0"/>
              <w:kinsoku/>
              <w:wordWrap/>
              <w:overflowPunct/>
              <w:topLinePunct w:val="0"/>
              <w:autoSpaceDE/>
              <w:autoSpaceDN/>
              <w:bidi w:val="0"/>
              <w:adjustRightInd/>
              <w:spacing w:line="400" w:lineRule="exact"/>
              <w:rPr>
                <w:rFonts w:hint="eastAsia" w:ascii="仿宋" w:hAnsi="仿宋" w:eastAsia="仿宋" w:cs="仿宋"/>
                <w:sz w:val="24"/>
                <w:szCs w:val="24"/>
              </w:rPr>
            </w:pPr>
            <w:r>
              <w:rPr>
                <w:rFonts w:hint="eastAsia" w:ascii="仿宋" w:hAnsi="仿宋" w:eastAsia="仿宋" w:cs="仿宋"/>
                <w:sz w:val="24"/>
                <w:szCs w:val="24"/>
              </w:rPr>
              <w:t>有依法缴纳税收和社会保障金的良好记录</w:t>
            </w:r>
          </w:p>
        </w:tc>
        <w:tc>
          <w:tcPr>
            <w:tcW w:w="3695" w:type="dxa"/>
            <w:vMerge w:val="continue"/>
            <w:vAlign w:val="center"/>
          </w:tcPr>
          <w:p w14:paraId="5EE7BD2E">
            <w:pPr>
              <w:pageBreakBefore w:val="0"/>
              <w:kinsoku/>
              <w:wordWrap/>
              <w:overflowPunct/>
              <w:topLinePunct w:val="0"/>
              <w:autoSpaceDE/>
              <w:autoSpaceDN/>
              <w:bidi w:val="0"/>
              <w:adjustRightInd/>
              <w:spacing w:line="400" w:lineRule="exact"/>
              <w:rPr>
                <w:rFonts w:hint="eastAsia" w:ascii="仿宋" w:hAnsi="仿宋" w:eastAsia="仿宋" w:cs="仿宋"/>
                <w:sz w:val="24"/>
                <w:szCs w:val="24"/>
              </w:rPr>
            </w:pPr>
          </w:p>
        </w:tc>
      </w:tr>
      <w:tr w14:paraId="5181B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40" w:type="dxa"/>
            <w:vAlign w:val="center"/>
          </w:tcPr>
          <w:p w14:paraId="5D8E2DCE">
            <w:pPr>
              <w:pageBreakBefore w:val="0"/>
              <w:kinsoku/>
              <w:wordWrap/>
              <w:overflowPunct/>
              <w:topLinePunct w:val="0"/>
              <w:autoSpaceDE/>
              <w:autoSpaceDN/>
              <w:bidi w:val="0"/>
              <w:adjustRightInd/>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4857" w:type="dxa"/>
            <w:vAlign w:val="center"/>
          </w:tcPr>
          <w:p w14:paraId="3B7C66DA">
            <w:pPr>
              <w:pageBreakBefore w:val="0"/>
              <w:kinsoku/>
              <w:wordWrap/>
              <w:overflowPunct/>
              <w:topLinePunct w:val="0"/>
              <w:autoSpaceDE/>
              <w:autoSpaceDN/>
              <w:bidi w:val="0"/>
              <w:adjustRightInd/>
              <w:spacing w:line="400" w:lineRule="exact"/>
              <w:rPr>
                <w:rFonts w:hint="eastAsia" w:ascii="仿宋" w:hAnsi="仿宋" w:eastAsia="仿宋" w:cs="仿宋"/>
                <w:sz w:val="24"/>
                <w:szCs w:val="24"/>
              </w:rPr>
            </w:pPr>
            <w:r>
              <w:rPr>
                <w:rFonts w:hint="eastAsia" w:ascii="仿宋" w:hAnsi="仿宋" w:eastAsia="仿宋" w:cs="仿宋"/>
                <w:sz w:val="24"/>
                <w:szCs w:val="24"/>
              </w:rPr>
              <w:t>参加政府采购活动前三年内，在经营活动中没有重大违法记录</w:t>
            </w:r>
          </w:p>
        </w:tc>
        <w:tc>
          <w:tcPr>
            <w:tcW w:w="3695" w:type="dxa"/>
            <w:vMerge w:val="continue"/>
            <w:vAlign w:val="center"/>
          </w:tcPr>
          <w:p w14:paraId="00707560">
            <w:pPr>
              <w:pageBreakBefore w:val="0"/>
              <w:kinsoku/>
              <w:wordWrap/>
              <w:overflowPunct/>
              <w:topLinePunct w:val="0"/>
              <w:autoSpaceDE/>
              <w:autoSpaceDN/>
              <w:bidi w:val="0"/>
              <w:adjustRightInd/>
              <w:spacing w:line="400" w:lineRule="exact"/>
              <w:rPr>
                <w:rFonts w:hint="eastAsia" w:ascii="仿宋" w:hAnsi="仿宋" w:eastAsia="仿宋" w:cs="仿宋"/>
                <w:sz w:val="24"/>
                <w:szCs w:val="24"/>
              </w:rPr>
            </w:pPr>
          </w:p>
        </w:tc>
      </w:tr>
      <w:tr w14:paraId="325A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40" w:type="dxa"/>
            <w:vAlign w:val="center"/>
          </w:tcPr>
          <w:p w14:paraId="0E5597F5">
            <w:pPr>
              <w:pageBreakBefore w:val="0"/>
              <w:kinsoku/>
              <w:wordWrap/>
              <w:overflowPunct/>
              <w:topLinePunct w:val="0"/>
              <w:autoSpaceDE/>
              <w:autoSpaceDN/>
              <w:bidi w:val="0"/>
              <w:adjustRightInd/>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4857" w:type="dxa"/>
            <w:vAlign w:val="center"/>
          </w:tcPr>
          <w:p w14:paraId="19E61CB5">
            <w:pPr>
              <w:pageBreakBefore w:val="0"/>
              <w:kinsoku/>
              <w:wordWrap/>
              <w:overflowPunct/>
              <w:topLinePunct w:val="0"/>
              <w:autoSpaceDE/>
              <w:autoSpaceDN/>
              <w:bidi w:val="0"/>
              <w:adjustRightInd/>
              <w:spacing w:line="400" w:lineRule="exact"/>
              <w:rPr>
                <w:rFonts w:hint="eastAsia" w:ascii="仿宋" w:hAnsi="仿宋" w:eastAsia="仿宋" w:cs="仿宋"/>
                <w:sz w:val="24"/>
                <w:szCs w:val="24"/>
              </w:rPr>
            </w:pPr>
            <w:r>
              <w:rPr>
                <w:rFonts w:hint="eastAsia" w:ascii="仿宋" w:hAnsi="仿宋" w:eastAsia="仿宋" w:cs="仿宋"/>
                <w:sz w:val="24"/>
                <w:szCs w:val="24"/>
              </w:rPr>
              <w:t>法律、行政法规规定的其他条件</w:t>
            </w:r>
          </w:p>
        </w:tc>
        <w:tc>
          <w:tcPr>
            <w:tcW w:w="3695" w:type="dxa"/>
            <w:vMerge w:val="continue"/>
            <w:vAlign w:val="center"/>
          </w:tcPr>
          <w:p w14:paraId="2272F038">
            <w:pPr>
              <w:pageBreakBefore w:val="0"/>
              <w:kinsoku/>
              <w:wordWrap/>
              <w:overflowPunct/>
              <w:topLinePunct w:val="0"/>
              <w:autoSpaceDE/>
              <w:autoSpaceDN/>
              <w:bidi w:val="0"/>
              <w:adjustRightInd/>
              <w:spacing w:line="400" w:lineRule="exact"/>
              <w:rPr>
                <w:rFonts w:hint="eastAsia" w:ascii="仿宋" w:hAnsi="仿宋" w:eastAsia="仿宋" w:cs="仿宋"/>
                <w:sz w:val="24"/>
                <w:szCs w:val="24"/>
              </w:rPr>
            </w:pPr>
          </w:p>
        </w:tc>
      </w:tr>
      <w:tr w14:paraId="1292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40" w:type="dxa"/>
            <w:vAlign w:val="center"/>
          </w:tcPr>
          <w:p w14:paraId="3F7BBFED">
            <w:pPr>
              <w:pageBreakBefore w:val="0"/>
              <w:kinsoku/>
              <w:wordWrap/>
              <w:overflowPunct/>
              <w:topLinePunct w:val="0"/>
              <w:autoSpaceDE/>
              <w:autoSpaceDN/>
              <w:bidi w:val="0"/>
              <w:adjustRightInd/>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4857" w:type="dxa"/>
            <w:vAlign w:val="center"/>
          </w:tcPr>
          <w:p w14:paraId="3BED2E16">
            <w:pPr>
              <w:pageBreakBefore w:val="0"/>
              <w:kinsoku/>
              <w:wordWrap/>
              <w:overflowPunct/>
              <w:topLinePunct w:val="0"/>
              <w:autoSpaceDE/>
              <w:autoSpaceDN/>
              <w:bidi w:val="0"/>
              <w:adjustRightInd/>
              <w:spacing w:line="400" w:lineRule="exact"/>
              <w:rPr>
                <w:rFonts w:hint="eastAsia" w:ascii="仿宋" w:hAnsi="仿宋" w:eastAsia="仿宋" w:cs="仿宋"/>
                <w:sz w:val="24"/>
                <w:szCs w:val="24"/>
              </w:rPr>
            </w:pPr>
            <w:r>
              <w:rPr>
                <w:rFonts w:hint="eastAsia" w:ascii="仿宋" w:hAnsi="仿宋" w:eastAsia="仿宋"/>
                <w:sz w:val="24"/>
                <w:szCs w:val="24"/>
              </w:rPr>
              <w:t>本项目的特定资格要求</w:t>
            </w:r>
          </w:p>
        </w:tc>
        <w:tc>
          <w:tcPr>
            <w:tcW w:w="3695" w:type="dxa"/>
            <w:vAlign w:val="center"/>
          </w:tcPr>
          <w:p w14:paraId="1290A8F0">
            <w:pPr>
              <w:pageBreakBefore w:val="0"/>
              <w:kinsoku/>
              <w:wordWrap/>
              <w:overflowPunct/>
              <w:topLinePunct w:val="0"/>
              <w:autoSpaceDE/>
              <w:autoSpaceDN/>
              <w:bidi w:val="0"/>
              <w:adjustRightInd/>
              <w:spacing w:line="400" w:lineRule="exact"/>
              <w:rPr>
                <w:rFonts w:hint="eastAsia" w:ascii="仿宋" w:hAnsi="仿宋" w:eastAsia="仿宋" w:cs="仿宋"/>
                <w:sz w:val="24"/>
                <w:szCs w:val="24"/>
                <w:lang w:eastAsia="zh-CN"/>
              </w:rPr>
            </w:pPr>
            <w:r>
              <w:rPr>
                <w:rFonts w:hint="eastAsia" w:ascii="仿宋" w:hAnsi="仿宋" w:eastAsia="仿宋" w:cs="仿宋"/>
                <w:color w:val="000000"/>
                <w:sz w:val="24"/>
                <w:szCs w:val="24"/>
              </w:rPr>
              <w:t>供应商加入重庆市政府采购代理机构库（提供重庆市政府采购网代理机构库截图）。</w:t>
            </w:r>
          </w:p>
        </w:tc>
      </w:tr>
      <w:tr w14:paraId="14DDE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40" w:type="dxa"/>
            <w:vAlign w:val="center"/>
          </w:tcPr>
          <w:p w14:paraId="2BD8EE1D">
            <w:pPr>
              <w:pageBreakBefore w:val="0"/>
              <w:kinsoku/>
              <w:wordWrap/>
              <w:overflowPunct/>
              <w:topLinePunct w:val="0"/>
              <w:autoSpaceDE/>
              <w:autoSpaceDN/>
              <w:bidi w:val="0"/>
              <w:adjustRightInd/>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4857" w:type="dxa"/>
            <w:vAlign w:val="center"/>
          </w:tcPr>
          <w:p w14:paraId="4BB5D9C8">
            <w:pPr>
              <w:pageBreakBefore w:val="0"/>
              <w:kinsoku/>
              <w:wordWrap/>
              <w:overflowPunct/>
              <w:topLinePunct w:val="0"/>
              <w:autoSpaceDE/>
              <w:autoSpaceDN/>
              <w:bidi w:val="0"/>
              <w:adjustRightInd/>
              <w:spacing w:line="400" w:lineRule="exact"/>
              <w:rPr>
                <w:rFonts w:hint="eastAsia" w:ascii="仿宋" w:hAnsi="仿宋" w:eastAsia="仿宋" w:cs="仿宋"/>
                <w:sz w:val="24"/>
                <w:szCs w:val="24"/>
                <w:rtl w:val="0"/>
                <w:cs w:val="0"/>
                <w:lang w:val="en-US" w:eastAsia="zh-CN"/>
              </w:rPr>
            </w:pPr>
            <w:r>
              <w:rPr>
                <w:rFonts w:hint="eastAsia" w:ascii="仿宋" w:hAnsi="仿宋" w:eastAsia="仿宋" w:cs="仿宋"/>
                <w:sz w:val="24"/>
                <w:szCs w:val="24"/>
                <w:rtl w:val="0"/>
                <w:cs w:val="0"/>
              </w:rPr>
              <w:t>根据《财政部关于在政府采购活动中查询及使用信用记录的通知》（财库</w:t>
            </w:r>
            <w:r>
              <w:rPr>
                <w:rFonts w:hint="eastAsia" w:ascii="仿宋" w:hAnsi="仿宋" w:eastAsia="仿宋" w:cs="仿宋"/>
                <w:sz w:val="24"/>
                <w:szCs w:val="24"/>
                <w:rtl w:val="0"/>
                <w:cs w:val="0"/>
                <w:lang w:eastAsia="zh-CN"/>
              </w:rPr>
              <w:t>〔2016〕125号</w:t>
            </w:r>
            <w:r>
              <w:rPr>
                <w:rFonts w:hint="eastAsia" w:ascii="仿宋" w:hAnsi="仿宋" w:eastAsia="仿宋" w:cs="仿宋"/>
                <w:sz w:val="24"/>
                <w:szCs w:val="24"/>
                <w:rtl w:val="0"/>
                <w:cs w:val="0"/>
              </w:rPr>
              <w:t>）的要求，拒绝列入失信被执行人、重大税收违法案件当事人名单、政府采购严重违法失信行为记录名单中的供应商参加本项目的采购活动</w:t>
            </w:r>
            <w:r>
              <w:rPr>
                <w:rFonts w:hint="eastAsia" w:ascii="仿宋" w:hAnsi="仿宋" w:eastAsia="仿宋" w:cs="仿宋"/>
                <w:sz w:val="24"/>
                <w:szCs w:val="24"/>
                <w:rtl w:val="0"/>
                <w:cs w:val="0"/>
                <w:lang w:eastAsia="zh-CN"/>
              </w:rPr>
              <w:t>。</w:t>
            </w:r>
          </w:p>
        </w:tc>
        <w:tc>
          <w:tcPr>
            <w:tcW w:w="3695" w:type="dxa"/>
            <w:vAlign w:val="center"/>
          </w:tcPr>
          <w:p w14:paraId="24698EAC">
            <w:pPr>
              <w:pageBreakBefore w:val="0"/>
              <w:kinsoku/>
              <w:wordWrap/>
              <w:overflowPunct/>
              <w:topLinePunct w:val="0"/>
              <w:autoSpaceDE/>
              <w:autoSpaceDN/>
              <w:bidi w:val="0"/>
              <w:adjustRightInd/>
              <w:spacing w:line="400" w:lineRule="exact"/>
              <w:rPr>
                <w:rFonts w:hint="eastAsia" w:ascii="仿宋" w:hAnsi="仿宋" w:eastAsia="仿宋" w:cs="仿宋"/>
                <w:sz w:val="24"/>
                <w:szCs w:val="24"/>
                <w:rtl w:val="0"/>
                <w:cs w:val="0"/>
                <w:lang w:val="en-US" w:eastAsia="zh-CN"/>
              </w:rPr>
            </w:pPr>
            <w:r>
              <w:rPr>
                <w:rFonts w:hint="eastAsia" w:ascii="仿宋" w:hAnsi="仿宋" w:eastAsia="仿宋" w:cs="仿宋"/>
                <w:sz w:val="24"/>
                <w:szCs w:val="24"/>
                <w:rtl w:val="0"/>
                <w:cs w:val="0"/>
                <w:lang w:val="en-US" w:eastAsia="zh-CN"/>
              </w:rPr>
              <w:t>提供查询结果截图。</w:t>
            </w:r>
          </w:p>
        </w:tc>
      </w:tr>
      <w:tr w14:paraId="247DB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40" w:type="dxa"/>
            <w:vAlign w:val="center"/>
          </w:tcPr>
          <w:p w14:paraId="1513967C">
            <w:pPr>
              <w:pageBreakBefore w:val="0"/>
              <w:kinsoku/>
              <w:wordWrap/>
              <w:overflowPunct/>
              <w:topLinePunct w:val="0"/>
              <w:autoSpaceDE/>
              <w:autoSpaceDN/>
              <w:bidi w:val="0"/>
              <w:adjustRightInd/>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4857" w:type="dxa"/>
            <w:vAlign w:val="center"/>
          </w:tcPr>
          <w:p w14:paraId="1AA5826E">
            <w:pPr>
              <w:pageBreakBefore w:val="0"/>
              <w:kinsoku/>
              <w:wordWrap/>
              <w:overflowPunct/>
              <w:topLinePunct w:val="0"/>
              <w:autoSpaceDE/>
              <w:autoSpaceDN/>
              <w:bidi w:val="0"/>
              <w:adjustRightInd/>
              <w:spacing w:line="400" w:lineRule="exact"/>
              <w:rPr>
                <w:rFonts w:hint="eastAsia" w:ascii="仿宋" w:hAnsi="仿宋" w:eastAsia="仿宋" w:cs="仿宋"/>
                <w:sz w:val="24"/>
                <w:szCs w:val="24"/>
                <w:rtl w:val="0"/>
                <w:cs w:val="0"/>
                <w:lang w:val="en-US" w:eastAsia="zh-CN"/>
              </w:rPr>
            </w:pPr>
            <w:r>
              <w:rPr>
                <w:rFonts w:hint="eastAsia" w:ascii="仿宋" w:hAnsi="仿宋" w:eastAsia="仿宋" w:cs="仿宋"/>
                <w:sz w:val="24"/>
                <w:szCs w:val="24"/>
                <w:rtl w:val="0"/>
                <w:cs w:val="0"/>
              </w:rPr>
              <w:t>本项目不接受联合体参加</w:t>
            </w:r>
            <w:r>
              <w:rPr>
                <w:rFonts w:hint="eastAsia" w:ascii="仿宋" w:hAnsi="仿宋" w:eastAsia="仿宋" w:cs="仿宋"/>
                <w:sz w:val="24"/>
                <w:szCs w:val="24"/>
                <w:rtl w:val="0"/>
                <w:cs w:val="0"/>
                <w:lang w:val="en-US" w:eastAsia="zh-CN"/>
              </w:rPr>
              <w:t>网上采购</w:t>
            </w:r>
            <w:r>
              <w:rPr>
                <w:rFonts w:hint="eastAsia" w:ascii="仿宋" w:hAnsi="仿宋" w:eastAsia="仿宋" w:cs="仿宋"/>
                <w:sz w:val="24"/>
                <w:szCs w:val="24"/>
                <w:rtl w:val="0"/>
                <w:cs w:val="0"/>
              </w:rPr>
              <w:t>活动</w:t>
            </w:r>
            <w:r>
              <w:rPr>
                <w:rFonts w:hint="eastAsia" w:ascii="仿宋" w:hAnsi="仿宋" w:eastAsia="仿宋" w:cs="仿宋"/>
                <w:sz w:val="24"/>
                <w:szCs w:val="24"/>
                <w:rtl w:val="0"/>
                <w:cs w:val="0"/>
                <w:lang w:eastAsia="zh-CN"/>
              </w:rPr>
              <w:t>，</w:t>
            </w:r>
            <w:r>
              <w:rPr>
                <w:rFonts w:hint="eastAsia" w:ascii="仿宋" w:hAnsi="仿宋" w:eastAsia="仿宋" w:cs="仿宋"/>
                <w:sz w:val="24"/>
                <w:szCs w:val="24"/>
                <w:rtl w:val="0"/>
                <w:cs w:val="0"/>
                <w:lang w:val="en-US" w:eastAsia="zh-CN"/>
              </w:rPr>
              <w:t>中标人不得分包或转包。</w:t>
            </w:r>
          </w:p>
        </w:tc>
        <w:tc>
          <w:tcPr>
            <w:tcW w:w="3695" w:type="dxa"/>
            <w:vAlign w:val="center"/>
          </w:tcPr>
          <w:p w14:paraId="129B7484">
            <w:pPr>
              <w:pageBreakBefore w:val="0"/>
              <w:kinsoku/>
              <w:wordWrap/>
              <w:overflowPunct/>
              <w:topLinePunct w:val="0"/>
              <w:autoSpaceDE/>
              <w:autoSpaceDN/>
              <w:bidi w:val="0"/>
              <w:adjustRightInd/>
              <w:spacing w:line="400" w:lineRule="exact"/>
              <w:rPr>
                <w:rFonts w:hint="eastAsia" w:ascii="仿宋" w:hAnsi="仿宋" w:eastAsia="仿宋" w:cs="仿宋"/>
                <w:sz w:val="24"/>
                <w:szCs w:val="24"/>
                <w:rtl w:val="0"/>
                <w:cs w:val="0"/>
                <w:lang w:val="en-US" w:eastAsia="zh-CN"/>
              </w:rPr>
            </w:pPr>
            <w:r>
              <w:rPr>
                <w:rFonts w:hint="eastAsia" w:ascii="仿宋" w:hAnsi="仿宋" w:eastAsia="仿宋" w:cs="仿宋"/>
                <w:sz w:val="24"/>
                <w:szCs w:val="24"/>
                <w:rtl w:val="0"/>
                <w:cs w:val="0"/>
                <w:lang w:val="en-US" w:eastAsia="zh-CN"/>
              </w:rPr>
              <w:t>提供承诺函。</w:t>
            </w:r>
          </w:p>
        </w:tc>
      </w:tr>
    </w:tbl>
    <w:p w14:paraId="40693AE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w:t>
      </w:r>
      <w:r>
        <w:rPr>
          <w:rFonts w:hint="eastAsia" w:ascii="仿宋" w:hAnsi="仿宋" w:eastAsia="仿宋" w:cs="仿宋"/>
          <w:sz w:val="24"/>
          <w:szCs w:val="24"/>
        </w:rPr>
        <w:t>符合性检查</w:t>
      </w:r>
      <w:r>
        <w:rPr>
          <w:rFonts w:hint="eastAsia" w:ascii="仿宋" w:hAnsi="仿宋" w:eastAsia="仿宋" w:cs="仿宋"/>
          <w:sz w:val="24"/>
          <w:szCs w:val="24"/>
          <w:lang w:val="en-US" w:eastAsia="zh-CN"/>
        </w:rPr>
        <w:t>要素</w:t>
      </w:r>
    </w:p>
    <w:tbl>
      <w:tblPr>
        <w:tblStyle w:val="58"/>
        <w:tblW w:w="9405" w:type="dxa"/>
        <w:tblInd w:w="-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235"/>
        <w:gridCol w:w="2321"/>
        <w:gridCol w:w="3979"/>
      </w:tblGrid>
      <w:tr w14:paraId="57FF2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70" w:type="dxa"/>
            <w:vAlign w:val="center"/>
          </w:tcPr>
          <w:p w14:paraId="2A7CFBDF">
            <w:pPr>
              <w:pageBreakBefore w:val="0"/>
              <w:kinsoku/>
              <w:wordWrap/>
              <w:overflowPunct/>
              <w:topLinePunct w:val="0"/>
              <w:autoSpaceDE/>
              <w:autoSpaceDN/>
              <w:bidi w:val="0"/>
              <w:adjustRightInd/>
              <w:spacing w:line="40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4556" w:type="dxa"/>
            <w:gridSpan w:val="2"/>
            <w:vAlign w:val="center"/>
          </w:tcPr>
          <w:p w14:paraId="345E9C43">
            <w:pPr>
              <w:pageBreakBefore w:val="0"/>
              <w:kinsoku/>
              <w:wordWrap/>
              <w:overflowPunct/>
              <w:topLinePunct w:val="0"/>
              <w:autoSpaceDE/>
              <w:autoSpaceDN/>
              <w:bidi w:val="0"/>
              <w:adjustRightInd/>
              <w:spacing w:line="400" w:lineRule="exact"/>
              <w:jc w:val="center"/>
              <w:rPr>
                <w:rFonts w:hint="eastAsia" w:ascii="仿宋" w:hAnsi="仿宋" w:eastAsia="仿宋" w:cs="仿宋"/>
                <w:sz w:val="24"/>
                <w:szCs w:val="24"/>
              </w:rPr>
            </w:pPr>
            <w:r>
              <w:rPr>
                <w:rFonts w:hint="eastAsia" w:ascii="仿宋" w:hAnsi="仿宋" w:eastAsia="仿宋" w:cs="仿宋"/>
                <w:sz w:val="24"/>
                <w:szCs w:val="24"/>
              </w:rPr>
              <w:t>评审因素</w:t>
            </w:r>
          </w:p>
        </w:tc>
        <w:tc>
          <w:tcPr>
            <w:tcW w:w="3979" w:type="dxa"/>
            <w:vAlign w:val="center"/>
          </w:tcPr>
          <w:p w14:paraId="0CFA37D3">
            <w:pPr>
              <w:pageBreakBefore w:val="0"/>
              <w:kinsoku/>
              <w:wordWrap/>
              <w:overflowPunct/>
              <w:topLinePunct w:val="0"/>
              <w:autoSpaceDE/>
              <w:autoSpaceDN/>
              <w:bidi w:val="0"/>
              <w:adjustRightInd/>
              <w:spacing w:line="400" w:lineRule="exact"/>
              <w:jc w:val="center"/>
              <w:rPr>
                <w:rFonts w:hint="eastAsia" w:ascii="仿宋" w:hAnsi="仿宋" w:eastAsia="仿宋" w:cs="仿宋"/>
                <w:sz w:val="24"/>
                <w:szCs w:val="24"/>
              </w:rPr>
            </w:pPr>
            <w:r>
              <w:rPr>
                <w:rFonts w:hint="eastAsia" w:ascii="仿宋" w:hAnsi="仿宋" w:eastAsia="仿宋" w:cs="仿宋"/>
                <w:sz w:val="24"/>
                <w:szCs w:val="24"/>
              </w:rPr>
              <w:t>评审标准</w:t>
            </w:r>
          </w:p>
        </w:tc>
      </w:tr>
      <w:tr w14:paraId="0055B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70" w:type="dxa"/>
            <w:vMerge w:val="restart"/>
            <w:vAlign w:val="center"/>
          </w:tcPr>
          <w:p w14:paraId="0641EABE">
            <w:pPr>
              <w:pageBreakBefore w:val="0"/>
              <w:kinsoku/>
              <w:wordWrap/>
              <w:overflowPunct/>
              <w:topLinePunct w:val="0"/>
              <w:autoSpaceDE/>
              <w:autoSpaceDN/>
              <w:bidi w:val="0"/>
              <w:adjustRightInd/>
              <w:spacing w:line="40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2235" w:type="dxa"/>
            <w:vMerge w:val="restart"/>
            <w:vAlign w:val="center"/>
          </w:tcPr>
          <w:p w14:paraId="14584F9D">
            <w:pPr>
              <w:pageBreakBefore w:val="0"/>
              <w:kinsoku/>
              <w:wordWrap/>
              <w:overflowPunct/>
              <w:topLinePunct w:val="0"/>
              <w:autoSpaceDE/>
              <w:autoSpaceDN/>
              <w:bidi w:val="0"/>
              <w:adjustRightInd/>
              <w:spacing w:line="400" w:lineRule="exact"/>
              <w:rPr>
                <w:rFonts w:hint="eastAsia" w:ascii="仿宋" w:hAnsi="仿宋" w:eastAsia="仿宋" w:cs="仿宋"/>
                <w:sz w:val="24"/>
                <w:szCs w:val="24"/>
              </w:rPr>
            </w:pPr>
            <w:r>
              <w:rPr>
                <w:rFonts w:hint="eastAsia" w:ascii="仿宋" w:hAnsi="仿宋" w:eastAsia="仿宋" w:cs="仿宋"/>
                <w:sz w:val="24"/>
                <w:szCs w:val="24"/>
              </w:rPr>
              <w:t>有效性审查</w:t>
            </w:r>
          </w:p>
        </w:tc>
        <w:tc>
          <w:tcPr>
            <w:tcW w:w="2321" w:type="dxa"/>
            <w:vAlign w:val="center"/>
          </w:tcPr>
          <w:p w14:paraId="44DAAFD9">
            <w:pPr>
              <w:pageBreakBefore w:val="0"/>
              <w:kinsoku/>
              <w:wordWrap/>
              <w:overflowPunct/>
              <w:topLinePunct w:val="0"/>
              <w:autoSpaceDE/>
              <w:autoSpaceDN/>
              <w:bidi w:val="0"/>
              <w:adjustRightInd/>
              <w:spacing w:line="400" w:lineRule="exact"/>
              <w:rPr>
                <w:rFonts w:hint="eastAsia" w:ascii="仿宋" w:hAnsi="仿宋" w:eastAsia="仿宋" w:cs="仿宋"/>
                <w:sz w:val="24"/>
                <w:szCs w:val="24"/>
              </w:rPr>
            </w:pPr>
            <w:r>
              <w:rPr>
                <w:rFonts w:hint="eastAsia" w:ascii="仿宋" w:hAnsi="仿宋" w:eastAsia="仿宋" w:cs="仿宋"/>
                <w:sz w:val="24"/>
                <w:szCs w:val="24"/>
              </w:rPr>
              <w:t>投标文件签署</w:t>
            </w:r>
          </w:p>
        </w:tc>
        <w:tc>
          <w:tcPr>
            <w:tcW w:w="3979" w:type="dxa"/>
            <w:vAlign w:val="center"/>
          </w:tcPr>
          <w:p w14:paraId="02E4877E">
            <w:pPr>
              <w:pageBreakBefore w:val="0"/>
              <w:kinsoku/>
              <w:wordWrap/>
              <w:overflowPunct/>
              <w:topLinePunct w:val="0"/>
              <w:autoSpaceDE/>
              <w:autoSpaceDN/>
              <w:bidi w:val="0"/>
              <w:adjustRightInd/>
              <w:spacing w:line="400" w:lineRule="exact"/>
              <w:rPr>
                <w:rFonts w:hint="eastAsia" w:ascii="仿宋" w:hAnsi="仿宋" w:eastAsia="仿宋" w:cs="仿宋"/>
                <w:sz w:val="24"/>
                <w:szCs w:val="24"/>
              </w:rPr>
            </w:pPr>
            <w:r>
              <w:rPr>
                <w:rFonts w:hint="eastAsia" w:ascii="仿宋" w:hAnsi="仿宋" w:eastAsia="仿宋" w:cs="仿宋"/>
                <w:sz w:val="24"/>
                <w:szCs w:val="24"/>
              </w:rPr>
              <w:t>投标文件上法定代表人或其授权代表人的签字或盖章齐全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响应文件</w:t>
            </w:r>
            <w:r>
              <w:rPr>
                <w:rFonts w:hint="eastAsia" w:ascii="仿宋" w:hAnsi="仿宋" w:eastAsia="仿宋" w:cs="仿宋"/>
                <w:sz w:val="24"/>
                <w:szCs w:val="24"/>
              </w:rPr>
              <w:t>盖章齐全。</w:t>
            </w:r>
          </w:p>
        </w:tc>
      </w:tr>
      <w:tr w14:paraId="1890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vAlign w:val="center"/>
          </w:tcPr>
          <w:p w14:paraId="341FF554">
            <w:pPr>
              <w:pageBreakBefore w:val="0"/>
              <w:kinsoku/>
              <w:wordWrap/>
              <w:overflowPunct/>
              <w:topLinePunct w:val="0"/>
              <w:autoSpaceDE/>
              <w:autoSpaceDN/>
              <w:bidi w:val="0"/>
              <w:adjustRightInd/>
              <w:spacing w:line="400" w:lineRule="exact"/>
              <w:jc w:val="center"/>
              <w:rPr>
                <w:rFonts w:hint="eastAsia" w:ascii="仿宋" w:hAnsi="仿宋" w:eastAsia="仿宋" w:cs="仿宋"/>
                <w:sz w:val="24"/>
                <w:szCs w:val="24"/>
              </w:rPr>
            </w:pPr>
          </w:p>
        </w:tc>
        <w:tc>
          <w:tcPr>
            <w:tcW w:w="2235" w:type="dxa"/>
            <w:vMerge w:val="continue"/>
            <w:vAlign w:val="center"/>
          </w:tcPr>
          <w:p w14:paraId="45EE0C16">
            <w:pPr>
              <w:pageBreakBefore w:val="0"/>
              <w:kinsoku/>
              <w:wordWrap/>
              <w:overflowPunct/>
              <w:topLinePunct w:val="0"/>
              <w:autoSpaceDE/>
              <w:autoSpaceDN/>
              <w:bidi w:val="0"/>
              <w:adjustRightInd/>
              <w:spacing w:line="400" w:lineRule="exact"/>
              <w:rPr>
                <w:rFonts w:hint="eastAsia" w:ascii="仿宋" w:hAnsi="仿宋" w:eastAsia="仿宋" w:cs="仿宋"/>
                <w:sz w:val="24"/>
                <w:szCs w:val="24"/>
              </w:rPr>
            </w:pPr>
          </w:p>
        </w:tc>
        <w:tc>
          <w:tcPr>
            <w:tcW w:w="2321" w:type="dxa"/>
            <w:vAlign w:val="center"/>
          </w:tcPr>
          <w:p w14:paraId="1C541ECB">
            <w:pPr>
              <w:pageBreakBefore w:val="0"/>
              <w:kinsoku/>
              <w:wordWrap/>
              <w:overflowPunct/>
              <w:topLinePunct w:val="0"/>
              <w:autoSpaceDE/>
              <w:autoSpaceDN/>
              <w:bidi w:val="0"/>
              <w:adjustRightInd/>
              <w:spacing w:line="400" w:lineRule="exact"/>
              <w:rPr>
                <w:rFonts w:hint="eastAsia" w:ascii="仿宋" w:hAnsi="仿宋" w:eastAsia="仿宋" w:cs="仿宋"/>
                <w:sz w:val="24"/>
                <w:szCs w:val="24"/>
              </w:rPr>
            </w:pPr>
            <w:r>
              <w:rPr>
                <w:rFonts w:hint="eastAsia" w:ascii="仿宋" w:hAnsi="仿宋" w:eastAsia="仿宋" w:cs="仿宋"/>
                <w:sz w:val="24"/>
                <w:szCs w:val="24"/>
              </w:rPr>
              <w:t>投标服务方案</w:t>
            </w:r>
          </w:p>
        </w:tc>
        <w:tc>
          <w:tcPr>
            <w:tcW w:w="3979" w:type="dxa"/>
            <w:vAlign w:val="center"/>
          </w:tcPr>
          <w:p w14:paraId="59DEAE05">
            <w:pPr>
              <w:pageBreakBefore w:val="0"/>
              <w:kinsoku/>
              <w:wordWrap/>
              <w:overflowPunct/>
              <w:topLinePunct w:val="0"/>
              <w:autoSpaceDE/>
              <w:autoSpaceDN/>
              <w:bidi w:val="0"/>
              <w:adjustRightInd/>
              <w:spacing w:line="400" w:lineRule="exact"/>
              <w:rPr>
                <w:rFonts w:hint="eastAsia" w:ascii="仿宋" w:hAnsi="仿宋" w:eastAsia="仿宋" w:cs="仿宋"/>
                <w:sz w:val="24"/>
                <w:szCs w:val="24"/>
              </w:rPr>
            </w:pPr>
            <w:r>
              <w:rPr>
                <w:rFonts w:hint="eastAsia" w:ascii="仿宋" w:hAnsi="仿宋" w:eastAsia="仿宋" w:cs="仿宋"/>
                <w:sz w:val="24"/>
                <w:szCs w:val="24"/>
              </w:rPr>
              <w:t>只能有一个方案投标。</w:t>
            </w:r>
          </w:p>
        </w:tc>
      </w:tr>
      <w:tr w14:paraId="0C18E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0" w:type="dxa"/>
            <w:vMerge w:val="continue"/>
            <w:vAlign w:val="center"/>
          </w:tcPr>
          <w:p w14:paraId="766EA912">
            <w:pPr>
              <w:pageBreakBefore w:val="0"/>
              <w:kinsoku/>
              <w:wordWrap/>
              <w:overflowPunct/>
              <w:topLinePunct w:val="0"/>
              <w:autoSpaceDE/>
              <w:autoSpaceDN/>
              <w:bidi w:val="0"/>
              <w:adjustRightInd/>
              <w:spacing w:line="400" w:lineRule="exact"/>
              <w:jc w:val="center"/>
              <w:rPr>
                <w:rFonts w:hint="eastAsia" w:ascii="仿宋" w:hAnsi="仿宋" w:eastAsia="仿宋" w:cs="仿宋"/>
                <w:sz w:val="24"/>
                <w:szCs w:val="24"/>
              </w:rPr>
            </w:pPr>
          </w:p>
        </w:tc>
        <w:tc>
          <w:tcPr>
            <w:tcW w:w="2235" w:type="dxa"/>
            <w:vMerge w:val="continue"/>
            <w:vAlign w:val="center"/>
          </w:tcPr>
          <w:p w14:paraId="166BDBC5">
            <w:pPr>
              <w:pageBreakBefore w:val="0"/>
              <w:kinsoku/>
              <w:wordWrap/>
              <w:overflowPunct/>
              <w:topLinePunct w:val="0"/>
              <w:autoSpaceDE/>
              <w:autoSpaceDN/>
              <w:bidi w:val="0"/>
              <w:adjustRightInd/>
              <w:spacing w:line="400" w:lineRule="exact"/>
              <w:rPr>
                <w:rFonts w:hint="eastAsia" w:ascii="仿宋" w:hAnsi="仿宋" w:eastAsia="仿宋" w:cs="仿宋"/>
                <w:sz w:val="24"/>
                <w:szCs w:val="24"/>
              </w:rPr>
            </w:pPr>
          </w:p>
        </w:tc>
        <w:tc>
          <w:tcPr>
            <w:tcW w:w="2321" w:type="dxa"/>
            <w:vAlign w:val="center"/>
          </w:tcPr>
          <w:p w14:paraId="790A9AAA">
            <w:pPr>
              <w:pageBreakBefore w:val="0"/>
              <w:kinsoku/>
              <w:wordWrap/>
              <w:overflowPunct/>
              <w:topLinePunct w:val="0"/>
              <w:autoSpaceDE/>
              <w:autoSpaceDN/>
              <w:bidi w:val="0"/>
              <w:adjustRightInd/>
              <w:spacing w:line="400" w:lineRule="exact"/>
              <w:rPr>
                <w:rFonts w:hint="eastAsia" w:ascii="仿宋" w:hAnsi="仿宋" w:eastAsia="仿宋" w:cs="仿宋"/>
                <w:sz w:val="24"/>
                <w:szCs w:val="24"/>
              </w:rPr>
            </w:pPr>
            <w:r>
              <w:rPr>
                <w:rFonts w:hint="eastAsia" w:ascii="仿宋" w:hAnsi="仿宋" w:eastAsia="仿宋" w:cs="仿宋"/>
                <w:sz w:val="24"/>
                <w:szCs w:val="24"/>
              </w:rPr>
              <w:t>报价唯一</w:t>
            </w:r>
          </w:p>
        </w:tc>
        <w:tc>
          <w:tcPr>
            <w:tcW w:w="3979" w:type="dxa"/>
            <w:vAlign w:val="center"/>
          </w:tcPr>
          <w:p w14:paraId="3C32FDA1">
            <w:pPr>
              <w:pageBreakBefore w:val="0"/>
              <w:kinsoku/>
              <w:wordWrap/>
              <w:overflowPunct/>
              <w:topLinePunct w:val="0"/>
              <w:autoSpaceDE/>
              <w:autoSpaceDN/>
              <w:bidi w:val="0"/>
              <w:adjustRightInd/>
              <w:spacing w:line="400" w:lineRule="exact"/>
              <w:rPr>
                <w:rFonts w:hint="eastAsia" w:ascii="仿宋" w:hAnsi="仿宋" w:eastAsia="仿宋" w:cs="仿宋"/>
                <w:sz w:val="24"/>
                <w:szCs w:val="24"/>
              </w:rPr>
            </w:pPr>
            <w:r>
              <w:rPr>
                <w:rFonts w:hint="eastAsia" w:ascii="仿宋" w:hAnsi="仿宋" w:eastAsia="仿宋" w:cs="仿宋"/>
                <w:sz w:val="24"/>
                <w:szCs w:val="24"/>
              </w:rPr>
              <w:t>本项目预算金额受格式所限为虚拟金额，价格不作竞争，所有供应商报价均为1元，否则视为响应无效。</w:t>
            </w:r>
          </w:p>
        </w:tc>
      </w:tr>
      <w:tr w14:paraId="658A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870" w:type="dxa"/>
            <w:vAlign w:val="center"/>
          </w:tcPr>
          <w:p w14:paraId="60F255D5">
            <w:pPr>
              <w:pageBreakBefore w:val="0"/>
              <w:kinsoku/>
              <w:wordWrap/>
              <w:overflowPunct/>
              <w:topLinePunct w:val="0"/>
              <w:autoSpaceDE/>
              <w:autoSpaceDN/>
              <w:bidi w:val="0"/>
              <w:adjustRightInd/>
              <w:spacing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2235" w:type="dxa"/>
            <w:vAlign w:val="center"/>
          </w:tcPr>
          <w:p w14:paraId="3A80F0CE">
            <w:pPr>
              <w:pageBreakBefore w:val="0"/>
              <w:kinsoku/>
              <w:wordWrap/>
              <w:overflowPunct/>
              <w:topLinePunct w:val="0"/>
              <w:autoSpaceDE/>
              <w:autoSpaceDN/>
              <w:bidi w:val="0"/>
              <w:adjustRightInd/>
              <w:spacing w:line="400" w:lineRule="exact"/>
              <w:rPr>
                <w:rFonts w:hint="eastAsia" w:ascii="仿宋" w:hAnsi="仿宋" w:eastAsia="仿宋" w:cs="仿宋"/>
                <w:sz w:val="24"/>
                <w:szCs w:val="24"/>
              </w:rPr>
            </w:pPr>
            <w:r>
              <w:rPr>
                <w:rFonts w:hint="eastAsia" w:ascii="仿宋" w:hAnsi="仿宋" w:eastAsia="仿宋" w:cs="仿宋"/>
                <w:sz w:val="24"/>
                <w:szCs w:val="24"/>
              </w:rPr>
              <w:t>完整性审查</w:t>
            </w:r>
          </w:p>
        </w:tc>
        <w:tc>
          <w:tcPr>
            <w:tcW w:w="2321" w:type="dxa"/>
            <w:vAlign w:val="center"/>
          </w:tcPr>
          <w:p w14:paraId="0BC0BBD7">
            <w:pPr>
              <w:pageBreakBefore w:val="0"/>
              <w:kinsoku/>
              <w:wordWrap/>
              <w:overflowPunct/>
              <w:topLinePunct w:val="0"/>
              <w:autoSpaceDE/>
              <w:autoSpaceDN/>
              <w:bidi w:val="0"/>
              <w:adjustRightInd/>
              <w:spacing w:line="400" w:lineRule="exact"/>
              <w:rPr>
                <w:rFonts w:hint="eastAsia" w:ascii="仿宋" w:hAnsi="仿宋" w:eastAsia="仿宋" w:cs="仿宋"/>
                <w:sz w:val="24"/>
                <w:szCs w:val="24"/>
              </w:rPr>
            </w:pPr>
            <w:r>
              <w:rPr>
                <w:rFonts w:hint="eastAsia" w:ascii="仿宋" w:hAnsi="仿宋" w:eastAsia="仿宋" w:cs="仿宋"/>
                <w:sz w:val="24"/>
                <w:szCs w:val="24"/>
              </w:rPr>
              <w:t>投标文件内容</w:t>
            </w:r>
          </w:p>
        </w:tc>
        <w:tc>
          <w:tcPr>
            <w:tcW w:w="3979" w:type="dxa"/>
            <w:vAlign w:val="center"/>
          </w:tcPr>
          <w:p w14:paraId="661C6F93">
            <w:pPr>
              <w:pageBreakBefore w:val="0"/>
              <w:kinsoku/>
              <w:wordWrap/>
              <w:overflowPunct/>
              <w:topLinePunct w:val="0"/>
              <w:autoSpaceDE/>
              <w:autoSpaceDN/>
              <w:bidi w:val="0"/>
              <w:adjustRightInd/>
              <w:spacing w:line="400" w:lineRule="exact"/>
              <w:rPr>
                <w:rFonts w:hint="eastAsia" w:ascii="仿宋" w:hAnsi="仿宋" w:eastAsia="仿宋" w:cs="仿宋"/>
                <w:sz w:val="24"/>
                <w:szCs w:val="24"/>
              </w:rPr>
            </w:pPr>
            <w:r>
              <w:rPr>
                <w:rFonts w:hint="eastAsia" w:ascii="仿宋" w:hAnsi="仿宋" w:eastAsia="仿宋" w:cs="仿宋"/>
                <w:sz w:val="24"/>
                <w:szCs w:val="24"/>
              </w:rPr>
              <w:t>投标文件内容齐全、无遗漏。</w:t>
            </w:r>
          </w:p>
        </w:tc>
      </w:tr>
      <w:tr w14:paraId="67BE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70" w:type="dxa"/>
            <w:vMerge w:val="restart"/>
            <w:vAlign w:val="center"/>
          </w:tcPr>
          <w:p w14:paraId="631D3BEB">
            <w:pPr>
              <w:pageBreakBefore w:val="0"/>
              <w:kinsoku/>
              <w:wordWrap/>
              <w:overflowPunct/>
              <w:topLinePunct w:val="0"/>
              <w:autoSpaceDE/>
              <w:autoSpaceDN/>
              <w:bidi w:val="0"/>
              <w:adjustRightInd/>
              <w:spacing w:line="40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2235" w:type="dxa"/>
            <w:vMerge w:val="restart"/>
            <w:vAlign w:val="center"/>
          </w:tcPr>
          <w:p w14:paraId="44C53E67">
            <w:pPr>
              <w:pageBreakBefore w:val="0"/>
              <w:kinsoku/>
              <w:wordWrap/>
              <w:overflowPunct/>
              <w:topLinePunct w:val="0"/>
              <w:autoSpaceDE/>
              <w:autoSpaceDN/>
              <w:bidi w:val="0"/>
              <w:adjustRightInd/>
              <w:spacing w:line="400" w:lineRule="exact"/>
              <w:rPr>
                <w:rFonts w:hint="eastAsia" w:ascii="仿宋" w:hAnsi="仿宋" w:eastAsia="仿宋" w:cs="仿宋"/>
                <w:sz w:val="24"/>
                <w:szCs w:val="24"/>
              </w:rPr>
            </w:pPr>
            <w:r>
              <w:rPr>
                <w:rFonts w:hint="eastAsia" w:ascii="仿宋" w:hAnsi="仿宋" w:eastAsia="仿宋" w:cs="仿宋"/>
                <w:sz w:val="24"/>
                <w:szCs w:val="24"/>
              </w:rPr>
              <w:t>招标文件的响应程度审查</w:t>
            </w:r>
          </w:p>
        </w:tc>
        <w:tc>
          <w:tcPr>
            <w:tcW w:w="2321" w:type="dxa"/>
            <w:vAlign w:val="center"/>
          </w:tcPr>
          <w:p w14:paraId="2BA3DF27">
            <w:pPr>
              <w:pageBreakBefore w:val="0"/>
              <w:kinsoku/>
              <w:wordWrap/>
              <w:overflowPunct/>
              <w:topLinePunct w:val="0"/>
              <w:autoSpaceDE/>
              <w:autoSpaceDN/>
              <w:bidi w:val="0"/>
              <w:adjustRightInd/>
              <w:spacing w:line="400" w:lineRule="exact"/>
              <w:rPr>
                <w:rFonts w:hint="eastAsia" w:ascii="仿宋" w:hAnsi="仿宋" w:eastAsia="仿宋" w:cs="仿宋"/>
                <w:sz w:val="24"/>
                <w:szCs w:val="24"/>
              </w:rPr>
            </w:pPr>
            <w:r>
              <w:rPr>
                <w:rFonts w:hint="eastAsia" w:ascii="仿宋" w:hAnsi="仿宋" w:eastAsia="仿宋" w:cs="仿宋"/>
                <w:sz w:val="24"/>
                <w:szCs w:val="24"/>
              </w:rPr>
              <w:t>投标文件内容</w:t>
            </w:r>
          </w:p>
        </w:tc>
        <w:tc>
          <w:tcPr>
            <w:tcW w:w="3979" w:type="dxa"/>
            <w:vAlign w:val="center"/>
          </w:tcPr>
          <w:p w14:paraId="56BC19EB">
            <w:pPr>
              <w:pageBreakBefore w:val="0"/>
              <w:kinsoku/>
              <w:wordWrap/>
              <w:overflowPunct/>
              <w:topLinePunct w:val="0"/>
              <w:autoSpaceDE/>
              <w:autoSpaceDN/>
              <w:bidi w:val="0"/>
              <w:adjustRightInd/>
              <w:spacing w:line="400" w:lineRule="exact"/>
              <w:rPr>
                <w:rFonts w:hint="eastAsia" w:ascii="仿宋" w:hAnsi="仿宋" w:eastAsia="仿宋" w:cs="仿宋"/>
                <w:sz w:val="24"/>
                <w:szCs w:val="24"/>
              </w:rPr>
            </w:pPr>
            <w:r>
              <w:rPr>
                <w:rFonts w:hint="eastAsia" w:ascii="仿宋" w:hAnsi="仿宋" w:eastAsia="仿宋" w:cs="仿宋"/>
                <w:sz w:val="24"/>
                <w:szCs w:val="24"/>
              </w:rPr>
              <w:t>对招标文件第四条作实质性响应</w:t>
            </w:r>
            <w:r>
              <w:rPr>
                <w:rFonts w:hint="eastAsia" w:ascii="仿宋" w:hAnsi="仿宋" w:eastAsia="仿宋" w:cs="仿宋"/>
                <w:sz w:val="24"/>
                <w:szCs w:val="24"/>
                <w:lang w:eastAsia="zh-CN"/>
              </w:rPr>
              <w:t>（提供承诺函）</w:t>
            </w:r>
            <w:r>
              <w:rPr>
                <w:rFonts w:hint="eastAsia" w:ascii="仿宋" w:hAnsi="仿宋" w:eastAsia="仿宋" w:cs="仿宋"/>
                <w:sz w:val="24"/>
                <w:szCs w:val="24"/>
              </w:rPr>
              <w:t>。</w:t>
            </w:r>
          </w:p>
        </w:tc>
      </w:tr>
      <w:tr w14:paraId="7815B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70" w:type="dxa"/>
            <w:vMerge w:val="continue"/>
            <w:vAlign w:val="center"/>
          </w:tcPr>
          <w:p w14:paraId="40BF0810">
            <w:pPr>
              <w:pageBreakBefore w:val="0"/>
              <w:kinsoku/>
              <w:wordWrap/>
              <w:overflowPunct/>
              <w:topLinePunct w:val="0"/>
              <w:autoSpaceDE/>
              <w:autoSpaceDN/>
              <w:bidi w:val="0"/>
              <w:adjustRightInd/>
              <w:spacing w:line="400" w:lineRule="exact"/>
              <w:rPr>
                <w:rFonts w:hint="eastAsia" w:ascii="仿宋" w:hAnsi="仿宋" w:eastAsia="仿宋" w:cs="仿宋"/>
                <w:sz w:val="24"/>
                <w:szCs w:val="24"/>
              </w:rPr>
            </w:pPr>
          </w:p>
        </w:tc>
        <w:tc>
          <w:tcPr>
            <w:tcW w:w="2235" w:type="dxa"/>
            <w:vMerge w:val="continue"/>
            <w:vAlign w:val="center"/>
          </w:tcPr>
          <w:p w14:paraId="3564D327">
            <w:pPr>
              <w:pageBreakBefore w:val="0"/>
              <w:kinsoku/>
              <w:wordWrap/>
              <w:overflowPunct/>
              <w:topLinePunct w:val="0"/>
              <w:autoSpaceDE/>
              <w:autoSpaceDN/>
              <w:bidi w:val="0"/>
              <w:adjustRightInd/>
              <w:spacing w:line="400" w:lineRule="exact"/>
              <w:rPr>
                <w:rFonts w:hint="eastAsia" w:ascii="仿宋" w:hAnsi="仿宋" w:eastAsia="仿宋" w:cs="仿宋"/>
                <w:sz w:val="24"/>
                <w:szCs w:val="24"/>
              </w:rPr>
            </w:pPr>
          </w:p>
        </w:tc>
        <w:tc>
          <w:tcPr>
            <w:tcW w:w="2321" w:type="dxa"/>
            <w:vAlign w:val="center"/>
          </w:tcPr>
          <w:p w14:paraId="4B7BCCFF">
            <w:pPr>
              <w:pageBreakBefore w:val="0"/>
              <w:kinsoku/>
              <w:wordWrap/>
              <w:overflowPunct/>
              <w:topLinePunct w:val="0"/>
              <w:autoSpaceDE/>
              <w:autoSpaceDN/>
              <w:bidi w:val="0"/>
              <w:adjustRightInd/>
              <w:spacing w:line="400" w:lineRule="exact"/>
              <w:rPr>
                <w:rFonts w:hint="eastAsia" w:ascii="仿宋" w:hAnsi="仿宋" w:eastAsia="仿宋" w:cs="仿宋"/>
                <w:sz w:val="24"/>
                <w:szCs w:val="24"/>
              </w:rPr>
            </w:pPr>
            <w:r>
              <w:rPr>
                <w:rFonts w:hint="eastAsia" w:ascii="仿宋" w:hAnsi="仿宋" w:eastAsia="仿宋" w:cs="仿宋"/>
                <w:sz w:val="24"/>
                <w:szCs w:val="24"/>
              </w:rPr>
              <w:t>投标有效期</w:t>
            </w:r>
          </w:p>
        </w:tc>
        <w:tc>
          <w:tcPr>
            <w:tcW w:w="3979" w:type="dxa"/>
            <w:vAlign w:val="center"/>
          </w:tcPr>
          <w:p w14:paraId="7B1D0FD3">
            <w:pPr>
              <w:pageBreakBefore w:val="0"/>
              <w:kinsoku/>
              <w:wordWrap/>
              <w:overflowPunct/>
              <w:topLinePunct w:val="0"/>
              <w:autoSpaceDE/>
              <w:autoSpaceDN/>
              <w:bidi w:val="0"/>
              <w:adjustRightInd/>
              <w:spacing w:line="400" w:lineRule="exact"/>
              <w:rPr>
                <w:rFonts w:hint="eastAsia" w:ascii="仿宋" w:hAnsi="仿宋" w:eastAsia="仿宋" w:cs="仿宋"/>
                <w:sz w:val="24"/>
                <w:szCs w:val="24"/>
              </w:rPr>
            </w:pPr>
            <w:r>
              <w:rPr>
                <w:rFonts w:hint="eastAsia" w:ascii="仿宋" w:hAnsi="仿宋" w:eastAsia="仿宋" w:cs="仿宋"/>
                <w:sz w:val="24"/>
                <w:szCs w:val="24"/>
              </w:rPr>
              <w:t>满足招标文件规定。</w:t>
            </w:r>
          </w:p>
        </w:tc>
      </w:tr>
    </w:tbl>
    <w:p w14:paraId="3186403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六</w:t>
      </w:r>
      <w:r>
        <w:rPr>
          <w:rFonts w:hint="eastAsia" w:ascii="仿宋" w:hAnsi="仿宋" w:eastAsia="仿宋" w:cs="仿宋"/>
          <w:sz w:val="24"/>
          <w:szCs w:val="24"/>
        </w:rPr>
        <w:t>）无论结果如何，供应商参与本项目的所有费用均自行承担。</w:t>
      </w:r>
    </w:p>
    <w:p w14:paraId="7F939547">
      <w:pPr>
        <w:pStyle w:val="2"/>
        <w:pageBreakBefore w:val="0"/>
        <w:kinsoku/>
        <w:wordWrap/>
        <w:overflowPunct/>
        <w:topLinePunct w:val="0"/>
        <w:autoSpaceDE/>
        <w:autoSpaceDN/>
        <w:bidi w:val="0"/>
        <w:adjustRightInd/>
        <w:spacing w:before="0" w:after="0"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九、其他</w:t>
      </w:r>
    </w:p>
    <w:p w14:paraId="1A8FCC3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其他未尽事宜由供需双方在采购合同中详细约定。</w:t>
      </w:r>
    </w:p>
    <w:p w14:paraId="01D078AC">
      <w:pPr>
        <w:pStyle w:val="2"/>
        <w:pageBreakBefore w:val="0"/>
        <w:kinsoku/>
        <w:wordWrap/>
        <w:overflowPunct/>
        <w:topLinePunct w:val="0"/>
        <w:autoSpaceDE/>
        <w:autoSpaceDN/>
        <w:bidi w:val="0"/>
        <w:adjustRightInd/>
        <w:spacing w:before="0" w:after="0" w:line="400" w:lineRule="exact"/>
        <w:rPr>
          <w:rFonts w:hint="eastAsia" w:ascii="仿宋" w:hAnsi="仿宋" w:eastAsia="仿宋" w:cs="仿宋"/>
          <w:b w:val="0"/>
          <w:color w:val="000000"/>
          <w:sz w:val="24"/>
          <w:szCs w:val="24"/>
        </w:rPr>
      </w:pPr>
      <w:r>
        <w:rPr>
          <w:rFonts w:hint="eastAsia" w:ascii="仿宋" w:hAnsi="仿宋" w:eastAsia="仿宋" w:cs="仿宋"/>
          <w:bCs/>
          <w:color w:val="000000"/>
          <w:sz w:val="24"/>
          <w:szCs w:val="24"/>
        </w:rPr>
        <w:t>十、供应商提交响应文件</w:t>
      </w:r>
    </w:p>
    <w:p w14:paraId="481778B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（一）供应商线上报名、报价时需上传盖章后的电子文档一份。</w:t>
      </w:r>
    </w:p>
    <w:p w14:paraId="029BBF8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（二）采购人将以平台的线上资料作为评判依据。</w:t>
      </w:r>
    </w:p>
    <w:p w14:paraId="250EFF2B">
      <w:pPr>
        <w:pStyle w:val="2"/>
        <w:pageBreakBefore w:val="0"/>
        <w:kinsoku/>
        <w:wordWrap/>
        <w:overflowPunct/>
        <w:topLinePunct w:val="0"/>
        <w:autoSpaceDE/>
        <w:autoSpaceDN/>
        <w:bidi w:val="0"/>
        <w:adjustRightInd/>
        <w:spacing w:before="0" w:after="0"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十一、联系方式</w:t>
      </w:r>
    </w:p>
    <w:p w14:paraId="1159981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采购人：重庆市璧山区凤凰小学校</w:t>
      </w:r>
    </w:p>
    <w:p w14:paraId="25B3AD1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陈老师</w:t>
      </w:r>
    </w:p>
    <w:p w14:paraId="58FFA6D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电  话：1</w:t>
      </w:r>
      <w:r>
        <w:rPr>
          <w:rFonts w:hint="eastAsia" w:ascii="仿宋" w:hAnsi="仿宋" w:eastAsia="仿宋" w:cs="仿宋"/>
          <w:sz w:val="24"/>
          <w:szCs w:val="24"/>
          <w:lang w:val="en-US" w:eastAsia="zh-CN"/>
        </w:rPr>
        <w:t xml:space="preserve">3512356222    </w:t>
      </w:r>
    </w:p>
    <w:p w14:paraId="7B5B127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  址：璧山区璧泉街道铁山路9号</w:t>
      </w:r>
    </w:p>
    <w:p w14:paraId="55EEEE5E">
      <w:pPr>
        <w:pStyle w:val="2"/>
        <w:pageBreakBefore w:val="0"/>
        <w:kinsoku/>
        <w:wordWrap/>
        <w:overflowPunct/>
        <w:topLinePunct w:val="0"/>
        <w:autoSpaceDE/>
        <w:autoSpaceDN/>
        <w:bidi w:val="0"/>
        <w:adjustRightInd/>
        <w:spacing w:before="0" w:after="0" w:line="400" w:lineRule="exac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br w:type="page"/>
      </w:r>
    </w:p>
    <w:p w14:paraId="5A447EB9">
      <w:pPr>
        <w:pageBreakBefore w:val="0"/>
        <w:kinsoku/>
        <w:wordWrap/>
        <w:overflowPunct/>
        <w:topLinePunct w:val="0"/>
        <w:autoSpaceDE/>
        <w:autoSpaceDN/>
        <w:bidi w:val="0"/>
        <w:adjustRightInd/>
        <w:spacing w:line="400" w:lineRule="exact"/>
        <w:rPr>
          <w:rFonts w:hint="eastAsia" w:ascii="仿宋" w:hAnsi="仿宋" w:eastAsia="仿宋" w:cs="仿宋"/>
          <w:color w:val="FF0000"/>
          <w:sz w:val="24"/>
          <w:szCs w:val="24"/>
        </w:rPr>
      </w:pPr>
    </w:p>
    <w:p w14:paraId="60E2182F">
      <w:pPr>
        <w:pageBreakBefore w:val="0"/>
        <w:kinsoku/>
        <w:wordWrap/>
        <w:overflowPunct/>
        <w:topLinePunct w:val="0"/>
        <w:autoSpaceDE/>
        <w:autoSpaceDN/>
        <w:bidi w:val="0"/>
        <w:adjustRightInd/>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供应商编制响应文件要求</w:t>
      </w:r>
    </w:p>
    <w:p w14:paraId="38422F0C">
      <w:pPr>
        <w:pageBreakBefore w:val="0"/>
        <w:numPr>
          <w:ilvl w:val="0"/>
          <w:numId w:val="12"/>
        </w:numPr>
        <w:kinsoku/>
        <w:wordWrap/>
        <w:overflowPunct/>
        <w:topLinePunct w:val="0"/>
        <w:autoSpaceDE/>
        <w:autoSpaceDN/>
        <w:bidi w:val="0"/>
        <w:adjustRightInd/>
        <w:spacing w:line="400" w:lineRule="exact"/>
        <w:rPr>
          <w:rFonts w:hint="eastAsia" w:ascii="仿宋" w:hAnsi="仿宋" w:eastAsia="仿宋" w:cs="仿宋"/>
          <w:b/>
          <w:sz w:val="24"/>
          <w:szCs w:val="24"/>
        </w:rPr>
      </w:pPr>
      <w:r>
        <w:rPr>
          <w:rFonts w:hint="eastAsia" w:ascii="仿宋" w:hAnsi="仿宋" w:eastAsia="仿宋" w:cs="仿宋"/>
          <w:b/>
          <w:sz w:val="24"/>
          <w:szCs w:val="24"/>
        </w:rPr>
        <w:t>报价</w:t>
      </w:r>
    </w:p>
    <w:p w14:paraId="4D106193">
      <w:pPr>
        <w:pageBreakBefore w:val="0"/>
        <w:tabs>
          <w:tab w:val="left" w:pos="6300"/>
        </w:tabs>
        <w:kinsoku/>
        <w:wordWrap/>
        <w:overflowPunct/>
        <w:topLinePunct w:val="0"/>
        <w:autoSpaceDE/>
        <w:autoSpaceDN/>
        <w:bidi w:val="0"/>
        <w:adjustRightInd/>
        <w:snapToGrid w:val="0"/>
        <w:spacing w:line="4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（一）报价函</w:t>
      </w:r>
    </w:p>
    <w:p w14:paraId="75F02AC5">
      <w:pPr>
        <w:pageBreakBefore w:val="0"/>
        <w:tabs>
          <w:tab w:val="left" w:pos="6300"/>
        </w:tabs>
        <w:kinsoku/>
        <w:wordWrap/>
        <w:overflowPunct/>
        <w:topLinePunct w:val="0"/>
        <w:autoSpaceDE/>
        <w:autoSpaceDN/>
        <w:bidi w:val="0"/>
        <w:adjustRightInd/>
        <w:snapToGrid w:val="0"/>
        <w:spacing w:line="400" w:lineRule="exact"/>
        <w:jc w:val="center"/>
        <w:outlineLvl w:val="0"/>
        <w:rPr>
          <w:rFonts w:hint="eastAsia" w:ascii="仿宋" w:hAnsi="仿宋" w:eastAsia="仿宋" w:cs="仿宋"/>
          <w:b/>
          <w:sz w:val="24"/>
          <w:szCs w:val="24"/>
        </w:rPr>
      </w:pPr>
      <w:r>
        <w:rPr>
          <w:rFonts w:hint="eastAsia" w:ascii="仿宋" w:hAnsi="仿宋" w:eastAsia="仿宋" w:cs="仿宋"/>
          <w:b/>
          <w:sz w:val="24"/>
          <w:szCs w:val="24"/>
        </w:rPr>
        <w:t>报价函</w:t>
      </w:r>
    </w:p>
    <w:p w14:paraId="5684BBAB">
      <w:pPr>
        <w:pageBreakBefore w:val="0"/>
        <w:tabs>
          <w:tab w:val="left" w:pos="6300"/>
        </w:tabs>
        <w:kinsoku/>
        <w:wordWrap/>
        <w:overflowPunct/>
        <w:topLinePunct w:val="0"/>
        <w:autoSpaceDE/>
        <w:autoSpaceDN/>
        <w:bidi w:val="0"/>
        <w:adjustRightInd/>
        <w:snapToGrid w:val="0"/>
        <w:spacing w:line="400" w:lineRule="exact"/>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（采购人名称）</w:t>
      </w:r>
      <w:r>
        <w:rPr>
          <w:rFonts w:hint="eastAsia" w:ascii="仿宋" w:hAnsi="仿宋" w:eastAsia="仿宋" w:cs="仿宋"/>
          <w:sz w:val="24"/>
          <w:szCs w:val="24"/>
        </w:rPr>
        <w:t>：</w:t>
      </w:r>
    </w:p>
    <w:p w14:paraId="6C15079B">
      <w:pPr>
        <w:pageBreakBefore w:val="0"/>
        <w:tabs>
          <w:tab w:val="left" w:pos="6300"/>
        </w:tabs>
        <w:kinsoku/>
        <w:wordWrap/>
        <w:overflowPunct/>
        <w:topLinePunct w:val="0"/>
        <w:autoSpaceDE/>
        <w:autoSpaceDN/>
        <w:bidi w:val="0"/>
        <w:adjustRightInd/>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我方收到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（项目名称）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的采购文件，经详细研究，决定参加该项目。</w:t>
      </w:r>
    </w:p>
    <w:p w14:paraId="10579F28">
      <w:pPr>
        <w:pageBreakBefore w:val="0"/>
        <w:tabs>
          <w:tab w:val="left" w:pos="6300"/>
        </w:tabs>
        <w:kinsoku/>
        <w:wordWrap/>
        <w:overflowPunct/>
        <w:topLinePunct w:val="0"/>
        <w:autoSpaceDE/>
        <w:autoSpaceDN/>
        <w:bidi w:val="0"/>
        <w:adjustRightInd/>
        <w:snapToGrid w:val="0"/>
        <w:spacing w:line="400" w:lineRule="exact"/>
        <w:ind w:left="14" w:leftChars="5" w:firstLine="458" w:firstLineChars="191"/>
        <w:jc w:val="left"/>
        <w:rPr>
          <w:rFonts w:hint="eastAsia" w:ascii="仿宋" w:hAnsi="仿宋" w:eastAsia="仿宋" w:cs="仿宋"/>
          <w:sz w:val="24"/>
          <w:szCs w:val="24"/>
        </w:rPr>
      </w:pPr>
      <w:r>
        <w:rPr>
          <w:rFonts w:hint="eastAsia" w:ascii="仿宋" w:hAnsi="仿宋" w:eastAsia="仿宋" w:cs="仿宋"/>
          <w:sz w:val="24"/>
          <w:szCs w:val="24"/>
        </w:rPr>
        <w:t>1、愿意按照采购文件中的一切要求，提供本项目的货物及技术服务，单项报价之和为人民币</w:t>
      </w:r>
      <w:r>
        <w:rPr>
          <w:rFonts w:hint="eastAsia" w:ascii="仿宋" w:hAnsi="仿宋" w:eastAsia="仿宋" w:cs="仿宋"/>
          <w:sz w:val="24"/>
          <w:szCs w:val="24"/>
          <w:u w:val="single"/>
        </w:rPr>
        <w:t>大写：     元</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；人民币</w:t>
      </w:r>
      <w:r>
        <w:rPr>
          <w:rFonts w:hint="eastAsia" w:ascii="仿宋" w:hAnsi="仿宋" w:eastAsia="仿宋" w:cs="仿宋"/>
          <w:sz w:val="24"/>
          <w:szCs w:val="24"/>
          <w:u w:val="single"/>
        </w:rPr>
        <w:t xml:space="preserve">小写：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p>
    <w:p w14:paraId="3E6C2822">
      <w:pPr>
        <w:pageBreakBefore w:val="0"/>
        <w:tabs>
          <w:tab w:val="left" w:pos="6300"/>
        </w:tabs>
        <w:kinsoku/>
        <w:wordWrap/>
        <w:overflowPunct/>
        <w:topLinePunct w:val="0"/>
        <w:autoSpaceDE/>
        <w:autoSpaceDN/>
        <w:bidi w:val="0"/>
        <w:adjustRightInd/>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2、我方现提交的响应文件为：响应文件电子文档壹份。</w:t>
      </w:r>
    </w:p>
    <w:p w14:paraId="47A2D488">
      <w:pPr>
        <w:pageBreakBefore w:val="0"/>
        <w:tabs>
          <w:tab w:val="left" w:pos="6300"/>
        </w:tabs>
        <w:kinsoku/>
        <w:wordWrap/>
        <w:overflowPunct/>
        <w:topLinePunct w:val="0"/>
        <w:autoSpaceDE/>
        <w:autoSpaceDN/>
        <w:bidi w:val="0"/>
        <w:adjustRightInd/>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3、我方承诺：本次</w:t>
      </w:r>
      <w:r>
        <w:rPr>
          <w:rFonts w:hint="eastAsia" w:ascii="仿宋" w:hAnsi="仿宋" w:eastAsia="仿宋" w:cs="仿宋"/>
          <w:sz w:val="24"/>
          <w:szCs w:val="24"/>
          <w:lang w:val="en-US" w:eastAsia="zh-CN"/>
        </w:rPr>
        <w:t>采购投标</w:t>
      </w:r>
      <w:r>
        <w:rPr>
          <w:rFonts w:hint="eastAsia" w:ascii="仿宋" w:hAnsi="仿宋" w:eastAsia="仿宋" w:cs="仿宋"/>
          <w:sz w:val="24"/>
          <w:szCs w:val="24"/>
        </w:rPr>
        <w:t>的有效期为</w:t>
      </w:r>
      <w:r>
        <w:rPr>
          <w:rFonts w:hint="eastAsia" w:ascii="仿宋" w:hAnsi="仿宋" w:eastAsia="仿宋" w:cs="仿宋"/>
          <w:sz w:val="24"/>
          <w:szCs w:val="24"/>
          <w:lang w:val="en-US" w:eastAsia="zh-CN"/>
        </w:rPr>
        <w:t>30</w:t>
      </w:r>
      <w:r>
        <w:rPr>
          <w:rFonts w:hint="eastAsia" w:ascii="仿宋" w:hAnsi="仿宋" w:eastAsia="仿宋" w:cs="仿宋"/>
          <w:sz w:val="24"/>
          <w:szCs w:val="24"/>
        </w:rPr>
        <w:t>天。</w:t>
      </w:r>
    </w:p>
    <w:p w14:paraId="3BD51372">
      <w:pPr>
        <w:pageBreakBefore w:val="0"/>
        <w:tabs>
          <w:tab w:val="left" w:pos="6300"/>
        </w:tabs>
        <w:kinsoku/>
        <w:wordWrap/>
        <w:overflowPunct/>
        <w:topLinePunct w:val="0"/>
        <w:autoSpaceDE/>
        <w:autoSpaceDN/>
        <w:bidi w:val="0"/>
        <w:adjustRightInd/>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4、我方完全理解和接受贵方采购文件的一切规定和要求及评审办法。</w:t>
      </w:r>
    </w:p>
    <w:p w14:paraId="1B6C419B">
      <w:pPr>
        <w:pageBreakBefore w:val="0"/>
        <w:tabs>
          <w:tab w:val="left" w:pos="6300"/>
        </w:tabs>
        <w:kinsoku/>
        <w:wordWrap/>
        <w:overflowPunct/>
        <w:topLinePunct w:val="0"/>
        <w:autoSpaceDE/>
        <w:autoSpaceDN/>
        <w:bidi w:val="0"/>
        <w:adjustRightInd/>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5、在整个采购过程中，我方若有违规行为，接受按照重庆市政府采购</w:t>
      </w:r>
      <w:r>
        <w:rPr>
          <w:rFonts w:hint="eastAsia" w:ascii="仿宋" w:hAnsi="仿宋" w:eastAsia="仿宋" w:cs="仿宋"/>
          <w:sz w:val="24"/>
          <w:szCs w:val="24"/>
          <w:lang w:eastAsia="zh-CN"/>
        </w:rPr>
        <w:t>相关</w:t>
      </w:r>
      <w:r>
        <w:rPr>
          <w:rFonts w:hint="eastAsia" w:ascii="仿宋" w:hAnsi="仿宋" w:eastAsia="仿宋" w:cs="仿宋"/>
          <w:sz w:val="24"/>
          <w:szCs w:val="24"/>
        </w:rPr>
        <w:t>规定给予惩罚。</w:t>
      </w:r>
    </w:p>
    <w:p w14:paraId="0BA21C3E">
      <w:pPr>
        <w:pageBreakBefore w:val="0"/>
        <w:tabs>
          <w:tab w:val="left" w:pos="6300"/>
        </w:tabs>
        <w:kinsoku/>
        <w:wordWrap/>
        <w:overflowPunct/>
        <w:topLinePunct w:val="0"/>
        <w:autoSpaceDE/>
        <w:autoSpaceDN/>
        <w:bidi w:val="0"/>
        <w:adjustRightInd/>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6、我方若中选，将按照</w:t>
      </w:r>
      <w:r>
        <w:rPr>
          <w:rFonts w:hint="eastAsia" w:ascii="仿宋" w:hAnsi="仿宋" w:eastAsia="仿宋" w:cs="仿宋"/>
          <w:sz w:val="24"/>
          <w:szCs w:val="24"/>
          <w:lang w:val="en-US" w:eastAsia="zh-CN"/>
        </w:rPr>
        <w:t>采购</w:t>
      </w:r>
      <w:r>
        <w:rPr>
          <w:rFonts w:hint="eastAsia" w:ascii="仿宋" w:hAnsi="仿宋" w:eastAsia="仿宋" w:cs="仿宋"/>
          <w:sz w:val="24"/>
          <w:szCs w:val="24"/>
        </w:rPr>
        <w:t>结果签订合同，并且严格履行合同义务。本承诺函将成为合同不可分割的一部分，与合同具有同等的法律效力。</w:t>
      </w:r>
    </w:p>
    <w:p w14:paraId="2736B95D">
      <w:pPr>
        <w:pageBreakBefore w:val="0"/>
        <w:tabs>
          <w:tab w:val="left" w:pos="6300"/>
        </w:tabs>
        <w:kinsoku/>
        <w:wordWrap/>
        <w:overflowPunct/>
        <w:topLinePunct w:val="0"/>
        <w:autoSpaceDE/>
        <w:autoSpaceDN/>
        <w:bidi w:val="0"/>
        <w:adjustRightInd/>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7、我方理解，最低报价不是成交的唯一条件。</w:t>
      </w:r>
    </w:p>
    <w:p w14:paraId="1756A9E7">
      <w:pPr>
        <w:pageBreakBefore w:val="0"/>
        <w:tabs>
          <w:tab w:val="left" w:pos="6300"/>
        </w:tabs>
        <w:kinsoku/>
        <w:wordWrap/>
        <w:overflowPunct/>
        <w:topLinePunct w:val="0"/>
        <w:autoSpaceDE/>
        <w:autoSpaceDN/>
        <w:bidi w:val="0"/>
        <w:adjustRightInd/>
        <w:snapToGrid w:val="0"/>
        <w:spacing w:line="400" w:lineRule="exact"/>
        <w:ind w:firstLine="570"/>
        <w:rPr>
          <w:rFonts w:hint="eastAsia" w:ascii="仿宋" w:hAnsi="仿宋" w:eastAsia="仿宋" w:cs="仿宋"/>
          <w:sz w:val="24"/>
          <w:szCs w:val="24"/>
        </w:rPr>
      </w:pPr>
    </w:p>
    <w:p w14:paraId="0081F739">
      <w:pPr>
        <w:pageBreakBefore w:val="0"/>
        <w:tabs>
          <w:tab w:val="left" w:pos="6300"/>
        </w:tabs>
        <w:kinsoku/>
        <w:wordWrap/>
        <w:overflowPunct/>
        <w:topLinePunct w:val="0"/>
        <w:autoSpaceDE/>
        <w:autoSpaceDN/>
        <w:bidi w:val="0"/>
        <w:adjustRightInd/>
        <w:snapToGrid w:val="0"/>
        <w:spacing w:line="400" w:lineRule="exact"/>
        <w:ind w:firstLine="570"/>
        <w:rPr>
          <w:rFonts w:hint="eastAsia" w:ascii="仿宋" w:hAnsi="仿宋" w:eastAsia="仿宋" w:cs="仿宋"/>
          <w:sz w:val="24"/>
          <w:szCs w:val="24"/>
        </w:rPr>
      </w:pPr>
    </w:p>
    <w:p w14:paraId="4A1B90EA">
      <w:pPr>
        <w:pageBreakBefore w:val="0"/>
        <w:tabs>
          <w:tab w:val="left" w:pos="6300"/>
        </w:tabs>
        <w:kinsoku/>
        <w:wordWrap/>
        <w:overflowPunct/>
        <w:topLinePunct w:val="0"/>
        <w:autoSpaceDE/>
        <w:autoSpaceDN/>
        <w:bidi w:val="0"/>
        <w:adjustRightInd/>
        <w:snapToGrid w:val="0"/>
        <w:spacing w:line="400" w:lineRule="exact"/>
        <w:ind w:firstLine="570"/>
        <w:rPr>
          <w:rFonts w:hint="eastAsia" w:ascii="仿宋" w:hAnsi="仿宋" w:eastAsia="仿宋" w:cs="仿宋"/>
          <w:sz w:val="24"/>
          <w:szCs w:val="24"/>
        </w:rPr>
      </w:pPr>
    </w:p>
    <w:p w14:paraId="3110D2F8">
      <w:pPr>
        <w:pageBreakBefore w:val="0"/>
        <w:tabs>
          <w:tab w:val="left" w:pos="6300"/>
        </w:tabs>
        <w:kinsoku/>
        <w:wordWrap/>
        <w:overflowPunct/>
        <w:topLinePunct w:val="0"/>
        <w:autoSpaceDE/>
        <w:autoSpaceDN/>
        <w:bidi w:val="0"/>
        <w:adjustRightInd/>
        <w:snapToGrid w:val="0"/>
        <w:spacing w:line="400" w:lineRule="exact"/>
        <w:ind w:firstLine="570"/>
        <w:rPr>
          <w:rFonts w:hint="eastAsia" w:ascii="仿宋" w:hAnsi="仿宋" w:eastAsia="仿宋" w:cs="仿宋"/>
          <w:sz w:val="24"/>
          <w:szCs w:val="24"/>
        </w:rPr>
      </w:pPr>
    </w:p>
    <w:p w14:paraId="2F763B1E">
      <w:pPr>
        <w:pageBreakBefore w:val="0"/>
        <w:tabs>
          <w:tab w:val="left" w:pos="6300"/>
        </w:tabs>
        <w:kinsoku/>
        <w:wordWrap/>
        <w:overflowPunct/>
        <w:topLinePunct w:val="0"/>
        <w:autoSpaceDE/>
        <w:autoSpaceDN/>
        <w:bidi w:val="0"/>
        <w:adjustRightInd/>
        <w:snapToGrid w:val="0"/>
        <w:spacing w:line="40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供应商名称（公章）：</w:t>
      </w:r>
    </w:p>
    <w:p w14:paraId="630E4D7F">
      <w:pPr>
        <w:pageBreakBefore w:val="0"/>
        <w:kinsoku/>
        <w:wordWrap/>
        <w:overflowPunct/>
        <w:topLinePunct w:val="0"/>
        <w:autoSpaceDE/>
        <w:autoSpaceDN/>
        <w:bidi w:val="0"/>
        <w:adjustRightInd/>
        <w:snapToGrid w:val="0"/>
        <w:spacing w:line="400" w:lineRule="exact"/>
        <w:ind w:firstLine="480" w:firstLineChars="200"/>
        <w:rPr>
          <w:rFonts w:hint="eastAsia" w:ascii="仿宋" w:hAnsi="仿宋" w:eastAsia="仿宋" w:cs="仿宋"/>
          <w:sz w:val="24"/>
          <w:szCs w:val="24"/>
        </w:rPr>
        <w:sectPr>
          <w:footerReference r:id="rId3" w:type="default"/>
          <w:pgSz w:w="11907" w:h="16840"/>
          <w:pgMar w:top="1134" w:right="1701" w:bottom="1134" w:left="1701" w:header="851" w:footer="992" w:gutter="0"/>
          <w:pgNumType w:fmt="numberInDash" w:start="1"/>
          <w:cols w:space="720" w:num="1"/>
          <w:docGrid w:linePitch="380" w:charSpace="-5735"/>
        </w:sectPr>
      </w:pPr>
      <w:r>
        <w:rPr>
          <w:rFonts w:hint="eastAsia" w:ascii="仿宋" w:hAnsi="仿宋" w:eastAsia="仿宋" w:cs="仿宋"/>
          <w:sz w:val="24"/>
          <w:szCs w:val="24"/>
        </w:rPr>
        <w:t xml:space="preserve">                                                  年   月   日</w:t>
      </w:r>
    </w:p>
    <w:p w14:paraId="4FC1632F">
      <w:pPr>
        <w:pageBreakBefore w:val="0"/>
        <w:numPr>
          <w:ilvl w:val="0"/>
          <w:numId w:val="12"/>
        </w:numPr>
        <w:kinsoku/>
        <w:wordWrap/>
        <w:overflowPunct/>
        <w:topLinePunct w:val="0"/>
        <w:autoSpaceDE/>
        <w:autoSpaceDN/>
        <w:bidi w:val="0"/>
        <w:adjustRightInd/>
        <w:spacing w:line="400" w:lineRule="exact"/>
        <w:rPr>
          <w:rFonts w:hint="eastAsia" w:ascii="仿宋" w:hAnsi="仿宋" w:eastAsia="仿宋" w:cs="仿宋"/>
          <w:b/>
          <w:sz w:val="24"/>
          <w:szCs w:val="24"/>
        </w:rPr>
      </w:pPr>
      <w:r>
        <w:rPr>
          <w:rFonts w:hint="eastAsia" w:ascii="仿宋" w:hAnsi="仿宋" w:eastAsia="仿宋" w:cs="仿宋"/>
          <w:b/>
          <w:sz w:val="24"/>
          <w:szCs w:val="24"/>
        </w:rPr>
        <w:t>服务方案</w:t>
      </w:r>
    </w:p>
    <w:p w14:paraId="5E53A0B5">
      <w:pPr>
        <w:pageBreakBefore w:val="0"/>
        <w:kinsoku/>
        <w:wordWrap/>
        <w:overflowPunct/>
        <w:topLinePunct w:val="0"/>
        <w:autoSpaceDE/>
        <w:autoSpaceDN/>
        <w:bidi w:val="0"/>
        <w:adjustRightInd/>
        <w:spacing w:line="400" w:lineRule="exact"/>
        <w:jc w:val="center"/>
        <w:rPr>
          <w:rFonts w:hint="eastAsia" w:ascii="仿宋" w:hAnsi="仿宋" w:eastAsia="仿宋" w:cs="仿宋"/>
          <w:b/>
          <w:i/>
          <w:iCs/>
          <w:sz w:val="24"/>
          <w:szCs w:val="24"/>
          <w:u w:val="single"/>
        </w:rPr>
      </w:pPr>
      <w:r>
        <w:rPr>
          <w:rFonts w:hint="eastAsia" w:ascii="仿宋" w:hAnsi="仿宋" w:eastAsia="仿宋" w:cs="仿宋"/>
          <w:i/>
          <w:iCs/>
          <w:sz w:val="24"/>
          <w:szCs w:val="24"/>
          <w:u w:val="single"/>
        </w:rPr>
        <w:t>服务方案（格式自定）</w:t>
      </w:r>
    </w:p>
    <w:p w14:paraId="22338C1A">
      <w:pPr>
        <w:pageBreakBefore w:val="0"/>
        <w:kinsoku/>
        <w:wordWrap/>
        <w:overflowPunct/>
        <w:topLinePunct w:val="0"/>
        <w:autoSpaceDE/>
        <w:autoSpaceDN/>
        <w:bidi w:val="0"/>
        <w:adjustRightInd/>
        <w:spacing w:line="400" w:lineRule="exact"/>
        <w:rPr>
          <w:rFonts w:hint="eastAsia" w:ascii="仿宋" w:hAnsi="仿宋" w:eastAsia="仿宋" w:cs="仿宋"/>
          <w:b/>
          <w:sz w:val="24"/>
          <w:szCs w:val="24"/>
        </w:rPr>
      </w:pPr>
    </w:p>
    <w:p w14:paraId="417B1D65">
      <w:pPr>
        <w:pStyle w:val="2"/>
        <w:pageBreakBefore w:val="0"/>
        <w:kinsoku/>
        <w:wordWrap/>
        <w:overflowPunct/>
        <w:topLinePunct w:val="0"/>
        <w:autoSpaceDE/>
        <w:autoSpaceDN/>
        <w:bidi w:val="0"/>
        <w:adjustRightInd/>
        <w:spacing w:before="0" w:after="0" w:line="400" w:lineRule="exact"/>
        <w:jc w:val="left"/>
        <w:rPr>
          <w:rFonts w:hint="eastAsia" w:ascii="仿宋" w:hAnsi="仿宋" w:eastAsia="仿宋" w:cs="仿宋"/>
          <w:sz w:val="24"/>
          <w:szCs w:val="24"/>
        </w:rPr>
      </w:pPr>
    </w:p>
    <w:p w14:paraId="01428287">
      <w:pPr>
        <w:pStyle w:val="2"/>
        <w:pageBreakBefore w:val="0"/>
        <w:numPr>
          <w:ilvl w:val="0"/>
          <w:numId w:val="12"/>
        </w:numPr>
        <w:kinsoku/>
        <w:wordWrap/>
        <w:overflowPunct/>
        <w:topLinePunct w:val="0"/>
        <w:autoSpaceDE/>
        <w:autoSpaceDN/>
        <w:bidi w:val="0"/>
        <w:adjustRightInd/>
        <w:spacing w:before="0" w:after="0" w:line="400" w:lineRule="exact"/>
        <w:jc w:val="left"/>
        <w:rPr>
          <w:rFonts w:hint="eastAsia" w:ascii="仿宋" w:hAnsi="仿宋" w:eastAsia="仿宋" w:cs="仿宋"/>
          <w:sz w:val="24"/>
          <w:szCs w:val="24"/>
        </w:rPr>
      </w:pPr>
      <w:r>
        <w:rPr>
          <w:rFonts w:hint="eastAsia" w:ascii="仿宋" w:hAnsi="仿宋" w:eastAsia="仿宋" w:cs="仿宋"/>
          <w:sz w:val="24"/>
          <w:szCs w:val="24"/>
        </w:rPr>
        <w:t>资格条件</w:t>
      </w:r>
    </w:p>
    <w:p w14:paraId="66A5AF1C">
      <w:pPr>
        <w:pageBreakBefore w:val="0"/>
        <w:kinsoku/>
        <w:wordWrap/>
        <w:overflowPunct/>
        <w:topLinePunct w:val="0"/>
        <w:autoSpaceDE/>
        <w:autoSpaceDN/>
        <w:bidi w:val="0"/>
        <w:adjustRightInd/>
        <w:spacing w:line="400" w:lineRule="exact"/>
        <w:jc w:val="center"/>
        <w:rPr>
          <w:rFonts w:hint="eastAsia" w:ascii="仿宋" w:hAnsi="仿宋" w:eastAsia="仿宋" w:cs="仿宋"/>
          <w:iCs/>
          <w:sz w:val="24"/>
          <w:szCs w:val="24"/>
          <w:u w:val="single"/>
          <w:lang w:val="en-US"/>
        </w:rPr>
      </w:pPr>
      <w:r>
        <w:rPr>
          <w:rFonts w:hint="eastAsia" w:ascii="仿宋" w:hAnsi="仿宋" w:eastAsia="仿宋" w:cs="仿宋"/>
          <w:iCs/>
          <w:sz w:val="24"/>
          <w:szCs w:val="24"/>
          <w:u w:val="single"/>
        </w:rPr>
        <w:t>按照采购文件要求</w:t>
      </w:r>
      <w:r>
        <w:rPr>
          <w:rFonts w:hint="eastAsia" w:ascii="仿宋" w:hAnsi="仿宋" w:eastAsia="仿宋" w:cs="仿宋"/>
          <w:iCs/>
          <w:sz w:val="24"/>
          <w:szCs w:val="24"/>
          <w:u w:val="single"/>
          <w:lang w:val="en-US" w:eastAsia="zh-CN"/>
        </w:rPr>
        <w:t>逐一对应（格式自定）</w:t>
      </w:r>
    </w:p>
    <w:p w14:paraId="593B079D">
      <w:pPr>
        <w:pageBreakBefore w:val="0"/>
        <w:kinsoku/>
        <w:wordWrap/>
        <w:overflowPunct/>
        <w:topLinePunct w:val="0"/>
        <w:autoSpaceDE/>
        <w:autoSpaceDN/>
        <w:bidi w:val="0"/>
        <w:adjustRightInd/>
        <w:spacing w:line="400" w:lineRule="exact"/>
        <w:rPr>
          <w:rFonts w:hint="eastAsia" w:ascii="仿宋" w:hAnsi="仿宋" w:eastAsia="仿宋" w:cs="仿宋"/>
          <w:sz w:val="24"/>
          <w:szCs w:val="24"/>
        </w:rPr>
      </w:pPr>
    </w:p>
    <w:p w14:paraId="3365BCDC">
      <w:pPr>
        <w:pStyle w:val="2"/>
        <w:pageBreakBefore w:val="0"/>
        <w:kinsoku/>
        <w:wordWrap/>
        <w:overflowPunct/>
        <w:topLinePunct w:val="0"/>
        <w:autoSpaceDE/>
        <w:autoSpaceDN/>
        <w:bidi w:val="0"/>
        <w:adjustRightInd/>
        <w:spacing w:before="0" w:after="0" w:line="400" w:lineRule="exact"/>
        <w:rPr>
          <w:rFonts w:hint="eastAsia" w:ascii="仿宋" w:hAnsi="仿宋" w:eastAsia="仿宋" w:cs="仿宋"/>
          <w:sz w:val="24"/>
          <w:szCs w:val="24"/>
        </w:rPr>
      </w:pPr>
    </w:p>
    <w:p w14:paraId="79D17BAC">
      <w:pPr>
        <w:pStyle w:val="2"/>
        <w:pageBreakBefore w:val="0"/>
        <w:kinsoku/>
        <w:wordWrap/>
        <w:overflowPunct/>
        <w:topLinePunct w:val="0"/>
        <w:autoSpaceDE/>
        <w:autoSpaceDN/>
        <w:bidi w:val="0"/>
        <w:adjustRightInd/>
        <w:spacing w:before="0" w:after="0" w:line="400" w:lineRule="exact"/>
        <w:rPr>
          <w:rFonts w:hint="eastAsia" w:ascii="仿宋" w:hAnsi="仿宋" w:eastAsia="仿宋" w:cs="仿宋"/>
          <w:sz w:val="24"/>
          <w:szCs w:val="24"/>
        </w:rPr>
      </w:pPr>
      <w:r>
        <w:rPr>
          <w:rFonts w:hint="eastAsia" w:ascii="仿宋" w:hAnsi="仿宋" w:eastAsia="仿宋" w:cs="仿宋"/>
          <w:sz w:val="24"/>
          <w:szCs w:val="24"/>
        </w:rPr>
        <w:t>四、其他与本项目有关的资料</w:t>
      </w:r>
    </w:p>
    <w:p w14:paraId="19B45C17">
      <w:pPr>
        <w:pageBreakBefore w:val="0"/>
        <w:tabs>
          <w:tab w:val="left" w:pos="6300"/>
        </w:tabs>
        <w:kinsoku/>
        <w:wordWrap/>
        <w:overflowPunct/>
        <w:topLinePunct w:val="0"/>
        <w:autoSpaceDE/>
        <w:autoSpaceDN/>
        <w:bidi w:val="0"/>
        <w:adjustRightInd/>
        <w:snapToGrid w:val="0"/>
        <w:spacing w:line="400" w:lineRule="exact"/>
        <w:rPr>
          <w:rFonts w:hint="eastAsia" w:ascii="仿宋" w:hAnsi="仿宋" w:eastAsia="仿宋" w:cs="仿宋"/>
          <w:b/>
          <w:bCs/>
          <w:sz w:val="24"/>
          <w:szCs w:val="24"/>
        </w:rPr>
      </w:pPr>
      <w:r>
        <w:rPr>
          <w:rFonts w:hint="eastAsia" w:ascii="仿宋" w:hAnsi="仿宋" w:eastAsia="仿宋" w:cs="仿宋"/>
          <w:sz w:val="24"/>
          <w:szCs w:val="24"/>
        </w:rPr>
        <w:t>　</w:t>
      </w:r>
    </w:p>
    <w:p w14:paraId="3FEB9DD1">
      <w:pPr>
        <w:pageBreakBefore w:val="0"/>
        <w:kinsoku/>
        <w:wordWrap/>
        <w:overflowPunct/>
        <w:topLinePunct w:val="0"/>
        <w:autoSpaceDE/>
        <w:autoSpaceDN/>
        <w:bidi w:val="0"/>
        <w:adjustRightInd/>
        <w:spacing w:line="400" w:lineRule="exact"/>
        <w:rPr>
          <w:rFonts w:hint="eastAsia" w:ascii="仿宋" w:hAnsi="仿宋" w:eastAsia="仿宋" w:cs="仿宋"/>
          <w:b/>
          <w:bCs/>
          <w:sz w:val="24"/>
          <w:szCs w:val="24"/>
        </w:rPr>
      </w:pPr>
      <w:r>
        <w:rPr>
          <w:rFonts w:hint="eastAsia" w:ascii="仿宋" w:hAnsi="仿宋" w:eastAsia="仿宋" w:cs="仿宋"/>
          <w:b/>
          <w:bCs/>
          <w:sz w:val="24"/>
          <w:szCs w:val="24"/>
        </w:rPr>
        <w:br w:type="page"/>
      </w:r>
    </w:p>
    <w:p w14:paraId="1A0FA8F4">
      <w:pPr>
        <w:pageBreakBefore w:val="0"/>
        <w:tabs>
          <w:tab w:val="left" w:pos="6300"/>
        </w:tabs>
        <w:kinsoku/>
        <w:wordWrap/>
        <w:overflowPunct/>
        <w:topLinePunct w:val="0"/>
        <w:autoSpaceDE/>
        <w:autoSpaceDN/>
        <w:bidi w:val="0"/>
        <w:adjustRightInd/>
        <w:snapToGrid w:val="0"/>
        <w:spacing w:line="400" w:lineRule="exact"/>
        <w:rPr>
          <w:rFonts w:hint="eastAsia" w:ascii="仿宋" w:hAnsi="仿宋" w:eastAsia="仿宋" w:cs="仿宋"/>
          <w:b/>
          <w:bCs/>
          <w:sz w:val="24"/>
          <w:szCs w:val="24"/>
        </w:rPr>
      </w:pPr>
      <w:bookmarkStart w:id="48" w:name="_Hlk27399531"/>
      <w:r>
        <w:rPr>
          <w:rFonts w:hint="eastAsia" w:ascii="仿宋" w:hAnsi="仿宋" w:eastAsia="仿宋" w:cs="仿宋"/>
          <w:b/>
          <w:bCs/>
          <w:sz w:val="24"/>
          <w:szCs w:val="24"/>
          <w:lang w:val="en-US" w:eastAsia="zh-CN"/>
        </w:rPr>
        <w:t>附1：</w:t>
      </w:r>
      <w:r>
        <w:rPr>
          <w:rFonts w:hint="eastAsia" w:ascii="仿宋" w:hAnsi="仿宋" w:eastAsia="仿宋" w:cs="仿宋"/>
          <w:b/>
          <w:bCs/>
          <w:sz w:val="24"/>
          <w:szCs w:val="24"/>
        </w:rPr>
        <w:t>法定代表人身份证明书（格式）/法定代表人授权委托书（格式）</w:t>
      </w:r>
    </w:p>
    <w:p w14:paraId="2BE84CC3">
      <w:pPr>
        <w:pageBreakBefore w:val="0"/>
        <w:tabs>
          <w:tab w:val="left" w:pos="6300"/>
        </w:tabs>
        <w:kinsoku/>
        <w:wordWrap/>
        <w:overflowPunct/>
        <w:topLinePunct w:val="0"/>
        <w:autoSpaceDE/>
        <w:autoSpaceDN/>
        <w:bidi w:val="0"/>
        <w:adjustRightInd/>
        <w:snapToGrid w:val="0"/>
        <w:spacing w:line="400" w:lineRule="exact"/>
        <w:jc w:val="center"/>
        <w:rPr>
          <w:rFonts w:hint="eastAsia" w:ascii="仿宋" w:hAnsi="仿宋" w:eastAsia="仿宋" w:cs="仿宋"/>
          <w:sz w:val="24"/>
          <w:szCs w:val="24"/>
        </w:rPr>
      </w:pPr>
    </w:p>
    <w:p w14:paraId="352F6900">
      <w:pPr>
        <w:widowControl/>
        <w:ind w:firstLine="560" w:firstLineChars="200"/>
        <w:jc w:val="left"/>
        <w:rPr>
          <w:rFonts w:ascii="仿宋" w:hAnsi="仿宋" w:eastAsia="仿宋"/>
        </w:rPr>
      </w:pPr>
      <w:r>
        <w:rPr>
          <w:rFonts w:hint="eastAsia" w:ascii="仿宋" w:hAnsi="仿宋" w:eastAsia="仿宋"/>
        </w:rPr>
        <w:t>（</w:t>
      </w:r>
      <w:r>
        <w:rPr>
          <w:rFonts w:hint="eastAsia" w:ascii="仿宋" w:hAnsi="仿宋" w:eastAsia="仿宋"/>
          <w:lang w:eastAsia="zh-CN"/>
        </w:rPr>
        <w:t>一</w:t>
      </w:r>
      <w:r>
        <w:rPr>
          <w:rFonts w:hint="eastAsia" w:ascii="仿宋" w:hAnsi="仿宋" w:eastAsia="仿宋"/>
        </w:rPr>
        <w:t>）法定代表人身份证明书（格式）</w:t>
      </w:r>
    </w:p>
    <w:p w14:paraId="76DBFB8A">
      <w:pPr>
        <w:tabs>
          <w:tab w:val="left" w:pos="6300"/>
        </w:tabs>
        <w:snapToGrid w:val="0"/>
        <w:spacing w:line="500" w:lineRule="exact"/>
        <w:ind w:firstLine="570"/>
        <w:rPr>
          <w:rFonts w:ascii="仿宋" w:hAnsi="仿宋" w:eastAsia="仿宋"/>
          <w:sz w:val="24"/>
        </w:rPr>
      </w:pPr>
    </w:p>
    <w:p w14:paraId="704DD577">
      <w:pPr>
        <w:tabs>
          <w:tab w:val="left" w:pos="6300"/>
        </w:tabs>
        <w:snapToGrid w:val="0"/>
        <w:spacing w:line="500" w:lineRule="exact"/>
        <w:ind w:firstLine="570"/>
        <w:rPr>
          <w:rFonts w:ascii="仿宋" w:hAnsi="仿宋" w:eastAsia="仿宋"/>
          <w:sz w:val="24"/>
        </w:rPr>
      </w:pPr>
      <w:r>
        <w:rPr>
          <w:rFonts w:hint="eastAsia" w:ascii="仿宋" w:hAnsi="仿宋" w:eastAsia="仿宋"/>
          <w:sz w:val="24"/>
        </w:rPr>
        <w:t>项目名称：</w:t>
      </w:r>
      <w:r>
        <w:rPr>
          <w:rFonts w:hint="eastAsia" w:ascii="仿宋" w:hAnsi="仿宋" w:eastAsia="仿宋"/>
          <w:sz w:val="24"/>
          <w:u w:val="single"/>
        </w:rPr>
        <w:t xml:space="preserve">                                                </w:t>
      </w:r>
    </w:p>
    <w:p w14:paraId="75032BA4">
      <w:pPr>
        <w:tabs>
          <w:tab w:val="left" w:pos="6300"/>
        </w:tabs>
        <w:snapToGrid w:val="0"/>
        <w:spacing w:line="500" w:lineRule="exact"/>
        <w:ind w:firstLine="570"/>
        <w:rPr>
          <w:rFonts w:ascii="仿宋" w:hAnsi="仿宋" w:eastAsia="仿宋"/>
          <w:sz w:val="24"/>
        </w:rPr>
      </w:pPr>
    </w:p>
    <w:p w14:paraId="15AE24B2">
      <w:pPr>
        <w:tabs>
          <w:tab w:val="left" w:pos="6300"/>
        </w:tabs>
        <w:snapToGrid w:val="0"/>
        <w:spacing w:line="500" w:lineRule="exact"/>
        <w:ind w:firstLine="570"/>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 xml:space="preserve">                     </w:t>
      </w:r>
      <w:r>
        <w:rPr>
          <w:rFonts w:hint="eastAsia" w:ascii="仿宋" w:hAnsi="仿宋" w:eastAsia="仿宋"/>
          <w:sz w:val="24"/>
        </w:rPr>
        <w:t>（采购代理机构名称）：</w:t>
      </w:r>
    </w:p>
    <w:p w14:paraId="54C28CB7">
      <w:pPr>
        <w:tabs>
          <w:tab w:val="left" w:pos="6300"/>
        </w:tabs>
        <w:snapToGrid w:val="0"/>
        <w:spacing w:line="500" w:lineRule="exact"/>
        <w:ind w:firstLine="570"/>
        <w:rPr>
          <w:rFonts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（法定代表人姓名）在</w:t>
      </w:r>
      <w:r>
        <w:rPr>
          <w:rFonts w:hint="eastAsia" w:ascii="仿宋" w:hAnsi="仿宋" w:eastAsia="仿宋"/>
          <w:sz w:val="24"/>
          <w:u w:val="single"/>
        </w:rPr>
        <w:t xml:space="preserve">                       </w:t>
      </w:r>
      <w:r>
        <w:rPr>
          <w:rFonts w:hint="eastAsia" w:ascii="仿宋" w:hAnsi="仿宋" w:eastAsia="仿宋"/>
          <w:sz w:val="24"/>
        </w:rPr>
        <w:t>（供应商名称）任</w:t>
      </w:r>
      <w:r>
        <w:rPr>
          <w:rFonts w:hint="eastAsia" w:ascii="仿宋" w:hAnsi="仿宋" w:eastAsia="仿宋"/>
          <w:sz w:val="24"/>
          <w:u w:val="single"/>
        </w:rPr>
        <w:t xml:space="preserve">    </w:t>
      </w:r>
      <w:r>
        <w:rPr>
          <w:rFonts w:hint="eastAsia" w:ascii="仿宋" w:hAnsi="仿宋" w:eastAsia="仿宋"/>
          <w:sz w:val="24"/>
        </w:rPr>
        <w:t>（职务名称）职务，是（供应商名称）</w:t>
      </w:r>
      <w:r>
        <w:rPr>
          <w:rFonts w:hint="eastAsia" w:ascii="仿宋" w:hAnsi="仿宋" w:eastAsia="仿宋"/>
          <w:sz w:val="24"/>
          <w:u w:val="single"/>
        </w:rPr>
        <w:t xml:space="preserve">              </w:t>
      </w:r>
      <w:r>
        <w:rPr>
          <w:rFonts w:hint="eastAsia" w:ascii="仿宋" w:hAnsi="仿宋" w:eastAsia="仿宋"/>
          <w:sz w:val="24"/>
        </w:rPr>
        <w:t>的法定代表人。</w:t>
      </w:r>
    </w:p>
    <w:p w14:paraId="469D3055">
      <w:pPr>
        <w:tabs>
          <w:tab w:val="left" w:pos="6300"/>
        </w:tabs>
        <w:snapToGrid w:val="0"/>
        <w:spacing w:line="500" w:lineRule="exact"/>
        <w:ind w:firstLine="570"/>
        <w:rPr>
          <w:rFonts w:ascii="仿宋" w:hAnsi="仿宋" w:eastAsia="仿宋"/>
          <w:sz w:val="24"/>
        </w:rPr>
      </w:pPr>
    </w:p>
    <w:p w14:paraId="1753FD48">
      <w:pPr>
        <w:tabs>
          <w:tab w:val="left" w:pos="6300"/>
        </w:tabs>
        <w:snapToGrid w:val="0"/>
        <w:spacing w:line="500" w:lineRule="exact"/>
        <w:ind w:firstLine="570"/>
        <w:rPr>
          <w:rFonts w:ascii="仿宋" w:hAnsi="仿宋" w:eastAsia="仿宋"/>
          <w:sz w:val="24"/>
        </w:rPr>
      </w:pPr>
      <w:r>
        <w:rPr>
          <w:rFonts w:hint="eastAsia" w:ascii="仿宋" w:hAnsi="仿宋" w:eastAsia="仿宋"/>
          <w:sz w:val="24"/>
        </w:rPr>
        <w:t>特此证明。</w:t>
      </w:r>
    </w:p>
    <w:p w14:paraId="0C2862D0">
      <w:pPr>
        <w:tabs>
          <w:tab w:val="left" w:pos="6300"/>
        </w:tabs>
        <w:snapToGrid w:val="0"/>
        <w:spacing w:line="500" w:lineRule="exact"/>
        <w:ind w:firstLine="570"/>
        <w:rPr>
          <w:rFonts w:ascii="仿宋" w:hAnsi="仿宋" w:eastAsia="仿宋"/>
          <w:sz w:val="24"/>
        </w:rPr>
      </w:pPr>
    </w:p>
    <w:p w14:paraId="04638D1F">
      <w:pPr>
        <w:tabs>
          <w:tab w:val="left" w:pos="6300"/>
        </w:tabs>
        <w:snapToGrid w:val="0"/>
        <w:spacing w:line="500" w:lineRule="exact"/>
        <w:ind w:firstLine="570"/>
        <w:rPr>
          <w:rFonts w:ascii="仿宋" w:hAnsi="仿宋" w:eastAsia="仿宋"/>
          <w:sz w:val="24"/>
        </w:rPr>
      </w:pPr>
    </w:p>
    <w:p w14:paraId="7A29A3A4">
      <w:pPr>
        <w:tabs>
          <w:tab w:val="left" w:pos="6300"/>
        </w:tabs>
        <w:snapToGrid w:val="0"/>
        <w:spacing w:line="500" w:lineRule="exact"/>
        <w:ind w:firstLine="570"/>
        <w:rPr>
          <w:rFonts w:ascii="仿宋" w:hAnsi="仿宋" w:eastAsia="仿宋"/>
          <w:sz w:val="24"/>
        </w:rPr>
      </w:pPr>
    </w:p>
    <w:p w14:paraId="2A77D26D">
      <w:pPr>
        <w:tabs>
          <w:tab w:val="left" w:pos="6300"/>
        </w:tabs>
        <w:snapToGrid w:val="0"/>
        <w:spacing w:line="500" w:lineRule="exact"/>
        <w:ind w:firstLine="570"/>
        <w:rPr>
          <w:rFonts w:ascii="仿宋" w:hAnsi="仿宋" w:eastAsia="仿宋"/>
          <w:sz w:val="24"/>
        </w:rPr>
      </w:pPr>
      <w:r>
        <w:rPr>
          <w:rFonts w:hint="eastAsia" w:ascii="仿宋" w:hAnsi="仿宋" w:eastAsia="仿宋"/>
          <w:sz w:val="24"/>
        </w:rPr>
        <w:t xml:space="preserve">                                             （供应商公章）</w:t>
      </w:r>
    </w:p>
    <w:p w14:paraId="51D05F36">
      <w:pPr>
        <w:tabs>
          <w:tab w:val="left" w:pos="6300"/>
        </w:tabs>
        <w:snapToGrid w:val="0"/>
        <w:spacing w:line="500" w:lineRule="exact"/>
        <w:ind w:firstLine="570"/>
        <w:rPr>
          <w:rFonts w:ascii="仿宋" w:hAnsi="仿宋" w:eastAsia="仿宋"/>
          <w:sz w:val="24"/>
        </w:rPr>
      </w:pPr>
    </w:p>
    <w:p w14:paraId="41E17CA0">
      <w:pPr>
        <w:tabs>
          <w:tab w:val="left" w:pos="6300"/>
        </w:tabs>
        <w:snapToGrid w:val="0"/>
        <w:spacing w:line="500" w:lineRule="exact"/>
        <w:ind w:firstLine="570"/>
        <w:rPr>
          <w:rFonts w:ascii="仿宋" w:hAnsi="仿宋" w:eastAsia="仿宋"/>
          <w:sz w:val="24"/>
        </w:rPr>
      </w:pPr>
      <w:r>
        <w:rPr>
          <w:rFonts w:hint="eastAsia" w:ascii="仿宋" w:hAnsi="仿宋" w:eastAsia="仿宋"/>
          <w:sz w:val="24"/>
        </w:rPr>
        <w:t xml:space="preserve">                                             年   月   日</w:t>
      </w:r>
    </w:p>
    <w:p w14:paraId="0276D015">
      <w:pPr>
        <w:tabs>
          <w:tab w:val="left" w:pos="6300"/>
        </w:tabs>
        <w:snapToGrid w:val="0"/>
        <w:spacing w:line="500" w:lineRule="exact"/>
        <w:ind w:firstLine="570"/>
        <w:rPr>
          <w:rFonts w:ascii="仿宋" w:hAnsi="仿宋" w:eastAsia="仿宋"/>
          <w:sz w:val="24"/>
        </w:rPr>
      </w:pPr>
    </w:p>
    <w:p w14:paraId="231973D2">
      <w:pPr>
        <w:tabs>
          <w:tab w:val="left" w:pos="6300"/>
        </w:tabs>
        <w:snapToGrid w:val="0"/>
        <w:spacing w:line="500" w:lineRule="exact"/>
        <w:ind w:firstLine="570"/>
        <w:rPr>
          <w:rFonts w:ascii="仿宋" w:hAnsi="仿宋" w:eastAsia="仿宋"/>
          <w:sz w:val="24"/>
          <w:szCs w:val="22"/>
        </w:rPr>
      </w:pPr>
      <w:r>
        <w:rPr>
          <w:rFonts w:hint="eastAsia" w:ascii="仿宋" w:hAnsi="仿宋" w:eastAsia="仿宋"/>
          <w:sz w:val="24"/>
          <w:szCs w:val="22"/>
        </w:rPr>
        <w:t>法定代表人电话：XXXXXXX      电子邮箱：XXXXXX@XXXXX（若授权他人办理并签署响应文件的可不填写）</w:t>
      </w:r>
    </w:p>
    <w:p w14:paraId="227D0FFE">
      <w:pPr>
        <w:tabs>
          <w:tab w:val="left" w:pos="6300"/>
        </w:tabs>
        <w:snapToGrid w:val="0"/>
        <w:spacing w:line="500" w:lineRule="exact"/>
        <w:ind w:firstLine="570"/>
        <w:rPr>
          <w:rFonts w:ascii="仿宋" w:hAnsi="仿宋" w:eastAsia="仿宋"/>
          <w:sz w:val="24"/>
        </w:rPr>
      </w:pPr>
    </w:p>
    <w:p w14:paraId="32DB3F71">
      <w:pPr>
        <w:tabs>
          <w:tab w:val="left" w:pos="6300"/>
        </w:tabs>
        <w:snapToGrid w:val="0"/>
        <w:spacing w:line="500" w:lineRule="exact"/>
        <w:ind w:firstLine="570"/>
        <w:rPr>
          <w:rFonts w:ascii="仿宋" w:hAnsi="仿宋" w:eastAsia="仿宋"/>
          <w:sz w:val="24"/>
        </w:rPr>
      </w:pPr>
      <w:r>
        <w:rPr>
          <w:rFonts w:hint="eastAsia" w:ascii="仿宋" w:hAnsi="仿宋" w:eastAsia="仿宋"/>
          <w:sz w:val="24"/>
        </w:rPr>
        <w:t>（附：法定代表人身份证正反面复印件）</w:t>
      </w:r>
    </w:p>
    <w:p w14:paraId="201DA66C">
      <w:pPr>
        <w:tabs>
          <w:tab w:val="left" w:pos="6300"/>
        </w:tabs>
        <w:snapToGrid w:val="0"/>
        <w:spacing w:line="500" w:lineRule="exact"/>
        <w:ind w:firstLine="570"/>
        <w:rPr>
          <w:rFonts w:ascii="仿宋" w:hAnsi="仿宋" w:eastAsia="仿宋"/>
          <w:sz w:val="24"/>
        </w:rPr>
      </w:pPr>
    </w:p>
    <w:p w14:paraId="2C8644F1">
      <w:pPr>
        <w:tabs>
          <w:tab w:val="left" w:pos="6300"/>
        </w:tabs>
        <w:snapToGrid w:val="0"/>
        <w:spacing w:line="500" w:lineRule="exact"/>
        <w:ind w:firstLine="570"/>
        <w:rPr>
          <w:rFonts w:ascii="仿宋" w:hAnsi="仿宋" w:eastAsia="仿宋"/>
          <w:color w:val="000000" w:themeColor="text1"/>
          <w:sz w:val="24"/>
          <w14:textFill>
            <w14:solidFill>
              <w14:schemeClr w14:val="tx1"/>
            </w14:solidFill>
          </w14:textFill>
        </w:rPr>
      </w:pPr>
    </w:p>
    <w:p w14:paraId="360FA4DF">
      <w:pPr>
        <w:tabs>
          <w:tab w:val="left" w:pos="6300"/>
        </w:tabs>
        <w:snapToGrid w:val="0"/>
        <w:spacing w:line="500" w:lineRule="exact"/>
        <w:ind w:firstLine="570"/>
        <w:rPr>
          <w:rFonts w:ascii="仿宋" w:hAnsi="仿宋" w:eastAsia="仿宋"/>
          <w:color w:val="000000" w:themeColor="text1"/>
          <w:sz w:val="24"/>
          <w14:textFill>
            <w14:solidFill>
              <w14:schemeClr w14:val="tx1"/>
            </w14:solidFill>
          </w14:textFill>
        </w:rPr>
      </w:pPr>
    </w:p>
    <w:p w14:paraId="1134D841">
      <w:pPr>
        <w:tabs>
          <w:tab w:val="left" w:pos="6300"/>
        </w:tabs>
        <w:snapToGrid w:val="0"/>
        <w:spacing w:line="500" w:lineRule="exact"/>
        <w:ind w:firstLine="570"/>
        <w:rPr>
          <w:rFonts w:ascii="仿宋" w:hAnsi="仿宋" w:eastAsia="仿宋"/>
          <w:color w:val="000000" w:themeColor="text1"/>
          <w:sz w:val="24"/>
          <w14:textFill>
            <w14:solidFill>
              <w14:schemeClr w14:val="tx1"/>
            </w14:solidFill>
          </w14:textFill>
        </w:rPr>
      </w:pPr>
    </w:p>
    <w:p w14:paraId="3358F5E7">
      <w:pPr>
        <w:tabs>
          <w:tab w:val="left" w:pos="6300"/>
        </w:tabs>
        <w:snapToGrid w:val="0"/>
        <w:spacing w:line="500" w:lineRule="exact"/>
        <w:ind w:firstLine="570"/>
        <w:rPr>
          <w:rFonts w:ascii="仿宋" w:hAnsi="仿宋" w:eastAsia="仿宋"/>
          <w:color w:val="000000" w:themeColor="text1"/>
          <w:sz w:val="24"/>
          <w14:textFill>
            <w14:solidFill>
              <w14:schemeClr w14:val="tx1"/>
            </w14:solidFill>
          </w14:textFill>
        </w:rPr>
      </w:pPr>
    </w:p>
    <w:p w14:paraId="76DE72E9">
      <w:pPr>
        <w:tabs>
          <w:tab w:val="left" w:pos="6300"/>
        </w:tabs>
        <w:snapToGrid w:val="0"/>
        <w:spacing w:line="500" w:lineRule="exact"/>
        <w:ind w:firstLine="570"/>
        <w:rPr>
          <w:rFonts w:ascii="仿宋" w:hAnsi="仿宋" w:eastAsia="仿宋"/>
          <w:color w:val="000000" w:themeColor="text1"/>
          <w:sz w:val="24"/>
          <w14:textFill>
            <w14:solidFill>
              <w14:schemeClr w14:val="tx1"/>
            </w14:solidFill>
          </w14:textFill>
        </w:rPr>
      </w:pPr>
    </w:p>
    <w:p w14:paraId="4EEB463C">
      <w:pPr>
        <w:tabs>
          <w:tab w:val="left" w:pos="6300"/>
        </w:tabs>
        <w:snapToGrid w:val="0"/>
        <w:spacing w:line="500" w:lineRule="exact"/>
        <w:ind w:firstLine="570"/>
        <w:rPr>
          <w:rFonts w:ascii="仿宋" w:hAnsi="仿宋" w:eastAsia="仿宋"/>
          <w:color w:val="000000" w:themeColor="text1"/>
          <w:sz w:val="24"/>
          <w14:textFill>
            <w14:solidFill>
              <w14:schemeClr w14:val="tx1"/>
            </w14:solidFill>
          </w14:textFill>
        </w:rPr>
      </w:pPr>
    </w:p>
    <w:p w14:paraId="1582B794">
      <w:pPr>
        <w:tabs>
          <w:tab w:val="left" w:pos="6300"/>
        </w:tabs>
        <w:snapToGrid w:val="0"/>
        <w:spacing w:line="500" w:lineRule="exact"/>
        <w:ind w:firstLine="570"/>
        <w:rPr>
          <w:rFonts w:ascii="仿宋" w:hAnsi="仿宋" w:eastAsia="仿宋"/>
        </w:rPr>
      </w:pPr>
      <w:r>
        <w:rPr>
          <w:rFonts w:hint="eastAsia" w:ascii="仿宋" w:hAnsi="仿宋" w:eastAsia="仿宋"/>
        </w:rPr>
        <w:t>（</w:t>
      </w:r>
      <w:r>
        <w:rPr>
          <w:rFonts w:hint="eastAsia" w:ascii="仿宋" w:hAnsi="仿宋" w:eastAsia="仿宋"/>
          <w:lang w:eastAsia="zh-CN"/>
        </w:rPr>
        <w:t>二</w:t>
      </w:r>
      <w:r>
        <w:rPr>
          <w:rFonts w:hint="eastAsia" w:ascii="仿宋" w:hAnsi="仿宋" w:eastAsia="仿宋"/>
        </w:rPr>
        <w:t>）法定代表人授权委托书（格式）</w:t>
      </w:r>
    </w:p>
    <w:p w14:paraId="52C9544C">
      <w:pPr>
        <w:tabs>
          <w:tab w:val="left" w:pos="6300"/>
        </w:tabs>
        <w:snapToGrid w:val="0"/>
        <w:spacing w:line="500" w:lineRule="exact"/>
        <w:ind w:firstLine="570"/>
        <w:rPr>
          <w:rFonts w:ascii="仿宋" w:hAnsi="仿宋" w:eastAsia="仿宋"/>
          <w:sz w:val="24"/>
        </w:rPr>
      </w:pPr>
      <w:r>
        <w:rPr>
          <w:rFonts w:hint="eastAsia" w:ascii="仿宋" w:hAnsi="仿宋" w:eastAsia="仿宋"/>
          <w:sz w:val="24"/>
        </w:rPr>
        <w:t xml:space="preserve">    </w:t>
      </w:r>
    </w:p>
    <w:p w14:paraId="10B3D5E8">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szCs w:val="28"/>
        </w:rPr>
        <w:t>项目名称</w:t>
      </w:r>
      <w:r>
        <w:rPr>
          <w:rFonts w:hint="eastAsia" w:ascii="仿宋" w:hAnsi="仿宋" w:eastAsia="仿宋"/>
          <w:sz w:val="24"/>
        </w:rPr>
        <w:t>：</w:t>
      </w:r>
      <w:r>
        <w:rPr>
          <w:rFonts w:hint="eastAsia" w:ascii="仿宋" w:hAnsi="仿宋" w:eastAsia="仿宋"/>
          <w:sz w:val="24"/>
          <w:u w:val="single"/>
        </w:rPr>
        <w:t xml:space="preserve">                                                </w:t>
      </w:r>
    </w:p>
    <w:p w14:paraId="5E21E724">
      <w:pPr>
        <w:tabs>
          <w:tab w:val="left" w:pos="6300"/>
        </w:tabs>
        <w:snapToGrid w:val="0"/>
        <w:spacing w:line="500" w:lineRule="exact"/>
        <w:ind w:firstLine="570"/>
        <w:rPr>
          <w:rFonts w:ascii="仿宋" w:hAnsi="仿宋" w:eastAsia="仿宋"/>
          <w:sz w:val="24"/>
        </w:rPr>
      </w:pPr>
    </w:p>
    <w:p w14:paraId="55AD4351">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 xml:space="preserve">                     </w:t>
      </w:r>
      <w:r>
        <w:rPr>
          <w:rFonts w:hint="eastAsia" w:ascii="仿宋" w:hAnsi="仿宋" w:eastAsia="仿宋"/>
          <w:sz w:val="24"/>
        </w:rPr>
        <w:t>（采购代理机构名称）：</w:t>
      </w:r>
    </w:p>
    <w:p w14:paraId="72FC6233">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（供应商法定代表人名称）是</w:t>
      </w:r>
      <w:r>
        <w:rPr>
          <w:rFonts w:hint="eastAsia" w:ascii="仿宋" w:hAnsi="仿宋" w:eastAsia="仿宋"/>
          <w:sz w:val="24"/>
          <w:u w:val="single"/>
        </w:rPr>
        <w:t xml:space="preserve">                    </w:t>
      </w:r>
      <w:r>
        <w:rPr>
          <w:rFonts w:hint="eastAsia" w:ascii="仿宋" w:hAnsi="仿宋" w:eastAsia="仿宋"/>
          <w:sz w:val="24"/>
        </w:rPr>
        <w:t>（供应商名称）的法定代表人，特授权</w:t>
      </w:r>
      <w:r>
        <w:rPr>
          <w:rFonts w:hint="eastAsia" w:ascii="仿宋" w:hAnsi="仿宋" w:eastAsia="仿宋"/>
          <w:sz w:val="24"/>
          <w:u w:val="single"/>
        </w:rPr>
        <w:t xml:space="preserve">          </w:t>
      </w:r>
      <w:r>
        <w:rPr>
          <w:rFonts w:hint="eastAsia" w:ascii="仿宋" w:hAnsi="仿宋" w:eastAsia="仿宋"/>
          <w:sz w:val="24"/>
        </w:rPr>
        <w:t>（被授权人姓名及身份证号码）代表我单位全权办理上述项目的磋商、签约等具体工作，并签署全部有关文件、协议及合同。</w:t>
      </w:r>
    </w:p>
    <w:p w14:paraId="57502E52">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我单位对被授权人的签字负全部责任。</w:t>
      </w:r>
    </w:p>
    <w:p w14:paraId="3A0DD9EE">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在撤消授权的书面通知以前，本授权书一直有效。被授权人在授权书有效期内签署的所有文件不因授权的撤消而失效。</w:t>
      </w:r>
    </w:p>
    <w:p w14:paraId="406E46A5">
      <w:pPr>
        <w:tabs>
          <w:tab w:val="left" w:pos="6300"/>
        </w:tabs>
        <w:snapToGrid w:val="0"/>
        <w:spacing w:line="500" w:lineRule="exact"/>
        <w:ind w:firstLine="570"/>
        <w:rPr>
          <w:rFonts w:ascii="仿宋" w:hAnsi="仿宋" w:eastAsia="仿宋"/>
          <w:sz w:val="24"/>
        </w:rPr>
      </w:pPr>
    </w:p>
    <w:p w14:paraId="6198F0D8">
      <w:pPr>
        <w:tabs>
          <w:tab w:val="left" w:pos="6300"/>
        </w:tabs>
        <w:snapToGrid w:val="0"/>
        <w:spacing w:line="500" w:lineRule="exact"/>
        <w:ind w:firstLine="570"/>
        <w:rPr>
          <w:rFonts w:ascii="仿宋" w:hAnsi="仿宋" w:eastAsia="仿宋"/>
          <w:sz w:val="24"/>
        </w:rPr>
      </w:pPr>
    </w:p>
    <w:p w14:paraId="435C848E">
      <w:pPr>
        <w:tabs>
          <w:tab w:val="left" w:pos="6300"/>
        </w:tabs>
        <w:snapToGrid w:val="0"/>
        <w:spacing w:line="500" w:lineRule="exact"/>
        <w:ind w:firstLine="570"/>
        <w:rPr>
          <w:rFonts w:ascii="仿宋" w:hAnsi="仿宋" w:eastAsia="仿宋"/>
          <w:sz w:val="24"/>
        </w:rPr>
      </w:pPr>
      <w:r>
        <w:rPr>
          <w:rFonts w:hint="eastAsia" w:ascii="仿宋" w:hAnsi="仿宋" w:eastAsia="仿宋"/>
          <w:sz w:val="24"/>
        </w:rPr>
        <w:t>被授权人：                                 供应商法定代表人：</w:t>
      </w:r>
    </w:p>
    <w:p w14:paraId="4F561F9D">
      <w:pPr>
        <w:tabs>
          <w:tab w:val="left" w:pos="6300"/>
        </w:tabs>
        <w:snapToGrid w:val="0"/>
        <w:spacing w:line="500" w:lineRule="exact"/>
        <w:ind w:firstLine="570"/>
        <w:rPr>
          <w:rFonts w:ascii="仿宋" w:hAnsi="仿宋" w:eastAsia="仿宋"/>
          <w:sz w:val="24"/>
          <w:szCs w:val="28"/>
        </w:rPr>
      </w:pPr>
      <w:r>
        <w:rPr>
          <w:rFonts w:hint="eastAsia" w:ascii="仿宋" w:hAnsi="仿宋" w:eastAsia="仿宋"/>
          <w:sz w:val="24"/>
          <w:szCs w:val="28"/>
        </w:rPr>
        <w:t>（签字或盖章）                                （签字或盖章）</w:t>
      </w:r>
    </w:p>
    <w:p w14:paraId="3607B6AF">
      <w:pPr>
        <w:tabs>
          <w:tab w:val="left" w:pos="6300"/>
        </w:tabs>
        <w:snapToGrid w:val="0"/>
        <w:spacing w:line="500" w:lineRule="exact"/>
        <w:ind w:firstLine="570"/>
        <w:rPr>
          <w:rFonts w:ascii="仿宋" w:hAnsi="仿宋" w:eastAsia="仿宋"/>
          <w:sz w:val="24"/>
          <w:szCs w:val="28"/>
        </w:rPr>
      </w:pPr>
    </w:p>
    <w:p w14:paraId="60F81996">
      <w:pPr>
        <w:tabs>
          <w:tab w:val="left" w:pos="6300"/>
        </w:tabs>
        <w:snapToGrid w:val="0"/>
        <w:spacing w:line="500" w:lineRule="exact"/>
        <w:ind w:firstLine="570"/>
        <w:rPr>
          <w:rFonts w:ascii="仿宋" w:hAnsi="仿宋" w:eastAsia="仿宋"/>
          <w:sz w:val="24"/>
        </w:rPr>
      </w:pPr>
    </w:p>
    <w:p w14:paraId="28FA6A4F">
      <w:pPr>
        <w:tabs>
          <w:tab w:val="left" w:pos="6300"/>
        </w:tabs>
        <w:snapToGrid w:val="0"/>
        <w:spacing w:line="500" w:lineRule="exact"/>
        <w:ind w:firstLine="570"/>
        <w:rPr>
          <w:rFonts w:ascii="仿宋" w:hAnsi="仿宋" w:eastAsia="仿宋"/>
          <w:sz w:val="24"/>
        </w:rPr>
      </w:pPr>
      <w:r>
        <w:rPr>
          <w:rFonts w:hint="eastAsia" w:ascii="仿宋" w:hAnsi="仿宋" w:eastAsia="仿宋"/>
          <w:sz w:val="24"/>
          <w:szCs w:val="22"/>
        </w:rPr>
        <w:t>被授权人电话：XXXXXXX     电子邮箱：XXXXXX@XXXXX（若法定代表人办理并签署响应文件的可不填写）</w:t>
      </w:r>
    </w:p>
    <w:p w14:paraId="29CD11DF">
      <w:pPr>
        <w:tabs>
          <w:tab w:val="left" w:pos="6300"/>
        </w:tabs>
        <w:snapToGrid w:val="0"/>
        <w:spacing w:line="500" w:lineRule="exact"/>
        <w:ind w:firstLine="570"/>
        <w:rPr>
          <w:rFonts w:ascii="仿宋" w:hAnsi="仿宋" w:eastAsia="仿宋"/>
          <w:sz w:val="24"/>
        </w:rPr>
      </w:pPr>
      <w:r>
        <w:rPr>
          <w:rFonts w:hint="eastAsia" w:ascii="仿宋" w:hAnsi="仿宋" w:eastAsia="仿宋"/>
          <w:sz w:val="24"/>
        </w:rPr>
        <w:t>（附：被授权人身份证正反面复印件）</w:t>
      </w:r>
    </w:p>
    <w:p w14:paraId="3B336231">
      <w:pPr>
        <w:tabs>
          <w:tab w:val="left" w:pos="6300"/>
        </w:tabs>
        <w:snapToGrid w:val="0"/>
        <w:spacing w:line="500" w:lineRule="exact"/>
        <w:ind w:firstLine="570"/>
        <w:rPr>
          <w:rFonts w:ascii="仿宋" w:hAnsi="仿宋" w:eastAsia="仿宋"/>
          <w:sz w:val="24"/>
        </w:rPr>
      </w:pPr>
      <w:r>
        <w:rPr>
          <w:rFonts w:hint="eastAsia" w:ascii="仿宋" w:hAnsi="仿宋" w:eastAsia="仿宋"/>
          <w:sz w:val="24"/>
        </w:rPr>
        <w:t xml:space="preserve">                                          </w:t>
      </w:r>
    </w:p>
    <w:p w14:paraId="3D4AC4E6">
      <w:pPr>
        <w:tabs>
          <w:tab w:val="left" w:pos="6300"/>
        </w:tabs>
        <w:snapToGrid w:val="0"/>
        <w:spacing w:line="500" w:lineRule="exact"/>
        <w:ind w:firstLine="570"/>
        <w:rPr>
          <w:rFonts w:ascii="仿宋" w:hAnsi="仿宋" w:eastAsia="仿宋"/>
          <w:sz w:val="24"/>
        </w:rPr>
      </w:pPr>
    </w:p>
    <w:p w14:paraId="78706FE3">
      <w:pPr>
        <w:tabs>
          <w:tab w:val="left" w:pos="6300"/>
        </w:tabs>
        <w:snapToGrid w:val="0"/>
        <w:spacing w:line="500" w:lineRule="exact"/>
        <w:ind w:firstLine="570"/>
        <w:rPr>
          <w:rFonts w:ascii="仿宋" w:hAnsi="仿宋" w:eastAsia="仿宋"/>
          <w:sz w:val="24"/>
        </w:rPr>
      </w:pPr>
    </w:p>
    <w:p w14:paraId="0C814A7C">
      <w:pPr>
        <w:tabs>
          <w:tab w:val="left" w:pos="6300"/>
        </w:tabs>
        <w:snapToGrid w:val="0"/>
        <w:spacing w:line="500" w:lineRule="exact"/>
        <w:ind w:right="480" w:firstLine="570"/>
        <w:jc w:val="right"/>
        <w:rPr>
          <w:rFonts w:ascii="仿宋" w:hAnsi="仿宋" w:eastAsia="仿宋"/>
          <w:sz w:val="24"/>
        </w:rPr>
      </w:pPr>
      <w:r>
        <w:rPr>
          <w:rFonts w:hint="eastAsia" w:ascii="仿宋" w:hAnsi="仿宋" w:eastAsia="仿宋"/>
          <w:sz w:val="24"/>
        </w:rPr>
        <w:t>（供应商公章）</w:t>
      </w:r>
    </w:p>
    <w:p w14:paraId="571323A1">
      <w:pPr>
        <w:tabs>
          <w:tab w:val="left" w:pos="6300"/>
        </w:tabs>
        <w:snapToGrid w:val="0"/>
        <w:spacing w:line="500" w:lineRule="exact"/>
        <w:ind w:right="480" w:firstLine="570"/>
        <w:jc w:val="right"/>
        <w:rPr>
          <w:rFonts w:ascii="仿宋" w:hAnsi="仿宋" w:eastAsia="仿宋"/>
          <w:sz w:val="24"/>
        </w:rPr>
      </w:pPr>
      <w:r>
        <w:rPr>
          <w:rFonts w:hint="eastAsia" w:ascii="仿宋" w:hAnsi="仿宋" w:eastAsia="仿宋"/>
          <w:sz w:val="24"/>
        </w:rPr>
        <w:t>年   月   日</w:t>
      </w:r>
    </w:p>
    <w:p w14:paraId="144AB441">
      <w:pPr>
        <w:tabs>
          <w:tab w:val="left" w:pos="6300"/>
        </w:tabs>
        <w:snapToGrid w:val="0"/>
        <w:spacing w:line="500" w:lineRule="exact"/>
        <w:ind w:firstLine="570"/>
        <w:rPr>
          <w:rFonts w:ascii="仿宋" w:hAnsi="仿宋" w:eastAsia="仿宋"/>
          <w:sz w:val="24"/>
          <w:szCs w:val="22"/>
        </w:rPr>
      </w:pPr>
      <w:r>
        <w:rPr>
          <w:rFonts w:hint="eastAsia" w:ascii="仿宋" w:hAnsi="仿宋" w:eastAsia="仿宋"/>
          <w:sz w:val="24"/>
          <w:szCs w:val="22"/>
        </w:rPr>
        <w:t>注：若为法定代表人办理并签署响应文件的，不提供此文件。</w:t>
      </w:r>
    </w:p>
    <w:p w14:paraId="4BB312D7">
      <w:pPr>
        <w:pageBreakBefore w:val="0"/>
        <w:tabs>
          <w:tab w:val="left" w:pos="6300"/>
        </w:tabs>
        <w:kinsoku/>
        <w:wordWrap/>
        <w:overflowPunct/>
        <w:topLinePunct w:val="0"/>
        <w:autoSpaceDE/>
        <w:autoSpaceDN/>
        <w:bidi w:val="0"/>
        <w:adjustRightInd/>
        <w:snapToGrid w:val="0"/>
        <w:spacing w:line="400" w:lineRule="exact"/>
        <w:rPr>
          <w:rFonts w:hint="eastAsia" w:ascii="仿宋" w:hAnsi="仿宋" w:eastAsia="仿宋" w:cs="仿宋"/>
          <w:sz w:val="24"/>
          <w:szCs w:val="24"/>
        </w:rPr>
      </w:pPr>
    </w:p>
    <w:bookmarkEnd w:id="48"/>
    <w:p w14:paraId="42B4AAFB">
      <w:pPr>
        <w:pageBreakBefore w:val="0"/>
        <w:tabs>
          <w:tab w:val="left" w:pos="6300"/>
        </w:tabs>
        <w:kinsoku/>
        <w:wordWrap/>
        <w:overflowPunct/>
        <w:topLinePunct w:val="0"/>
        <w:autoSpaceDE/>
        <w:autoSpaceDN/>
        <w:bidi w:val="0"/>
        <w:adjustRightInd/>
        <w:snapToGrid w:val="0"/>
        <w:spacing w:line="400" w:lineRule="exact"/>
        <w:ind w:right="480" w:firstLine="570"/>
        <w:jc w:val="center"/>
        <w:rPr>
          <w:rFonts w:hint="eastAsia" w:ascii="仿宋" w:hAnsi="仿宋" w:eastAsia="仿宋" w:cs="仿宋"/>
          <w:sz w:val="24"/>
          <w:szCs w:val="24"/>
        </w:rPr>
      </w:pPr>
    </w:p>
    <w:p w14:paraId="5E7FE731">
      <w:pPr>
        <w:pStyle w:val="2"/>
        <w:keepNext/>
        <w:keepLines/>
        <w:pageBreakBefore w:val="0"/>
        <w:widowControl w:val="0"/>
        <w:kinsoku/>
        <w:wordWrap/>
        <w:overflowPunct/>
        <w:topLinePunct w:val="0"/>
        <w:autoSpaceDE/>
        <w:autoSpaceDN/>
        <w:bidi w:val="0"/>
        <w:adjustRightInd/>
        <w:snapToGrid/>
        <w:spacing w:before="0" w:after="0" w:line="400" w:lineRule="exact"/>
        <w:textAlignment w:val="auto"/>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附2：基本资格条件承诺函</w:t>
      </w:r>
    </w:p>
    <w:p w14:paraId="75A8AFAA">
      <w:pPr>
        <w:tabs>
          <w:tab w:val="left" w:pos="6300"/>
        </w:tabs>
        <w:snapToGrid w:val="0"/>
        <w:spacing w:line="500" w:lineRule="exact"/>
        <w:ind w:firstLine="570"/>
        <w:rPr>
          <w:rFonts w:ascii="仿宋" w:hAnsi="仿宋" w:eastAsia="仿宋"/>
          <w:color w:val="000000" w:themeColor="text1"/>
          <w:sz w:val="24"/>
          <w14:textFill>
            <w14:solidFill>
              <w14:schemeClr w14:val="tx1"/>
            </w14:solidFill>
          </w14:textFill>
        </w:rPr>
      </w:pPr>
    </w:p>
    <w:p w14:paraId="6368011F">
      <w:pPr>
        <w:tabs>
          <w:tab w:val="left" w:pos="6300"/>
        </w:tabs>
        <w:snapToGrid w:val="0"/>
        <w:spacing w:line="530" w:lineRule="exact"/>
        <w:jc w:val="center"/>
        <w:rPr>
          <w:rFonts w:ascii="仿宋" w:hAnsi="仿宋" w:eastAsia="仿宋" w:cs="仿宋"/>
          <w:sz w:val="24"/>
          <w:szCs w:val="24"/>
        </w:rPr>
      </w:pPr>
      <w:r>
        <w:rPr>
          <w:rFonts w:hint="eastAsia" w:ascii="仿宋" w:hAnsi="仿宋" w:eastAsia="仿宋" w:cs="仿宋"/>
          <w:sz w:val="24"/>
          <w:szCs w:val="24"/>
        </w:rPr>
        <w:t>基本资格条件承诺函</w:t>
      </w:r>
    </w:p>
    <w:p w14:paraId="27FFDF8D">
      <w:pPr>
        <w:tabs>
          <w:tab w:val="left" w:pos="6300"/>
        </w:tabs>
        <w:snapToGrid w:val="0"/>
        <w:spacing w:line="530" w:lineRule="exact"/>
        <w:rPr>
          <w:rFonts w:ascii="仿宋" w:hAnsi="仿宋" w:eastAsia="仿宋" w:cs="仿宋"/>
          <w:sz w:val="24"/>
          <w:szCs w:val="24"/>
        </w:rPr>
      </w:pPr>
    </w:p>
    <w:p w14:paraId="1E2FDD2C">
      <w:pPr>
        <w:tabs>
          <w:tab w:val="left" w:pos="6300"/>
        </w:tabs>
        <w:snapToGrid w:val="0"/>
        <w:spacing w:line="530" w:lineRule="exact"/>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lang w:eastAsia="zh-CN"/>
        </w:rPr>
        <w:t>采购人</w:t>
      </w:r>
      <w:r>
        <w:rPr>
          <w:rFonts w:hint="eastAsia" w:ascii="仿宋" w:hAnsi="仿宋" w:eastAsia="仿宋" w:cs="仿宋"/>
          <w:sz w:val="24"/>
          <w:szCs w:val="24"/>
        </w:rPr>
        <w:t>名称）：</w:t>
      </w:r>
    </w:p>
    <w:p w14:paraId="2D449643">
      <w:pPr>
        <w:tabs>
          <w:tab w:val="left" w:pos="6300"/>
        </w:tabs>
        <w:snapToGrid w:val="0"/>
        <w:spacing w:line="530" w:lineRule="exact"/>
        <w:ind w:firstLine="480" w:firstLineChars="200"/>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（供应商名称）郑重承诺：</w:t>
      </w:r>
    </w:p>
    <w:p w14:paraId="3B454170">
      <w:pPr>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1.我方具有良好的商业信誉和健全的财务会计制度，具有履行合同所必需的设备和专业技术能力，具</w:t>
      </w:r>
      <w:r>
        <w:rPr>
          <w:rFonts w:hint="eastAsia" w:ascii="仿宋" w:hAnsi="仿宋" w:eastAsia="仿宋" w:cs="仿宋"/>
          <w:sz w:val="24"/>
          <w:szCs w:val="24"/>
          <w:lang w:val="zh-CN"/>
        </w:rPr>
        <w:t>有依法缴纳税收和社会保障金的良好记录</w:t>
      </w:r>
      <w:r>
        <w:rPr>
          <w:rFonts w:hint="eastAsia" w:ascii="仿宋" w:hAnsi="仿宋" w:eastAsia="仿宋" w:cs="仿宋"/>
          <w:sz w:val="24"/>
          <w:szCs w:val="24"/>
        </w:rPr>
        <w:t>，参加本项目采购活动前三年内无重大违法活动记录。</w:t>
      </w:r>
    </w:p>
    <w:p w14:paraId="6AEC28E5">
      <w:pPr>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2.我方未列入在信用中国网站（www.creditchina.gov.cn）“失信被执行人”、“重大税收违法案件当事人名单”中，也未列入中国政府采购网（www.ccgp.gov.cn）“政府采购严重违法失信行为记录名单”中。</w:t>
      </w:r>
    </w:p>
    <w:p w14:paraId="00E9D6C7">
      <w:pPr>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3.我方在采购项目评审（评标）环节结束后，随时接受采购人、采购代理机构的检查验证，配合提供相关证明材料，证明符合《中华人民共和国政府采购法》规定的投标人基本资格条件。</w:t>
      </w:r>
    </w:p>
    <w:p w14:paraId="25E12DE4">
      <w:pPr>
        <w:tabs>
          <w:tab w:val="left" w:pos="6300"/>
        </w:tabs>
        <w:snapToGrid w:val="0"/>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我方对以上承诺负全部法律责任。</w:t>
      </w:r>
    </w:p>
    <w:p w14:paraId="4AAA5401">
      <w:pPr>
        <w:tabs>
          <w:tab w:val="left" w:pos="6300"/>
        </w:tabs>
        <w:snapToGrid w:val="0"/>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特此承诺。</w:t>
      </w:r>
    </w:p>
    <w:p w14:paraId="036576FB">
      <w:pPr>
        <w:tabs>
          <w:tab w:val="left" w:pos="6300"/>
        </w:tabs>
        <w:snapToGrid w:val="0"/>
        <w:spacing w:line="530" w:lineRule="exact"/>
        <w:rPr>
          <w:rFonts w:ascii="仿宋" w:hAnsi="仿宋" w:eastAsia="仿宋" w:cs="仿宋"/>
          <w:sz w:val="24"/>
          <w:szCs w:val="24"/>
        </w:rPr>
      </w:pPr>
    </w:p>
    <w:p w14:paraId="6692376D">
      <w:pPr>
        <w:tabs>
          <w:tab w:val="left" w:pos="6300"/>
        </w:tabs>
        <w:snapToGrid w:val="0"/>
        <w:spacing w:line="530" w:lineRule="exact"/>
        <w:ind w:right="424" w:firstLine="570"/>
        <w:jc w:val="right"/>
        <w:rPr>
          <w:rFonts w:ascii="仿宋" w:hAnsi="仿宋" w:eastAsia="仿宋" w:cs="仿宋"/>
          <w:sz w:val="24"/>
          <w:szCs w:val="24"/>
        </w:rPr>
      </w:pPr>
      <w:r>
        <w:rPr>
          <w:rFonts w:hint="eastAsia" w:ascii="仿宋" w:hAnsi="仿宋" w:eastAsia="仿宋" w:cs="仿宋"/>
          <w:sz w:val="24"/>
          <w:szCs w:val="24"/>
        </w:rPr>
        <w:t>（供应商公章）</w:t>
      </w:r>
    </w:p>
    <w:p w14:paraId="12652BF0">
      <w:pPr>
        <w:tabs>
          <w:tab w:val="left" w:pos="6300"/>
        </w:tabs>
        <w:snapToGrid w:val="0"/>
        <w:spacing w:line="500" w:lineRule="exact"/>
        <w:ind w:firstLine="7680" w:firstLineChars="3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年   月   日</w:t>
      </w:r>
    </w:p>
    <w:p w14:paraId="5B0244EF">
      <w:pPr>
        <w:rPr>
          <w:rFonts w:hint="eastAsia"/>
        </w:rPr>
      </w:pPr>
    </w:p>
    <w:sectPr>
      <w:headerReference r:id="rId4" w:type="default"/>
      <w:footerReference r:id="rId5"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DD5E69DA-BE6E-4E23-AEEB-A64F428CA6AD}"/>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2" w:fontKey="{2A2EA7C0-6466-41C4-BD89-85BE51CF4169}"/>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2F893">
    <w:pPr>
      <w:pStyle w:val="3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12700" b="14605"/>
              <wp:wrapNone/>
              <wp:docPr id="3"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6350">
                        <a:noFill/>
                      </a:ln>
                    </wps:spPr>
                    <wps:txbx>
                      <w:txbxContent>
                        <w:p w14:paraId="3AB6A1E7">
                          <w:pPr>
                            <w:pStyle w:val="36"/>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SdTdDRAAAAAwEAAA8AAAAAAAAAAQAgAAAAIgAAAGRycy9kb3ducmV2LnhtbFBLAQIUABQA&#10;AAAIAIdO4kCgl4N3MAIAAFMEAAAOAAAAAAAAAAEAIAAAACABAABkcnMvZTJvRG9jLnhtbFBLBQYA&#10;AAAABgAGAFkBAADCBQAAAAA=&#10;">
              <v:fill on="f" focussize="0,0"/>
              <v:stroke on="f" weight="0.5pt"/>
              <v:imagedata o:title=""/>
              <o:lock v:ext="edit" aspectratio="f"/>
              <v:textbox inset="0mm,0mm,0mm,0mm" style="mso-fit-shape-to-text:t;">
                <w:txbxContent>
                  <w:p w14:paraId="3AB6A1E7">
                    <w:pPr>
                      <w:pStyle w:val="36"/>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0F408">
    <w:pPr>
      <w:pStyle w:val="3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47650" cy="131445"/>
              <wp:effectExtent l="0" t="0" r="0" b="1905"/>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wps:spPr>
                    <wps:txbx>
                      <w:txbxContent>
                        <w:p w14:paraId="1B3B5D60">
                          <w:pPr>
                            <w:pStyle w:val="36"/>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9.5pt;mso-position-horizontal:center;mso-position-horizontal-relative:margin;mso-wrap-style:none;z-index:251661312;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XsUjg0AAAAAMBAAAPAAAAAAAAAAEAIAAAACIAAABkcnMvZG93&#10;bnJldi54bWxQSwECFAAUAAAACACHTuJAxAFx1ggCAAADBAAADgAAAAAAAAABACAAAAAfAQAAZHJz&#10;L2Uyb0RvYy54bWxQSwUGAAAAAAYABgBZAQAAmQUAAAAA&#10;">
              <v:fill on="f" focussize="0,0"/>
              <v:stroke on="f"/>
              <v:imagedata o:title=""/>
              <o:lock v:ext="edit" aspectratio="f"/>
              <v:textbox inset="0mm,0mm,0mm,0mm" style="mso-fit-shape-to-text:t;">
                <w:txbxContent>
                  <w:p w14:paraId="1B3B5D60">
                    <w:pPr>
                      <w:pStyle w:val="36"/>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79E24">
    <w:pPr>
      <w:pStyle w:val="37"/>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3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5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7">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9">
    <w:nsid w:val="00000014"/>
    <w:multiLevelType w:val="singleLevel"/>
    <w:tmpl w:val="00000014"/>
    <w:lvl w:ilvl="0" w:tentative="0">
      <w:start w:val="1"/>
      <w:numFmt w:val="decimal"/>
      <w:pStyle w:val="146"/>
      <w:lvlText w:val="%1)"/>
      <w:lvlJc w:val="left"/>
      <w:pPr>
        <w:tabs>
          <w:tab w:val="left" w:pos="425"/>
        </w:tabs>
        <w:ind w:left="425" w:hanging="425"/>
      </w:pPr>
      <w:rPr>
        <w:rFonts w:hint="eastAsia"/>
      </w:rPr>
    </w:lvl>
  </w:abstractNum>
  <w:abstractNum w:abstractNumId="10">
    <w:nsid w:val="00000015"/>
    <w:multiLevelType w:val="multilevel"/>
    <w:tmpl w:val="00000015"/>
    <w:lvl w:ilvl="0" w:tentative="0">
      <w:start w:val="1"/>
      <w:numFmt w:val="chineseCountingThousand"/>
      <w:pStyle w:val="20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64F7617D"/>
    <w:multiLevelType w:val="singleLevel"/>
    <w:tmpl w:val="64F7617D"/>
    <w:lvl w:ilvl="0" w:tentative="0">
      <w:start w:val="1"/>
      <w:numFmt w:val="chineseCounting"/>
      <w:suff w:val="nothing"/>
      <w:lvlText w:val="%1、"/>
      <w:lvlJc w:val="left"/>
      <w:rPr>
        <w:rFonts w:hint="eastAsia"/>
      </w:rPr>
    </w:lvl>
  </w:abstractNum>
  <w:num w:numId="1">
    <w:abstractNumId w:val="6"/>
  </w:num>
  <w:num w:numId="2">
    <w:abstractNumId w:val="3"/>
  </w:num>
  <w:num w:numId="3">
    <w:abstractNumId w:val="8"/>
  </w:num>
  <w:num w:numId="4">
    <w:abstractNumId w:val="5"/>
  </w:num>
  <w:num w:numId="5">
    <w:abstractNumId w:val="1"/>
  </w:num>
  <w:num w:numId="6">
    <w:abstractNumId w:val="7"/>
  </w:num>
  <w:num w:numId="7">
    <w:abstractNumId w:val="9"/>
  </w:num>
  <w:num w:numId="8">
    <w:abstractNumId w:val="2"/>
  </w:num>
  <w:num w:numId="9">
    <w:abstractNumId w:val="10"/>
  </w:num>
  <w:num w:numId="10">
    <w:abstractNumId w:val="0"/>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ZTg4YWRmMzAwNjM2MDU3MDg3NTU4NzBjZmQzMWQifQ=="/>
  </w:docVars>
  <w:rsids>
    <w:rsidRoot w:val="00172A27"/>
    <w:rsid w:val="00001BE6"/>
    <w:rsid w:val="000144C9"/>
    <w:rsid w:val="0002088C"/>
    <w:rsid w:val="00020D3D"/>
    <w:rsid w:val="00033DAB"/>
    <w:rsid w:val="000342CA"/>
    <w:rsid w:val="000370BC"/>
    <w:rsid w:val="00042D13"/>
    <w:rsid w:val="00045AC6"/>
    <w:rsid w:val="00052D34"/>
    <w:rsid w:val="00056A6E"/>
    <w:rsid w:val="00073ED1"/>
    <w:rsid w:val="0008422C"/>
    <w:rsid w:val="00084C93"/>
    <w:rsid w:val="000B27C8"/>
    <w:rsid w:val="000E232C"/>
    <w:rsid w:val="000E3326"/>
    <w:rsid w:val="000E735B"/>
    <w:rsid w:val="000F3601"/>
    <w:rsid w:val="00104935"/>
    <w:rsid w:val="001056C7"/>
    <w:rsid w:val="0011647C"/>
    <w:rsid w:val="00116BB6"/>
    <w:rsid w:val="00117275"/>
    <w:rsid w:val="001173E3"/>
    <w:rsid w:val="001203FF"/>
    <w:rsid w:val="001306AD"/>
    <w:rsid w:val="001419C1"/>
    <w:rsid w:val="001435CF"/>
    <w:rsid w:val="001445A2"/>
    <w:rsid w:val="0015070D"/>
    <w:rsid w:val="0015525F"/>
    <w:rsid w:val="00156EC0"/>
    <w:rsid w:val="001631FB"/>
    <w:rsid w:val="00165915"/>
    <w:rsid w:val="00166EEA"/>
    <w:rsid w:val="00172A27"/>
    <w:rsid w:val="001765E3"/>
    <w:rsid w:val="001773D1"/>
    <w:rsid w:val="001829E7"/>
    <w:rsid w:val="00192985"/>
    <w:rsid w:val="001A3E64"/>
    <w:rsid w:val="001D1D36"/>
    <w:rsid w:val="001F2EEE"/>
    <w:rsid w:val="001F5C4F"/>
    <w:rsid w:val="001F74AE"/>
    <w:rsid w:val="00205E74"/>
    <w:rsid w:val="002122FC"/>
    <w:rsid w:val="0021327B"/>
    <w:rsid w:val="0021595A"/>
    <w:rsid w:val="00223B9B"/>
    <w:rsid w:val="002241B9"/>
    <w:rsid w:val="0022691C"/>
    <w:rsid w:val="00226A1A"/>
    <w:rsid w:val="002625B6"/>
    <w:rsid w:val="00265304"/>
    <w:rsid w:val="002676F5"/>
    <w:rsid w:val="00284B97"/>
    <w:rsid w:val="00293CA8"/>
    <w:rsid w:val="00297EC4"/>
    <w:rsid w:val="002A1081"/>
    <w:rsid w:val="002A7336"/>
    <w:rsid w:val="002B0676"/>
    <w:rsid w:val="002B190E"/>
    <w:rsid w:val="002B2FFB"/>
    <w:rsid w:val="002B7951"/>
    <w:rsid w:val="002C1B75"/>
    <w:rsid w:val="002C7EDF"/>
    <w:rsid w:val="002E42CF"/>
    <w:rsid w:val="002F2847"/>
    <w:rsid w:val="002F5C86"/>
    <w:rsid w:val="0030552A"/>
    <w:rsid w:val="00313FC6"/>
    <w:rsid w:val="00314FE1"/>
    <w:rsid w:val="00316A52"/>
    <w:rsid w:val="00316DF3"/>
    <w:rsid w:val="003171D2"/>
    <w:rsid w:val="00330491"/>
    <w:rsid w:val="003332D6"/>
    <w:rsid w:val="0033562A"/>
    <w:rsid w:val="003453EB"/>
    <w:rsid w:val="00356AFA"/>
    <w:rsid w:val="003609C0"/>
    <w:rsid w:val="003876E3"/>
    <w:rsid w:val="003878EB"/>
    <w:rsid w:val="003A0967"/>
    <w:rsid w:val="003A78DF"/>
    <w:rsid w:val="003B48D3"/>
    <w:rsid w:val="003B5F80"/>
    <w:rsid w:val="003B6130"/>
    <w:rsid w:val="003C0EFC"/>
    <w:rsid w:val="003C3721"/>
    <w:rsid w:val="003C505E"/>
    <w:rsid w:val="003D7E49"/>
    <w:rsid w:val="003E69B4"/>
    <w:rsid w:val="003E7CAB"/>
    <w:rsid w:val="003F7078"/>
    <w:rsid w:val="004003D1"/>
    <w:rsid w:val="004035A4"/>
    <w:rsid w:val="00403B2D"/>
    <w:rsid w:val="00415960"/>
    <w:rsid w:val="00415A77"/>
    <w:rsid w:val="00421287"/>
    <w:rsid w:val="0043243B"/>
    <w:rsid w:val="00434392"/>
    <w:rsid w:val="0044680D"/>
    <w:rsid w:val="00460545"/>
    <w:rsid w:val="004641C5"/>
    <w:rsid w:val="00472E93"/>
    <w:rsid w:val="00493794"/>
    <w:rsid w:val="00495D1A"/>
    <w:rsid w:val="0049754E"/>
    <w:rsid w:val="004A1198"/>
    <w:rsid w:val="004A2061"/>
    <w:rsid w:val="004A6CE1"/>
    <w:rsid w:val="004B4D5B"/>
    <w:rsid w:val="004C55B8"/>
    <w:rsid w:val="004D1BB9"/>
    <w:rsid w:val="00507899"/>
    <w:rsid w:val="005106F8"/>
    <w:rsid w:val="00521F48"/>
    <w:rsid w:val="00531162"/>
    <w:rsid w:val="00537A61"/>
    <w:rsid w:val="00544AC9"/>
    <w:rsid w:val="0055266E"/>
    <w:rsid w:val="0055762B"/>
    <w:rsid w:val="00561D31"/>
    <w:rsid w:val="00562F84"/>
    <w:rsid w:val="00573924"/>
    <w:rsid w:val="0057736C"/>
    <w:rsid w:val="00580744"/>
    <w:rsid w:val="00590C56"/>
    <w:rsid w:val="00591065"/>
    <w:rsid w:val="005930FA"/>
    <w:rsid w:val="00597DE5"/>
    <w:rsid w:val="005A27F5"/>
    <w:rsid w:val="005A4D22"/>
    <w:rsid w:val="005C530A"/>
    <w:rsid w:val="005C7A84"/>
    <w:rsid w:val="005C7E21"/>
    <w:rsid w:val="005F22A3"/>
    <w:rsid w:val="005F5130"/>
    <w:rsid w:val="005F794B"/>
    <w:rsid w:val="00603BF9"/>
    <w:rsid w:val="00605FC0"/>
    <w:rsid w:val="006143EE"/>
    <w:rsid w:val="00615E2B"/>
    <w:rsid w:val="00617791"/>
    <w:rsid w:val="00625F79"/>
    <w:rsid w:val="006261F4"/>
    <w:rsid w:val="00630893"/>
    <w:rsid w:val="00635A63"/>
    <w:rsid w:val="00637187"/>
    <w:rsid w:val="00642C79"/>
    <w:rsid w:val="00643888"/>
    <w:rsid w:val="0064399A"/>
    <w:rsid w:val="006452FB"/>
    <w:rsid w:val="00653102"/>
    <w:rsid w:val="0065313C"/>
    <w:rsid w:val="00664DC0"/>
    <w:rsid w:val="00667DF3"/>
    <w:rsid w:val="00675CDE"/>
    <w:rsid w:val="006802F3"/>
    <w:rsid w:val="006824DB"/>
    <w:rsid w:val="00690D0C"/>
    <w:rsid w:val="006947B1"/>
    <w:rsid w:val="00695A65"/>
    <w:rsid w:val="006A0053"/>
    <w:rsid w:val="006A2801"/>
    <w:rsid w:val="006A3401"/>
    <w:rsid w:val="006A7832"/>
    <w:rsid w:val="006C353F"/>
    <w:rsid w:val="006C6512"/>
    <w:rsid w:val="006C7CD3"/>
    <w:rsid w:val="006E5A21"/>
    <w:rsid w:val="0070390A"/>
    <w:rsid w:val="007165D8"/>
    <w:rsid w:val="00723BC4"/>
    <w:rsid w:val="007267AA"/>
    <w:rsid w:val="00731090"/>
    <w:rsid w:val="007442A0"/>
    <w:rsid w:val="0075057F"/>
    <w:rsid w:val="00755658"/>
    <w:rsid w:val="00764963"/>
    <w:rsid w:val="00766716"/>
    <w:rsid w:val="00773049"/>
    <w:rsid w:val="007861CA"/>
    <w:rsid w:val="00791D34"/>
    <w:rsid w:val="00794A8C"/>
    <w:rsid w:val="007A3A16"/>
    <w:rsid w:val="007D0F5D"/>
    <w:rsid w:val="007D57AF"/>
    <w:rsid w:val="007E13BD"/>
    <w:rsid w:val="007E1D36"/>
    <w:rsid w:val="007F0329"/>
    <w:rsid w:val="007F2A53"/>
    <w:rsid w:val="007F4163"/>
    <w:rsid w:val="00825019"/>
    <w:rsid w:val="00832279"/>
    <w:rsid w:val="00854CC0"/>
    <w:rsid w:val="00854ED3"/>
    <w:rsid w:val="008576DB"/>
    <w:rsid w:val="00872901"/>
    <w:rsid w:val="00876178"/>
    <w:rsid w:val="008825DA"/>
    <w:rsid w:val="00894E75"/>
    <w:rsid w:val="00897BD9"/>
    <w:rsid w:val="008B75F0"/>
    <w:rsid w:val="008C2D81"/>
    <w:rsid w:val="008C74FB"/>
    <w:rsid w:val="008E2B75"/>
    <w:rsid w:val="008F3680"/>
    <w:rsid w:val="008F3C03"/>
    <w:rsid w:val="009261F0"/>
    <w:rsid w:val="009302D1"/>
    <w:rsid w:val="00936181"/>
    <w:rsid w:val="00936197"/>
    <w:rsid w:val="00940646"/>
    <w:rsid w:val="009415FC"/>
    <w:rsid w:val="00943A20"/>
    <w:rsid w:val="009506F4"/>
    <w:rsid w:val="009570EF"/>
    <w:rsid w:val="00962AED"/>
    <w:rsid w:val="009672A2"/>
    <w:rsid w:val="009710AF"/>
    <w:rsid w:val="0097589B"/>
    <w:rsid w:val="00980F18"/>
    <w:rsid w:val="0099728C"/>
    <w:rsid w:val="009A3142"/>
    <w:rsid w:val="009A317C"/>
    <w:rsid w:val="009A770F"/>
    <w:rsid w:val="009B4011"/>
    <w:rsid w:val="009B5C25"/>
    <w:rsid w:val="009C25EB"/>
    <w:rsid w:val="009C273F"/>
    <w:rsid w:val="009C71A7"/>
    <w:rsid w:val="009E118E"/>
    <w:rsid w:val="009E62CD"/>
    <w:rsid w:val="00A06259"/>
    <w:rsid w:val="00A3078D"/>
    <w:rsid w:val="00A33DA8"/>
    <w:rsid w:val="00A35DDC"/>
    <w:rsid w:val="00A37FB0"/>
    <w:rsid w:val="00A56F1E"/>
    <w:rsid w:val="00A614CD"/>
    <w:rsid w:val="00A6497E"/>
    <w:rsid w:val="00A737BE"/>
    <w:rsid w:val="00A746CA"/>
    <w:rsid w:val="00A76372"/>
    <w:rsid w:val="00A9133B"/>
    <w:rsid w:val="00A923E5"/>
    <w:rsid w:val="00A93AD0"/>
    <w:rsid w:val="00AB57C7"/>
    <w:rsid w:val="00AC755D"/>
    <w:rsid w:val="00AD2B12"/>
    <w:rsid w:val="00AF0664"/>
    <w:rsid w:val="00AF3E34"/>
    <w:rsid w:val="00AF64F1"/>
    <w:rsid w:val="00B000A7"/>
    <w:rsid w:val="00B01F29"/>
    <w:rsid w:val="00B06FC1"/>
    <w:rsid w:val="00B138A7"/>
    <w:rsid w:val="00B20F2E"/>
    <w:rsid w:val="00B27ABC"/>
    <w:rsid w:val="00B31A70"/>
    <w:rsid w:val="00B3337A"/>
    <w:rsid w:val="00B41432"/>
    <w:rsid w:val="00B43355"/>
    <w:rsid w:val="00B47F90"/>
    <w:rsid w:val="00B60CC0"/>
    <w:rsid w:val="00B60F1F"/>
    <w:rsid w:val="00B6488F"/>
    <w:rsid w:val="00B66AEA"/>
    <w:rsid w:val="00B730A8"/>
    <w:rsid w:val="00B8329F"/>
    <w:rsid w:val="00BA1F2C"/>
    <w:rsid w:val="00BB3E0F"/>
    <w:rsid w:val="00BB3F7A"/>
    <w:rsid w:val="00BC3B58"/>
    <w:rsid w:val="00BC4CA6"/>
    <w:rsid w:val="00BD5A39"/>
    <w:rsid w:val="00BE0393"/>
    <w:rsid w:val="00BF23A8"/>
    <w:rsid w:val="00BF771D"/>
    <w:rsid w:val="00C14479"/>
    <w:rsid w:val="00C34570"/>
    <w:rsid w:val="00C34B3B"/>
    <w:rsid w:val="00C3512B"/>
    <w:rsid w:val="00C35632"/>
    <w:rsid w:val="00C815A9"/>
    <w:rsid w:val="00C83661"/>
    <w:rsid w:val="00C909A2"/>
    <w:rsid w:val="00CA4C0D"/>
    <w:rsid w:val="00CB395B"/>
    <w:rsid w:val="00CB3EA7"/>
    <w:rsid w:val="00CC15A7"/>
    <w:rsid w:val="00CC4F85"/>
    <w:rsid w:val="00CD410E"/>
    <w:rsid w:val="00CD444E"/>
    <w:rsid w:val="00CE2DBD"/>
    <w:rsid w:val="00D01AF2"/>
    <w:rsid w:val="00D047CC"/>
    <w:rsid w:val="00D21B52"/>
    <w:rsid w:val="00D21D58"/>
    <w:rsid w:val="00D226A5"/>
    <w:rsid w:val="00D2377C"/>
    <w:rsid w:val="00D25315"/>
    <w:rsid w:val="00D33826"/>
    <w:rsid w:val="00D40159"/>
    <w:rsid w:val="00D61B3A"/>
    <w:rsid w:val="00D72BAC"/>
    <w:rsid w:val="00D73525"/>
    <w:rsid w:val="00D7463F"/>
    <w:rsid w:val="00D751FA"/>
    <w:rsid w:val="00D858CC"/>
    <w:rsid w:val="00D87433"/>
    <w:rsid w:val="00D90D63"/>
    <w:rsid w:val="00D910F0"/>
    <w:rsid w:val="00DA4850"/>
    <w:rsid w:val="00DC76C2"/>
    <w:rsid w:val="00DE3B73"/>
    <w:rsid w:val="00DE631C"/>
    <w:rsid w:val="00DF02E6"/>
    <w:rsid w:val="00DF2AB2"/>
    <w:rsid w:val="00DF4980"/>
    <w:rsid w:val="00DF5444"/>
    <w:rsid w:val="00E04777"/>
    <w:rsid w:val="00E1798C"/>
    <w:rsid w:val="00E2255A"/>
    <w:rsid w:val="00E248B5"/>
    <w:rsid w:val="00E2490D"/>
    <w:rsid w:val="00E2740B"/>
    <w:rsid w:val="00E30891"/>
    <w:rsid w:val="00E40564"/>
    <w:rsid w:val="00E45B7C"/>
    <w:rsid w:val="00E46A0A"/>
    <w:rsid w:val="00E54E2D"/>
    <w:rsid w:val="00E62552"/>
    <w:rsid w:val="00E670E8"/>
    <w:rsid w:val="00E7347C"/>
    <w:rsid w:val="00E74982"/>
    <w:rsid w:val="00E766DA"/>
    <w:rsid w:val="00E82C2E"/>
    <w:rsid w:val="00E863F1"/>
    <w:rsid w:val="00E86BC2"/>
    <w:rsid w:val="00E90390"/>
    <w:rsid w:val="00E907BE"/>
    <w:rsid w:val="00E93A00"/>
    <w:rsid w:val="00EA47EA"/>
    <w:rsid w:val="00EB3857"/>
    <w:rsid w:val="00ED3452"/>
    <w:rsid w:val="00ED6923"/>
    <w:rsid w:val="00EE3EBC"/>
    <w:rsid w:val="00F10101"/>
    <w:rsid w:val="00F156B7"/>
    <w:rsid w:val="00F264FB"/>
    <w:rsid w:val="00F537E0"/>
    <w:rsid w:val="00F62750"/>
    <w:rsid w:val="00F841D6"/>
    <w:rsid w:val="00F91500"/>
    <w:rsid w:val="00FA3438"/>
    <w:rsid w:val="00FA6140"/>
    <w:rsid w:val="00FB0B2D"/>
    <w:rsid w:val="00FC7767"/>
    <w:rsid w:val="00FD14FB"/>
    <w:rsid w:val="00FD2836"/>
    <w:rsid w:val="00FE308C"/>
    <w:rsid w:val="00FE6396"/>
    <w:rsid w:val="02121513"/>
    <w:rsid w:val="06A52EAB"/>
    <w:rsid w:val="07610150"/>
    <w:rsid w:val="07E32B27"/>
    <w:rsid w:val="07E566B7"/>
    <w:rsid w:val="08ED3546"/>
    <w:rsid w:val="095D060D"/>
    <w:rsid w:val="0A5F23AF"/>
    <w:rsid w:val="0AB43D29"/>
    <w:rsid w:val="0BAA1613"/>
    <w:rsid w:val="0BF60304"/>
    <w:rsid w:val="0BFC60C2"/>
    <w:rsid w:val="0CA13ABD"/>
    <w:rsid w:val="0EFE3F6B"/>
    <w:rsid w:val="0F0F77CA"/>
    <w:rsid w:val="101E0686"/>
    <w:rsid w:val="16E10F19"/>
    <w:rsid w:val="1805386A"/>
    <w:rsid w:val="1C0E01AF"/>
    <w:rsid w:val="20FF56C2"/>
    <w:rsid w:val="220D41CD"/>
    <w:rsid w:val="23B51EDC"/>
    <w:rsid w:val="24EE7B33"/>
    <w:rsid w:val="26257A3B"/>
    <w:rsid w:val="29BF2627"/>
    <w:rsid w:val="29CA015F"/>
    <w:rsid w:val="2A9A00C1"/>
    <w:rsid w:val="2C8F3EFB"/>
    <w:rsid w:val="2CA451E4"/>
    <w:rsid w:val="31D874D8"/>
    <w:rsid w:val="33332ED9"/>
    <w:rsid w:val="33951F28"/>
    <w:rsid w:val="34CC3626"/>
    <w:rsid w:val="36D641C3"/>
    <w:rsid w:val="37490941"/>
    <w:rsid w:val="38AA6076"/>
    <w:rsid w:val="390D681C"/>
    <w:rsid w:val="390E260F"/>
    <w:rsid w:val="391248D3"/>
    <w:rsid w:val="39D961DF"/>
    <w:rsid w:val="3EDB7D99"/>
    <w:rsid w:val="3FCD46EF"/>
    <w:rsid w:val="411B1F4A"/>
    <w:rsid w:val="42DE356B"/>
    <w:rsid w:val="43260821"/>
    <w:rsid w:val="438C383E"/>
    <w:rsid w:val="43A869FC"/>
    <w:rsid w:val="45FB04BF"/>
    <w:rsid w:val="4AC21776"/>
    <w:rsid w:val="4B572841"/>
    <w:rsid w:val="4BC9209C"/>
    <w:rsid w:val="4DA750AD"/>
    <w:rsid w:val="4E6D48A2"/>
    <w:rsid w:val="4E99569F"/>
    <w:rsid w:val="50C535D7"/>
    <w:rsid w:val="51DE62E2"/>
    <w:rsid w:val="52005D80"/>
    <w:rsid w:val="52D15D94"/>
    <w:rsid w:val="53A00553"/>
    <w:rsid w:val="583610E1"/>
    <w:rsid w:val="5A9515D1"/>
    <w:rsid w:val="5B8C0E98"/>
    <w:rsid w:val="5F942D12"/>
    <w:rsid w:val="62B414C3"/>
    <w:rsid w:val="639635F7"/>
    <w:rsid w:val="64A035D9"/>
    <w:rsid w:val="65F91B55"/>
    <w:rsid w:val="66D22AF6"/>
    <w:rsid w:val="67B15328"/>
    <w:rsid w:val="680273D7"/>
    <w:rsid w:val="687103B8"/>
    <w:rsid w:val="6B8C6F93"/>
    <w:rsid w:val="6ED06B3A"/>
    <w:rsid w:val="70CD7E32"/>
    <w:rsid w:val="710042DF"/>
    <w:rsid w:val="71287CA7"/>
    <w:rsid w:val="7183443D"/>
    <w:rsid w:val="74846239"/>
    <w:rsid w:val="74E37E32"/>
    <w:rsid w:val="751E519F"/>
    <w:rsid w:val="75312ADC"/>
    <w:rsid w:val="76DB3120"/>
    <w:rsid w:val="7927265A"/>
    <w:rsid w:val="7B214D90"/>
    <w:rsid w:val="7BD76E76"/>
    <w:rsid w:val="7D0E2008"/>
    <w:rsid w:val="7D55403D"/>
    <w:rsid w:val="7DAB6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93"/>
    <w:qFormat/>
    <w:uiPriority w:val="0"/>
    <w:pPr>
      <w:keepNext/>
      <w:keepLines/>
      <w:spacing w:before="260" w:after="260" w:line="413" w:lineRule="auto"/>
      <w:outlineLvl w:val="1"/>
    </w:pPr>
    <w:rPr>
      <w:rFonts w:ascii="Arial" w:hAnsi="Arial" w:eastAsia="黑体"/>
      <w:b/>
      <w:sz w:val="32"/>
    </w:rPr>
  </w:style>
  <w:style w:type="paragraph" w:styleId="2">
    <w:name w:val="heading 3"/>
    <w:basedOn w:val="1"/>
    <w:next w:val="1"/>
    <w:link w:val="97"/>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5"/>
    <w:qFormat/>
    <w:uiPriority w:val="0"/>
    <w:pPr>
      <w:adjustRightInd w:val="0"/>
      <w:spacing w:line="360" w:lineRule="atLeast"/>
      <w:jc w:val="left"/>
      <w:textAlignment w:val="baseline"/>
    </w:pPr>
    <w:rPr>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next w:val="23"/>
    <w:qFormat/>
    <w:uiPriority w:val="0"/>
    <w:rPr>
      <w:rFonts w:ascii="仿宋_GB2312" w:eastAsia="仿宋_GB2312"/>
      <w:sz w:val="32"/>
    </w:rPr>
  </w:style>
  <w:style w:type="paragraph" w:customStyle="1" w:styleId="23">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24">
    <w:name w:val="Body Text Indent"/>
    <w:basedOn w:val="1"/>
    <w:link w:val="82"/>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89"/>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109"/>
    <w:qFormat/>
    <w:uiPriority w:val="0"/>
  </w:style>
  <w:style w:type="paragraph" w:styleId="34">
    <w:name w:val="Body Text Indent 2"/>
    <w:basedOn w:val="1"/>
    <w:link w:val="71"/>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85"/>
    <w:qFormat/>
    <w:uiPriority w:val="0"/>
    <w:pPr>
      <w:tabs>
        <w:tab w:val="center" w:pos="4153"/>
        <w:tab w:val="right" w:pos="8306"/>
      </w:tabs>
      <w:snapToGrid w:val="0"/>
      <w:jc w:val="left"/>
    </w:pPr>
    <w:rPr>
      <w:sz w:val="18"/>
    </w:rPr>
  </w:style>
  <w:style w:type="paragraph" w:styleId="37">
    <w:name w:val="header"/>
    <w:basedOn w:val="1"/>
    <w:link w:val="11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69"/>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19"/>
    <w:next w:val="19"/>
    <w:link w:val="74"/>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1"/>
    <w:qFormat/>
    <w:uiPriority w:val="0"/>
    <w:pPr>
      <w:spacing w:after="120" w:line="240" w:lineRule="auto"/>
      <w:ind w:left="420" w:leftChars="200" w:firstLine="420" w:firstLineChars="200"/>
    </w:pPr>
  </w:style>
  <w:style w:type="table" w:styleId="59">
    <w:name w:val="Table Grid"/>
    <w:basedOn w:val="5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22"/>
    <w:rPr>
      <w:b/>
    </w:rPr>
  </w:style>
  <w:style w:type="character" w:styleId="62">
    <w:name w:val="page number"/>
    <w:basedOn w:val="60"/>
    <w:qFormat/>
    <w:uiPriority w:val="0"/>
  </w:style>
  <w:style w:type="character" w:styleId="63">
    <w:name w:val="FollowedHyperlink"/>
    <w:qFormat/>
    <w:uiPriority w:val="0"/>
    <w:rPr>
      <w:color w:val="333333"/>
      <w:u w:val="none"/>
    </w:rPr>
  </w:style>
  <w:style w:type="character" w:styleId="64">
    <w:name w:val="Emphasis"/>
    <w:qFormat/>
    <w:uiPriority w:val="0"/>
    <w:rPr>
      <w:i/>
    </w:rPr>
  </w:style>
  <w:style w:type="character" w:styleId="65">
    <w:name w:val="Hyperlink"/>
    <w:qFormat/>
    <w:uiPriority w:val="99"/>
    <w:rPr>
      <w:color w:val="333333"/>
      <w:u w:val="non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Char Char6"/>
    <w:qFormat/>
    <w:uiPriority w:val="0"/>
    <w:rPr>
      <w:rFonts w:ascii="仿宋_GB2312" w:eastAsia="仿宋_GB2312"/>
      <w:kern w:val="2"/>
      <w:sz w:val="32"/>
    </w:rPr>
  </w:style>
  <w:style w:type="character" w:customStyle="1" w:styleId="69">
    <w:name w:val="脚注文本 Char"/>
    <w:link w:val="41"/>
    <w:qFormat/>
    <w:uiPriority w:val="0"/>
    <w:rPr>
      <w:kern w:val="2"/>
      <w:sz w:val="18"/>
    </w:rPr>
  </w:style>
  <w:style w:type="character" w:customStyle="1" w:styleId="70">
    <w:name w:val="Char Char2"/>
    <w:qFormat/>
    <w:uiPriority w:val="0"/>
    <w:rPr>
      <w:rFonts w:eastAsia="宋体"/>
      <w:kern w:val="2"/>
      <w:sz w:val="18"/>
      <w:lang w:val="en-US" w:eastAsia="zh-CN"/>
    </w:rPr>
  </w:style>
  <w:style w:type="character" w:customStyle="1" w:styleId="71">
    <w:name w:val="正文文本缩进 2 Char"/>
    <w:link w:val="34"/>
    <w:qFormat/>
    <w:uiPriority w:val="0"/>
    <w:rPr>
      <w:kern w:val="2"/>
      <w:sz w:val="28"/>
    </w:rPr>
  </w:style>
  <w:style w:type="character" w:customStyle="1" w:styleId="72">
    <w:name w:val="Char Char"/>
    <w:qFormat/>
    <w:uiPriority w:val="0"/>
    <w:rPr>
      <w:rFonts w:ascii="宋体" w:hAnsi="宋体" w:eastAsia="宋体"/>
      <w:kern w:val="2"/>
      <w:sz w:val="24"/>
      <w:lang w:val="en-US" w:eastAsia="zh-CN" w:bidi="ar-SA"/>
    </w:rPr>
  </w:style>
  <w:style w:type="character" w:customStyle="1" w:styleId="73">
    <w:name w:val="Table Text Char"/>
    <w:qFormat/>
    <w:uiPriority w:val="0"/>
    <w:rPr>
      <w:rFonts w:ascii="Arial" w:hAnsi="Arial"/>
      <w:kern w:val="2"/>
      <w:sz w:val="18"/>
      <w:lang w:val="en-US" w:eastAsia="zh-CN" w:bidi="ar-SA"/>
    </w:rPr>
  </w:style>
  <w:style w:type="character" w:customStyle="1" w:styleId="74">
    <w:name w:val="批注主题 Char"/>
    <w:basedOn w:val="75"/>
    <w:link w:val="55"/>
    <w:qFormat/>
    <w:uiPriority w:val="0"/>
    <w:rPr>
      <w:sz w:val="24"/>
    </w:rPr>
  </w:style>
  <w:style w:type="character" w:customStyle="1" w:styleId="75">
    <w:name w:val="批注文字 Char"/>
    <w:link w:val="19"/>
    <w:qFormat/>
    <w:uiPriority w:val="0"/>
    <w:rPr>
      <w:sz w:val="24"/>
    </w:rPr>
  </w:style>
  <w:style w:type="character" w:customStyle="1" w:styleId="76">
    <w:name w:val="标书正文:  0.74 厘米 Char1"/>
    <w:qFormat/>
    <w:uiPriority w:val="0"/>
    <w:rPr>
      <w:rFonts w:eastAsia="宋体"/>
      <w:kern w:val="2"/>
      <w:sz w:val="24"/>
      <w:lang w:val="en-US" w:eastAsia="zh-CN"/>
    </w:rPr>
  </w:style>
  <w:style w:type="character" w:customStyle="1" w:styleId="77">
    <w:name w:val="Char Char11"/>
    <w:qFormat/>
    <w:uiPriority w:val="0"/>
    <w:rPr>
      <w:rFonts w:ascii="宋体"/>
      <w:kern w:val="2"/>
      <w:sz w:val="28"/>
    </w:rPr>
  </w:style>
  <w:style w:type="character" w:customStyle="1" w:styleId="78">
    <w:name w:val="Char Char7"/>
    <w:qFormat/>
    <w:uiPriority w:val="0"/>
    <w:rPr>
      <w:rFonts w:ascii="宋体" w:hAnsi="宋体" w:eastAsia="宋体"/>
      <w:kern w:val="2"/>
      <w:sz w:val="28"/>
    </w:rPr>
  </w:style>
  <w:style w:type="character" w:customStyle="1" w:styleId="79">
    <w:name w:val="文字 Char"/>
    <w:qFormat/>
    <w:uiPriority w:val="0"/>
    <w:rPr>
      <w:rFonts w:ascii="宋体"/>
      <w:kern w:val="2"/>
      <w:sz w:val="28"/>
    </w:rPr>
  </w:style>
  <w:style w:type="character" w:customStyle="1" w:styleId="80">
    <w:name w:val="Char Char5"/>
    <w:qFormat/>
    <w:uiPriority w:val="0"/>
    <w:rPr>
      <w:rFonts w:ascii="Arial" w:hAnsi="Arial" w:eastAsia="宋体"/>
      <w:b/>
      <w:smallCaps/>
      <w:kern w:val="28"/>
      <w:sz w:val="36"/>
      <w:lang w:val="en-US" w:eastAsia="en-US"/>
    </w:rPr>
  </w:style>
  <w:style w:type="character" w:customStyle="1" w:styleId="81">
    <w:name w:val="正文首行缩进 2 Char"/>
    <w:basedOn w:val="82"/>
    <w:link w:val="57"/>
    <w:qFormat/>
    <w:uiPriority w:val="0"/>
    <w:rPr>
      <w:kern w:val="2"/>
      <w:sz w:val="44"/>
    </w:rPr>
  </w:style>
  <w:style w:type="character" w:customStyle="1" w:styleId="82">
    <w:name w:val="正文文本缩进 Char"/>
    <w:link w:val="24"/>
    <w:qFormat/>
    <w:uiPriority w:val="0"/>
    <w:rPr>
      <w:kern w:val="2"/>
      <w:sz w:val="44"/>
    </w:rPr>
  </w:style>
  <w:style w:type="character" w:customStyle="1" w:styleId="83">
    <w:name w:val="font61"/>
    <w:qFormat/>
    <w:uiPriority w:val="0"/>
    <w:rPr>
      <w:rFonts w:hint="eastAsia" w:ascii="微软雅黑" w:hAnsi="微软雅黑" w:eastAsia="微软雅黑" w:cs="微软雅黑"/>
      <w:color w:val="000000"/>
      <w:sz w:val="24"/>
      <w:szCs w:val="24"/>
      <w:u w:val="none"/>
    </w:rPr>
  </w:style>
  <w:style w:type="character" w:customStyle="1" w:styleId="84">
    <w:name w:val="title_emph1"/>
    <w:qFormat/>
    <w:uiPriority w:val="0"/>
    <w:rPr>
      <w:rFonts w:hint="default" w:ascii="Arial" w:hAnsi="Arial"/>
      <w:b/>
      <w:sz w:val="20"/>
    </w:rPr>
  </w:style>
  <w:style w:type="character" w:customStyle="1" w:styleId="85">
    <w:name w:val="页脚 Char"/>
    <w:link w:val="36"/>
    <w:qFormat/>
    <w:uiPriority w:val="99"/>
    <w:rPr>
      <w:kern w:val="2"/>
      <w:sz w:val="18"/>
    </w:rPr>
  </w:style>
  <w:style w:type="character" w:customStyle="1" w:styleId="86">
    <w:name w:val="Comment Text Char"/>
    <w:semiHidden/>
    <w:qFormat/>
    <w:locked/>
    <w:uiPriority w:val="0"/>
    <w:rPr>
      <w:rFonts w:ascii="Times New Roman" w:hAnsi="Times New Roman" w:cs="Times New Roman"/>
      <w:sz w:val="20"/>
      <w:szCs w:val="20"/>
    </w:rPr>
  </w:style>
  <w:style w:type="character" w:customStyle="1" w:styleId="87">
    <w:name w:val="v151"/>
    <w:qFormat/>
    <w:uiPriority w:val="0"/>
    <w:rPr>
      <w:sz w:val="18"/>
    </w:rPr>
  </w:style>
  <w:style w:type="character" w:customStyle="1" w:styleId="88">
    <w:name w:val="font1"/>
    <w:qFormat/>
    <w:uiPriority w:val="0"/>
    <w:rPr>
      <w:color w:val="000000"/>
      <w:sz w:val="18"/>
    </w:rPr>
  </w:style>
  <w:style w:type="character" w:customStyle="1" w:styleId="89">
    <w:name w:val="纯文本 Char"/>
    <w:link w:val="31"/>
    <w:qFormat/>
    <w:locked/>
    <w:uiPriority w:val="99"/>
    <w:rPr>
      <w:rFonts w:ascii="宋体" w:hAnsi="Courier New"/>
      <w:kern w:val="2"/>
      <w:sz w:val="21"/>
    </w:rPr>
  </w:style>
  <w:style w:type="character" w:customStyle="1" w:styleId="90">
    <w:name w:val="Char Char Char Char Char Char Char Char Char"/>
    <w:qFormat/>
    <w:uiPriority w:val="0"/>
    <w:rPr>
      <w:rFonts w:ascii="宋体" w:hAnsi="宋体" w:eastAsia="宋体"/>
      <w:kern w:val="2"/>
      <w:sz w:val="24"/>
      <w:lang w:val="en-US" w:eastAsia="zh-CN" w:bidi="ar-SA"/>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Char"/>
    <w:link w:val="4"/>
    <w:qFormat/>
    <w:uiPriority w:val="0"/>
    <w:rPr>
      <w:rFonts w:ascii="Arial" w:hAnsi="Arial" w:eastAsia="黑体"/>
      <w:b/>
      <w:kern w:val="2"/>
      <w:sz w:val="32"/>
    </w:rPr>
  </w:style>
  <w:style w:type="character" w:customStyle="1" w:styleId="94">
    <w:name w:val="H2 Char"/>
    <w:qFormat/>
    <w:uiPriority w:val="0"/>
    <w:rPr>
      <w:rFonts w:ascii="Arial" w:hAnsi="Arial" w:eastAsia="宋体"/>
      <w:kern w:val="2"/>
      <w:sz w:val="28"/>
      <w:lang w:val="en-US" w:eastAsia="zh-CN"/>
    </w:rPr>
  </w:style>
  <w:style w:type="character" w:customStyle="1" w:styleId="95">
    <w:name w:val="top-det1"/>
    <w:qFormat/>
    <w:uiPriority w:val="0"/>
    <w:rPr>
      <w:b/>
      <w:color w:val="000000"/>
    </w:rPr>
  </w:style>
  <w:style w:type="character" w:customStyle="1" w:styleId="96">
    <w:name w:val="批注文字 字符"/>
    <w:qFormat/>
    <w:uiPriority w:val="0"/>
    <w:rPr>
      <w:sz w:val="24"/>
    </w:rPr>
  </w:style>
  <w:style w:type="character" w:customStyle="1" w:styleId="97">
    <w:name w:val="标题 3 Char"/>
    <w:link w:val="2"/>
    <w:qFormat/>
    <w:uiPriority w:val="0"/>
    <w:rPr>
      <w:rFonts w:eastAsia="宋体"/>
      <w:b/>
      <w:kern w:val="2"/>
      <w:sz w:val="32"/>
      <w:lang w:val="en-US" w:eastAsia="zh-CN"/>
    </w:rPr>
  </w:style>
  <w:style w:type="character" w:customStyle="1" w:styleId="98">
    <w:name w:val="crowed11"/>
    <w:qFormat/>
    <w:uiPriority w:val="0"/>
    <w:rPr>
      <w:rFonts w:hint="default"/>
      <w:sz w:val="24"/>
    </w:rPr>
  </w:style>
  <w:style w:type="character" w:customStyle="1" w:styleId="99">
    <w:name w:val="Table Text Char1 Char"/>
    <w:qFormat/>
    <w:uiPriority w:val="0"/>
    <w:rPr>
      <w:rFonts w:ascii="Arial" w:hAnsi="Arial"/>
      <w:kern w:val="2"/>
      <w:sz w:val="18"/>
      <w:lang w:val="en-US" w:eastAsia="zh-CN" w:bidi="ar-SA"/>
    </w:rPr>
  </w:style>
  <w:style w:type="character" w:customStyle="1" w:styleId="100">
    <w:name w:val="标题 2 字符"/>
    <w:qFormat/>
    <w:uiPriority w:val="99"/>
    <w:rPr>
      <w:rFonts w:ascii="Arial" w:hAnsi="Arial" w:eastAsia="黑体"/>
      <w:b/>
      <w:kern w:val="2"/>
      <w:sz w:val="32"/>
    </w:rPr>
  </w:style>
  <w:style w:type="character" w:customStyle="1" w:styleId="101">
    <w:name w:val="Table Heading Char Char"/>
    <w:qFormat/>
    <w:uiPriority w:val="0"/>
    <w:rPr>
      <w:rFonts w:ascii="Arial" w:hAnsi="Arial" w:eastAsia="黑体"/>
      <w:kern w:val="2"/>
      <w:sz w:val="18"/>
      <w:lang w:val="en-US" w:eastAsia="zh-CN"/>
    </w:rPr>
  </w:style>
  <w:style w:type="character" w:customStyle="1" w:styleId="102">
    <w:name w:val="文字 Char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样式 宋体"/>
    <w:qFormat/>
    <w:uiPriority w:val="0"/>
    <w:rPr>
      <w:rFonts w:ascii="宋体" w:hAnsi="宋体" w:eastAsia="宋体"/>
      <w:sz w:val="28"/>
    </w:rPr>
  </w:style>
  <w:style w:type="character" w:customStyle="1" w:styleId="105">
    <w:name w:val="正文 + 三号 Char"/>
    <w:qFormat/>
    <w:uiPriority w:val="0"/>
    <w:rPr>
      <w:rFonts w:eastAsia="宋体"/>
      <w:kern w:val="2"/>
      <w:sz w:val="21"/>
      <w:lang w:val="en-US" w:eastAsia="zh-CN"/>
    </w:rPr>
  </w:style>
  <w:style w:type="character" w:customStyle="1" w:styleId="106">
    <w:name w:val="小 Char"/>
    <w:qFormat/>
    <w:uiPriority w:val="0"/>
    <w:rPr>
      <w:rFonts w:ascii="宋体" w:hAnsi="Courier New" w:eastAsia="宋体"/>
      <w:kern w:val="2"/>
      <w:sz w:val="21"/>
      <w:lang w:val="en-US" w:eastAsia="zh-CN" w:bidi="ar-SA"/>
    </w:rPr>
  </w:style>
  <w:style w:type="character" w:customStyle="1" w:styleId="107">
    <w:name w:val="标题 3 字符"/>
    <w:qFormat/>
    <w:uiPriority w:val="0"/>
    <w:rPr>
      <w:rFonts w:eastAsia="宋体"/>
      <w:b/>
      <w:kern w:val="2"/>
      <w:sz w:val="32"/>
      <w:lang w:val="en-US" w:eastAsia="zh-CN"/>
    </w:rPr>
  </w:style>
  <w:style w:type="character" w:customStyle="1" w:styleId="108">
    <w:name w:val="content-white1"/>
    <w:qFormat/>
    <w:uiPriority w:val="0"/>
    <w:rPr>
      <w:color w:val="auto"/>
      <w:sz w:val="18"/>
      <w:u w:val="none"/>
    </w:rPr>
  </w:style>
  <w:style w:type="character" w:customStyle="1" w:styleId="109">
    <w:name w:val="日期 Char"/>
    <w:link w:val="33"/>
    <w:qFormat/>
    <w:uiPriority w:val="0"/>
    <w:rPr>
      <w:kern w:val="2"/>
      <w:sz w:val="28"/>
    </w:rPr>
  </w:style>
  <w:style w:type="character" w:customStyle="1" w:styleId="110">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Char"/>
    <w:link w:val="37"/>
    <w:qFormat/>
    <w:uiPriority w:val="99"/>
    <w:rPr>
      <w:kern w:val="2"/>
      <w:sz w:val="18"/>
    </w:rPr>
  </w:style>
  <w:style w:type="character" w:customStyle="1" w:styleId="112">
    <w:name w:val="Char Char4"/>
    <w:qFormat/>
    <w:uiPriority w:val="0"/>
    <w:rPr>
      <w:rFonts w:eastAsia="宋体"/>
      <w:b/>
      <w:kern w:val="2"/>
      <w:sz w:val="21"/>
      <w:lang w:val="en-US" w:eastAsia="zh-CN"/>
    </w:rPr>
  </w:style>
  <w:style w:type="character" w:customStyle="1" w:styleId="113">
    <w:name w:val="未命名11"/>
    <w:qFormat/>
    <w:uiPriority w:val="0"/>
    <w:rPr>
      <w:color w:val="77FFFF"/>
      <w:sz w:val="24"/>
    </w:rPr>
  </w:style>
  <w:style w:type="character" w:customStyle="1" w:styleId="114">
    <w:name w:val="font21"/>
    <w:qFormat/>
    <w:uiPriority w:val="0"/>
    <w:rPr>
      <w:rFonts w:hint="default" w:ascii="Times New Roman" w:hAnsi="Times New Roman" w:cs="Times New Roman"/>
      <w:color w:val="000000"/>
      <w:sz w:val="24"/>
      <w:szCs w:val="24"/>
      <w:u w:val="none"/>
    </w:rPr>
  </w:style>
  <w:style w:type="character" w:customStyle="1" w:styleId="115">
    <w:name w:val="Char Char3"/>
    <w:qFormat/>
    <w:uiPriority w:val="0"/>
    <w:rPr>
      <w:rFonts w:eastAsia="宋体"/>
      <w:kern w:val="2"/>
      <w:sz w:val="18"/>
      <w:lang w:val="en-US" w:eastAsia="zh-CN"/>
    </w:rPr>
  </w:style>
  <w:style w:type="character" w:customStyle="1" w:styleId="116">
    <w:name w:val="Table Text Char1 Char Char"/>
    <w:qFormat/>
    <w:uiPriority w:val="0"/>
    <w:rPr>
      <w:rFonts w:ascii="Arial" w:hAnsi="Arial"/>
      <w:kern w:val="2"/>
      <w:sz w:val="18"/>
      <w:lang w:val="en-US" w:eastAsia="zh-CN" w:bidi="ar-SA"/>
    </w:rPr>
  </w:style>
  <w:style w:type="paragraph" w:customStyle="1" w:styleId="11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7"/>
    <w:qFormat/>
    <w:uiPriority w:val="0"/>
    <w:rPr>
      <w:rFonts w:ascii="Tahoma" w:hAnsi="Tahoma"/>
      <w:sz w:val="24"/>
    </w:rPr>
  </w:style>
  <w:style w:type="paragraph" w:customStyle="1" w:styleId="12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4">
    <w:name w:val="样式 宋体 五号 行距: 单倍行距"/>
    <w:basedOn w:val="1"/>
    <w:qFormat/>
    <w:uiPriority w:val="0"/>
    <w:pPr>
      <w:adjustRightInd w:val="0"/>
      <w:jc w:val="left"/>
    </w:pPr>
    <w:rPr>
      <w:rFonts w:ascii="宋体" w:hAnsi="宋体"/>
      <w:kern w:val="0"/>
      <w:sz w:val="21"/>
    </w:rPr>
  </w:style>
  <w:style w:type="paragraph" w:customStyle="1" w:styleId="125">
    <w:name w:val="正文表格"/>
    <w:basedOn w:val="1"/>
    <w:qFormat/>
    <w:uiPriority w:val="0"/>
    <w:pPr>
      <w:adjustRightInd w:val="0"/>
      <w:spacing w:before="40" w:after="40"/>
    </w:pPr>
    <w:rPr>
      <w:sz w:val="24"/>
    </w:rPr>
  </w:style>
  <w:style w:type="paragraph" w:customStyle="1" w:styleId="126">
    <w:name w:val="Char1 Char Char Char"/>
    <w:basedOn w:val="1"/>
    <w:qFormat/>
    <w:uiPriority w:val="0"/>
    <w:rPr>
      <w:rFonts w:ascii="Tahoma" w:hAnsi="Tahoma"/>
      <w:sz w:val="24"/>
    </w:rPr>
  </w:style>
  <w:style w:type="paragraph" w:customStyle="1" w:styleId="127">
    <w:name w:val="af"/>
    <w:basedOn w:val="1"/>
    <w:qFormat/>
    <w:uiPriority w:val="0"/>
    <w:pPr>
      <w:widowControl/>
      <w:spacing w:line="300" w:lineRule="atLeast"/>
      <w:jc w:val="left"/>
    </w:pPr>
    <w:rPr>
      <w:rFonts w:ascii="宋体" w:hAnsi="宋体"/>
      <w:kern w:val="0"/>
      <w:sz w:val="18"/>
    </w:rPr>
  </w:style>
  <w:style w:type="paragraph" w:customStyle="1" w:styleId="128">
    <w:name w:val="Title - Revision"/>
    <w:basedOn w:val="54"/>
    <w:qFormat/>
    <w:uiPriority w:val="0"/>
    <w:pPr>
      <w:spacing w:before="720"/>
    </w:p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Title - Date"/>
    <w:basedOn w:val="54"/>
    <w:next w:val="1"/>
    <w:qFormat/>
    <w:uiPriority w:val="0"/>
    <w:pPr>
      <w:spacing w:before="240" w:after="720"/>
    </w:pPr>
    <w:rPr>
      <w:sz w:val="28"/>
    </w:rPr>
  </w:style>
  <w:style w:type="paragraph" w:customStyle="1" w:styleId="131">
    <w:name w:val="00"/>
    <w:basedOn w:val="1"/>
    <w:qFormat/>
    <w:uiPriority w:val="0"/>
    <w:pPr>
      <w:autoSpaceDE w:val="0"/>
      <w:autoSpaceDN w:val="0"/>
      <w:adjustRightInd w:val="0"/>
      <w:jc w:val="left"/>
    </w:pPr>
    <w:rPr>
      <w:rFonts w:ascii="黑体" w:eastAsia="黑体"/>
      <w:b/>
      <w:kern w:val="0"/>
      <w:sz w:val="20"/>
    </w:rPr>
  </w:style>
  <w:style w:type="paragraph" w:customStyle="1" w:styleId="13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6">
    <w:name w:val="正文文本缩进 21"/>
    <w:basedOn w:val="1"/>
    <w:qFormat/>
    <w:uiPriority w:val="0"/>
    <w:pPr>
      <w:adjustRightInd w:val="0"/>
      <w:spacing w:before="120"/>
      <w:ind w:firstLine="420"/>
      <w:textAlignment w:val="baseline"/>
    </w:pPr>
    <w:rPr>
      <w:sz w:val="24"/>
    </w:rPr>
  </w:style>
  <w:style w:type="paragraph" w:customStyle="1" w:styleId="137">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4"/>
    <w:qFormat/>
    <w:uiPriority w:val="0"/>
    <w:pPr>
      <w:spacing w:before="60" w:after="60" w:line="360" w:lineRule="auto"/>
      <w:ind w:left="0" w:firstLine="482"/>
    </w:pPr>
    <w:rPr>
      <w:rFonts w:ascii="Arial" w:hAnsi="Arial"/>
      <w:sz w:val="24"/>
    </w:rPr>
  </w:style>
  <w:style w:type="paragraph" w:customStyle="1" w:styleId="14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2">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43">
    <w:name w:val="表头文本"/>
    <w:qFormat/>
    <w:uiPriority w:val="0"/>
    <w:pPr>
      <w:jc w:val="center"/>
    </w:pPr>
    <w:rPr>
      <w:rFonts w:ascii="Arial" w:hAnsi="Arial" w:eastAsia="宋体" w:cs="Times New Roman"/>
      <w:b/>
      <w:sz w:val="21"/>
      <w:lang w:val="en-US" w:eastAsia="zh-CN" w:bidi="ar-SA"/>
    </w:rPr>
  </w:style>
  <w:style w:type="paragraph" w:customStyle="1" w:styleId="14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6">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7">
    <w:name w:val="Char Char Char Char Char Char Char Char Char Char Char Char Char Char Char Char"/>
    <w:basedOn w:val="1"/>
    <w:qFormat/>
    <w:uiPriority w:val="0"/>
    <w:pPr>
      <w:tabs>
        <w:tab w:val="left" w:pos="360"/>
      </w:tabs>
    </w:pPr>
    <w:rPr>
      <w:sz w:val="24"/>
    </w:rPr>
  </w:style>
  <w:style w:type="paragraph" w:customStyle="1" w:styleId="148">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9">
    <w:name w:val="默认段落字体 Para Char Char Char Char Char Char Char Char Char1 Char Char Char Char"/>
    <w:basedOn w:val="1"/>
    <w:qFormat/>
    <w:uiPriority w:val="0"/>
    <w:rPr>
      <w:rFonts w:ascii="Tahoma" w:hAnsi="Tahoma"/>
      <w:sz w:val="24"/>
    </w:rPr>
  </w:style>
  <w:style w:type="paragraph" w:customStyle="1" w:styleId="150">
    <w:name w:val="表头样式"/>
    <w:basedOn w:val="1"/>
    <w:qFormat/>
    <w:uiPriority w:val="0"/>
    <w:pPr>
      <w:autoSpaceDE w:val="0"/>
      <w:autoSpaceDN w:val="0"/>
      <w:adjustRightInd w:val="0"/>
      <w:spacing w:line="360" w:lineRule="auto"/>
      <w:jc w:val="left"/>
    </w:pPr>
    <w:rPr>
      <w:b/>
      <w:kern w:val="0"/>
      <w:sz w:val="21"/>
    </w:rPr>
  </w:style>
  <w:style w:type="paragraph" w:customStyle="1" w:styleId="15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3">
    <w:name w:val="表格内文字"/>
    <w:basedOn w:val="31"/>
    <w:qFormat/>
    <w:uiPriority w:val="0"/>
    <w:pPr>
      <w:adjustRightInd w:val="0"/>
    </w:pPr>
    <w:rPr>
      <w:color w:val="000000"/>
      <w:lang w:val="en-GB"/>
    </w:rPr>
  </w:style>
  <w:style w:type="paragraph" w:customStyle="1" w:styleId="154">
    <w:name w:val="默认段落字体 Para Char Char Char Char Char Char Char"/>
    <w:basedOn w:val="1"/>
    <w:qFormat/>
    <w:uiPriority w:val="0"/>
    <w:rPr>
      <w:rFonts w:ascii="Tahoma" w:hAnsi="Tahoma"/>
      <w:sz w:val="24"/>
    </w:rPr>
  </w:style>
  <w:style w:type="paragraph" w:customStyle="1" w:styleId="155">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5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9">
    <w:name w:val="段落正文"/>
    <w:basedOn w:val="1"/>
    <w:qFormat/>
    <w:uiPriority w:val="0"/>
    <w:pPr>
      <w:spacing w:beforeLines="50" w:line="360" w:lineRule="auto"/>
      <w:ind w:firstLine="200" w:firstLineChars="200"/>
    </w:pPr>
    <w:rPr>
      <w:spacing w:val="2"/>
      <w:sz w:val="24"/>
    </w:rPr>
  </w:style>
  <w:style w:type="paragraph" w:customStyle="1" w:styleId="160">
    <w:name w:val="文章正文"/>
    <w:basedOn w:val="1"/>
    <w:qFormat/>
    <w:uiPriority w:val="0"/>
    <w:pPr>
      <w:ind w:firstLine="560" w:firstLineChars="200"/>
    </w:pPr>
    <w:rPr>
      <w:rFonts w:ascii="仿宋_GB2312" w:hAnsi="宋体" w:eastAsia="仿宋_GB2312"/>
      <w:color w:val="000000"/>
    </w:rPr>
  </w:style>
  <w:style w:type="paragraph" w:customStyle="1" w:styleId="161">
    <w:name w:val="Char"/>
    <w:basedOn w:val="1"/>
    <w:qFormat/>
    <w:uiPriority w:val="0"/>
    <w:pPr>
      <w:spacing w:line="240" w:lineRule="atLeast"/>
      <w:ind w:left="420" w:firstLine="420"/>
    </w:pPr>
    <w:rPr>
      <w:kern w:val="0"/>
      <w:sz w:val="21"/>
    </w:rPr>
  </w:style>
  <w:style w:type="paragraph" w:customStyle="1" w:styleId="162">
    <w:name w:val="列表项目"/>
    <w:basedOn w:val="1"/>
    <w:qFormat/>
    <w:uiPriority w:val="0"/>
    <w:pPr>
      <w:tabs>
        <w:tab w:val="left" w:pos="420"/>
      </w:tabs>
      <w:spacing w:line="288" w:lineRule="auto"/>
      <w:ind w:left="840" w:leftChars="200" w:hanging="420" w:hangingChars="200"/>
    </w:pPr>
    <w:rPr>
      <w:sz w:val="21"/>
    </w:rPr>
  </w:style>
  <w:style w:type="paragraph" w:customStyle="1" w:styleId="163">
    <w:name w:val="列出段落1"/>
    <w:next w:val="16"/>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正文4"/>
    <w:basedOn w:val="1"/>
    <w:qFormat/>
    <w:uiPriority w:val="0"/>
    <w:pPr>
      <w:tabs>
        <w:tab w:val="left" w:pos="1275"/>
      </w:tabs>
      <w:spacing w:before="60" w:after="60" w:line="360" w:lineRule="auto"/>
      <w:ind w:left="820" w:leftChars="400" w:hanging="705"/>
    </w:pPr>
    <w:rPr>
      <w:sz w:val="24"/>
    </w:rPr>
  </w:style>
  <w:style w:type="paragraph" w:customStyle="1" w:styleId="166">
    <w:name w:val="关键词"/>
    <w:basedOn w:val="1"/>
    <w:next w:val="1"/>
    <w:qFormat/>
    <w:uiPriority w:val="0"/>
    <w:pPr>
      <w:spacing w:line="360" w:lineRule="auto"/>
    </w:pPr>
    <w:rPr>
      <w:rFonts w:eastAsia="黑体"/>
      <w:sz w:val="20"/>
    </w:rPr>
  </w:style>
  <w:style w:type="paragraph" w:customStyle="1" w:styleId="167">
    <w:name w:val="可研正文"/>
    <w:basedOn w:val="22"/>
    <w:qFormat/>
    <w:uiPriority w:val="0"/>
    <w:pPr>
      <w:adjustRightInd w:val="0"/>
      <w:snapToGrid w:val="0"/>
      <w:spacing w:line="440" w:lineRule="exact"/>
      <w:ind w:firstLine="567"/>
    </w:pPr>
    <w:rPr>
      <w:sz w:val="28"/>
    </w:rPr>
  </w:style>
  <w:style w:type="paragraph" w:customStyle="1" w:styleId="168">
    <w:name w:val="标书正文:  0.74 厘米"/>
    <w:basedOn w:val="1"/>
    <w:qFormat/>
    <w:uiPriority w:val="0"/>
    <w:pPr>
      <w:snapToGrid w:val="0"/>
      <w:spacing w:line="360" w:lineRule="auto"/>
      <w:ind w:firstLine="420"/>
    </w:pPr>
    <w:rPr>
      <w:sz w:val="24"/>
    </w:rPr>
  </w:style>
  <w:style w:type="paragraph" w:customStyle="1" w:styleId="169">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70">
    <w:name w:val="1"/>
    <w:basedOn w:val="1"/>
    <w:next w:val="31"/>
    <w:qFormat/>
    <w:uiPriority w:val="0"/>
    <w:rPr>
      <w:rFonts w:ascii="宋体" w:hAnsi="Courier New"/>
      <w:sz w:val="21"/>
    </w:rPr>
  </w:style>
  <w:style w:type="paragraph" w:customStyle="1" w:styleId="171">
    <w:name w:val="没有缩进（为图形使用）"/>
    <w:basedOn w:val="1"/>
    <w:qFormat/>
    <w:uiPriority w:val="0"/>
    <w:pPr>
      <w:spacing w:before="120" w:after="120" w:line="360" w:lineRule="auto"/>
    </w:pPr>
    <w:rPr>
      <w:sz w:val="24"/>
    </w:rPr>
  </w:style>
  <w:style w:type="paragraph" w:customStyle="1" w:styleId="172">
    <w:name w:val="标题无"/>
    <w:basedOn w:val="1"/>
    <w:qFormat/>
    <w:uiPriority w:val="0"/>
    <w:pPr>
      <w:spacing w:line="360" w:lineRule="auto"/>
    </w:pPr>
    <w:rPr>
      <w:sz w:val="24"/>
    </w:rPr>
  </w:style>
  <w:style w:type="paragraph" w:customStyle="1" w:styleId="173">
    <w:name w:val="修订1"/>
    <w:qFormat/>
    <w:uiPriority w:val="0"/>
    <w:rPr>
      <w:rFonts w:ascii="Calibri" w:hAnsi="Calibri" w:eastAsia="宋体" w:cs="Times New Roman"/>
      <w:kern w:val="2"/>
      <w:sz w:val="21"/>
      <w:lang w:val="en-US" w:eastAsia="zh-CN" w:bidi="ar-SA"/>
    </w:rPr>
  </w:style>
  <w:style w:type="paragraph" w:customStyle="1" w:styleId="174">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5">
    <w:name w:val="图例"/>
    <w:basedOn w:val="1"/>
    <w:qFormat/>
    <w:uiPriority w:val="0"/>
    <w:pPr>
      <w:spacing w:before="120" w:after="120" w:line="360" w:lineRule="auto"/>
      <w:jc w:val="center"/>
    </w:pPr>
    <w:rPr>
      <w:rFonts w:eastAsia="仿宋_GB2312"/>
      <w:b/>
      <w:sz w:val="24"/>
    </w:rPr>
  </w:style>
  <w:style w:type="paragraph" w:customStyle="1" w:styleId="176">
    <w:name w:val="Char Char14 Char Char"/>
    <w:basedOn w:val="1"/>
    <w:qFormat/>
    <w:uiPriority w:val="0"/>
    <w:rPr>
      <w:sz w:val="21"/>
      <w:szCs w:val="24"/>
    </w:rPr>
  </w:style>
  <w:style w:type="paragraph" w:customStyle="1" w:styleId="17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8">
    <w:name w:val="Char1"/>
    <w:basedOn w:val="1"/>
    <w:qFormat/>
    <w:uiPriority w:val="0"/>
    <w:rPr>
      <w:sz w:val="21"/>
    </w:rPr>
  </w:style>
  <w:style w:type="paragraph" w:customStyle="1" w:styleId="179">
    <w:name w:val="正文1"/>
    <w:basedOn w:val="1"/>
    <w:qFormat/>
    <w:uiPriority w:val="0"/>
    <w:pPr>
      <w:spacing w:line="300" w:lineRule="auto"/>
      <w:ind w:firstLine="200" w:firstLineChars="200"/>
    </w:pPr>
    <w:rPr>
      <w:sz w:val="24"/>
    </w:rPr>
  </w:style>
  <w:style w:type="paragraph" w:customStyle="1" w:styleId="180">
    <w:name w:val="正文字缩2字"/>
    <w:basedOn w:val="1"/>
    <w:qFormat/>
    <w:uiPriority w:val="0"/>
    <w:pPr>
      <w:spacing w:before="60" w:after="60" w:line="360" w:lineRule="auto"/>
      <w:ind w:left="200" w:leftChars="200" w:firstLine="200" w:firstLineChars="200"/>
    </w:pPr>
    <w:rPr>
      <w:sz w:val="24"/>
    </w:rPr>
  </w:style>
  <w:style w:type="paragraph" w:customStyle="1" w:styleId="18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2">
    <w:name w:val="Char Char Char"/>
    <w:basedOn w:val="1"/>
    <w:qFormat/>
    <w:uiPriority w:val="0"/>
    <w:rPr>
      <w:rFonts w:ascii="Tahoma" w:hAnsi="Tahoma"/>
      <w:sz w:val="24"/>
    </w:rPr>
  </w:style>
  <w:style w:type="paragraph" w:customStyle="1" w:styleId="183">
    <w:name w:val="正文文本 21"/>
    <w:basedOn w:val="1"/>
    <w:qFormat/>
    <w:uiPriority w:val="0"/>
    <w:pPr>
      <w:adjustRightInd w:val="0"/>
      <w:spacing w:before="120" w:line="360" w:lineRule="auto"/>
      <w:ind w:firstLine="480"/>
      <w:textAlignment w:val="baseline"/>
    </w:pPr>
    <w:rPr>
      <w:sz w:val="24"/>
    </w:rPr>
  </w:style>
  <w:style w:type="paragraph" w:customStyle="1" w:styleId="184">
    <w:name w:val="Char2 Char Char Char Char Char Char"/>
    <w:basedOn w:val="1"/>
    <w:qFormat/>
    <w:uiPriority w:val="0"/>
    <w:rPr>
      <w:rFonts w:ascii="仿宋_GB2312"/>
      <w:b/>
      <w:sz w:val="30"/>
    </w:rPr>
  </w:style>
  <w:style w:type="paragraph" w:customStyle="1" w:styleId="185">
    <w:name w:val="Char Char Char Char Char"/>
    <w:basedOn w:val="1"/>
    <w:qFormat/>
    <w:uiPriority w:val="0"/>
    <w:pPr>
      <w:tabs>
        <w:tab w:val="left" w:pos="425"/>
      </w:tabs>
      <w:ind w:left="1620" w:hanging="360"/>
    </w:pPr>
    <w:rPr>
      <w:rFonts w:ascii="Tahoma" w:hAnsi="Tahoma"/>
      <w:sz w:val="24"/>
    </w:rPr>
  </w:style>
  <w:style w:type="paragraph" w:customStyle="1" w:styleId="18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7">
    <w:name w:val="附录3"/>
    <w:basedOn w:val="1"/>
    <w:next w:val="1"/>
    <w:qFormat/>
    <w:uiPriority w:val="0"/>
    <w:pPr>
      <w:tabs>
        <w:tab w:val="left" w:pos="851"/>
      </w:tabs>
      <w:ind w:left="425" w:hanging="425"/>
      <w:outlineLvl w:val="2"/>
    </w:pPr>
    <w:rPr>
      <w:rFonts w:eastAsia="黑体"/>
      <w:b/>
      <w:sz w:val="32"/>
    </w:rPr>
  </w:style>
  <w:style w:type="paragraph" w:customStyle="1" w:styleId="188">
    <w:name w:val="二级条标题"/>
    <w:basedOn w:val="189"/>
    <w:next w:val="190"/>
    <w:qFormat/>
    <w:uiPriority w:val="0"/>
    <w:pPr>
      <w:ind w:left="840"/>
      <w:outlineLvl w:val="3"/>
    </w:pPr>
  </w:style>
  <w:style w:type="paragraph" w:customStyle="1" w:styleId="189">
    <w:name w:val="一级条标题"/>
    <w:basedOn w:val="174"/>
    <w:next w:val="190"/>
    <w:qFormat/>
    <w:uiPriority w:val="0"/>
    <w:pPr>
      <w:numPr>
        <w:numId w:val="0"/>
      </w:numPr>
      <w:spacing w:beforeLines="0" w:afterLines="0"/>
      <w:ind w:left="525"/>
      <w:outlineLvl w:val="2"/>
    </w:pPr>
    <w:rPr>
      <w:sz w:val="21"/>
    </w:rPr>
  </w:style>
  <w:style w:type="paragraph" w:customStyle="1" w:styleId="19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1">
    <w:name w:val="Char2"/>
    <w:basedOn w:val="1"/>
    <w:qFormat/>
    <w:uiPriority w:val="0"/>
    <w:pPr>
      <w:spacing w:line="240" w:lineRule="atLeast"/>
      <w:ind w:left="420" w:firstLine="420"/>
    </w:pPr>
    <w:rPr>
      <w:kern w:val="0"/>
      <w:sz w:val="21"/>
    </w:rPr>
  </w:style>
  <w:style w:type="paragraph" w:customStyle="1" w:styleId="192">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4">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5">
    <w:name w:val="首行缩进 1"/>
    <w:basedOn w:val="1"/>
    <w:qFormat/>
    <w:uiPriority w:val="0"/>
    <w:pPr>
      <w:spacing w:after="120" w:line="360" w:lineRule="auto"/>
      <w:ind w:firstLine="200" w:firstLineChars="200"/>
    </w:pPr>
    <w:rPr>
      <w:sz w:val="24"/>
    </w:rPr>
  </w:style>
  <w:style w:type="paragraph" w:customStyle="1" w:styleId="196">
    <w:name w:val="文本1"/>
    <w:basedOn w:val="1"/>
    <w:qFormat/>
    <w:uiPriority w:val="0"/>
    <w:pPr>
      <w:adjustRightInd w:val="0"/>
      <w:spacing w:line="312" w:lineRule="atLeast"/>
      <w:jc w:val="center"/>
      <w:textAlignment w:val="baseline"/>
    </w:pPr>
    <w:rPr>
      <w:kern w:val="0"/>
      <w:sz w:val="18"/>
    </w:rPr>
  </w:style>
  <w:style w:type="paragraph" w:customStyle="1" w:styleId="197">
    <w:name w:val="样式 正文缩进正文（首行缩进两字）表正文正文非缩进特点标题4段1 + 首行缩进:  2 字符"/>
    <w:basedOn w:val="15"/>
    <w:qFormat/>
    <w:uiPriority w:val="0"/>
    <w:pPr>
      <w:ind w:firstLine="480" w:firstLineChars="200"/>
    </w:pPr>
  </w:style>
  <w:style w:type="paragraph" w:customStyle="1" w:styleId="198">
    <w:name w:val="表文字"/>
    <w:qFormat/>
    <w:uiPriority w:val="0"/>
    <w:rPr>
      <w:rFonts w:ascii="宋体" w:hAnsi="Times New Roman" w:eastAsia="宋体" w:cs="Times New Roman"/>
      <w:kern w:val="2"/>
      <w:lang w:val="en-US" w:eastAsia="zh-CN" w:bidi="ar-SA"/>
    </w:rPr>
  </w:style>
  <w:style w:type="paragraph" w:customStyle="1" w:styleId="199">
    <w:name w:val="IN Feature"/>
    <w:next w:val="13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0">
    <w:name w:val="样式1"/>
    <w:basedOn w:val="5"/>
    <w:qFormat/>
    <w:uiPriority w:val="0"/>
    <w:pPr>
      <w:tabs>
        <w:tab w:val="left" w:pos="720"/>
      </w:tabs>
      <w:spacing w:before="500" w:after="260" w:line="560" w:lineRule="atLeast"/>
      <w:ind w:left="420" w:hanging="420"/>
    </w:pPr>
  </w:style>
  <w:style w:type="paragraph" w:customStyle="1" w:styleId="201">
    <w:name w:val="样式 行距: 1.5 倍行距1"/>
    <w:basedOn w:val="1"/>
    <w:qFormat/>
    <w:uiPriority w:val="0"/>
    <w:pPr>
      <w:snapToGrid w:val="0"/>
    </w:pPr>
    <w:rPr>
      <w:sz w:val="21"/>
    </w:rPr>
  </w:style>
  <w:style w:type="paragraph" w:customStyle="1" w:styleId="202">
    <w:name w:val="Style Heading 3h3Heading 3 - oldLevel 3 HeadH3level_3PIM 3se..."/>
    <w:basedOn w:val="2"/>
    <w:qFormat/>
    <w:uiPriority w:val="0"/>
    <w:pPr>
      <w:tabs>
        <w:tab w:val="left" w:pos="709"/>
        <w:tab w:val="left" w:pos="1620"/>
      </w:tabs>
      <w:ind w:left="1620" w:hanging="360"/>
    </w:pPr>
  </w:style>
  <w:style w:type="paragraph" w:customStyle="1" w:styleId="20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4">
    <w:name w:val="样式2"/>
    <w:basedOn w:val="5"/>
    <w:qFormat/>
    <w:uiPriority w:val="0"/>
    <w:pPr>
      <w:numPr>
        <w:ilvl w:val="0"/>
        <w:numId w:val="9"/>
      </w:numPr>
      <w:spacing w:before="560" w:line="400" w:lineRule="exact"/>
      <w:jc w:val="center"/>
      <w:outlineLvl w:val="0"/>
    </w:pPr>
    <w:rPr>
      <w:b w:val="0"/>
      <w:sz w:val="44"/>
    </w:rPr>
  </w:style>
  <w:style w:type="paragraph" w:customStyle="1" w:styleId="205">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6">
    <w:name w:val="Char Char 字元 字元 字元 Char Char Char Char"/>
    <w:basedOn w:val="1"/>
    <w:qFormat/>
    <w:uiPriority w:val="0"/>
    <w:pPr>
      <w:adjustRightInd w:val="0"/>
      <w:spacing w:line="360" w:lineRule="auto"/>
    </w:pPr>
    <w:rPr>
      <w:kern w:val="0"/>
      <w:sz w:val="24"/>
    </w:rPr>
  </w:style>
  <w:style w:type="paragraph" w:customStyle="1" w:styleId="207">
    <w:name w:val="编号正文"/>
    <w:basedOn w:val="208"/>
    <w:qFormat/>
    <w:uiPriority w:val="0"/>
    <w:pPr>
      <w:snapToGrid/>
      <w:spacing w:line="360" w:lineRule="auto"/>
      <w:ind w:left="1407" w:hanging="1047"/>
      <w:jc w:val="left"/>
    </w:pPr>
    <w:rPr>
      <w:rFonts w:eastAsia="仿宋_GB2312"/>
    </w:rPr>
  </w:style>
  <w:style w:type="paragraph" w:customStyle="1" w:styleId="20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9">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0">
    <w:name w:val="Char Char1 Char"/>
    <w:basedOn w:val="1"/>
    <w:qFormat/>
    <w:uiPriority w:val="0"/>
    <w:rPr>
      <w:rFonts w:ascii="Tahoma" w:hAnsi="Tahoma"/>
      <w:sz w:val="24"/>
      <w:szCs w:val="24"/>
    </w:rPr>
  </w:style>
  <w:style w:type="paragraph" w:customStyle="1" w:styleId="211">
    <w:name w:val="Char Char Char Char Char Char Char"/>
    <w:basedOn w:val="1"/>
    <w:qFormat/>
    <w:uiPriority w:val="0"/>
    <w:rPr>
      <w:rFonts w:ascii="Tahoma" w:hAnsi="Tahoma"/>
      <w:sz w:val="24"/>
    </w:rPr>
  </w:style>
  <w:style w:type="paragraph" w:customStyle="1" w:styleId="212">
    <w:name w:val="二级列表"/>
    <w:basedOn w:val="159"/>
    <w:next w:val="159"/>
    <w:qFormat/>
    <w:uiPriority w:val="0"/>
    <w:pPr>
      <w:tabs>
        <w:tab w:val="left" w:pos="2120"/>
      </w:tabs>
      <w:ind w:firstLine="0" w:firstLineChars="0"/>
    </w:pPr>
    <w:rPr>
      <w:b/>
    </w:rPr>
  </w:style>
  <w:style w:type="paragraph" w:customStyle="1" w:styleId="213">
    <w:name w:val="Note"/>
    <w:basedOn w:val="1"/>
    <w:qFormat/>
    <w:uiPriority w:val="0"/>
    <w:pPr>
      <w:pBdr>
        <w:top w:val="single" w:color="auto" w:sz="12" w:space="3"/>
        <w:bottom w:val="single" w:color="auto" w:sz="12" w:space="3"/>
      </w:pBdr>
      <w:spacing w:line="360" w:lineRule="auto"/>
    </w:pPr>
    <w:rPr>
      <w:sz w:val="24"/>
    </w:rPr>
  </w:style>
  <w:style w:type="paragraph" w:customStyle="1" w:styleId="214">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表格文本"/>
    <w:qFormat/>
    <w:uiPriority w:val="0"/>
    <w:pPr>
      <w:tabs>
        <w:tab w:val="decimal" w:pos="0"/>
      </w:tabs>
    </w:pPr>
    <w:rPr>
      <w:rFonts w:ascii="Arial" w:hAnsi="Arial" w:eastAsia="宋体" w:cs="Times New Roman"/>
      <w:sz w:val="21"/>
      <w:lang w:val="en-US" w:eastAsia="zh-CN" w:bidi="ar-SA"/>
    </w:rPr>
  </w:style>
  <w:style w:type="paragraph" w:customStyle="1" w:styleId="217">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9">
    <w:name w:val="样式 首行缩进:  0.74 厘米"/>
    <w:basedOn w:val="1"/>
    <w:qFormat/>
    <w:uiPriority w:val="0"/>
    <w:pPr>
      <w:spacing w:line="360" w:lineRule="auto"/>
      <w:ind w:firstLine="420"/>
    </w:pPr>
    <w:rPr>
      <w:sz w:val="24"/>
    </w:rPr>
  </w:style>
  <w:style w:type="paragraph" w:customStyle="1" w:styleId="220">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3">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4">
    <w:name w:val="简单回函地址"/>
    <w:basedOn w:val="1"/>
    <w:qFormat/>
    <w:uiPriority w:val="0"/>
    <w:pPr>
      <w:adjustRightInd w:val="0"/>
      <w:snapToGrid w:val="0"/>
      <w:spacing w:line="360" w:lineRule="auto"/>
    </w:pPr>
    <w:rPr>
      <w:sz w:val="24"/>
    </w:rPr>
  </w:style>
  <w:style w:type="paragraph" w:customStyle="1" w:styleId="225">
    <w:name w:val="正文 + 三号"/>
    <w:basedOn w:val="1"/>
    <w:qFormat/>
    <w:uiPriority w:val="0"/>
    <w:rPr>
      <w:sz w:val="21"/>
    </w:rPr>
  </w:style>
  <w:style w:type="paragraph" w:customStyle="1" w:styleId="22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7">
    <w:name w:val="样式1xz"/>
    <w:basedOn w:val="1"/>
    <w:qFormat/>
    <w:uiPriority w:val="0"/>
    <w:pPr>
      <w:tabs>
        <w:tab w:val="left" w:pos="1050"/>
        <w:tab w:val="right" w:leader="dot" w:pos="8296"/>
      </w:tabs>
    </w:pPr>
    <w:rPr>
      <w:caps/>
      <w:spacing w:val="20"/>
      <w:sz w:val="24"/>
    </w:rPr>
  </w:style>
  <w:style w:type="paragraph" w:customStyle="1" w:styleId="228">
    <w:name w:val="图片文字"/>
    <w:basedOn w:val="1"/>
    <w:qFormat/>
    <w:uiPriority w:val="0"/>
    <w:pPr>
      <w:spacing w:line="240" w:lineRule="atLeast"/>
      <w:jc w:val="center"/>
    </w:pPr>
    <w:rPr>
      <w:sz w:val="21"/>
    </w:rPr>
  </w:style>
  <w:style w:type="paragraph" w:customStyle="1" w:styleId="229">
    <w:name w:val="摘要"/>
    <w:basedOn w:val="1"/>
    <w:next w:val="4"/>
    <w:qFormat/>
    <w:uiPriority w:val="0"/>
    <w:pPr>
      <w:spacing w:line="360" w:lineRule="auto"/>
    </w:pPr>
    <w:rPr>
      <w:rFonts w:eastAsia="黑体"/>
      <w:sz w:val="20"/>
    </w:rPr>
  </w:style>
  <w:style w:type="paragraph" w:customStyle="1" w:styleId="230">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paragraph" w:customStyle="1" w:styleId="23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2">
    <w:name w:val="Table Contents"/>
    <w:basedOn w:val="22"/>
    <w:qFormat/>
    <w:uiPriority w:val="0"/>
    <w:pPr>
      <w:suppressAutoHyphens/>
      <w:jc w:val="left"/>
    </w:pPr>
    <w:rPr>
      <w:rFonts w:ascii="Times New Roman" w:eastAsia="Times New Roman"/>
      <w:kern w:val="0"/>
      <w:sz w:val="24"/>
    </w:rPr>
  </w:style>
  <w:style w:type="paragraph" w:customStyle="1" w:styleId="233">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6">
    <w:name w:val="文本框样式1"/>
    <w:basedOn w:val="1"/>
    <w:qFormat/>
    <w:uiPriority w:val="0"/>
    <w:pPr>
      <w:adjustRightInd w:val="0"/>
      <w:snapToGrid w:val="0"/>
      <w:spacing w:before="60" w:line="180" w:lineRule="exact"/>
      <w:jc w:val="center"/>
    </w:pPr>
    <w:rPr>
      <w:sz w:val="21"/>
    </w:rPr>
  </w:style>
  <w:style w:type="paragraph" w:customStyle="1" w:styleId="237">
    <w:name w:val="Char Char Char Char Char Char Char1"/>
    <w:basedOn w:val="17"/>
    <w:qFormat/>
    <w:uiPriority w:val="0"/>
    <w:rPr>
      <w:rFonts w:ascii="宋体" w:hAnsi="Tahoma"/>
    </w:rPr>
  </w:style>
  <w:style w:type="paragraph" w:customStyle="1" w:styleId="23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9">
    <w:name w:val="样式4"/>
    <w:basedOn w:val="5"/>
    <w:qFormat/>
    <w:uiPriority w:val="0"/>
    <w:pPr>
      <w:adjustRightInd w:val="0"/>
      <w:snapToGrid w:val="0"/>
    </w:pPr>
  </w:style>
  <w:style w:type="paragraph" w:customStyle="1" w:styleId="240">
    <w:name w:val="正文（首行不缩进）"/>
    <w:basedOn w:val="1"/>
    <w:qFormat/>
    <w:uiPriority w:val="0"/>
    <w:pPr>
      <w:autoSpaceDE w:val="0"/>
      <w:autoSpaceDN w:val="0"/>
      <w:adjustRightInd w:val="0"/>
      <w:spacing w:line="360" w:lineRule="auto"/>
      <w:jc w:val="left"/>
    </w:pPr>
    <w:rPr>
      <w:kern w:val="0"/>
      <w:sz w:val="21"/>
    </w:rPr>
  </w:style>
  <w:style w:type="paragraph" w:customStyle="1" w:styleId="24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3">
    <w:name w:val="Char1 Char Char Char1"/>
    <w:basedOn w:val="1"/>
    <w:qFormat/>
    <w:uiPriority w:val="0"/>
    <w:rPr>
      <w:rFonts w:ascii="Tahoma" w:hAnsi="Tahoma"/>
      <w:sz w:val="30"/>
    </w:rPr>
  </w:style>
  <w:style w:type="paragraph" w:customStyle="1" w:styleId="244">
    <w:name w:val="彩色底纹1"/>
    <w:qFormat/>
    <w:uiPriority w:val="0"/>
    <w:rPr>
      <w:rFonts w:ascii="Times New Roman" w:hAnsi="Times New Roman" w:eastAsia="宋体" w:cs="Times New Roman"/>
      <w:kern w:val="2"/>
      <w:sz w:val="21"/>
      <w:lang w:val="en-US" w:eastAsia="zh-CN" w:bidi="ar-SA"/>
    </w:rPr>
  </w:style>
  <w:style w:type="paragraph" w:customStyle="1" w:styleId="245">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9">
    <w:name w:val="标题3——2"/>
    <w:basedOn w:val="2"/>
    <w:next w:val="56"/>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50">
    <w:name w:val="首行缩进"/>
    <w:basedOn w:val="1"/>
    <w:qFormat/>
    <w:uiPriority w:val="0"/>
    <w:pPr>
      <w:numPr>
        <w:ilvl w:val="0"/>
        <w:numId w:val="11"/>
      </w:numPr>
      <w:spacing w:line="360" w:lineRule="auto"/>
    </w:pPr>
    <w:rPr>
      <w:rFonts w:eastAsia="仿宋_GB2312"/>
    </w:rPr>
  </w:style>
  <w:style w:type="paragraph" w:customStyle="1" w:styleId="251">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styleId="252">
    <w:name w:val="List Paragraph"/>
    <w:basedOn w:val="1"/>
    <w:unhideWhenUsed/>
    <w:qFormat/>
    <w:uiPriority w:val="99"/>
    <w:pPr>
      <w:ind w:firstLine="420" w:firstLineChars="200"/>
    </w:pPr>
  </w:style>
  <w:style w:type="character" w:customStyle="1" w:styleId="253">
    <w:name w:val="font51"/>
    <w:basedOn w:val="60"/>
    <w:qFormat/>
    <w:uiPriority w:val="0"/>
    <w:rPr>
      <w:rFonts w:hint="eastAsia" w:ascii="方正仿宋_GBK" w:hAnsi="方正仿宋_GBK" w:eastAsia="方正仿宋_GBK" w:cs="方正仿宋_GBK"/>
      <w:color w:val="000000"/>
      <w:sz w:val="18"/>
      <w:szCs w:val="18"/>
      <w:u w:val="none"/>
    </w:rPr>
  </w:style>
  <w:style w:type="character" w:customStyle="1" w:styleId="254">
    <w:name w:val="font81"/>
    <w:basedOn w:val="60"/>
    <w:qFormat/>
    <w:uiPriority w:val="0"/>
    <w:rPr>
      <w:rFonts w:hint="eastAsia" w:ascii="方正仿宋_GBK" w:hAnsi="方正仿宋_GBK" w:eastAsia="方正仿宋_GBK" w:cs="方正仿宋_GBK"/>
      <w:color w:val="000000"/>
      <w:sz w:val="22"/>
      <w:szCs w:val="22"/>
      <w:u w:val="none"/>
    </w:rPr>
  </w:style>
  <w:style w:type="character" w:customStyle="1" w:styleId="255">
    <w:name w:val="font71"/>
    <w:basedOn w:val="60"/>
    <w:qFormat/>
    <w:uiPriority w:val="0"/>
    <w:rPr>
      <w:rFonts w:hint="eastAsia" w:ascii="方正仿宋_GBK" w:hAnsi="方正仿宋_GBK" w:eastAsia="方正仿宋_GBK" w:cs="方正仿宋_GBK"/>
      <w:color w:val="000000"/>
      <w:sz w:val="24"/>
      <w:szCs w:val="24"/>
      <w:u w:val="none"/>
      <w:vertAlign w:val="superscript"/>
    </w:rPr>
  </w:style>
  <w:style w:type="character" w:customStyle="1" w:styleId="256">
    <w:name w:val="font101"/>
    <w:basedOn w:val="60"/>
    <w:qFormat/>
    <w:uiPriority w:val="0"/>
    <w:rPr>
      <w:rFonts w:hint="eastAsia" w:ascii="宋体" w:hAnsi="宋体" w:eastAsia="宋体" w:cs="宋体"/>
      <w:color w:val="000000"/>
      <w:sz w:val="22"/>
      <w:szCs w:val="22"/>
      <w:u w:val="none"/>
      <w:vertAlign w:val="superscript"/>
    </w:rPr>
  </w:style>
  <w:style w:type="character" w:customStyle="1" w:styleId="257">
    <w:name w:val="font111"/>
    <w:basedOn w:val="60"/>
    <w:qFormat/>
    <w:uiPriority w:val="0"/>
    <w:rPr>
      <w:rFonts w:hint="eastAsia" w:ascii="宋体" w:hAnsi="宋体" w:eastAsia="宋体" w:cs="宋体"/>
      <w:color w:val="0D0D0D"/>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54B86A-4CB3-46CC-9441-1B9B2D721714}">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15</Pages>
  <Words>5077</Words>
  <Characters>5369</Characters>
  <Lines>45</Lines>
  <Paragraphs>12</Paragraphs>
  <TotalTime>11</TotalTime>
  <ScaleCrop>false</ScaleCrop>
  <LinksUpToDate>false</LinksUpToDate>
  <CharactersWithSpaces>5405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2021-02-03T03:50:00Z</dcterms:created>
  <dc:creator>罗成</dc:creator>
  <cp:lastModifiedBy>孤独野狼1417830122</cp:lastModifiedBy>
  <cp:lastPrinted>2018-08-06T08:28:00Z</cp:lastPrinted>
  <dcterms:modified xsi:type="dcterms:W3CDTF">2025-04-14T06:45:15Z</dcterms:modified>
  <dc:title>竞争性谈判文件</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1E3C3CB4671547128C544B92D308F8AF_13</vt:lpwstr>
  </property>
  <property fmtid="{D5CDD505-2E9C-101B-9397-08002B2CF9AE}" pid="4" name="KSOTemplateDocerSaveRecord">
    <vt:lpwstr>eyJoZGlkIjoiODFkNDQ1NzYyMGMxMGExMmE1YWM2OTJiZTkwNGU4OWQiLCJ1c2VySWQiOiIyODExOTEwNjEifQ==</vt:lpwstr>
  </property>
</Properties>
</file>