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7FBFE">
      <w:pPr>
        <w:shd w:val="clear"/>
        <w:jc w:val="left"/>
        <w:rPr>
          <w:rFonts w:ascii="宋体" w:hAnsi="宋体" w:cs="宋体"/>
          <w:color w:val="auto"/>
          <w:highlight w:val="none"/>
        </w:rPr>
      </w:pPr>
    </w:p>
    <w:p w14:paraId="77633B31">
      <w:pPr>
        <w:shd w:val="clear"/>
        <w:spacing w:line="1600" w:lineRule="exact"/>
        <w:outlineLvl w:val="0"/>
        <w:rPr>
          <w:rFonts w:ascii="宋体" w:hAnsi="宋体" w:cs="宋体"/>
          <w:color w:val="auto"/>
          <w:sz w:val="130"/>
          <w:szCs w:val="130"/>
          <w:highlight w:val="none"/>
        </w:rPr>
      </w:pPr>
    </w:p>
    <w:p w14:paraId="18401AD8">
      <w:pPr>
        <w:shd w:val="clear"/>
        <w:spacing w:line="1600" w:lineRule="exact"/>
        <w:jc w:val="center"/>
        <w:outlineLvl w:val="0"/>
        <w:rPr>
          <w:rFonts w:ascii="宋体" w:hAnsi="宋体" w:cs="宋体"/>
          <w:color w:val="auto"/>
          <w:sz w:val="130"/>
          <w:szCs w:val="130"/>
          <w:highlight w:val="none"/>
        </w:rPr>
      </w:pPr>
      <w:bookmarkStart w:id="0" w:name="_Toc29704"/>
      <w:r>
        <w:rPr>
          <w:rFonts w:hint="eastAsia" w:ascii="宋体" w:hAnsi="宋体" w:cs="宋体"/>
          <w:color w:val="auto"/>
          <w:sz w:val="130"/>
          <w:szCs w:val="130"/>
          <w:highlight w:val="none"/>
        </w:rPr>
        <w:t>竞争性磋商</w:t>
      </w:r>
    </w:p>
    <w:p w14:paraId="098E85D6">
      <w:pPr>
        <w:shd w:val="clear"/>
        <w:spacing w:line="1600" w:lineRule="exact"/>
        <w:jc w:val="center"/>
        <w:outlineLvl w:val="0"/>
        <w:rPr>
          <w:rFonts w:ascii="宋体" w:hAnsi="宋体" w:cs="宋体"/>
          <w:color w:val="auto"/>
          <w:sz w:val="130"/>
          <w:szCs w:val="130"/>
          <w:highlight w:val="none"/>
        </w:rPr>
      </w:pPr>
      <w:r>
        <w:rPr>
          <w:rFonts w:hint="eastAsia" w:ascii="宋体" w:hAnsi="宋体" w:cs="宋体"/>
          <w:color w:val="auto"/>
          <w:sz w:val="130"/>
          <w:szCs w:val="130"/>
          <w:highlight w:val="none"/>
        </w:rPr>
        <w:t>文件</w:t>
      </w:r>
      <w:bookmarkEnd w:id="0"/>
    </w:p>
    <w:p w14:paraId="3E48E3F8">
      <w:pPr>
        <w:shd w:val="clear"/>
        <w:spacing w:line="700" w:lineRule="exact"/>
        <w:jc w:val="center"/>
        <w:rPr>
          <w:rFonts w:ascii="宋体" w:hAnsi="宋体" w:cs="宋体"/>
          <w:color w:val="auto"/>
          <w:sz w:val="72"/>
          <w:szCs w:val="72"/>
          <w:highlight w:val="none"/>
        </w:rPr>
      </w:pPr>
    </w:p>
    <w:p w14:paraId="14B2D622">
      <w:pPr>
        <w:shd w:val="clear"/>
        <w:spacing w:line="700" w:lineRule="exact"/>
        <w:jc w:val="center"/>
        <w:rPr>
          <w:rFonts w:ascii="宋体" w:hAnsi="宋体" w:cs="宋体"/>
          <w:color w:val="auto"/>
          <w:sz w:val="32"/>
          <w:highlight w:val="none"/>
        </w:rPr>
      </w:pPr>
    </w:p>
    <w:p w14:paraId="21FC803F">
      <w:pPr>
        <w:shd w:val="clear"/>
        <w:spacing w:line="700" w:lineRule="exact"/>
        <w:rPr>
          <w:rFonts w:ascii="宋体" w:hAnsi="宋体" w:cs="宋体"/>
          <w:color w:val="auto"/>
          <w:sz w:val="32"/>
          <w:highlight w:val="none"/>
        </w:rPr>
      </w:pPr>
    </w:p>
    <w:p w14:paraId="7E3E2BD1">
      <w:pPr>
        <w:shd w:val="clear"/>
        <w:spacing w:line="500" w:lineRule="exact"/>
        <w:ind w:firstLine="1440" w:firstLineChars="400"/>
        <w:outlineLvl w:val="0"/>
        <w:rPr>
          <w:rFonts w:ascii="宋体" w:hAnsi="宋体" w:cs="宋体"/>
          <w:color w:val="auto"/>
          <w:sz w:val="36"/>
          <w:szCs w:val="36"/>
          <w:highlight w:val="none"/>
        </w:rPr>
      </w:pPr>
      <w:bookmarkStart w:id="1" w:name="_Toc23617"/>
      <w:r>
        <w:rPr>
          <w:rFonts w:hint="eastAsia" w:ascii="宋体" w:hAnsi="宋体" w:cs="宋体"/>
          <w:color w:val="auto"/>
          <w:sz w:val="36"/>
          <w:szCs w:val="36"/>
          <w:highlight w:val="none"/>
        </w:rPr>
        <w:t>项   目   号：</w:t>
      </w:r>
      <w:bookmarkEnd w:id="1"/>
      <w:r>
        <w:rPr>
          <w:rFonts w:hint="eastAsia" w:ascii="宋体" w:hAnsi="宋体" w:cs="宋体"/>
          <w:color w:val="auto"/>
          <w:sz w:val="36"/>
          <w:szCs w:val="36"/>
          <w:highlight w:val="none"/>
        </w:rPr>
        <w:t>QC25B0021</w:t>
      </w:r>
    </w:p>
    <w:p w14:paraId="4A4D108C">
      <w:pPr>
        <w:shd w:val="clear"/>
        <w:spacing w:line="500" w:lineRule="exact"/>
        <w:ind w:left="3954" w:leftChars="512" w:hanging="2520" w:hangingChars="700"/>
        <w:outlineLvl w:val="0"/>
        <w:rPr>
          <w:rFonts w:hint="default" w:ascii="宋体" w:hAnsi="宋体" w:eastAsia="宋体" w:cs="宋体"/>
          <w:color w:val="auto"/>
          <w:sz w:val="36"/>
          <w:szCs w:val="36"/>
          <w:highlight w:val="none"/>
          <w:lang w:val="en-US" w:eastAsia="zh-CN"/>
        </w:rPr>
      </w:pPr>
      <w:bookmarkStart w:id="2" w:name="_Toc12603"/>
      <w:r>
        <w:rPr>
          <w:rFonts w:hint="eastAsia" w:ascii="宋体" w:hAnsi="宋体" w:cs="宋体"/>
          <w:color w:val="auto"/>
          <w:sz w:val="36"/>
          <w:szCs w:val="36"/>
          <w:highlight w:val="none"/>
        </w:rPr>
        <w:t>磋商项目名称：</w:t>
      </w:r>
      <w:bookmarkEnd w:id="2"/>
      <w:r>
        <w:rPr>
          <w:rFonts w:hint="eastAsia" w:ascii="宋体" w:hAnsi="宋体" w:cs="宋体"/>
          <w:color w:val="auto"/>
          <w:sz w:val="36"/>
          <w:szCs w:val="36"/>
          <w:highlight w:val="none"/>
        </w:rPr>
        <w:t>重庆市石桥铺殡仪馆配电室配电设备安全整改</w:t>
      </w:r>
      <w:r>
        <w:rPr>
          <w:rFonts w:hint="eastAsia" w:ascii="宋体" w:hAnsi="宋体" w:cs="宋体"/>
          <w:color w:val="auto"/>
          <w:sz w:val="36"/>
          <w:szCs w:val="36"/>
          <w:highlight w:val="none"/>
          <w:lang w:eastAsia="zh-CN"/>
        </w:rPr>
        <w:t>（</w:t>
      </w:r>
      <w:r>
        <w:rPr>
          <w:rFonts w:hint="eastAsia" w:ascii="宋体" w:hAnsi="宋体" w:cs="宋体"/>
          <w:color w:val="auto"/>
          <w:sz w:val="36"/>
          <w:szCs w:val="36"/>
          <w:highlight w:val="none"/>
          <w:lang w:val="en-US" w:eastAsia="zh-CN"/>
        </w:rPr>
        <w:t>第二次）</w:t>
      </w:r>
    </w:p>
    <w:p w14:paraId="3A177D86">
      <w:pPr>
        <w:shd w:val="clear"/>
        <w:spacing w:line="700" w:lineRule="exact"/>
        <w:ind w:firstLine="1440" w:firstLineChars="400"/>
        <w:rPr>
          <w:rFonts w:ascii="宋体" w:hAnsi="宋体" w:cs="宋体"/>
          <w:color w:val="auto"/>
          <w:sz w:val="36"/>
          <w:szCs w:val="36"/>
          <w:highlight w:val="none"/>
        </w:rPr>
      </w:pPr>
    </w:p>
    <w:p w14:paraId="661D3DED">
      <w:pPr>
        <w:shd w:val="clear"/>
        <w:spacing w:line="700" w:lineRule="exact"/>
        <w:rPr>
          <w:rFonts w:ascii="宋体" w:hAnsi="宋体" w:cs="宋体"/>
          <w:b/>
          <w:color w:val="auto"/>
          <w:sz w:val="36"/>
          <w:szCs w:val="36"/>
          <w:highlight w:val="none"/>
        </w:rPr>
      </w:pPr>
    </w:p>
    <w:p w14:paraId="6DA4FDBF">
      <w:pPr>
        <w:pStyle w:val="25"/>
        <w:shd w:val="clear"/>
        <w:rPr>
          <w:rFonts w:ascii="宋体" w:hAnsi="宋体" w:cs="宋体"/>
          <w:color w:val="auto"/>
          <w:highlight w:val="none"/>
        </w:rPr>
      </w:pPr>
    </w:p>
    <w:p w14:paraId="1A471087">
      <w:pPr>
        <w:shd w:val="clear"/>
        <w:rPr>
          <w:color w:val="auto"/>
          <w:highlight w:val="none"/>
        </w:rPr>
      </w:pPr>
    </w:p>
    <w:p w14:paraId="79BFBC88">
      <w:pPr>
        <w:shd w:val="clear"/>
        <w:spacing w:line="500" w:lineRule="exact"/>
        <w:ind w:firstLine="1440" w:firstLineChars="400"/>
        <w:outlineLvl w:val="0"/>
        <w:rPr>
          <w:rFonts w:ascii="宋体" w:hAnsi="宋体" w:cs="宋体"/>
          <w:color w:val="auto"/>
          <w:sz w:val="36"/>
          <w:szCs w:val="36"/>
          <w:highlight w:val="none"/>
        </w:rPr>
      </w:pPr>
      <w:bookmarkStart w:id="3" w:name="_Toc13197"/>
      <w:r>
        <w:rPr>
          <w:rFonts w:hint="eastAsia" w:ascii="宋体" w:hAnsi="宋体" w:cs="宋体"/>
          <w:color w:val="auto"/>
          <w:sz w:val="36"/>
          <w:szCs w:val="36"/>
          <w:highlight w:val="none"/>
        </w:rPr>
        <w:t>采购人：</w:t>
      </w:r>
      <w:bookmarkEnd w:id="3"/>
      <w:bookmarkStart w:id="4" w:name="_Toc27204"/>
      <w:r>
        <w:rPr>
          <w:rFonts w:hint="eastAsia" w:ascii="宋体" w:hAnsi="宋体" w:cs="宋体"/>
          <w:color w:val="auto"/>
          <w:sz w:val="36"/>
          <w:szCs w:val="36"/>
          <w:highlight w:val="none"/>
        </w:rPr>
        <w:t>重庆市石桥铺殡仪馆</w:t>
      </w:r>
    </w:p>
    <w:p w14:paraId="0EB2BB5A">
      <w:pPr>
        <w:shd w:val="clear"/>
        <w:spacing w:line="500" w:lineRule="exact"/>
        <w:ind w:firstLine="1440" w:firstLineChars="400"/>
        <w:outlineLvl w:val="0"/>
        <w:rPr>
          <w:rFonts w:ascii="宋体" w:hAnsi="宋体" w:cs="宋体"/>
          <w:color w:val="auto"/>
          <w:sz w:val="36"/>
          <w:szCs w:val="36"/>
          <w:highlight w:val="none"/>
        </w:rPr>
      </w:pPr>
      <w:r>
        <w:rPr>
          <w:rFonts w:hint="eastAsia" w:ascii="宋体" w:hAnsi="宋体" w:cs="宋体"/>
          <w:color w:val="auto"/>
          <w:sz w:val="36"/>
          <w:szCs w:val="36"/>
          <w:highlight w:val="none"/>
        </w:rPr>
        <w:t>采购代理机构：重庆千策招标代理有限公司</w:t>
      </w:r>
      <w:bookmarkEnd w:id="4"/>
    </w:p>
    <w:p w14:paraId="1BAAF76D">
      <w:pPr>
        <w:shd w:val="clear"/>
        <w:spacing w:line="500" w:lineRule="exact"/>
        <w:jc w:val="center"/>
        <w:outlineLvl w:val="0"/>
        <w:rPr>
          <w:rFonts w:ascii="宋体" w:hAnsi="宋体" w:cs="宋体"/>
          <w:color w:val="auto"/>
          <w:sz w:val="36"/>
          <w:szCs w:val="36"/>
          <w:highlight w:val="none"/>
        </w:rPr>
      </w:pPr>
    </w:p>
    <w:p w14:paraId="096391E0">
      <w:pPr>
        <w:pStyle w:val="25"/>
        <w:shd w:val="clear"/>
        <w:rPr>
          <w:rFonts w:ascii="宋体" w:hAnsi="宋体" w:cs="宋体"/>
          <w:color w:val="auto"/>
          <w:highlight w:val="none"/>
        </w:rPr>
      </w:pPr>
    </w:p>
    <w:p w14:paraId="4C13AFA5">
      <w:pPr>
        <w:shd w:val="clear"/>
        <w:rPr>
          <w:rFonts w:ascii="宋体" w:hAnsi="宋体" w:cs="宋体"/>
          <w:color w:val="auto"/>
          <w:highlight w:val="none"/>
        </w:rPr>
      </w:pPr>
    </w:p>
    <w:p w14:paraId="6F29DEA3">
      <w:pPr>
        <w:pStyle w:val="15"/>
        <w:shd w:val="clear"/>
        <w:rPr>
          <w:rFonts w:ascii="宋体" w:hAnsi="宋体" w:eastAsia="宋体" w:cs="宋体"/>
          <w:color w:val="auto"/>
          <w:highlight w:val="none"/>
        </w:rPr>
      </w:pPr>
    </w:p>
    <w:p w14:paraId="525EE583">
      <w:pPr>
        <w:shd w:val="clear"/>
        <w:spacing w:line="720" w:lineRule="exact"/>
        <w:jc w:val="center"/>
        <w:outlineLvl w:val="0"/>
        <w:rPr>
          <w:rFonts w:ascii="宋体" w:hAnsi="宋体" w:cs="宋体"/>
          <w:color w:val="auto"/>
          <w:sz w:val="48"/>
          <w:szCs w:val="32"/>
          <w:highlight w:val="none"/>
        </w:rPr>
      </w:pPr>
      <w:bookmarkStart w:id="5" w:name="_Toc2252"/>
      <w:r>
        <w:rPr>
          <w:rFonts w:hint="eastAsia" w:ascii="宋体" w:hAnsi="宋体" w:cs="宋体"/>
          <w:color w:val="auto"/>
          <w:sz w:val="36"/>
          <w:szCs w:val="36"/>
          <w:highlight w:val="none"/>
        </w:rPr>
        <w:t>二〇二五年</w:t>
      </w:r>
      <w:r>
        <w:rPr>
          <w:rFonts w:hint="eastAsia" w:ascii="宋体" w:hAnsi="宋体" w:cs="宋体"/>
          <w:color w:val="auto"/>
          <w:sz w:val="36"/>
          <w:szCs w:val="36"/>
          <w:highlight w:val="none"/>
          <w:lang w:val="en-US" w:eastAsia="zh-CN"/>
        </w:rPr>
        <w:t>十</w:t>
      </w:r>
      <w:r>
        <w:rPr>
          <w:rFonts w:hint="eastAsia" w:ascii="宋体" w:hAnsi="宋体" w:cs="宋体"/>
          <w:color w:val="auto"/>
          <w:sz w:val="36"/>
          <w:szCs w:val="36"/>
          <w:highlight w:val="none"/>
        </w:rPr>
        <w:t>月</w:t>
      </w:r>
      <w:bookmarkEnd w:id="5"/>
    </w:p>
    <w:p w14:paraId="7CCBC92E">
      <w:pPr>
        <w:shd w:val="clear"/>
        <w:spacing w:line="720" w:lineRule="exact"/>
        <w:jc w:val="center"/>
        <w:outlineLvl w:val="0"/>
        <w:rPr>
          <w:rFonts w:ascii="宋体" w:hAnsi="宋体" w:cs="宋体"/>
          <w:color w:val="auto"/>
          <w:sz w:val="48"/>
          <w:szCs w:val="32"/>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624" w:footer="992" w:gutter="0"/>
          <w:pgNumType w:fmt="numberInDash" w:start="1"/>
          <w:cols w:space="720" w:num="1"/>
          <w:titlePg/>
          <w:docGrid w:linePitch="381" w:charSpace="-5735"/>
        </w:sectPr>
      </w:pPr>
    </w:p>
    <w:p w14:paraId="3001E32A">
      <w:pPr>
        <w:shd w:val="clear"/>
        <w:spacing w:line="480" w:lineRule="exact"/>
        <w:jc w:val="center"/>
        <w:outlineLvl w:val="0"/>
        <w:rPr>
          <w:rFonts w:ascii="宋体" w:hAnsi="宋体" w:cs="宋体"/>
          <w:color w:val="auto"/>
          <w:sz w:val="44"/>
          <w:szCs w:val="28"/>
          <w:highlight w:val="none"/>
        </w:rPr>
      </w:pPr>
      <w:bookmarkStart w:id="6" w:name="_Toc12825"/>
      <w:r>
        <w:rPr>
          <w:rFonts w:hint="eastAsia" w:ascii="宋体" w:hAnsi="宋体" w:cs="宋体"/>
          <w:color w:val="auto"/>
          <w:sz w:val="44"/>
          <w:szCs w:val="28"/>
          <w:highlight w:val="none"/>
        </w:rPr>
        <w:t>目   录</w:t>
      </w:r>
    </w:p>
    <w:p w14:paraId="0040B7A4">
      <w:pPr>
        <w:pStyle w:val="26"/>
        <w:tabs>
          <w:tab w:val="right" w:leader="dot" w:pos="9412"/>
        </w:tabs>
        <w:rPr>
          <w:color w:val="auto"/>
          <w:highlight w:val="none"/>
        </w:rPr>
      </w:pP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TOC \o "1-3" \h \z </w:instrText>
      </w:r>
      <w:r>
        <w:rPr>
          <w:rFonts w:hint="eastAsia" w:ascii="宋体" w:hAnsi="宋体" w:cs="宋体"/>
          <w:color w:val="auto"/>
          <w:sz w:val="21"/>
          <w:szCs w:val="21"/>
          <w:highlight w:val="none"/>
        </w:rPr>
        <w:fldChar w:fldCharType="separate"/>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_Toc808 </w:instrText>
      </w:r>
      <w:r>
        <w:rPr>
          <w:rFonts w:hint="eastAsia" w:ascii="宋体" w:hAnsi="宋体" w:cs="宋体"/>
          <w:color w:val="auto"/>
          <w:szCs w:val="21"/>
          <w:highlight w:val="none"/>
        </w:rPr>
        <w:fldChar w:fldCharType="separate"/>
      </w:r>
      <w:r>
        <w:rPr>
          <w:rFonts w:hint="eastAsia" w:ascii="宋体" w:hAnsi="宋体" w:eastAsia="宋体" w:cs="宋体"/>
          <w:color w:val="auto"/>
          <w:szCs w:val="30"/>
          <w:highlight w:val="none"/>
        </w:rPr>
        <w:t>第一篇  采购邀请书</w:t>
      </w:r>
      <w:r>
        <w:rPr>
          <w:color w:val="auto"/>
          <w:highlight w:val="none"/>
        </w:rPr>
        <w:tab/>
      </w:r>
      <w:r>
        <w:rPr>
          <w:color w:val="auto"/>
          <w:highlight w:val="none"/>
        </w:rPr>
        <w:fldChar w:fldCharType="begin"/>
      </w:r>
      <w:r>
        <w:rPr>
          <w:color w:val="auto"/>
          <w:highlight w:val="none"/>
        </w:rPr>
        <w:instrText xml:space="preserve"> PAGEREF _Toc808 \h </w:instrText>
      </w:r>
      <w:r>
        <w:rPr>
          <w:color w:val="auto"/>
          <w:highlight w:val="none"/>
        </w:rPr>
        <w:fldChar w:fldCharType="separate"/>
      </w:r>
      <w:r>
        <w:rPr>
          <w:color w:val="auto"/>
          <w:highlight w:val="none"/>
        </w:rPr>
        <w:t>- 1 -</w:t>
      </w:r>
      <w:r>
        <w:rPr>
          <w:color w:val="auto"/>
          <w:highlight w:val="none"/>
        </w:rPr>
        <w:fldChar w:fldCharType="end"/>
      </w:r>
      <w:r>
        <w:rPr>
          <w:rFonts w:hint="eastAsia" w:ascii="宋体" w:hAnsi="宋体" w:cs="宋体"/>
          <w:color w:val="auto"/>
          <w:szCs w:val="21"/>
          <w:highlight w:val="none"/>
        </w:rPr>
        <w:fldChar w:fldCharType="end"/>
      </w:r>
    </w:p>
    <w:p w14:paraId="3E585B92">
      <w:pPr>
        <w:pStyle w:val="26"/>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_Toc2190 </w:instrText>
      </w:r>
      <w:r>
        <w:rPr>
          <w:rFonts w:hint="eastAsia" w:ascii="宋体" w:hAnsi="宋体" w:cs="宋体"/>
          <w:color w:val="auto"/>
          <w:szCs w:val="21"/>
          <w:highlight w:val="none"/>
        </w:rPr>
        <w:fldChar w:fldCharType="separate"/>
      </w:r>
      <w:r>
        <w:rPr>
          <w:rFonts w:hint="eastAsia" w:ascii="宋体" w:hAnsi="宋体" w:eastAsia="宋体" w:cs="宋体"/>
          <w:bCs w:val="0"/>
          <w:color w:val="auto"/>
          <w:highlight w:val="none"/>
        </w:rPr>
        <w:t>一、竞争性磋商内容</w:t>
      </w:r>
      <w:r>
        <w:rPr>
          <w:color w:val="auto"/>
          <w:highlight w:val="none"/>
        </w:rPr>
        <w:tab/>
      </w:r>
      <w:r>
        <w:rPr>
          <w:color w:val="auto"/>
          <w:highlight w:val="none"/>
        </w:rPr>
        <w:fldChar w:fldCharType="begin"/>
      </w:r>
      <w:r>
        <w:rPr>
          <w:color w:val="auto"/>
          <w:highlight w:val="none"/>
        </w:rPr>
        <w:instrText xml:space="preserve"> PAGEREF _Toc2190 \h </w:instrText>
      </w:r>
      <w:r>
        <w:rPr>
          <w:color w:val="auto"/>
          <w:highlight w:val="none"/>
        </w:rPr>
        <w:fldChar w:fldCharType="separate"/>
      </w:r>
      <w:r>
        <w:rPr>
          <w:color w:val="auto"/>
          <w:highlight w:val="none"/>
        </w:rPr>
        <w:t>- 1 -</w:t>
      </w:r>
      <w:r>
        <w:rPr>
          <w:color w:val="auto"/>
          <w:highlight w:val="none"/>
        </w:rPr>
        <w:fldChar w:fldCharType="end"/>
      </w:r>
      <w:r>
        <w:rPr>
          <w:rFonts w:hint="eastAsia" w:ascii="宋体" w:hAnsi="宋体" w:cs="宋体"/>
          <w:color w:val="auto"/>
          <w:szCs w:val="21"/>
          <w:highlight w:val="none"/>
        </w:rPr>
        <w:fldChar w:fldCharType="end"/>
      </w:r>
    </w:p>
    <w:p w14:paraId="566E42F9">
      <w:pPr>
        <w:pStyle w:val="26"/>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_Toc12972 </w:instrText>
      </w:r>
      <w:r>
        <w:rPr>
          <w:rFonts w:hint="eastAsia" w:ascii="宋体" w:hAnsi="宋体" w:cs="宋体"/>
          <w:color w:val="auto"/>
          <w:szCs w:val="21"/>
          <w:highlight w:val="none"/>
        </w:rPr>
        <w:fldChar w:fldCharType="separate"/>
      </w:r>
      <w:r>
        <w:rPr>
          <w:rFonts w:hint="eastAsia" w:ascii="宋体" w:hAnsi="宋体" w:eastAsia="宋体" w:cs="宋体"/>
          <w:bCs w:val="0"/>
          <w:color w:val="auto"/>
          <w:highlight w:val="none"/>
        </w:rPr>
        <w:t>二、资金来源</w:t>
      </w:r>
      <w:r>
        <w:rPr>
          <w:color w:val="auto"/>
          <w:highlight w:val="none"/>
        </w:rPr>
        <w:tab/>
      </w:r>
      <w:r>
        <w:rPr>
          <w:color w:val="auto"/>
          <w:highlight w:val="none"/>
        </w:rPr>
        <w:fldChar w:fldCharType="begin"/>
      </w:r>
      <w:r>
        <w:rPr>
          <w:color w:val="auto"/>
          <w:highlight w:val="none"/>
        </w:rPr>
        <w:instrText xml:space="preserve"> PAGEREF _Toc12972 \h </w:instrText>
      </w:r>
      <w:r>
        <w:rPr>
          <w:color w:val="auto"/>
          <w:highlight w:val="none"/>
        </w:rPr>
        <w:fldChar w:fldCharType="separate"/>
      </w:r>
      <w:r>
        <w:rPr>
          <w:color w:val="auto"/>
          <w:highlight w:val="none"/>
        </w:rPr>
        <w:t>- 1 -</w:t>
      </w:r>
      <w:r>
        <w:rPr>
          <w:color w:val="auto"/>
          <w:highlight w:val="none"/>
        </w:rPr>
        <w:fldChar w:fldCharType="end"/>
      </w:r>
      <w:r>
        <w:rPr>
          <w:rFonts w:hint="eastAsia" w:ascii="宋体" w:hAnsi="宋体" w:cs="宋体"/>
          <w:color w:val="auto"/>
          <w:szCs w:val="21"/>
          <w:highlight w:val="none"/>
        </w:rPr>
        <w:fldChar w:fldCharType="end"/>
      </w:r>
    </w:p>
    <w:p w14:paraId="61D40622">
      <w:pPr>
        <w:pStyle w:val="26"/>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_Toc25106 </w:instrText>
      </w:r>
      <w:r>
        <w:rPr>
          <w:rFonts w:hint="eastAsia" w:ascii="宋体" w:hAnsi="宋体" w:cs="宋体"/>
          <w:color w:val="auto"/>
          <w:szCs w:val="21"/>
          <w:highlight w:val="none"/>
        </w:rPr>
        <w:fldChar w:fldCharType="separate"/>
      </w:r>
      <w:r>
        <w:rPr>
          <w:rFonts w:hint="eastAsia" w:ascii="宋体" w:hAnsi="宋体" w:eastAsia="宋体" w:cs="宋体"/>
          <w:bCs w:val="0"/>
          <w:color w:val="auto"/>
          <w:highlight w:val="none"/>
        </w:rPr>
        <w:t>三、供应商资格条件</w:t>
      </w:r>
      <w:r>
        <w:rPr>
          <w:color w:val="auto"/>
          <w:highlight w:val="none"/>
        </w:rPr>
        <w:tab/>
      </w:r>
      <w:r>
        <w:rPr>
          <w:color w:val="auto"/>
          <w:highlight w:val="none"/>
        </w:rPr>
        <w:fldChar w:fldCharType="begin"/>
      </w:r>
      <w:r>
        <w:rPr>
          <w:color w:val="auto"/>
          <w:highlight w:val="none"/>
        </w:rPr>
        <w:instrText xml:space="preserve"> PAGEREF _Toc25106 \h </w:instrText>
      </w:r>
      <w:r>
        <w:rPr>
          <w:color w:val="auto"/>
          <w:highlight w:val="none"/>
        </w:rPr>
        <w:fldChar w:fldCharType="separate"/>
      </w:r>
      <w:r>
        <w:rPr>
          <w:color w:val="auto"/>
          <w:highlight w:val="none"/>
        </w:rPr>
        <w:t>- 1 -</w:t>
      </w:r>
      <w:r>
        <w:rPr>
          <w:color w:val="auto"/>
          <w:highlight w:val="none"/>
        </w:rPr>
        <w:fldChar w:fldCharType="end"/>
      </w:r>
      <w:r>
        <w:rPr>
          <w:rFonts w:hint="eastAsia" w:ascii="宋体" w:hAnsi="宋体" w:cs="宋体"/>
          <w:color w:val="auto"/>
          <w:szCs w:val="21"/>
          <w:highlight w:val="none"/>
        </w:rPr>
        <w:fldChar w:fldCharType="end"/>
      </w:r>
    </w:p>
    <w:p w14:paraId="2C275A14">
      <w:pPr>
        <w:pStyle w:val="26"/>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_Toc29836 </w:instrText>
      </w:r>
      <w:r>
        <w:rPr>
          <w:rFonts w:hint="eastAsia" w:ascii="宋体" w:hAnsi="宋体" w:cs="宋体"/>
          <w:color w:val="auto"/>
          <w:szCs w:val="21"/>
          <w:highlight w:val="none"/>
        </w:rPr>
        <w:fldChar w:fldCharType="separate"/>
      </w:r>
      <w:r>
        <w:rPr>
          <w:rFonts w:hint="eastAsia" w:ascii="宋体" w:hAnsi="宋体" w:eastAsia="宋体" w:cs="宋体"/>
          <w:bCs w:val="0"/>
          <w:color w:val="auto"/>
          <w:highlight w:val="none"/>
        </w:rPr>
        <w:t>四、磋商有关说明</w:t>
      </w:r>
      <w:r>
        <w:rPr>
          <w:color w:val="auto"/>
          <w:highlight w:val="none"/>
        </w:rPr>
        <w:tab/>
      </w:r>
      <w:r>
        <w:rPr>
          <w:color w:val="auto"/>
          <w:highlight w:val="none"/>
        </w:rPr>
        <w:fldChar w:fldCharType="begin"/>
      </w:r>
      <w:r>
        <w:rPr>
          <w:color w:val="auto"/>
          <w:highlight w:val="none"/>
        </w:rPr>
        <w:instrText xml:space="preserve"> PAGEREF _Toc29836 \h </w:instrText>
      </w:r>
      <w:r>
        <w:rPr>
          <w:color w:val="auto"/>
          <w:highlight w:val="none"/>
        </w:rPr>
        <w:fldChar w:fldCharType="separate"/>
      </w:r>
      <w:r>
        <w:rPr>
          <w:color w:val="auto"/>
          <w:highlight w:val="none"/>
        </w:rPr>
        <w:t>- 1 -</w:t>
      </w:r>
      <w:r>
        <w:rPr>
          <w:color w:val="auto"/>
          <w:highlight w:val="none"/>
        </w:rPr>
        <w:fldChar w:fldCharType="end"/>
      </w:r>
      <w:r>
        <w:rPr>
          <w:rFonts w:hint="eastAsia" w:ascii="宋体" w:hAnsi="宋体" w:cs="宋体"/>
          <w:color w:val="auto"/>
          <w:szCs w:val="21"/>
          <w:highlight w:val="none"/>
        </w:rPr>
        <w:fldChar w:fldCharType="end"/>
      </w:r>
    </w:p>
    <w:p w14:paraId="60E1209C">
      <w:pPr>
        <w:pStyle w:val="26"/>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_Toc7502 </w:instrText>
      </w:r>
      <w:r>
        <w:rPr>
          <w:rFonts w:hint="eastAsia" w:ascii="宋体" w:hAnsi="宋体" w:cs="宋体"/>
          <w:color w:val="auto"/>
          <w:szCs w:val="21"/>
          <w:highlight w:val="none"/>
        </w:rPr>
        <w:fldChar w:fldCharType="separate"/>
      </w:r>
      <w:r>
        <w:rPr>
          <w:rFonts w:hint="eastAsia" w:ascii="宋体" w:hAnsi="宋体" w:eastAsia="宋体" w:cs="宋体"/>
          <w:bCs w:val="0"/>
          <w:color w:val="auto"/>
          <w:highlight w:val="none"/>
        </w:rPr>
        <w:t>五、磋商保证金</w:t>
      </w:r>
      <w:r>
        <w:rPr>
          <w:color w:val="auto"/>
          <w:highlight w:val="none"/>
        </w:rPr>
        <w:tab/>
      </w:r>
      <w:r>
        <w:rPr>
          <w:color w:val="auto"/>
          <w:highlight w:val="none"/>
        </w:rPr>
        <w:fldChar w:fldCharType="begin"/>
      </w:r>
      <w:r>
        <w:rPr>
          <w:color w:val="auto"/>
          <w:highlight w:val="none"/>
        </w:rPr>
        <w:instrText xml:space="preserve"> PAGEREF _Toc7502 \h </w:instrText>
      </w:r>
      <w:r>
        <w:rPr>
          <w:color w:val="auto"/>
          <w:highlight w:val="none"/>
        </w:rPr>
        <w:fldChar w:fldCharType="separate"/>
      </w:r>
      <w:r>
        <w:rPr>
          <w:color w:val="auto"/>
          <w:highlight w:val="none"/>
        </w:rPr>
        <w:t>- 2 -</w:t>
      </w:r>
      <w:r>
        <w:rPr>
          <w:color w:val="auto"/>
          <w:highlight w:val="none"/>
        </w:rPr>
        <w:fldChar w:fldCharType="end"/>
      </w:r>
      <w:r>
        <w:rPr>
          <w:rFonts w:hint="eastAsia" w:ascii="宋体" w:hAnsi="宋体" w:cs="宋体"/>
          <w:color w:val="auto"/>
          <w:szCs w:val="21"/>
          <w:highlight w:val="none"/>
        </w:rPr>
        <w:fldChar w:fldCharType="end"/>
      </w:r>
    </w:p>
    <w:p w14:paraId="4F0A58B9">
      <w:pPr>
        <w:pStyle w:val="26"/>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_Toc31720 </w:instrText>
      </w:r>
      <w:r>
        <w:rPr>
          <w:rFonts w:hint="eastAsia" w:ascii="宋体" w:hAnsi="宋体" w:cs="宋体"/>
          <w:color w:val="auto"/>
          <w:szCs w:val="21"/>
          <w:highlight w:val="none"/>
        </w:rPr>
        <w:fldChar w:fldCharType="separate"/>
      </w:r>
      <w:r>
        <w:rPr>
          <w:rFonts w:hint="eastAsia" w:ascii="宋体" w:hAnsi="宋体" w:eastAsia="宋体" w:cs="宋体"/>
          <w:bCs w:val="0"/>
          <w:color w:val="auto"/>
          <w:highlight w:val="none"/>
        </w:rPr>
        <w:t>六、其它有关规定</w:t>
      </w:r>
      <w:r>
        <w:rPr>
          <w:color w:val="auto"/>
          <w:highlight w:val="none"/>
        </w:rPr>
        <w:tab/>
      </w:r>
      <w:r>
        <w:rPr>
          <w:color w:val="auto"/>
          <w:highlight w:val="none"/>
        </w:rPr>
        <w:fldChar w:fldCharType="begin"/>
      </w:r>
      <w:r>
        <w:rPr>
          <w:color w:val="auto"/>
          <w:highlight w:val="none"/>
        </w:rPr>
        <w:instrText xml:space="preserve"> PAGEREF _Toc31720 \h </w:instrText>
      </w:r>
      <w:r>
        <w:rPr>
          <w:color w:val="auto"/>
          <w:highlight w:val="none"/>
        </w:rPr>
        <w:fldChar w:fldCharType="separate"/>
      </w:r>
      <w:r>
        <w:rPr>
          <w:color w:val="auto"/>
          <w:highlight w:val="none"/>
        </w:rPr>
        <w:t>- 2 -</w:t>
      </w:r>
      <w:r>
        <w:rPr>
          <w:color w:val="auto"/>
          <w:highlight w:val="none"/>
        </w:rPr>
        <w:fldChar w:fldCharType="end"/>
      </w:r>
      <w:r>
        <w:rPr>
          <w:rFonts w:hint="eastAsia" w:ascii="宋体" w:hAnsi="宋体" w:cs="宋体"/>
          <w:color w:val="auto"/>
          <w:szCs w:val="21"/>
          <w:highlight w:val="none"/>
        </w:rPr>
        <w:fldChar w:fldCharType="end"/>
      </w:r>
    </w:p>
    <w:p w14:paraId="01D6BC3C">
      <w:pPr>
        <w:pStyle w:val="26"/>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_Toc10536 </w:instrText>
      </w:r>
      <w:r>
        <w:rPr>
          <w:rFonts w:hint="eastAsia" w:ascii="宋体" w:hAnsi="宋体" w:cs="宋体"/>
          <w:color w:val="auto"/>
          <w:szCs w:val="21"/>
          <w:highlight w:val="none"/>
        </w:rPr>
        <w:fldChar w:fldCharType="separate"/>
      </w:r>
      <w:r>
        <w:rPr>
          <w:rFonts w:hint="eastAsia" w:ascii="宋体" w:hAnsi="宋体" w:eastAsia="宋体" w:cs="宋体"/>
          <w:bCs w:val="0"/>
          <w:color w:val="auto"/>
          <w:highlight w:val="none"/>
        </w:rPr>
        <w:t>七、联系方式</w:t>
      </w:r>
      <w:r>
        <w:rPr>
          <w:color w:val="auto"/>
          <w:highlight w:val="none"/>
        </w:rPr>
        <w:tab/>
      </w:r>
      <w:r>
        <w:rPr>
          <w:color w:val="auto"/>
          <w:highlight w:val="none"/>
        </w:rPr>
        <w:fldChar w:fldCharType="begin"/>
      </w:r>
      <w:r>
        <w:rPr>
          <w:color w:val="auto"/>
          <w:highlight w:val="none"/>
        </w:rPr>
        <w:instrText xml:space="preserve"> PAGEREF _Toc10536 \h </w:instrText>
      </w:r>
      <w:r>
        <w:rPr>
          <w:color w:val="auto"/>
          <w:highlight w:val="none"/>
        </w:rPr>
        <w:fldChar w:fldCharType="separate"/>
      </w:r>
      <w:r>
        <w:rPr>
          <w:color w:val="auto"/>
          <w:highlight w:val="none"/>
        </w:rPr>
        <w:t>- 3 -</w:t>
      </w:r>
      <w:r>
        <w:rPr>
          <w:color w:val="auto"/>
          <w:highlight w:val="none"/>
        </w:rPr>
        <w:fldChar w:fldCharType="end"/>
      </w:r>
      <w:r>
        <w:rPr>
          <w:rFonts w:hint="eastAsia" w:ascii="宋体" w:hAnsi="宋体" w:cs="宋体"/>
          <w:color w:val="auto"/>
          <w:szCs w:val="21"/>
          <w:highlight w:val="none"/>
        </w:rPr>
        <w:fldChar w:fldCharType="end"/>
      </w:r>
    </w:p>
    <w:p w14:paraId="1EAA9814">
      <w:pPr>
        <w:pStyle w:val="26"/>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_Toc2866 </w:instrText>
      </w:r>
      <w:r>
        <w:rPr>
          <w:rFonts w:hint="eastAsia" w:ascii="宋体" w:hAnsi="宋体" w:cs="宋体"/>
          <w:color w:val="auto"/>
          <w:szCs w:val="21"/>
          <w:highlight w:val="none"/>
        </w:rPr>
        <w:fldChar w:fldCharType="separate"/>
      </w:r>
      <w:r>
        <w:rPr>
          <w:rFonts w:hint="eastAsia" w:ascii="宋体" w:hAnsi="宋体" w:eastAsia="宋体" w:cs="宋体"/>
          <w:color w:val="auto"/>
          <w:szCs w:val="30"/>
          <w:highlight w:val="none"/>
        </w:rPr>
        <w:t>第二篇  项目服务需求</w:t>
      </w:r>
      <w:r>
        <w:rPr>
          <w:color w:val="auto"/>
          <w:highlight w:val="none"/>
        </w:rPr>
        <w:tab/>
      </w:r>
      <w:r>
        <w:rPr>
          <w:color w:val="auto"/>
          <w:highlight w:val="none"/>
        </w:rPr>
        <w:fldChar w:fldCharType="begin"/>
      </w:r>
      <w:r>
        <w:rPr>
          <w:color w:val="auto"/>
          <w:highlight w:val="none"/>
        </w:rPr>
        <w:instrText xml:space="preserve"> PAGEREF _Toc2866 \h </w:instrText>
      </w:r>
      <w:r>
        <w:rPr>
          <w:color w:val="auto"/>
          <w:highlight w:val="none"/>
        </w:rPr>
        <w:fldChar w:fldCharType="separate"/>
      </w:r>
      <w:r>
        <w:rPr>
          <w:color w:val="auto"/>
          <w:highlight w:val="none"/>
        </w:rPr>
        <w:t>- 4 -</w:t>
      </w:r>
      <w:r>
        <w:rPr>
          <w:color w:val="auto"/>
          <w:highlight w:val="none"/>
        </w:rPr>
        <w:fldChar w:fldCharType="end"/>
      </w:r>
      <w:r>
        <w:rPr>
          <w:rFonts w:hint="eastAsia" w:ascii="宋体" w:hAnsi="宋体" w:cs="宋体"/>
          <w:color w:val="auto"/>
          <w:szCs w:val="21"/>
          <w:highlight w:val="none"/>
        </w:rPr>
        <w:fldChar w:fldCharType="end"/>
      </w:r>
    </w:p>
    <w:p w14:paraId="76EA3924">
      <w:pPr>
        <w:pStyle w:val="26"/>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_Toc6371 </w:instrText>
      </w:r>
      <w:r>
        <w:rPr>
          <w:rFonts w:hint="eastAsia" w:ascii="宋体" w:hAnsi="宋体" w:cs="宋体"/>
          <w:color w:val="auto"/>
          <w:szCs w:val="21"/>
          <w:highlight w:val="none"/>
        </w:rPr>
        <w:fldChar w:fldCharType="separate"/>
      </w:r>
      <w:r>
        <w:rPr>
          <w:rFonts w:hint="eastAsia" w:ascii="宋体" w:hAnsi="宋体" w:eastAsia="宋体" w:cs="宋体"/>
          <w:bCs w:val="0"/>
          <w:color w:val="auto"/>
          <w:highlight w:val="none"/>
        </w:rPr>
        <w:t>一、项目一览表</w:t>
      </w:r>
      <w:r>
        <w:rPr>
          <w:color w:val="auto"/>
          <w:highlight w:val="none"/>
        </w:rPr>
        <w:tab/>
      </w:r>
      <w:r>
        <w:rPr>
          <w:color w:val="auto"/>
          <w:highlight w:val="none"/>
        </w:rPr>
        <w:fldChar w:fldCharType="begin"/>
      </w:r>
      <w:r>
        <w:rPr>
          <w:color w:val="auto"/>
          <w:highlight w:val="none"/>
        </w:rPr>
        <w:instrText xml:space="preserve"> PAGEREF _Toc6371 \h </w:instrText>
      </w:r>
      <w:r>
        <w:rPr>
          <w:color w:val="auto"/>
          <w:highlight w:val="none"/>
        </w:rPr>
        <w:fldChar w:fldCharType="separate"/>
      </w:r>
      <w:r>
        <w:rPr>
          <w:color w:val="auto"/>
          <w:highlight w:val="none"/>
        </w:rPr>
        <w:t>- 4 -</w:t>
      </w:r>
      <w:r>
        <w:rPr>
          <w:color w:val="auto"/>
          <w:highlight w:val="none"/>
        </w:rPr>
        <w:fldChar w:fldCharType="end"/>
      </w:r>
      <w:r>
        <w:rPr>
          <w:rFonts w:hint="eastAsia" w:ascii="宋体" w:hAnsi="宋体" w:cs="宋体"/>
          <w:color w:val="auto"/>
          <w:szCs w:val="21"/>
          <w:highlight w:val="none"/>
        </w:rPr>
        <w:fldChar w:fldCharType="end"/>
      </w:r>
    </w:p>
    <w:p w14:paraId="7C506EB2">
      <w:pPr>
        <w:pStyle w:val="26"/>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_Toc16592 </w:instrText>
      </w:r>
      <w:r>
        <w:rPr>
          <w:rFonts w:hint="eastAsia" w:ascii="宋体" w:hAnsi="宋体" w:cs="宋体"/>
          <w:color w:val="auto"/>
          <w:szCs w:val="21"/>
          <w:highlight w:val="none"/>
        </w:rPr>
        <w:fldChar w:fldCharType="separate"/>
      </w:r>
      <w:r>
        <w:rPr>
          <w:rFonts w:hint="eastAsia" w:ascii="宋体" w:hAnsi="宋体" w:eastAsia="宋体" w:cs="宋体"/>
          <w:bCs w:val="0"/>
          <w:color w:val="auto"/>
          <w:highlight w:val="none"/>
        </w:rPr>
        <w:t>二、项目内容及要求</w:t>
      </w:r>
      <w:r>
        <w:rPr>
          <w:color w:val="auto"/>
          <w:highlight w:val="none"/>
        </w:rPr>
        <w:tab/>
      </w:r>
      <w:r>
        <w:rPr>
          <w:color w:val="auto"/>
          <w:highlight w:val="none"/>
        </w:rPr>
        <w:fldChar w:fldCharType="begin"/>
      </w:r>
      <w:r>
        <w:rPr>
          <w:color w:val="auto"/>
          <w:highlight w:val="none"/>
        </w:rPr>
        <w:instrText xml:space="preserve"> PAGEREF _Toc16592 \h </w:instrText>
      </w:r>
      <w:r>
        <w:rPr>
          <w:color w:val="auto"/>
          <w:highlight w:val="none"/>
        </w:rPr>
        <w:fldChar w:fldCharType="separate"/>
      </w:r>
      <w:r>
        <w:rPr>
          <w:color w:val="auto"/>
          <w:highlight w:val="none"/>
        </w:rPr>
        <w:t>- 4 -</w:t>
      </w:r>
      <w:r>
        <w:rPr>
          <w:color w:val="auto"/>
          <w:highlight w:val="none"/>
        </w:rPr>
        <w:fldChar w:fldCharType="end"/>
      </w:r>
      <w:r>
        <w:rPr>
          <w:rFonts w:hint="eastAsia" w:ascii="宋体" w:hAnsi="宋体" w:cs="宋体"/>
          <w:color w:val="auto"/>
          <w:szCs w:val="21"/>
          <w:highlight w:val="none"/>
        </w:rPr>
        <w:fldChar w:fldCharType="end"/>
      </w:r>
    </w:p>
    <w:p w14:paraId="45A3CD5E">
      <w:pPr>
        <w:pStyle w:val="26"/>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_Toc20667 </w:instrText>
      </w:r>
      <w:r>
        <w:rPr>
          <w:rFonts w:hint="eastAsia" w:ascii="宋体" w:hAnsi="宋体" w:cs="宋体"/>
          <w:color w:val="auto"/>
          <w:szCs w:val="21"/>
          <w:highlight w:val="none"/>
        </w:rPr>
        <w:fldChar w:fldCharType="separate"/>
      </w:r>
      <w:r>
        <w:rPr>
          <w:rFonts w:hint="eastAsia" w:ascii="宋体" w:hAnsi="宋体" w:eastAsia="宋体" w:cs="宋体"/>
          <w:bCs w:val="0"/>
          <w:color w:val="auto"/>
          <w:highlight w:val="none"/>
        </w:rPr>
        <w:t>三、安全生产</w:t>
      </w:r>
      <w:r>
        <w:rPr>
          <w:color w:val="auto"/>
          <w:highlight w:val="none"/>
        </w:rPr>
        <w:tab/>
      </w:r>
      <w:r>
        <w:rPr>
          <w:color w:val="auto"/>
          <w:highlight w:val="none"/>
        </w:rPr>
        <w:fldChar w:fldCharType="begin"/>
      </w:r>
      <w:r>
        <w:rPr>
          <w:color w:val="auto"/>
          <w:highlight w:val="none"/>
        </w:rPr>
        <w:instrText xml:space="preserve"> PAGEREF _Toc20667 \h </w:instrText>
      </w:r>
      <w:r>
        <w:rPr>
          <w:color w:val="auto"/>
          <w:highlight w:val="none"/>
        </w:rPr>
        <w:fldChar w:fldCharType="separate"/>
      </w:r>
      <w:r>
        <w:rPr>
          <w:color w:val="auto"/>
          <w:highlight w:val="none"/>
        </w:rPr>
        <w:t>- 4 -</w:t>
      </w:r>
      <w:r>
        <w:rPr>
          <w:color w:val="auto"/>
          <w:highlight w:val="none"/>
        </w:rPr>
        <w:fldChar w:fldCharType="end"/>
      </w:r>
      <w:r>
        <w:rPr>
          <w:rFonts w:hint="eastAsia" w:ascii="宋体" w:hAnsi="宋体" w:cs="宋体"/>
          <w:color w:val="auto"/>
          <w:szCs w:val="21"/>
          <w:highlight w:val="none"/>
        </w:rPr>
        <w:fldChar w:fldCharType="end"/>
      </w:r>
    </w:p>
    <w:p w14:paraId="0C7AC5AA">
      <w:pPr>
        <w:pStyle w:val="26"/>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_Toc22993 </w:instrText>
      </w:r>
      <w:r>
        <w:rPr>
          <w:rFonts w:hint="eastAsia" w:ascii="宋体" w:hAnsi="宋体" w:cs="宋体"/>
          <w:color w:val="auto"/>
          <w:szCs w:val="21"/>
          <w:highlight w:val="none"/>
        </w:rPr>
        <w:fldChar w:fldCharType="separate"/>
      </w:r>
      <w:r>
        <w:rPr>
          <w:rFonts w:hint="eastAsia" w:ascii="宋体" w:hAnsi="宋体" w:eastAsia="宋体" w:cs="宋体"/>
          <w:bCs w:val="0"/>
          <w:color w:val="auto"/>
          <w:highlight w:val="none"/>
        </w:rPr>
        <w:t>四、人员要求</w:t>
      </w:r>
      <w:r>
        <w:rPr>
          <w:color w:val="auto"/>
          <w:highlight w:val="none"/>
        </w:rPr>
        <w:tab/>
      </w:r>
      <w:r>
        <w:rPr>
          <w:color w:val="auto"/>
          <w:highlight w:val="none"/>
        </w:rPr>
        <w:fldChar w:fldCharType="begin"/>
      </w:r>
      <w:r>
        <w:rPr>
          <w:color w:val="auto"/>
          <w:highlight w:val="none"/>
        </w:rPr>
        <w:instrText xml:space="preserve"> PAGEREF _Toc22993 \h </w:instrText>
      </w:r>
      <w:r>
        <w:rPr>
          <w:color w:val="auto"/>
          <w:highlight w:val="none"/>
        </w:rPr>
        <w:fldChar w:fldCharType="separate"/>
      </w:r>
      <w:r>
        <w:rPr>
          <w:color w:val="auto"/>
          <w:highlight w:val="none"/>
        </w:rPr>
        <w:t>- 4 -</w:t>
      </w:r>
      <w:r>
        <w:rPr>
          <w:color w:val="auto"/>
          <w:highlight w:val="none"/>
        </w:rPr>
        <w:fldChar w:fldCharType="end"/>
      </w:r>
      <w:r>
        <w:rPr>
          <w:rFonts w:hint="eastAsia" w:ascii="宋体" w:hAnsi="宋体" w:cs="宋体"/>
          <w:color w:val="auto"/>
          <w:szCs w:val="21"/>
          <w:highlight w:val="none"/>
        </w:rPr>
        <w:fldChar w:fldCharType="end"/>
      </w:r>
    </w:p>
    <w:p w14:paraId="495CD1BB">
      <w:pPr>
        <w:pStyle w:val="26"/>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_Toc25660 </w:instrText>
      </w:r>
      <w:r>
        <w:rPr>
          <w:rFonts w:hint="eastAsia" w:ascii="宋体" w:hAnsi="宋体" w:cs="宋体"/>
          <w:color w:val="auto"/>
          <w:szCs w:val="21"/>
          <w:highlight w:val="none"/>
        </w:rPr>
        <w:fldChar w:fldCharType="separate"/>
      </w:r>
      <w:r>
        <w:rPr>
          <w:rFonts w:hint="eastAsia" w:ascii="宋体" w:hAnsi="宋体" w:eastAsia="宋体" w:cs="宋体"/>
          <w:bCs w:val="0"/>
          <w:color w:val="auto"/>
          <w:highlight w:val="none"/>
        </w:rPr>
        <w:t>五、现场踏勘</w:t>
      </w:r>
      <w:r>
        <w:rPr>
          <w:color w:val="auto"/>
          <w:highlight w:val="none"/>
        </w:rPr>
        <w:tab/>
      </w:r>
      <w:r>
        <w:rPr>
          <w:color w:val="auto"/>
          <w:highlight w:val="none"/>
        </w:rPr>
        <w:fldChar w:fldCharType="begin"/>
      </w:r>
      <w:r>
        <w:rPr>
          <w:color w:val="auto"/>
          <w:highlight w:val="none"/>
        </w:rPr>
        <w:instrText xml:space="preserve"> PAGEREF _Toc25660 \h </w:instrText>
      </w:r>
      <w:r>
        <w:rPr>
          <w:color w:val="auto"/>
          <w:highlight w:val="none"/>
        </w:rPr>
        <w:fldChar w:fldCharType="separate"/>
      </w:r>
      <w:r>
        <w:rPr>
          <w:color w:val="auto"/>
          <w:highlight w:val="none"/>
        </w:rPr>
        <w:t>- 5 -</w:t>
      </w:r>
      <w:r>
        <w:rPr>
          <w:color w:val="auto"/>
          <w:highlight w:val="none"/>
        </w:rPr>
        <w:fldChar w:fldCharType="end"/>
      </w:r>
      <w:r>
        <w:rPr>
          <w:rFonts w:hint="eastAsia" w:ascii="宋体" w:hAnsi="宋体" w:cs="宋体"/>
          <w:color w:val="auto"/>
          <w:szCs w:val="21"/>
          <w:highlight w:val="none"/>
        </w:rPr>
        <w:fldChar w:fldCharType="end"/>
      </w:r>
    </w:p>
    <w:p w14:paraId="4852343C">
      <w:pPr>
        <w:pStyle w:val="26"/>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_Toc9059 </w:instrText>
      </w:r>
      <w:r>
        <w:rPr>
          <w:rFonts w:hint="eastAsia" w:ascii="宋体" w:hAnsi="宋体" w:cs="宋体"/>
          <w:color w:val="auto"/>
          <w:szCs w:val="21"/>
          <w:highlight w:val="none"/>
        </w:rPr>
        <w:fldChar w:fldCharType="separate"/>
      </w:r>
      <w:r>
        <w:rPr>
          <w:rFonts w:hint="eastAsia" w:ascii="宋体" w:hAnsi="宋体" w:eastAsia="宋体" w:cs="宋体"/>
          <w:bCs w:val="0"/>
          <w:color w:val="auto"/>
          <w:highlight w:val="none"/>
        </w:rPr>
        <w:t>六、其他要求</w:t>
      </w:r>
      <w:r>
        <w:rPr>
          <w:color w:val="auto"/>
          <w:highlight w:val="none"/>
        </w:rPr>
        <w:tab/>
      </w:r>
      <w:r>
        <w:rPr>
          <w:color w:val="auto"/>
          <w:highlight w:val="none"/>
        </w:rPr>
        <w:fldChar w:fldCharType="begin"/>
      </w:r>
      <w:r>
        <w:rPr>
          <w:color w:val="auto"/>
          <w:highlight w:val="none"/>
        </w:rPr>
        <w:instrText xml:space="preserve"> PAGEREF _Toc9059 \h </w:instrText>
      </w:r>
      <w:r>
        <w:rPr>
          <w:color w:val="auto"/>
          <w:highlight w:val="none"/>
        </w:rPr>
        <w:fldChar w:fldCharType="separate"/>
      </w:r>
      <w:r>
        <w:rPr>
          <w:color w:val="auto"/>
          <w:highlight w:val="none"/>
        </w:rPr>
        <w:t>- 5 -</w:t>
      </w:r>
      <w:r>
        <w:rPr>
          <w:color w:val="auto"/>
          <w:highlight w:val="none"/>
        </w:rPr>
        <w:fldChar w:fldCharType="end"/>
      </w:r>
      <w:r>
        <w:rPr>
          <w:rFonts w:hint="eastAsia" w:ascii="宋体" w:hAnsi="宋体" w:cs="宋体"/>
          <w:color w:val="auto"/>
          <w:szCs w:val="21"/>
          <w:highlight w:val="none"/>
        </w:rPr>
        <w:fldChar w:fldCharType="end"/>
      </w:r>
    </w:p>
    <w:p w14:paraId="7DFFA3E7">
      <w:pPr>
        <w:pStyle w:val="26"/>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_Toc7269 </w:instrText>
      </w:r>
      <w:r>
        <w:rPr>
          <w:rFonts w:hint="eastAsia" w:ascii="宋体" w:hAnsi="宋体" w:cs="宋体"/>
          <w:color w:val="auto"/>
          <w:szCs w:val="21"/>
          <w:highlight w:val="none"/>
        </w:rPr>
        <w:fldChar w:fldCharType="separate"/>
      </w:r>
      <w:r>
        <w:rPr>
          <w:rFonts w:hint="eastAsia" w:ascii="宋体" w:hAnsi="宋体" w:eastAsia="宋体" w:cs="宋体"/>
          <w:bCs w:val="0"/>
          <w:color w:val="auto"/>
          <w:highlight w:val="none"/>
        </w:rPr>
        <w:t>七、附件</w:t>
      </w:r>
      <w:r>
        <w:rPr>
          <w:color w:val="auto"/>
          <w:highlight w:val="none"/>
        </w:rPr>
        <w:tab/>
      </w:r>
      <w:r>
        <w:rPr>
          <w:color w:val="auto"/>
          <w:highlight w:val="none"/>
        </w:rPr>
        <w:fldChar w:fldCharType="begin"/>
      </w:r>
      <w:r>
        <w:rPr>
          <w:color w:val="auto"/>
          <w:highlight w:val="none"/>
        </w:rPr>
        <w:instrText xml:space="preserve"> PAGEREF _Toc7269 \h </w:instrText>
      </w:r>
      <w:r>
        <w:rPr>
          <w:color w:val="auto"/>
          <w:highlight w:val="none"/>
        </w:rPr>
        <w:fldChar w:fldCharType="separate"/>
      </w:r>
      <w:r>
        <w:rPr>
          <w:color w:val="auto"/>
          <w:highlight w:val="none"/>
        </w:rPr>
        <w:t>- 5 -</w:t>
      </w:r>
      <w:r>
        <w:rPr>
          <w:color w:val="auto"/>
          <w:highlight w:val="none"/>
        </w:rPr>
        <w:fldChar w:fldCharType="end"/>
      </w:r>
      <w:r>
        <w:rPr>
          <w:rFonts w:hint="eastAsia" w:ascii="宋体" w:hAnsi="宋体" w:cs="宋体"/>
          <w:color w:val="auto"/>
          <w:szCs w:val="21"/>
          <w:highlight w:val="none"/>
        </w:rPr>
        <w:fldChar w:fldCharType="end"/>
      </w:r>
    </w:p>
    <w:p w14:paraId="7AD67426">
      <w:pPr>
        <w:pStyle w:val="26"/>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_Toc22766 </w:instrText>
      </w:r>
      <w:r>
        <w:rPr>
          <w:rFonts w:hint="eastAsia" w:ascii="宋体" w:hAnsi="宋体" w:cs="宋体"/>
          <w:color w:val="auto"/>
          <w:szCs w:val="21"/>
          <w:highlight w:val="none"/>
        </w:rPr>
        <w:fldChar w:fldCharType="separate"/>
      </w:r>
      <w:r>
        <w:rPr>
          <w:rFonts w:hint="eastAsia" w:ascii="宋体" w:hAnsi="宋体" w:eastAsia="宋体" w:cs="宋体"/>
          <w:color w:val="auto"/>
          <w:szCs w:val="30"/>
          <w:highlight w:val="none"/>
        </w:rPr>
        <w:t>第三篇  项目商务需求</w:t>
      </w:r>
      <w:r>
        <w:rPr>
          <w:color w:val="auto"/>
          <w:highlight w:val="none"/>
        </w:rPr>
        <w:tab/>
      </w:r>
      <w:r>
        <w:rPr>
          <w:color w:val="auto"/>
          <w:highlight w:val="none"/>
        </w:rPr>
        <w:fldChar w:fldCharType="begin"/>
      </w:r>
      <w:r>
        <w:rPr>
          <w:color w:val="auto"/>
          <w:highlight w:val="none"/>
        </w:rPr>
        <w:instrText xml:space="preserve"> PAGEREF _Toc22766 \h </w:instrText>
      </w:r>
      <w:r>
        <w:rPr>
          <w:color w:val="auto"/>
          <w:highlight w:val="none"/>
        </w:rPr>
        <w:fldChar w:fldCharType="separate"/>
      </w:r>
      <w:r>
        <w:rPr>
          <w:color w:val="auto"/>
          <w:highlight w:val="none"/>
        </w:rPr>
        <w:t>- 6 -</w:t>
      </w:r>
      <w:r>
        <w:rPr>
          <w:color w:val="auto"/>
          <w:highlight w:val="none"/>
        </w:rPr>
        <w:fldChar w:fldCharType="end"/>
      </w:r>
      <w:r>
        <w:rPr>
          <w:rFonts w:hint="eastAsia" w:ascii="宋体" w:hAnsi="宋体" w:cs="宋体"/>
          <w:color w:val="auto"/>
          <w:szCs w:val="21"/>
          <w:highlight w:val="none"/>
        </w:rPr>
        <w:fldChar w:fldCharType="end"/>
      </w:r>
    </w:p>
    <w:p w14:paraId="4559F17D">
      <w:pPr>
        <w:pStyle w:val="26"/>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_Toc3032 </w:instrText>
      </w:r>
      <w:r>
        <w:rPr>
          <w:rFonts w:hint="eastAsia" w:ascii="宋体" w:hAnsi="宋体" w:cs="宋体"/>
          <w:color w:val="auto"/>
          <w:szCs w:val="21"/>
          <w:highlight w:val="none"/>
        </w:rPr>
        <w:fldChar w:fldCharType="separate"/>
      </w:r>
      <w:r>
        <w:rPr>
          <w:rFonts w:hint="eastAsia" w:ascii="宋体" w:hAnsi="宋体" w:eastAsia="宋体" w:cs="宋体"/>
          <w:color w:val="auto"/>
          <w:szCs w:val="24"/>
          <w:highlight w:val="none"/>
        </w:rPr>
        <w:t>一、计划工期、项目地点及验收方式</w:t>
      </w:r>
      <w:r>
        <w:rPr>
          <w:color w:val="auto"/>
          <w:highlight w:val="none"/>
        </w:rPr>
        <w:tab/>
      </w:r>
      <w:r>
        <w:rPr>
          <w:color w:val="auto"/>
          <w:highlight w:val="none"/>
        </w:rPr>
        <w:fldChar w:fldCharType="begin"/>
      </w:r>
      <w:r>
        <w:rPr>
          <w:color w:val="auto"/>
          <w:highlight w:val="none"/>
        </w:rPr>
        <w:instrText xml:space="preserve"> PAGEREF _Toc3032 \h </w:instrText>
      </w:r>
      <w:r>
        <w:rPr>
          <w:color w:val="auto"/>
          <w:highlight w:val="none"/>
        </w:rPr>
        <w:fldChar w:fldCharType="separate"/>
      </w:r>
      <w:r>
        <w:rPr>
          <w:color w:val="auto"/>
          <w:highlight w:val="none"/>
        </w:rPr>
        <w:t>- 6 -</w:t>
      </w:r>
      <w:r>
        <w:rPr>
          <w:color w:val="auto"/>
          <w:highlight w:val="none"/>
        </w:rPr>
        <w:fldChar w:fldCharType="end"/>
      </w:r>
      <w:r>
        <w:rPr>
          <w:rFonts w:hint="eastAsia" w:ascii="宋体" w:hAnsi="宋体" w:cs="宋体"/>
          <w:color w:val="auto"/>
          <w:szCs w:val="21"/>
          <w:highlight w:val="none"/>
        </w:rPr>
        <w:fldChar w:fldCharType="end"/>
      </w:r>
    </w:p>
    <w:p w14:paraId="3D0A1E55">
      <w:pPr>
        <w:pStyle w:val="26"/>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_Toc23545 </w:instrText>
      </w:r>
      <w:r>
        <w:rPr>
          <w:rFonts w:hint="eastAsia" w:ascii="宋体" w:hAnsi="宋体" w:cs="宋体"/>
          <w:color w:val="auto"/>
          <w:szCs w:val="21"/>
          <w:highlight w:val="none"/>
        </w:rPr>
        <w:fldChar w:fldCharType="separate"/>
      </w:r>
      <w:r>
        <w:rPr>
          <w:rFonts w:hint="eastAsia" w:ascii="宋体" w:hAnsi="宋体" w:eastAsia="宋体" w:cs="宋体"/>
          <w:color w:val="auto"/>
          <w:szCs w:val="24"/>
          <w:highlight w:val="none"/>
        </w:rPr>
        <w:t>二、报价要求</w:t>
      </w:r>
      <w:r>
        <w:rPr>
          <w:color w:val="auto"/>
          <w:highlight w:val="none"/>
        </w:rPr>
        <w:tab/>
      </w:r>
      <w:r>
        <w:rPr>
          <w:color w:val="auto"/>
          <w:highlight w:val="none"/>
        </w:rPr>
        <w:fldChar w:fldCharType="begin"/>
      </w:r>
      <w:r>
        <w:rPr>
          <w:color w:val="auto"/>
          <w:highlight w:val="none"/>
        </w:rPr>
        <w:instrText xml:space="preserve"> PAGEREF _Toc23545 \h </w:instrText>
      </w:r>
      <w:r>
        <w:rPr>
          <w:color w:val="auto"/>
          <w:highlight w:val="none"/>
        </w:rPr>
        <w:fldChar w:fldCharType="separate"/>
      </w:r>
      <w:r>
        <w:rPr>
          <w:color w:val="auto"/>
          <w:highlight w:val="none"/>
        </w:rPr>
        <w:t>- 6 -</w:t>
      </w:r>
      <w:r>
        <w:rPr>
          <w:color w:val="auto"/>
          <w:highlight w:val="none"/>
        </w:rPr>
        <w:fldChar w:fldCharType="end"/>
      </w:r>
      <w:r>
        <w:rPr>
          <w:rFonts w:hint="eastAsia" w:ascii="宋体" w:hAnsi="宋体" w:cs="宋体"/>
          <w:color w:val="auto"/>
          <w:szCs w:val="21"/>
          <w:highlight w:val="none"/>
        </w:rPr>
        <w:fldChar w:fldCharType="end"/>
      </w:r>
    </w:p>
    <w:p w14:paraId="585E6DA5">
      <w:pPr>
        <w:pStyle w:val="26"/>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_Toc2475 </w:instrText>
      </w:r>
      <w:r>
        <w:rPr>
          <w:rFonts w:hint="eastAsia" w:ascii="宋体" w:hAnsi="宋体" w:cs="宋体"/>
          <w:color w:val="auto"/>
          <w:szCs w:val="21"/>
          <w:highlight w:val="none"/>
        </w:rPr>
        <w:fldChar w:fldCharType="separate"/>
      </w:r>
      <w:r>
        <w:rPr>
          <w:rFonts w:hint="eastAsia" w:ascii="宋体" w:hAnsi="宋体" w:eastAsia="宋体" w:cs="宋体"/>
          <w:color w:val="auto"/>
          <w:szCs w:val="24"/>
          <w:highlight w:val="none"/>
        </w:rPr>
        <w:t>三、结算原则</w:t>
      </w:r>
      <w:r>
        <w:rPr>
          <w:color w:val="auto"/>
          <w:highlight w:val="none"/>
        </w:rPr>
        <w:tab/>
      </w:r>
      <w:r>
        <w:rPr>
          <w:color w:val="auto"/>
          <w:highlight w:val="none"/>
        </w:rPr>
        <w:fldChar w:fldCharType="begin"/>
      </w:r>
      <w:r>
        <w:rPr>
          <w:color w:val="auto"/>
          <w:highlight w:val="none"/>
        </w:rPr>
        <w:instrText xml:space="preserve"> PAGEREF _Toc2475 \h </w:instrText>
      </w:r>
      <w:r>
        <w:rPr>
          <w:color w:val="auto"/>
          <w:highlight w:val="none"/>
        </w:rPr>
        <w:fldChar w:fldCharType="separate"/>
      </w:r>
      <w:r>
        <w:rPr>
          <w:color w:val="auto"/>
          <w:highlight w:val="none"/>
        </w:rPr>
        <w:t>- 10 -</w:t>
      </w:r>
      <w:r>
        <w:rPr>
          <w:color w:val="auto"/>
          <w:highlight w:val="none"/>
        </w:rPr>
        <w:fldChar w:fldCharType="end"/>
      </w:r>
      <w:r>
        <w:rPr>
          <w:rFonts w:hint="eastAsia" w:ascii="宋体" w:hAnsi="宋体" w:cs="宋体"/>
          <w:color w:val="auto"/>
          <w:szCs w:val="21"/>
          <w:highlight w:val="none"/>
        </w:rPr>
        <w:fldChar w:fldCharType="end"/>
      </w:r>
    </w:p>
    <w:p w14:paraId="07B12BBB">
      <w:pPr>
        <w:pStyle w:val="26"/>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_Toc23621 </w:instrText>
      </w:r>
      <w:r>
        <w:rPr>
          <w:rFonts w:hint="eastAsia" w:ascii="宋体" w:hAnsi="宋体" w:cs="宋体"/>
          <w:color w:val="auto"/>
          <w:szCs w:val="21"/>
          <w:highlight w:val="none"/>
        </w:rPr>
        <w:fldChar w:fldCharType="separate"/>
      </w:r>
      <w:r>
        <w:rPr>
          <w:rFonts w:hint="eastAsia" w:ascii="宋体" w:hAnsi="宋体" w:eastAsia="宋体" w:cs="宋体"/>
          <w:color w:val="auto"/>
          <w:szCs w:val="24"/>
          <w:highlight w:val="none"/>
        </w:rPr>
        <w:t>四、履约保证金及付款方式</w:t>
      </w:r>
      <w:r>
        <w:rPr>
          <w:color w:val="auto"/>
          <w:highlight w:val="none"/>
        </w:rPr>
        <w:tab/>
      </w:r>
      <w:r>
        <w:rPr>
          <w:color w:val="auto"/>
          <w:highlight w:val="none"/>
        </w:rPr>
        <w:fldChar w:fldCharType="begin"/>
      </w:r>
      <w:r>
        <w:rPr>
          <w:color w:val="auto"/>
          <w:highlight w:val="none"/>
        </w:rPr>
        <w:instrText xml:space="preserve"> PAGEREF _Toc23621 \h </w:instrText>
      </w:r>
      <w:r>
        <w:rPr>
          <w:color w:val="auto"/>
          <w:highlight w:val="none"/>
        </w:rPr>
        <w:fldChar w:fldCharType="separate"/>
      </w:r>
      <w:r>
        <w:rPr>
          <w:color w:val="auto"/>
          <w:highlight w:val="none"/>
        </w:rPr>
        <w:t>- 11 -</w:t>
      </w:r>
      <w:r>
        <w:rPr>
          <w:color w:val="auto"/>
          <w:highlight w:val="none"/>
        </w:rPr>
        <w:fldChar w:fldCharType="end"/>
      </w:r>
      <w:r>
        <w:rPr>
          <w:rFonts w:hint="eastAsia" w:ascii="宋体" w:hAnsi="宋体" w:cs="宋体"/>
          <w:color w:val="auto"/>
          <w:szCs w:val="21"/>
          <w:highlight w:val="none"/>
        </w:rPr>
        <w:fldChar w:fldCharType="end"/>
      </w:r>
    </w:p>
    <w:p w14:paraId="713BBC83">
      <w:pPr>
        <w:pStyle w:val="26"/>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_Toc28563 </w:instrText>
      </w:r>
      <w:r>
        <w:rPr>
          <w:rFonts w:hint="eastAsia" w:ascii="宋体" w:hAnsi="宋体" w:cs="宋体"/>
          <w:color w:val="auto"/>
          <w:szCs w:val="21"/>
          <w:highlight w:val="none"/>
        </w:rPr>
        <w:fldChar w:fldCharType="separate"/>
      </w:r>
      <w:r>
        <w:rPr>
          <w:rFonts w:hint="eastAsia" w:ascii="宋体" w:hAnsi="宋体" w:eastAsia="宋体" w:cs="宋体"/>
          <w:color w:val="auto"/>
          <w:szCs w:val="24"/>
          <w:highlight w:val="none"/>
        </w:rPr>
        <w:t>五、缺陷责任期及质量保证期</w:t>
      </w:r>
      <w:r>
        <w:rPr>
          <w:color w:val="auto"/>
          <w:highlight w:val="none"/>
        </w:rPr>
        <w:tab/>
      </w:r>
      <w:r>
        <w:rPr>
          <w:color w:val="auto"/>
          <w:highlight w:val="none"/>
        </w:rPr>
        <w:fldChar w:fldCharType="begin"/>
      </w:r>
      <w:r>
        <w:rPr>
          <w:color w:val="auto"/>
          <w:highlight w:val="none"/>
        </w:rPr>
        <w:instrText xml:space="preserve"> PAGEREF _Toc28563 \h </w:instrText>
      </w:r>
      <w:r>
        <w:rPr>
          <w:color w:val="auto"/>
          <w:highlight w:val="none"/>
        </w:rPr>
        <w:fldChar w:fldCharType="separate"/>
      </w:r>
      <w:r>
        <w:rPr>
          <w:color w:val="auto"/>
          <w:highlight w:val="none"/>
        </w:rPr>
        <w:t>- 11 -</w:t>
      </w:r>
      <w:r>
        <w:rPr>
          <w:color w:val="auto"/>
          <w:highlight w:val="none"/>
        </w:rPr>
        <w:fldChar w:fldCharType="end"/>
      </w:r>
      <w:r>
        <w:rPr>
          <w:rFonts w:hint="eastAsia" w:ascii="宋体" w:hAnsi="宋体" w:cs="宋体"/>
          <w:color w:val="auto"/>
          <w:szCs w:val="21"/>
          <w:highlight w:val="none"/>
        </w:rPr>
        <w:fldChar w:fldCharType="end"/>
      </w:r>
    </w:p>
    <w:p w14:paraId="0C78CDC0">
      <w:pPr>
        <w:pStyle w:val="26"/>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_Toc31176 </w:instrText>
      </w:r>
      <w:r>
        <w:rPr>
          <w:rFonts w:hint="eastAsia" w:ascii="宋体" w:hAnsi="宋体" w:cs="宋体"/>
          <w:color w:val="auto"/>
          <w:szCs w:val="21"/>
          <w:highlight w:val="none"/>
        </w:rPr>
        <w:fldChar w:fldCharType="separate"/>
      </w:r>
      <w:r>
        <w:rPr>
          <w:rFonts w:hint="eastAsia" w:ascii="宋体" w:hAnsi="宋体" w:eastAsia="宋体" w:cs="宋体"/>
          <w:color w:val="auto"/>
          <w:szCs w:val="24"/>
          <w:highlight w:val="none"/>
        </w:rPr>
        <w:t>六、知识产权</w:t>
      </w:r>
      <w:r>
        <w:rPr>
          <w:color w:val="auto"/>
          <w:highlight w:val="none"/>
        </w:rPr>
        <w:tab/>
      </w:r>
      <w:r>
        <w:rPr>
          <w:color w:val="auto"/>
          <w:highlight w:val="none"/>
        </w:rPr>
        <w:fldChar w:fldCharType="begin"/>
      </w:r>
      <w:r>
        <w:rPr>
          <w:color w:val="auto"/>
          <w:highlight w:val="none"/>
        </w:rPr>
        <w:instrText xml:space="preserve"> PAGEREF _Toc31176 \h </w:instrText>
      </w:r>
      <w:r>
        <w:rPr>
          <w:color w:val="auto"/>
          <w:highlight w:val="none"/>
        </w:rPr>
        <w:fldChar w:fldCharType="separate"/>
      </w:r>
      <w:r>
        <w:rPr>
          <w:color w:val="auto"/>
          <w:highlight w:val="none"/>
        </w:rPr>
        <w:t>- 11 -</w:t>
      </w:r>
      <w:r>
        <w:rPr>
          <w:color w:val="auto"/>
          <w:highlight w:val="none"/>
        </w:rPr>
        <w:fldChar w:fldCharType="end"/>
      </w:r>
      <w:r>
        <w:rPr>
          <w:rFonts w:hint="eastAsia" w:ascii="宋体" w:hAnsi="宋体" w:cs="宋体"/>
          <w:color w:val="auto"/>
          <w:szCs w:val="21"/>
          <w:highlight w:val="none"/>
        </w:rPr>
        <w:fldChar w:fldCharType="end"/>
      </w:r>
    </w:p>
    <w:p w14:paraId="3521616F">
      <w:pPr>
        <w:pStyle w:val="26"/>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_Toc7800 </w:instrText>
      </w:r>
      <w:r>
        <w:rPr>
          <w:rFonts w:hint="eastAsia" w:ascii="宋体" w:hAnsi="宋体" w:cs="宋体"/>
          <w:color w:val="auto"/>
          <w:szCs w:val="21"/>
          <w:highlight w:val="none"/>
        </w:rPr>
        <w:fldChar w:fldCharType="separate"/>
      </w:r>
      <w:r>
        <w:rPr>
          <w:rFonts w:hint="eastAsia" w:ascii="宋体" w:hAnsi="宋体" w:eastAsia="宋体" w:cs="宋体"/>
          <w:color w:val="auto"/>
          <w:szCs w:val="24"/>
          <w:highlight w:val="none"/>
        </w:rPr>
        <w:t>七、其他</w:t>
      </w:r>
      <w:r>
        <w:rPr>
          <w:color w:val="auto"/>
          <w:highlight w:val="none"/>
        </w:rPr>
        <w:tab/>
      </w:r>
      <w:r>
        <w:rPr>
          <w:color w:val="auto"/>
          <w:highlight w:val="none"/>
        </w:rPr>
        <w:fldChar w:fldCharType="begin"/>
      </w:r>
      <w:r>
        <w:rPr>
          <w:color w:val="auto"/>
          <w:highlight w:val="none"/>
        </w:rPr>
        <w:instrText xml:space="preserve"> PAGEREF _Toc7800 \h </w:instrText>
      </w:r>
      <w:r>
        <w:rPr>
          <w:color w:val="auto"/>
          <w:highlight w:val="none"/>
        </w:rPr>
        <w:fldChar w:fldCharType="separate"/>
      </w:r>
      <w:r>
        <w:rPr>
          <w:color w:val="auto"/>
          <w:highlight w:val="none"/>
        </w:rPr>
        <w:t>- 12 -</w:t>
      </w:r>
      <w:r>
        <w:rPr>
          <w:color w:val="auto"/>
          <w:highlight w:val="none"/>
        </w:rPr>
        <w:fldChar w:fldCharType="end"/>
      </w:r>
      <w:r>
        <w:rPr>
          <w:rFonts w:hint="eastAsia" w:ascii="宋体" w:hAnsi="宋体" w:cs="宋体"/>
          <w:color w:val="auto"/>
          <w:szCs w:val="21"/>
          <w:highlight w:val="none"/>
        </w:rPr>
        <w:fldChar w:fldCharType="end"/>
      </w:r>
    </w:p>
    <w:p w14:paraId="5334F423">
      <w:pPr>
        <w:pStyle w:val="26"/>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_Toc30570 </w:instrText>
      </w:r>
      <w:r>
        <w:rPr>
          <w:rFonts w:hint="eastAsia" w:ascii="宋体" w:hAnsi="宋体" w:cs="宋体"/>
          <w:color w:val="auto"/>
          <w:szCs w:val="21"/>
          <w:highlight w:val="none"/>
        </w:rPr>
        <w:fldChar w:fldCharType="separate"/>
      </w:r>
      <w:r>
        <w:rPr>
          <w:rFonts w:hint="eastAsia" w:ascii="宋体" w:hAnsi="宋体" w:eastAsia="宋体" w:cs="宋体"/>
          <w:color w:val="auto"/>
          <w:szCs w:val="30"/>
          <w:highlight w:val="none"/>
        </w:rPr>
        <w:t>第四篇  磋商程序及方法、评审标准、无效响应和</w:t>
      </w:r>
      <w:r>
        <w:rPr>
          <w:rFonts w:hint="eastAsia" w:ascii="宋体" w:hAnsi="宋体" w:eastAsia="宋体" w:cs="宋体"/>
          <w:color w:val="auto"/>
          <w:szCs w:val="36"/>
          <w:highlight w:val="none"/>
        </w:rPr>
        <w:t>采购终止</w:t>
      </w:r>
      <w:r>
        <w:rPr>
          <w:color w:val="auto"/>
          <w:highlight w:val="none"/>
        </w:rPr>
        <w:tab/>
      </w:r>
      <w:r>
        <w:rPr>
          <w:color w:val="auto"/>
          <w:highlight w:val="none"/>
        </w:rPr>
        <w:fldChar w:fldCharType="begin"/>
      </w:r>
      <w:r>
        <w:rPr>
          <w:color w:val="auto"/>
          <w:highlight w:val="none"/>
        </w:rPr>
        <w:instrText xml:space="preserve"> PAGEREF _Toc30570 \h </w:instrText>
      </w:r>
      <w:r>
        <w:rPr>
          <w:color w:val="auto"/>
          <w:highlight w:val="none"/>
        </w:rPr>
        <w:fldChar w:fldCharType="separate"/>
      </w:r>
      <w:r>
        <w:rPr>
          <w:color w:val="auto"/>
          <w:highlight w:val="none"/>
        </w:rPr>
        <w:t>- 13 -</w:t>
      </w:r>
      <w:r>
        <w:rPr>
          <w:color w:val="auto"/>
          <w:highlight w:val="none"/>
        </w:rPr>
        <w:fldChar w:fldCharType="end"/>
      </w:r>
      <w:r>
        <w:rPr>
          <w:rFonts w:hint="eastAsia" w:ascii="宋体" w:hAnsi="宋体" w:cs="宋体"/>
          <w:color w:val="auto"/>
          <w:szCs w:val="21"/>
          <w:highlight w:val="none"/>
        </w:rPr>
        <w:fldChar w:fldCharType="end"/>
      </w:r>
    </w:p>
    <w:p w14:paraId="4FA2D13C">
      <w:pPr>
        <w:pStyle w:val="26"/>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_Toc9408 </w:instrText>
      </w:r>
      <w:r>
        <w:rPr>
          <w:rFonts w:hint="eastAsia" w:ascii="宋体" w:hAnsi="宋体" w:cs="宋体"/>
          <w:color w:val="auto"/>
          <w:szCs w:val="21"/>
          <w:highlight w:val="none"/>
        </w:rPr>
        <w:fldChar w:fldCharType="separate"/>
      </w:r>
      <w:r>
        <w:rPr>
          <w:rFonts w:hint="eastAsia" w:ascii="宋体" w:hAnsi="宋体" w:eastAsia="宋体" w:cs="宋体"/>
          <w:bCs w:val="0"/>
          <w:color w:val="auto"/>
          <w:highlight w:val="none"/>
        </w:rPr>
        <w:t>一、磋商程序及方法</w:t>
      </w:r>
      <w:r>
        <w:rPr>
          <w:color w:val="auto"/>
          <w:highlight w:val="none"/>
        </w:rPr>
        <w:tab/>
      </w:r>
      <w:r>
        <w:rPr>
          <w:color w:val="auto"/>
          <w:highlight w:val="none"/>
        </w:rPr>
        <w:fldChar w:fldCharType="begin"/>
      </w:r>
      <w:r>
        <w:rPr>
          <w:color w:val="auto"/>
          <w:highlight w:val="none"/>
        </w:rPr>
        <w:instrText xml:space="preserve"> PAGEREF _Toc9408 \h </w:instrText>
      </w:r>
      <w:r>
        <w:rPr>
          <w:color w:val="auto"/>
          <w:highlight w:val="none"/>
        </w:rPr>
        <w:fldChar w:fldCharType="separate"/>
      </w:r>
      <w:r>
        <w:rPr>
          <w:color w:val="auto"/>
          <w:highlight w:val="none"/>
        </w:rPr>
        <w:t>- 13 -</w:t>
      </w:r>
      <w:r>
        <w:rPr>
          <w:color w:val="auto"/>
          <w:highlight w:val="none"/>
        </w:rPr>
        <w:fldChar w:fldCharType="end"/>
      </w:r>
      <w:r>
        <w:rPr>
          <w:rFonts w:hint="eastAsia" w:ascii="宋体" w:hAnsi="宋体" w:cs="宋体"/>
          <w:color w:val="auto"/>
          <w:szCs w:val="21"/>
          <w:highlight w:val="none"/>
        </w:rPr>
        <w:fldChar w:fldCharType="end"/>
      </w:r>
    </w:p>
    <w:p w14:paraId="4DA575EB">
      <w:pPr>
        <w:pStyle w:val="26"/>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_Toc3245 </w:instrText>
      </w:r>
      <w:r>
        <w:rPr>
          <w:rFonts w:hint="eastAsia" w:ascii="宋体" w:hAnsi="宋体" w:cs="宋体"/>
          <w:color w:val="auto"/>
          <w:szCs w:val="21"/>
          <w:highlight w:val="none"/>
        </w:rPr>
        <w:fldChar w:fldCharType="separate"/>
      </w:r>
      <w:r>
        <w:rPr>
          <w:rFonts w:hint="eastAsia" w:ascii="宋体" w:hAnsi="宋体" w:eastAsia="宋体" w:cs="宋体"/>
          <w:bCs w:val="0"/>
          <w:color w:val="auto"/>
          <w:highlight w:val="none"/>
        </w:rPr>
        <w:t>二、评审标准</w:t>
      </w:r>
      <w:r>
        <w:rPr>
          <w:color w:val="auto"/>
          <w:highlight w:val="none"/>
        </w:rPr>
        <w:tab/>
      </w:r>
      <w:r>
        <w:rPr>
          <w:color w:val="auto"/>
          <w:highlight w:val="none"/>
        </w:rPr>
        <w:fldChar w:fldCharType="begin"/>
      </w:r>
      <w:r>
        <w:rPr>
          <w:color w:val="auto"/>
          <w:highlight w:val="none"/>
        </w:rPr>
        <w:instrText xml:space="preserve"> PAGEREF _Toc3245 \h </w:instrText>
      </w:r>
      <w:r>
        <w:rPr>
          <w:color w:val="auto"/>
          <w:highlight w:val="none"/>
        </w:rPr>
        <w:fldChar w:fldCharType="separate"/>
      </w:r>
      <w:r>
        <w:rPr>
          <w:color w:val="auto"/>
          <w:highlight w:val="none"/>
        </w:rPr>
        <w:t>- 15 -</w:t>
      </w:r>
      <w:r>
        <w:rPr>
          <w:color w:val="auto"/>
          <w:highlight w:val="none"/>
        </w:rPr>
        <w:fldChar w:fldCharType="end"/>
      </w:r>
      <w:r>
        <w:rPr>
          <w:rFonts w:hint="eastAsia" w:ascii="宋体" w:hAnsi="宋体" w:cs="宋体"/>
          <w:color w:val="auto"/>
          <w:szCs w:val="21"/>
          <w:highlight w:val="none"/>
        </w:rPr>
        <w:fldChar w:fldCharType="end"/>
      </w:r>
    </w:p>
    <w:p w14:paraId="44E1AD4E">
      <w:pPr>
        <w:pStyle w:val="26"/>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_Toc31691 </w:instrText>
      </w:r>
      <w:r>
        <w:rPr>
          <w:rFonts w:hint="eastAsia" w:ascii="宋体" w:hAnsi="宋体" w:cs="宋体"/>
          <w:color w:val="auto"/>
          <w:szCs w:val="21"/>
          <w:highlight w:val="none"/>
        </w:rPr>
        <w:fldChar w:fldCharType="separate"/>
      </w:r>
      <w:r>
        <w:rPr>
          <w:rFonts w:hint="eastAsia" w:ascii="宋体" w:hAnsi="宋体" w:eastAsia="宋体" w:cs="宋体"/>
          <w:bCs w:val="0"/>
          <w:color w:val="auto"/>
          <w:highlight w:val="none"/>
        </w:rPr>
        <w:t>三、无效响应</w:t>
      </w:r>
      <w:r>
        <w:rPr>
          <w:color w:val="auto"/>
          <w:highlight w:val="none"/>
        </w:rPr>
        <w:tab/>
      </w:r>
      <w:r>
        <w:rPr>
          <w:color w:val="auto"/>
          <w:highlight w:val="none"/>
        </w:rPr>
        <w:fldChar w:fldCharType="begin"/>
      </w:r>
      <w:r>
        <w:rPr>
          <w:color w:val="auto"/>
          <w:highlight w:val="none"/>
        </w:rPr>
        <w:instrText xml:space="preserve"> PAGEREF _Toc31691 \h </w:instrText>
      </w:r>
      <w:r>
        <w:rPr>
          <w:color w:val="auto"/>
          <w:highlight w:val="none"/>
        </w:rPr>
        <w:fldChar w:fldCharType="separate"/>
      </w:r>
      <w:r>
        <w:rPr>
          <w:color w:val="auto"/>
          <w:highlight w:val="none"/>
        </w:rPr>
        <w:t>- 17 -</w:t>
      </w:r>
      <w:r>
        <w:rPr>
          <w:color w:val="auto"/>
          <w:highlight w:val="none"/>
        </w:rPr>
        <w:fldChar w:fldCharType="end"/>
      </w:r>
      <w:r>
        <w:rPr>
          <w:rFonts w:hint="eastAsia" w:ascii="宋体" w:hAnsi="宋体" w:cs="宋体"/>
          <w:color w:val="auto"/>
          <w:szCs w:val="21"/>
          <w:highlight w:val="none"/>
        </w:rPr>
        <w:fldChar w:fldCharType="end"/>
      </w:r>
    </w:p>
    <w:p w14:paraId="58863529">
      <w:pPr>
        <w:pStyle w:val="26"/>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_Toc5552 </w:instrText>
      </w:r>
      <w:r>
        <w:rPr>
          <w:rFonts w:hint="eastAsia" w:ascii="宋体" w:hAnsi="宋体" w:cs="宋体"/>
          <w:color w:val="auto"/>
          <w:szCs w:val="21"/>
          <w:highlight w:val="none"/>
        </w:rPr>
        <w:fldChar w:fldCharType="separate"/>
      </w:r>
      <w:r>
        <w:rPr>
          <w:rFonts w:hint="eastAsia" w:ascii="宋体" w:hAnsi="宋体" w:eastAsia="宋体" w:cs="宋体"/>
          <w:bCs w:val="0"/>
          <w:color w:val="auto"/>
          <w:highlight w:val="none"/>
        </w:rPr>
        <w:t>四、采购终止</w:t>
      </w:r>
      <w:r>
        <w:rPr>
          <w:color w:val="auto"/>
          <w:highlight w:val="none"/>
        </w:rPr>
        <w:tab/>
      </w:r>
      <w:r>
        <w:rPr>
          <w:color w:val="auto"/>
          <w:highlight w:val="none"/>
        </w:rPr>
        <w:fldChar w:fldCharType="begin"/>
      </w:r>
      <w:r>
        <w:rPr>
          <w:color w:val="auto"/>
          <w:highlight w:val="none"/>
        </w:rPr>
        <w:instrText xml:space="preserve"> PAGEREF _Toc5552 \h </w:instrText>
      </w:r>
      <w:r>
        <w:rPr>
          <w:color w:val="auto"/>
          <w:highlight w:val="none"/>
        </w:rPr>
        <w:fldChar w:fldCharType="separate"/>
      </w:r>
      <w:r>
        <w:rPr>
          <w:color w:val="auto"/>
          <w:highlight w:val="none"/>
        </w:rPr>
        <w:t>- 17 -</w:t>
      </w:r>
      <w:r>
        <w:rPr>
          <w:color w:val="auto"/>
          <w:highlight w:val="none"/>
        </w:rPr>
        <w:fldChar w:fldCharType="end"/>
      </w:r>
      <w:r>
        <w:rPr>
          <w:rFonts w:hint="eastAsia" w:ascii="宋体" w:hAnsi="宋体" w:cs="宋体"/>
          <w:color w:val="auto"/>
          <w:szCs w:val="21"/>
          <w:highlight w:val="none"/>
        </w:rPr>
        <w:fldChar w:fldCharType="end"/>
      </w:r>
    </w:p>
    <w:p w14:paraId="0B2B55E2">
      <w:pPr>
        <w:pStyle w:val="26"/>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_Toc15991 </w:instrText>
      </w:r>
      <w:r>
        <w:rPr>
          <w:rFonts w:hint="eastAsia" w:ascii="宋体" w:hAnsi="宋体" w:cs="宋体"/>
          <w:color w:val="auto"/>
          <w:szCs w:val="21"/>
          <w:highlight w:val="none"/>
        </w:rPr>
        <w:fldChar w:fldCharType="separate"/>
      </w:r>
      <w:r>
        <w:rPr>
          <w:rFonts w:hint="eastAsia" w:ascii="宋体" w:hAnsi="宋体" w:eastAsia="宋体" w:cs="宋体"/>
          <w:color w:val="auto"/>
          <w:szCs w:val="30"/>
          <w:highlight w:val="none"/>
        </w:rPr>
        <w:t>第五篇  供应商须知</w:t>
      </w:r>
      <w:r>
        <w:rPr>
          <w:color w:val="auto"/>
          <w:highlight w:val="none"/>
        </w:rPr>
        <w:tab/>
      </w:r>
      <w:r>
        <w:rPr>
          <w:color w:val="auto"/>
          <w:highlight w:val="none"/>
        </w:rPr>
        <w:fldChar w:fldCharType="begin"/>
      </w:r>
      <w:r>
        <w:rPr>
          <w:color w:val="auto"/>
          <w:highlight w:val="none"/>
        </w:rPr>
        <w:instrText xml:space="preserve"> PAGEREF _Toc15991 \h </w:instrText>
      </w:r>
      <w:r>
        <w:rPr>
          <w:color w:val="auto"/>
          <w:highlight w:val="none"/>
        </w:rPr>
        <w:fldChar w:fldCharType="separate"/>
      </w:r>
      <w:r>
        <w:rPr>
          <w:color w:val="auto"/>
          <w:highlight w:val="none"/>
        </w:rPr>
        <w:t>- 19 -</w:t>
      </w:r>
      <w:r>
        <w:rPr>
          <w:color w:val="auto"/>
          <w:highlight w:val="none"/>
        </w:rPr>
        <w:fldChar w:fldCharType="end"/>
      </w:r>
      <w:r>
        <w:rPr>
          <w:rFonts w:hint="eastAsia" w:ascii="宋体" w:hAnsi="宋体" w:cs="宋体"/>
          <w:color w:val="auto"/>
          <w:szCs w:val="21"/>
          <w:highlight w:val="none"/>
        </w:rPr>
        <w:fldChar w:fldCharType="end"/>
      </w:r>
    </w:p>
    <w:p w14:paraId="7CE8C268">
      <w:pPr>
        <w:pStyle w:val="26"/>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_Toc7210 </w:instrText>
      </w:r>
      <w:r>
        <w:rPr>
          <w:rFonts w:hint="eastAsia" w:ascii="宋体" w:hAnsi="宋体" w:cs="宋体"/>
          <w:color w:val="auto"/>
          <w:szCs w:val="21"/>
          <w:highlight w:val="none"/>
        </w:rPr>
        <w:fldChar w:fldCharType="separate"/>
      </w:r>
      <w:r>
        <w:rPr>
          <w:rFonts w:hint="eastAsia" w:ascii="宋体" w:hAnsi="宋体" w:eastAsia="宋体" w:cs="宋体"/>
          <w:bCs w:val="0"/>
          <w:color w:val="auto"/>
          <w:highlight w:val="none"/>
        </w:rPr>
        <w:t>一、磋商费用</w:t>
      </w:r>
      <w:r>
        <w:rPr>
          <w:color w:val="auto"/>
          <w:highlight w:val="none"/>
        </w:rPr>
        <w:tab/>
      </w:r>
      <w:r>
        <w:rPr>
          <w:color w:val="auto"/>
          <w:highlight w:val="none"/>
        </w:rPr>
        <w:fldChar w:fldCharType="begin"/>
      </w:r>
      <w:r>
        <w:rPr>
          <w:color w:val="auto"/>
          <w:highlight w:val="none"/>
        </w:rPr>
        <w:instrText xml:space="preserve"> PAGEREF _Toc7210 \h </w:instrText>
      </w:r>
      <w:r>
        <w:rPr>
          <w:color w:val="auto"/>
          <w:highlight w:val="none"/>
        </w:rPr>
        <w:fldChar w:fldCharType="separate"/>
      </w:r>
      <w:r>
        <w:rPr>
          <w:color w:val="auto"/>
          <w:highlight w:val="none"/>
        </w:rPr>
        <w:t>- 19 -</w:t>
      </w:r>
      <w:r>
        <w:rPr>
          <w:color w:val="auto"/>
          <w:highlight w:val="none"/>
        </w:rPr>
        <w:fldChar w:fldCharType="end"/>
      </w:r>
      <w:r>
        <w:rPr>
          <w:rFonts w:hint="eastAsia" w:ascii="宋体" w:hAnsi="宋体" w:cs="宋体"/>
          <w:color w:val="auto"/>
          <w:szCs w:val="21"/>
          <w:highlight w:val="none"/>
        </w:rPr>
        <w:fldChar w:fldCharType="end"/>
      </w:r>
    </w:p>
    <w:p w14:paraId="367882E4">
      <w:pPr>
        <w:pStyle w:val="26"/>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_Toc2220 </w:instrText>
      </w:r>
      <w:r>
        <w:rPr>
          <w:rFonts w:hint="eastAsia" w:ascii="宋体" w:hAnsi="宋体" w:cs="宋体"/>
          <w:color w:val="auto"/>
          <w:szCs w:val="21"/>
          <w:highlight w:val="none"/>
        </w:rPr>
        <w:fldChar w:fldCharType="separate"/>
      </w:r>
      <w:r>
        <w:rPr>
          <w:rFonts w:hint="eastAsia" w:ascii="宋体" w:hAnsi="宋体" w:eastAsia="宋体" w:cs="宋体"/>
          <w:bCs w:val="0"/>
          <w:color w:val="auto"/>
          <w:highlight w:val="none"/>
        </w:rPr>
        <w:t>二、竞争性磋商文件</w:t>
      </w:r>
      <w:r>
        <w:rPr>
          <w:color w:val="auto"/>
          <w:highlight w:val="none"/>
        </w:rPr>
        <w:tab/>
      </w:r>
      <w:r>
        <w:rPr>
          <w:color w:val="auto"/>
          <w:highlight w:val="none"/>
        </w:rPr>
        <w:fldChar w:fldCharType="begin"/>
      </w:r>
      <w:r>
        <w:rPr>
          <w:color w:val="auto"/>
          <w:highlight w:val="none"/>
        </w:rPr>
        <w:instrText xml:space="preserve"> PAGEREF _Toc2220 \h </w:instrText>
      </w:r>
      <w:r>
        <w:rPr>
          <w:color w:val="auto"/>
          <w:highlight w:val="none"/>
        </w:rPr>
        <w:fldChar w:fldCharType="separate"/>
      </w:r>
      <w:r>
        <w:rPr>
          <w:color w:val="auto"/>
          <w:highlight w:val="none"/>
        </w:rPr>
        <w:t>- 19 -</w:t>
      </w:r>
      <w:r>
        <w:rPr>
          <w:color w:val="auto"/>
          <w:highlight w:val="none"/>
        </w:rPr>
        <w:fldChar w:fldCharType="end"/>
      </w:r>
      <w:r>
        <w:rPr>
          <w:rFonts w:hint="eastAsia" w:ascii="宋体" w:hAnsi="宋体" w:cs="宋体"/>
          <w:color w:val="auto"/>
          <w:szCs w:val="21"/>
          <w:highlight w:val="none"/>
        </w:rPr>
        <w:fldChar w:fldCharType="end"/>
      </w:r>
    </w:p>
    <w:p w14:paraId="1D52F7CE">
      <w:pPr>
        <w:pStyle w:val="26"/>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_Toc18762 </w:instrText>
      </w:r>
      <w:r>
        <w:rPr>
          <w:rFonts w:hint="eastAsia" w:ascii="宋体" w:hAnsi="宋体" w:cs="宋体"/>
          <w:color w:val="auto"/>
          <w:szCs w:val="21"/>
          <w:highlight w:val="none"/>
        </w:rPr>
        <w:fldChar w:fldCharType="separate"/>
      </w:r>
      <w:r>
        <w:rPr>
          <w:rFonts w:hint="eastAsia" w:ascii="宋体" w:hAnsi="宋体" w:eastAsia="宋体" w:cs="宋体"/>
          <w:bCs w:val="0"/>
          <w:color w:val="auto"/>
          <w:highlight w:val="none"/>
        </w:rPr>
        <w:t>三、磋商要求</w:t>
      </w:r>
      <w:r>
        <w:rPr>
          <w:color w:val="auto"/>
          <w:highlight w:val="none"/>
        </w:rPr>
        <w:tab/>
      </w:r>
      <w:r>
        <w:rPr>
          <w:color w:val="auto"/>
          <w:highlight w:val="none"/>
        </w:rPr>
        <w:fldChar w:fldCharType="begin"/>
      </w:r>
      <w:r>
        <w:rPr>
          <w:color w:val="auto"/>
          <w:highlight w:val="none"/>
        </w:rPr>
        <w:instrText xml:space="preserve"> PAGEREF _Toc18762 \h </w:instrText>
      </w:r>
      <w:r>
        <w:rPr>
          <w:color w:val="auto"/>
          <w:highlight w:val="none"/>
        </w:rPr>
        <w:fldChar w:fldCharType="separate"/>
      </w:r>
      <w:r>
        <w:rPr>
          <w:color w:val="auto"/>
          <w:highlight w:val="none"/>
        </w:rPr>
        <w:t>- 19 -</w:t>
      </w:r>
      <w:r>
        <w:rPr>
          <w:color w:val="auto"/>
          <w:highlight w:val="none"/>
        </w:rPr>
        <w:fldChar w:fldCharType="end"/>
      </w:r>
      <w:r>
        <w:rPr>
          <w:rFonts w:hint="eastAsia" w:ascii="宋体" w:hAnsi="宋体" w:cs="宋体"/>
          <w:color w:val="auto"/>
          <w:szCs w:val="21"/>
          <w:highlight w:val="none"/>
        </w:rPr>
        <w:fldChar w:fldCharType="end"/>
      </w:r>
    </w:p>
    <w:p w14:paraId="46946CC3">
      <w:pPr>
        <w:pStyle w:val="26"/>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_Toc28720 </w:instrText>
      </w:r>
      <w:r>
        <w:rPr>
          <w:rFonts w:hint="eastAsia" w:ascii="宋体" w:hAnsi="宋体" w:cs="宋体"/>
          <w:color w:val="auto"/>
          <w:szCs w:val="21"/>
          <w:highlight w:val="none"/>
        </w:rPr>
        <w:fldChar w:fldCharType="separate"/>
      </w:r>
      <w:r>
        <w:rPr>
          <w:rFonts w:hint="eastAsia" w:ascii="宋体" w:hAnsi="宋体" w:eastAsia="宋体" w:cs="宋体"/>
          <w:bCs w:val="0"/>
          <w:color w:val="auto"/>
          <w:highlight w:val="none"/>
        </w:rPr>
        <w:t>四、成交供应商的确认和变更</w:t>
      </w:r>
      <w:r>
        <w:rPr>
          <w:color w:val="auto"/>
          <w:highlight w:val="none"/>
        </w:rPr>
        <w:tab/>
      </w:r>
      <w:r>
        <w:rPr>
          <w:color w:val="auto"/>
          <w:highlight w:val="none"/>
        </w:rPr>
        <w:fldChar w:fldCharType="begin"/>
      </w:r>
      <w:r>
        <w:rPr>
          <w:color w:val="auto"/>
          <w:highlight w:val="none"/>
        </w:rPr>
        <w:instrText xml:space="preserve"> PAGEREF _Toc28720 \h </w:instrText>
      </w:r>
      <w:r>
        <w:rPr>
          <w:color w:val="auto"/>
          <w:highlight w:val="none"/>
        </w:rPr>
        <w:fldChar w:fldCharType="separate"/>
      </w:r>
      <w:r>
        <w:rPr>
          <w:color w:val="auto"/>
          <w:highlight w:val="none"/>
        </w:rPr>
        <w:t>- 20 -</w:t>
      </w:r>
      <w:r>
        <w:rPr>
          <w:color w:val="auto"/>
          <w:highlight w:val="none"/>
        </w:rPr>
        <w:fldChar w:fldCharType="end"/>
      </w:r>
      <w:r>
        <w:rPr>
          <w:rFonts w:hint="eastAsia" w:ascii="宋体" w:hAnsi="宋体" w:cs="宋体"/>
          <w:color w:val="auto"/>
          <w:szCs w:val="21"/>
          <w:highlight w:val="none"/>
        </w:rPr>
        <w:fldChar w:fldCharType="end"/>
      </w:r>
    </w:p>
    <w:p w14:paraId="2A6829F7">
      <w:pPr>
        <w:pStyle w:val="26"/>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_Toc4011 </w:instrText>
      </w:r>
      <w:r>
        <w:rPr>
          <w:rFonts w:hint="eastAsia" w:ascii="宋体" w:hAnsi="宋体" w:cs="宋体"/>
          <w:color w:val="auto"/>
          <w:szCs w:val="21"/>
          <w:highlight w:val="none"/>
        </w:rPr>
        <w:fldChar w:fldCharType="separate"/>
      </w:r>
      <w:r>
        <w:rPr>
          <w:rFonts w:hint="eastAsia" w:ascii="宋体" w:hAnsi="宋体" w:eastAsia="宋体" w:cs="宋体"/>
          <w:bCs w:val="0"/>
          <w:color w:val="auto"/>
          <w:highlight w:val="none"/>
        </w:rPr>
        <w:t>五、成交通知</w:t>
      </w:r>
      <w:r>
        <w:rPr>
          <w:color w:val="auto"/>
          <w:highlight w:val="none"/>
        </w:rPr>
        <w:tab/>
      </w:r>
      <w:r>
        <w:rPr>
          <w:color w:val="auto"/>
          <w:highlight w:val="none"/>
        </w:rPr>
        <w:fldChar w:fldCharType="begin"/>
      </w:r>
      <w:r>
        <w:rPr>
          <w:color w:val="auto"/>
          <w:highlight w:val="none"/>
        </w:rPr>
        <w:instrText xml:space="preserve"> PAGEREF _Toc4011 \h </w:instrText>
      </w:r>
      <w:r>
        <w:rPr>
          <w:color w:val="auto"/>
          <w:highlight w:val="none"/>
        </w:rPr>
        <w:fldChar w:fldCharType="separate"/>
      </w:r>
      <w:r>
        <w:rPr>
          <w:color w:val="auto"/>
          <w:highlight w:val="none"/>
        </w:rPr>
        <w:t>- 20 -</w:t>
      </w:r>
      <w:r>
        <w:rPr>
          <w:color w:val="auto"/>
          <w:highlight w:val="none"/>
        </w:rPr>
        <w:fldChar w:fldCharType="end"/>
      </w:r>
      <w:r>
        <w:rPr>
          <w:rFonts w:hint="eastAsia" w:ascii="宋体" w:hAnsi="宋体" w:cs="宋体"/>
          <w:color w:val="auto"/>
          <w:szCs w:val="21"/>
          <w:highlight w:val="none"/>
        </w:rPr>
        <w:fldChar w:fldCharType="end"/>
      </w:r>
    </w:p>
    <w:p w14:paraId="40FEC57B">
      <w:pPr>
        <w:pStyle w:val="26"/>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_Toc18788 </w:instrText>
      </w:r>
      <w:r>
        <w:rPr>
          <w:rFonts w:hint="eastAsia" w:ascii="宋体" w:hAnsi="宋体" w:cs="宋体"/>
          <w:color w:val="auto"/>
          <w:szCs w:val="21"/>
          <w:highlight w:val="none"/>
        </w:rPr>
        <w:fldChar w:fldCharType="separate"/>
      </w:r>
      <w:r>
        <w:rPr>
          <w:rFonts w:hint="eastAsia" w:ascii="宋体" w:hAnsi="宋体" w:eastAsia="宋体" w:cs="宋体"/>
          <w:bCs w:val="0"/>
          <w:color w:val="auto"/>
          <w:highlight w:val="none"/>
        </w:rPr>
        <w:t>六、关于质疑和投诉</w:t>
      </w:r>
      <w:r>
        <w:rPr>
          <w:color w:val="auto"/>
          <w:highlight w:val="none"/>
        </w:rPr>
        <w:tab/>
      </w:r>
      <w:r>
        <w:rPr>
          <w:color w:val="auto"/>
          <w:highlight w:val="none"/>
        </w:rPr>
        <w:fldChar w:fldCharType="begin"/>
      </w:r>
      <w:r>
        <w:rPr>
          <w:color w:val="auto"/>
          <w:highlight w:val="none"/>
        </w:rPr>
        <w:instrText xml:space="preserve"> PAGEREF _Toc18788 \h </w:instrText>
      </w:r>
      <w:r>
        <w:rPr>
          <w:color w:val="auto"/>
          <w:highlight w:val="none"/>
        </w:rPr>
        <w:fldChar w:fldCharType="separate"/>
      </w:r>
      <w:r>
        <w:rPr>
          <w:color w:val="auto"/>
          <w:highlight w:val="none"/>
        </w:rPr>
        <w:t>- 21 -</w:t>
      </w:r>
      <w:r>
        <w:rPr>
          <w:color w:val="auto"/>
          <w:highlight w:val="none"/>
        </w:rPr>
        <w:fldChar w:fldCharType="end"/>
      </w:r>
      <w:r>
        <w:rPr>
          <w:rFonts w:hint="eastAsia" w:ascii="宋体" w:hAnsi="宋体" w:cs="宋体"/>
          <w:color w:val="auto"/>
          <w:szCs w:val="21"/>
          <w:highlight w:val="none"/>
        </w:rPr>
        <w:fldChar w:fldCharType="end"/>
      </w:r>
    </w:p>
    <w:p w14:paraId="5AB2CD88">
      <w:pPr>
        <w:pStyle w:val="26"/>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_Toc16017 </w:instrText>
      </w:r>
      <w:r>
        <w:rPr>
          <w:rFonts w:hint="eastAsia" w:ascii="宋体" w:hAnsi="宋体" w:cs="宋体"/>
          <w:color w:val="auto"/>
          <w:szCs w:val="21"/>
          <w:highlight w:val="none"/>
        </w:rPr>
        <w:fldChar w:fldCharType="separate"/>
      </w:r>
      <w:r>
        <w:rPr>
          <w:rFonts w:hint="eastAsia" w:ascii="宋体" w:hAnsi="宋体" w:eastAsia="宋体" w:cs="宋体"/>
          <w:bCs w:val="0"/>
          <w:color w:val="auto"/>
          <w:highlight w:val="none"/>
        </w:rPr>
        <w:t>七、采购代理服务费</w:t>
      </w:r>
      <w:r>
        <w:rPr>
          <w:color w:val="auto"/>
          <w:highlight w:val="none"/>
        </w:rPr>
        <w:tab/>
      </w:r>
      <w:r>
        <w:rPr>
          <w:color w:val="auto"/>
          <w:highlight w:val="none"/>
        </w:rPr>
        <w:fldChar w:fldCharType="begin"/>
      </w:r>
      <w:r>
        <w:rPr>
          <w:color w:val="auto"/>
          <w:highlight w:val="none"/>
        </w:rPr>
        <w:instrText xml:space="preserve"> PAGEREF _Toc16017 \h </w:instrText>
      </w:r>
      <w:r>
        <w:rPr>
          <w:color w:val="auto"/>
          <w:highlight w:val="none"/>
        </w:rPr>
        <w:fldChar w:fldCharType="separate"/>
      </w:r>
      <w:r>
        <w:rPr>
          <w:color w:val="auto"/>
          <w:highlight w:val="none"/>
        </w:rPr>
        <w:t>- 22 -</w:t>
      </w:r>
      <w:r>
        <w:rPr>
          <w:color w:val="auto"/>
          <w:highlight w:val="none"/>
        </w:rPr>
        <w:fldChar w:fldCharType="end"/>
      </w:r>
      <w:r>
        <w:rPr>
          <w:rFonts w:hint="eastAsia" w:ascii="宋体" w:hAnsi="宋体" w:cs="宋体"/>
          <w:color w:val="auto"/>
          <w:szCs w:val="21"/>
          <w:highlight w:val="none"/>
        </w:rPr>
        <w:fldChar w:fldCharType="end"/>
      </w:r>
    </w:p>
    <w:p w14:paraId="0F258044">
      <w:pPr>
        <w:pStyle w:val="26"/>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_Toc27661 </w:instrText>
      </w:r>
      <w:r>
        <w:rPr>
          <w:rFonts w:hint="eastAsia" w:ascii="宋体" w:hAnsi="宋体" w:cs="宋体"/>
          <w:color w:val="auto"/>
          <w:szCs w:val="21"/>
          <w:highlight w:val="none"/>
        </w:rPr>
        <w:fldChar w:fldCharType="separate"/>
      </w:r>
      <w:r>
        <w:rPr>
          <w:rFonts w:hint="eastAsia" w:ascii="宋体" w:hAnsi="宋体" w:eastAsia="宋体" w:cs="宋体"/>
          <w:bCs w:val="0"/>
          <w:color w:val="auto"/>
          <w:highlight w:val="none"/>
        </w:rPr>
        <w:t>八、签订合同</w:t>
      </w:r>
      <w:r>
        <w:rPr>
          <w:color w:val="auto"/>
          <w:highlight w:val="none"/>
        </w:rPr>
        <w:tab/>
      </w:r>
      <w:r>
        <w:rPr>
          <w:color w:val="auto"/>
          <w:highlight w:val="none"/>
        </w:rPr>
        <w:fldChar w:fldCharType="begin"/>
      </w:r>
      <w:r>
        <w:rPr>
          <w:color w:val="auto"/>
          <w:highlight w:val="none"/>
        </w:rPr>
        <w:instrText xml:space="preserve"> PAGEREF _Toc27661 \h </w:instrText>
      </w:r>
      <w:r>
        <w:rPr>
          <w:color w:val="auto"/>
          <w:highlight w:val="none"/>
        </w:rPr>
        <w:fldChar w:fldCharType="separate"/>
      </w:r>
      <w:r>
        <w:rPr>
          <w:color w:val="auto"/>
          <w:highlight w:val="none"/>
        </w:rPr>
        <w:t>- 22 -</w:t>
      </w:r>
      <w:r>
        <w:rPr>
          <w:color w:val="auto"/>
          <w:highlight w:val="none"/>
        </w:rPr>
        <w:fldChar w:fldCharType="end"/>
      </w:r>
      <w:r>
        <w:rPr>
          <w:rFonts w:hint="eastAsia" w:ascii="宋体" w:hAnsi="宋体" w:cs="宋体"/>
          <w:color w:val="auto"/>
          <w:szCs w:val="21"/>
          <w:highlight w:val="none"/>
        </w:rPr>
        <w:fldChar w:fldCharType="end"/>
      </w:r>
    </w:p>
    <w:p w14:paraId="43040EAB">
      <w:pPr>
        <w:pStyle w:val="26"/>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_Toc14061 </w:instrText>
      </w:r>
      <w:r>
        <w:rPr>
          <w:rFonts w:hint="eastAsia" w:ascii="宋体" w:hAnsi="宋体" w:cs="宋体"/>
          <w:color w:val="auto"/>
          <w:szCs w:val="21"/>
          <w:highlight w:val="none"/>
        </w:rPr>
        <w:fldChar w:fldCharType="separate"/>
      </w:r>
      <w:r>
        <w:rPr>
          <w:rFonts w:hint="eastAsia" w:ascii="宋体" w:hAnsi="宋体" w:eastAsia="宋体" w:cs="宋体"/>
          <w:bCs w:val="0"/>
          <w:color w:val="auto"/>
          <w:highlight w:val="none"/>
        </w:rPr>
        <w:t>九、项目验收</w:t>
      </w:r>
      <w:r>
        <w:rPr>
          <w:color w:val="auto"/>
          <w:highlight w:val="none"/>
        </w:rPr>
        <w:tab/>
      </w:r>
      <w:r>
        <w:rPr>
          <w:color w:val="auto"/>
          <w:highlight w:val="none"/>
        </w:rPr>
        <w:fldChar w:fldCharType="begin"/>
      </w:r>
      <w:r>
        <w:rPr>
          <w:color w:val="auto"/>
          <w:highlight w:val="none"/>
        </w:rPr>
        <w:instrText xml:space="preserve"> PAGEREF _Toc14061 \h </w:instrText>
      </w:r>
      <w:r>
        <w:rPr>
          <w:color w:val="auto"/>
          <w:highlight w:val="none"/>
        </w:rPr>
        <w:fldChar w:fldCharType="separate"/>
      </w:r>
      <w:r>
        <w:rPr>
          <w:color w:val="auto"/>
          <w:highlight w:val="none"/>
        </w:rPr>
        <w:t>- 23 -</w:t>
      </w:r>
      <w:r>
        <w:rPr>
          <w:color w:val="auto"/>
          <w:highlight w:val="none"/>
        </w:rPr>
        <w:fldChar w:fldCharType="end"/>
      </w:r>
      <w:r>
        <w:rPr>
          <w:rFonts w:hint="eastAsia" w:ascii="宋体" w:hAnsi="宋体" w:cs="宋体"/>
          <w:color w:val="auto"/>
          <w:szCs w:val="21"/>
          <w:highlight w:val="none"/>
        </w:rPr>
        <w:fldChar w:fldCharType="end"/>
      </w:r>
    </w:p>
    <w:p w14:paraId="20E65E76">
      <w:pPr>
        <w:pStyle w:val="26"/>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_Toc14661 </w:instrText>
      </w:r>
      <w:r>
        <w:rPr>
          <w:rFonts w:hint="eastAsia" w:ascii="宋体" w:hAnsi="宋体" w:cs="宋体"/>
          <w:color w:val="auto"/>
          <w:szCs w:val="21"/>
          <w:highlight w:val="none"/>
        </w:rPr>
        <w:fldChar w:fldCharType="separate"/>
      </w:r>
      <w:r>
        <w:rPr>
          <w:rFonts w:hint="eastAsia" w:ascii="宋体" w:hAnsi="宋体" w:eastAsia="宋体" w:cs="宋体"/>
          <w:color w:val="auto"/>
          <w:szCs w:val="30"/>
          <w:highlight w:val="none"/>
        </w:rPr>
        <w:t>第六篇  施工合同</w:t>
      </w:r>
      <w:r>
        <w:rPr>
          <w:color w:val="auto"/>
          <w:highlight w:val="none"/>
        </w:rPr>
        <w:tab/>
      </w:r>
      <w:r>
        <w:rPr>
          <w:color w:val="auto"/>
          <w:highlight w:val="none"/>
        </w:rPr>
        <w:fldChar w:fldCharType="begin"/>
      </w:r>
      <w:r>
        <w:rPr>
          <w:color w:val="auto"/>
          <w:highlight w:val="none"/>
        </w:rPr>
        <w:instrText xml:space="preserve"> PAGEREF _Toc14661 \h </w:instrText>
      </w:r>
      <w:r>
        <w:rPr>
          <w:color w:val="auto"/>
          <w:highlight w:val="none"/>
        </w:rPr>
        <w:fldChar w:fldCharType="separate"/>
      </w:r>
      <w:r>
        <w:rPr>
          <w:color w:val="auto"/>
          <w:highlight w:val="none"/>
        </w:rPr>
        <w:t>- 24 -</w:t>
      </w:r>
      <w:r>
        <w:rPr>
          <w:color w:val="auto"/>
          <w:highlight w:val="none"/>
        </w:rPr>
        <w:fldChar w:fldCharType="end"/>
      </w:r>
      <w:r>
        <w:rPr>
          <w:rFonts w:hint="eastAsia" w:ascii="宋体" w:hAnsi="宋体" w:cs="宋体"/>
          <w:color w:val="auto"/>
          <w:szCs w:val="21"/>
          <w:highlight w:val="none"/>
        </w:rPr>
        <w:fldChar w:fldCharType="end"/>
      </w:r>
    </w:p>
    <w:p w14:paraId="5403CF41">
      <w:pPr>
        <w:pStyle w:val="26"/>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_Toc12933 </w:instrText>
      </w:r>
      <w:r>
        <w:rPr>
          <w:rFonts w:hint="eastAsia" w:ascii="宋体" w:hAnsi="宋体" w:cs="宋体"/>
          <w:color w:val="auto"/>
          <w:szCs w:val="21"/>
          <w:highlight w:val="none"/>
        </w:rPr>
        <w:fldChar w:fldCharType="separate"/>
      </w:r>
      <w:r>
        <w:rPr>
          <w:rFonts w:hint="eastAsia" w:ascii="宋体" w:hAnsi="宋体" w:eastAsia="宋体" w:cs="宋体"/>
          <w:color w:val="auto"/>
          <w:szCs w:val="30"/>
          <w:highlight w:val="none"/>
        </w:rPr>
        <w:t>第七篇  响应文件编制要求</w:t>
      </w:r>
      <w:r>
        <w:rPr>
          <w:color w:val="auto"/>
          <w:highlight w:val="none"/>
        </w:rPr>
        <w:tab/>
      </w:r>
      <w:r>
        <w:rPr>
          <w:color w:val="auto"/>
          <w:highlight w:val="none"/>
        </w:rPr>
        <w:fldChar w:fldCharType="begin"/>
      </w:r>
      <w:r>
        <w:rPr>
          <w:color w:val="auto"/>
          <w:highlight w:val="none"/>
        </w:rPr>
        <w:instrText xml:space="preserve"> PAGEREF _Toc12933 \h </w:instrText>
      </w:r>
      <w:r>
        <w:rPr>
          <w:color w:val="auto"/>
          <w:highlight w:val="none"/>
        </w:rPr>
        <w:fldChar w:fldCharType="separate"/>
      </w:r>
      <w:r>
        <w:rPr>
          <w:color w:val="auto"/>
          <w:highlight w:val="none"/>
        </w:rPr>
        <w:t>- 32 -</w:t>
      </w:r>
      <w:r>
        <w:rPr>
          <w:color w:val="auto"/>
          <w:highlight w:val="none"/>
        </w:rPr>
        <w:fldChar w:fldCharType="end"/>
      </w:r>
      <w:r>
        <w:rPr>
          <w:rFonts w:hint="eastAsia" w:ascii="宋体" w:hAnsi="宋体" w:cs="宋体"/>
          <w:color w:val="auto"/>
          <w:szCs w:val="21"/>
          <w:highlight w:val="none"/>
        </w:rPr>
        <w:fldChar w:fldCharType="end"/>
      </w:r>
    </w:p>
    <w:p w14:paraId="32984610">
      <w:pPr>
        <w:pStyle w:val="26"/>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_Toc2656 </w:instrText>
      </w:r>
      <w:r>
        <w:rPr>
          <w:rFonts w:hint="eastAsia" w:ascii="宋体" w:hAnsi="宋体" w:cs="宋体"/>
          <w:color w:val="auto"/>
          <w:szCs w:val="21"/>
          <w:highlight w:val="none"/>
        </w:rPr>
        <w:fldChar w:fldCharType="separate"/>
      </w:r>
      <w:r>
        <w:rPr>
          <w:rFonts w:hint="eastAsia" w:ascii="宋体" w:hAnsi="宋体" w:eastAsia="宋体" w:cs="宋体"/>
          <w:bCs w:val="0"/>
          <w:color w:val="auto"/>
          <w:highlight w:val="none"/>
        </w:rPr>
        <w:t>一、经济部分</w:t>
      </w:r>
      <w:r>
        <w:rPr>
          <w:color w:val="auto"/>
          <w:highlight w:val="none"/>
        </w:rPr>
        <w:tab/>
      </w:r>
      <w:r>
        <w:rPr>
          <w:color w:val="auto"/>
          <w:highlight w:val="none"/>
        </w:rPr>
        <w:fldChar w:fldCharType="begin"/>
      </w:r>
      <w:r>
        <w:rPr>
          <w:color w:val="auto"/>
          <w:highlight w:val="none"/>
        </w:rPr>
        <w:instrText xml:space="preserve"> PAGEREF _Toc2656 \h </w:instrText>
      </w:r>
      <w:r>
        <w:rPr>
          <w:color w:val="auto"/>
          <w:highlight w:val="none"/>
        </w:rPr>
        <w:fldChar w:fldCharType="separate"/>
      </w:r>
      <w:r>
        <w:rPr>
          <w:color w:val="auto"/>
          <w:highlight w:val="none"/>
        </w:rPr>
        <w:t>- 33 -</w:t>
      </w:r>
      <w:r>
        <w:rPr>
          <w:color w:val="auto"/>
          <w:highlight w:val="none"/>
        </w:rPr>
        <w:fldChar w:fldCharType="end"/>
      </w:r>
      <w:r>
        <w:rPr>
          <w:rFonts w:hint="eastAsia" w:ascii="宋体" w:hAnsi="宋体" w:cs="宋体"/>
          <w:color w:val="auto"/>
          <w:szCs w:val="21"/>
          <w:highlight w:val="none"/>
        </w:rPr>
        <w:fldChar w:fldCharType="end"/>
      </w:r>
    </w:p>
    <w:p w14:paraId="369CB645">
      <w:pPr>
        <w:pStyle w:val="26"/>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_Toc10920 </w:instrText>
      </w:r>
      <w:r>
        <w:rPr>
          <w:rFonts w:hint="eastAsia" w:ascii="宋体" w:hAnsi="宋体" w:cs="宋体"/>
          <w:color w:val="auto"/>
          <w:szCs w:val="21"/>
          <w:highlight w:val="none"/>
        </w:rPr>
        <w:fldChar w:fldCharType="separate"/>
      </w:r>
      <w:r>
        <w:rPr>
          <w:rFonts w:hint="eastAsia" w:ascii="宋体" w:hAnsi="宋体" w:eastAsia="宋体" w:cs="宋体"/>
          <w:bCs w:val="0"/>
          <w:color w:val="auto"/>
          <w:highlight w:val="none"/>
        </w:rPr>
        <w:t>二、服务部分</w:t>
      </w:r>
      <w:r>
        <w:rPr>
          <w:color w:val="auto"/>
          <w:highlight w:val="none"/>
        </w:rPr>
        <w:tab/>
      </w:r>
      <w:r>
        <w:rPr>
          <w:color w:val="auto"/>
          <w:highlight w:val="none"/>
        </w:rPr>
        <w:fldChar w:fldCharType="begin"/>
      </w:r>
      <w:r>
        <w:rPr>
          <w:color w:val="auto"/>
          <w:highlight w:val="none"/>
        </w:rPr>
        <w:instrText xml:space="preserve"> PAGEREF _Toc10920 \h </w:instrText>
      </w:r>
      <w:r>
        <w:rPr>
          <w:color w:val="auto"/>
          <w:highlight w:val="none"/>
        </w:rPr>
        <w:fldChar w:fldCharType="separate"/>
      </w:r>
      <w:r>
        <w:rPr>
          <w:color w:val="auto"/>
          <w:highlight w:val="none"/>
        </w:rPr>
        <w:t>- 35 -</w:t>
      </w:r>
      <w:r>
        <w:rPr>
          <w:color w:val="auto"/>
          <w:highlight w:val="none"/>
        </w:rPr>
        <w:fldChar w:fldCharType="end"/>
      </w:r>
      <w:r>
        <w:rPr>
          <w:rFonts w:hint="eastAsia" w:ascii="宋体" w:hAnsi="宋体" w:cs="宋体"/>
          <w:color w:val="auto"/>
          <w:szCs w:val="21"/>
          <w:highlight w:val="none"/>
        </w:rPr>
        <w:fldChar w:fldCharType="end"/>
      </w:r>
    </w:p>
    <w:p w14:paraId="57D92C58">
      <w:pPr>
        <w:pStyle w:val="26"/>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_Toc14902 </w:instrText>
      </w:r>
      <w:r>
        <w:rPr>
          <w:rFonts w:hint="eastAsia" w:ascii="宋体" w:hAnsi="宋体" w:cs="宋体"/>
          <w:color w:val="auto"/>
          <w:szCs w:val="21"/>
          <w:highlight w:val="none"/>
        </w:rPr>
        <w:fldChar w:fldCharType="separate"/>
      </w:r>
      <w:r>
        <w:rPr>
          <w:rFonts w:hint="eastAsia" w:ascii="宋体" w:hAnsi="宋体" w:eastAsia="宋体" w:cs="宋体"/>
          <w:bCs w:val="0"/>
          <w:color w:val="auto"/>
          <w:highlight w:val="none"/>
        </w:rPr>
        <w:t>三、商务部分</w:t>
      </w:r>
      <w:r>
        <w:rPr>
          <w:color w:val="auto"/>
          <w:highlight w:val="none"/>
        </w:rPr>
        <w:tab/>
      </w:r>
      <w:r>
        <w:rPr>
          <w:color w:val="auto"/>
          <w:highlight w:val="none"/>
        </w:rPr>
        <w:fldChar w:fldCharType="begin"/>
      </w:r>
      <w:r>
        <w:rPr>
          <w:color w:val="auto"/>
          <w:highlight w:val="none"/>
        </w:rPr>
        <w:instrText xml:space="preserve"> PAGEREF _Toc14902 \h </w:instrText>
      </w:r>
      <w:r>
        <w:rPr>
          <w:color w:val="auto"/>
          <w:highlight w:val="none"/>
        </w:rPr>
        <w:fldChar w:fldCharType="separate"/>
      </w:r>
      <w:r>
        <w:rPr>
          <w:color w:val="auto"/>
          <w:highlight w:val="none"/>
        </w:rPr>
        <w:t>- 37 -</w:t>
      </w:r>
      <w:r>
        <w:rPr>
          <w:color w:val="auto"/>
          <w:highlight w:val="none"/>
        </w:rPr>
        <w:fldChar w:fldCharType="end"/>
      </w:r>
      <w:r>
        <w:rPr>
          <w:rFonts w:hint="eastAsia" w:ascii="宋体" w:hAnsi="宋体" w:cs="宋体"/>
          <w:color w:val="auto"/>
          <w:szCs w:val="21"/>
          <w:highlight w:val="none"/>
        </w:rPr>
        <w:fldChar w:fldCharType="end"/>
      </w:r>
    </w:p>
    <w:p w14:paraId="6C55EFF1">
      <w:pPr>
        <w:pStyle w:val="26"/>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_Toc17038 </w:instrText>
      </w:r>
      <w:r>
        <w:rPr>
          <w:rFonts w:hint="eastAsia" w:ascii="宋体" w:hAnsi="宋体" w:cs="宋体"/>
          <w:color w:val="auto"/>
          <w:szCs w:val="21"/>
          <w:highlight w:val="none"/>
        </w:rPr>
        <w:fldChar w:fldCharType="separate"/>
      </w:r>
      <w:r>
        <w:rPr>
          <w:rFonts w:hint="eastAsia" w:ascii="宋体" w:hAnsi="宋体" w:eastAsia="宋体" w:cs="宋体"/>
          <w:bCs w:val="0"/>
          <w:color w:val="auto"/>
          <w:highlight w:val="none"/>
        </w:rPr>
        <w:t>四、资格条件</w:t>
      </w:r>
      <w:r>
        <w:rPr>
          <w:color w:val="auto"/>
          <w:highlight w:val="none"/>
        </w:rPr>
        <w:tab/>
      </w:r>
      <w:r>
        <w:rPr>
          <w:color w:val="auto"/>
          <w:highlight w:val="none"/>
        </w:rPr>
        <w:fldChar w:fldCharType="begin"/>
      </w:r>
      <w:r>
        <w:rPr>
          <w:color w:val="auto"/>
          <w:highlight w:val="none"/>
        </w:rPr>
        <w:instrText xml:space="preserve"> PAGEREF _Toc17038 \h </w:instrText>
      </w:r>
      <w:r>
        <w:rPr>
          <w:color w:val="auto"/>
          <w:highlight w:val="none"/>
        </w:rPr>
        <w:fldChar w:fldCharType="separate"/>
      </w:r>
      <w:r>
        <w:rPr>
          <w:color w:val="auto"/>
          <w:highlight w:val="none"/>
        </w:rPr>
        <w:t>- 39 -</w:t>
      </w:r>
      <w:r>
        <w:rPr>
          <w:color w:val="auto"/>
          <w:highlight w:val="none"/>
        </w:rPr>
        <w:fldChar w:fldCharType="end"/>
      </w:r>
      <w:r>
        <w:rPr>
          <w:rFonts w:hint="eastAsia" w:ascii="宋体" w:hAnsi="宋体" w:cs="宋体"/>
          <w:color w:val="auto"/>
          <w:szCs w:val="21"/>
          <w:highlight w:val="none"/>
        </w:rPr>
        <w:fldChar w:fldCharType="end"/>
      </w:r>
    </w:p>
    <w:p w14:paraId="19F19D7B">
      <w:pPr>
        <w:pStyle w:val="26"/>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_Toc11244 </w:instrText>
      </w:r>
      <w:r>
        <w:rPr>
          <w:rFonts w:hint="eastAsia" w:ascii="宋体" w:hAnsi="宋体" w:cs="宋体"/>
          <w:color w:val="auto"/>
          <w:szCs w:val="21"/>
          <w:highlight w:val="none"/>
        </w:rPr>
        <w:fldChar w:fldCharType="separate"/>
      </w:r>
      <w:r>
        <w:rPr>
          <w:rFonts w:hint="eastAsia" w:ascii="宋体" w:hAnsi="宋体" w:eastAsia="宋体" w:cs="宋体"/>
          <w:bCs w:val="0"/>
          <w:color w:val="auto"/>
          <w:highlight w:val="none"/>
        </w:rPr>
        <w:t>五、其他资料</w:t>
      </w:r>
      <w:r>
        <w:rPr>
          <w:color w:val="auto"/>
          <w:highlight w:val="none"/>
        </w:rPr>
        <w:tab/>
      </w:r>
      <w:r>
        <w:rPr>
          <w:color w:val="auto"/>
          <w:highlight w:val="none"/>
        </w:rPr>
        <w:fldChar w:fldCharType="begin"/>
      </w:r>
      <w:r>
        <w:rPr>
          <w:color w:val="auto"/>
          <w:highlight w:val="none"/>
        </w:rPr>
        <w:instrText xml:space="preserve"> PAGEREF _Toc11244 \h </w:instrText>
      </w:r>
      <w:r>
        <w:rPr>
          <w:color w:val="auto"/>
          <w:highlight w:val="none"/>
        </w:rPr>
        <w:fldChar w:fldCharType="separate"/>
      </w:r>
      <w:r>
        <w:rPr>
          <w:color w:val="auto"/>
          <w:highlight w:val="none"/>
        </w:rPr>
        <w:t>- 44 -</w:t>
      </w:r>
      <w:r>
        <w:rPr>
          <w:color w:val="auto"/>
          <w:highlight w:val="none"/>
        </w:rPr>
        <w:fldChar w:fldCharType="end"/>
      </w:r>
      <w:r>
        <w:rPr>
          <w:rFonts w:hint="eastAsia" w:ascii="宋体" w:hAnsi="宋体" w:cs="宋体"/>
          <w:color w:val="auto"/>
          <w:szCs w:val="21"/>
          <w:highlight w:val="none"/>
        </w:rPr>
        <w:fldChar w:fldCharType="end"/>
      </w:r>
    </w:p>
    <w:p w14:paraId="3174ABB2">
      <w:pPr>
        <w:pStyle w:val="26"/>
        <w:shd w:val="clear"/>
        <w:tabs>
          <w:tab w:val="right" w:leader="dot" w:pos="9402"/>
        </w:tabs>
        <w:spacing w:line="480" w:lineRule="exact"/>
        <w:ind w:left="560"/>
        <w:jc w:val="center"/>
        <w:rPr>
          <w:rFonts w:ascii="宋体" w:hAnsi="宋体" w:cs="宋体"/>
          <w:color w:val="auto"/>
          <w:sz w:val="18"/>
          <w:szCs w:val="22"/>
          <w:highlight w:val="none"/>
        </w:rPr>
        <w:sectPr>
          <w:footerReference r:id="rId9" w:type="default"/>
          <w:pgSz w:w="11907" w:h="16840"/>
          <w:pgMar w:top="1134" w:right="1191" w:bottom="1134" w:left="1304" w:header="624" w:footer="992" w:gutter="0"/>
          <w:pgNumType w:fmt="numberInDash" w:start="1"/>
          <w:cols w:space="720" w:num="1"/>
          <w:docGrid w:linePitch="381" w:charSpace="-5735"/>
        </w:sectPr>
      </w:pPr>
      <w:r>
        <w:rPr>
          <w:rFonts w:hint="eastAsia" w:ascii="宋体" w:hAnsi="宋体" w:cs="宋体"/>
          <w:color w:val="auto"/>
          <w:szCs w:val="21"/>
          <w:highlight w:val="none"/>
        </w:rPr>
        <w:fldChar w:fldCharType="end"/>
      </w:r>
      <w:bookmarkEnd w:id="6"/>
    </w:p>
    <w:p w14:paraId="0C270065">
      <w:pPr>
        <w:pStyle w:val="4"/>
        <w:numPr>
          <w:ilvl w:val="1"/>
          <w:numId w:val="0"/>
        </w:numPr>
        <w:shd w:val="clear"/>
        <w:spacing w:line="360" w:lineRule="auto"/>
        <w:jc w:val="center"/>
        <w:rPr>
          <w:rFonts w:ascii="宋体" w:hAnsi="宋体" w:eastAsia="宋体" w:cs="宋体"/>
          <w:color w:val="auto"/>
          <w:szCs w:val="30"/>
          <w:highlight w:val="none"/>
        </w:rPr>
      </w:pPr>
      <w:bookmarkStart w:id="7" w:name="_Toc106030870"/>
      <w:bookmarkStart w:id="8" w:name="_Toc181"/>
      <w:bookmarkStart w:id="9" w:name="_Toc9852"/>
      <w:bookmarkStart w:id="10" w:name="_Toc4184"/>
      <w:bookmarkStart w:id="11" w:name="_Toc4932"/>
      <w:bookmarkStart w:id="12" w:name="_Toc12789052"/>
      <w:bookmarkStart w:id="13" w:name="_Toc11641050"/>
      <w:bookmarkStart w:id="14" w:name="_Toc808"/>
      <w:bookmarkStart w:id="15" w:name="_Toc76462316"/>
      <w:r>
        <w:rPr>
          <w:rFonts w:hint="eastAsia" w:ascii="宋体" w:hAnsi="宋体" w:eastAsia="宋体" w:cs="宋体"/>
          <w:color w:val="auto"/>
          <w:sz w:val="36"/>
          <w:szCs w:val="30"/>
          <w:highlight w:val="none"/>
        </w:rPr>
        <w:t>第一篇  采购邀请书</w:t>
      </w:r>
      <w:bookmarkEnd w:id="7"/>
      <w:bookmarkEnd w:id="8"/>
      <w:bookmarkEnd w:id="9"/>
      <w:bookmarkEnd w:id="10"/>
      <w:bookmarkEnd w:id="11"/>
      <w:bookmarkEnd w:id="12"/>
      <w:bookmarkEnd w:id="13"/>
      <w:bookmarkEnd w:id="14"/>
      <w:bookmarkEnd w:id="15"/>
    </w:p>
    <w:p w14:paraId="0EAA91B7">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u w:val="single"/>
        </w:rPr>
        <w:t>重庆千策招标代理有限公司</w:t>
      </w:r>
      <w:r>
        <w:rPr>
          <w:rFonts w:hint="eastAsia" w:ascii="宋体" w:hAnsi="宋体" w:cs="宋体"/>
          <w:color w:val="auto"/>
          <w:sz w:val="24"/>
          <w:szCs w:val="24"/>
          <w:highlight w:val="none"/>
        </w:rPr>
        <w:t>（以下简称：采购代理机构）接受</w:t>
      </w:r>
      <w:r>
        <w:rPr>
          <w:rFonts w:hint="eastAsia" w:ascii="宋体" w:hAnsi="宋体" w:cs="宋体"/>
          <w:color w:val="auto"/>
          <w:sz w:val="24"/>
          <w:szCs w:val="24"/>
          <w:highlight w:val="none"/>
          <w:u w:val="single"/>
        </w:rPr>
        <w:t>重庆市石桥铺殡仪馆</w:t>
      </w:r>
      <w:r>
        <w:rPr>
          <w:rFonts w:hint="eastAsia" w:ascii="宋体" w:hAnsi="宋体" w:cs="宋体"/>
          <w:color w:val="auto"/>
          <w:sz w:val="24"/>
          <w:szCs w:val="24"/>
          <w:highlight w:val="none"/>
        </w:rPr>
        <w:t>（以下简称：采购人）的委托，对</w:t>
      </w:r>
      <w:r>
        <w:rPr>
          <w:rFonts w:hint="eastAsia" w:ascii="宋体" w:hAnsi="宋体" w:cs="宋体"/>
          <w:color w:val="auto"/>
          <w:sz w:val="24"/>
          <w:szCs w:val="24"/>
          <w:highlight w:val="none"/>
          <w:u w:val="single"/>
        </w:rPr>
        <w:t>重庆市石桥铺殡仪馆配电室配电设备安全整改</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第二次）</w:t>
      </w:r>
      <w:r>
        <w:rPr>
          <w:rFonts w:hint="eastAsia" w:ascii="宋体" w:hAnsi="宋体" w:cs="宋体"/>
          <w:color w:val="auto"/>
          <w:sz w:val="24"/>
          <w:szCs w:val="24"/>
          <w:highlight w:val="none"/>
        </w:rPr>
        <w:t>进行竞争性磋商采购。欢迎有资格的供应商前来参与磋商。</w:t>
      </w:r>
    </w:p>
    <w:p w14:paraId="4F412A38">
      <w:pPr>
        <w:pStyle w:val="4"/>
        <w:numPr>
          <w:ilvl w:val="1"/>
          <w:numId w:val="0"/>
        </w:numPr>
        <w:shd w:val="clear"/>
        <w:adjustRightInd w:val="0"/>
        <w:snapToGrid w:val="0"/>
        <w:spacing w:line="400" w:lineRule="exact"/>
        <w:rPr>
          <w:rFonts w:ascii="宋体" w:hAnsi="宋体" w:eastAsia="宋体" w:cs="宋体"/>
          <w:b/>
          <w:bCs w:val="0"/>
          <w:color w:val="auto"/>
          <w:sz w:val="24"/>
          <w:highlight w:val="none"/>
        </w:rPr>
      </w:pPr>
      <w:bookmarkStart w:id="16" w:name="_Toc22832"/>
      <w:bookmarkStart w:id="17" w:name="_Toc9379"/>
      <w:bookmarkStart w:id="18" w:name="_Toc27081"/>
      <w:bookmarkStart w:id="19" w:name="_Toc76462317"/>
      <w:bookmarkStart w:id="20" w:name="_Toc106030871"/>
      <w:bookmarkStart w:id="21" w:name="_Toc317775175"/>
      <w:bookmarkStart w:id="22" w:name="_Toc313893526"/>
      <w:bookmarkStart w:id="23" w:name="_Toc2190"/>
      <w:bookmarkStart w:id="24" w:name="_Toc20549"/>
      <w:r>
        <w:rPr>
          <w:rFonts w:hint="eastAsia" w:ascii="宋体" w:hAnsi="宋体" w:eastAsia="宋体" w:cs="宋体"/>
          <w:b/>
          <w:bCs w:val="0"/>
          <w:color w:val="auto"/>
          <w:sz w:val="24"/>
          <w:highlight w:val="none"/>
        </w:rPr>
        <w:t>一、竞争性磋商内容</w:t>
      </w:r>
      <w:bookmarkEnd w:id="16"/>
      <w:bookmarkEnd w:id="17"/>
      <w:bookmarkEnd w:id="18"/>
      <w:bookmarkEnd w:id="19"/>
      <w:bookmarkEnd w:id="20"/>
      <w:bookmarkEnd w:id="21"/>
      <w:bookmarkEnd w:id="22"/>
      <w:bookmarkEnd w:id="23"/>
      <w:bookmarkEnd w:id="24"/>
    </w:p>
    <w:tbl>
      <w:tblPr>
        <w:tblStyle w:val="32"/>
        <w:tblW w:w="8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0"/>
        <w:gridCol w:w="1366"/>
        <w:gridCol w:w="1567"/>
        <w:gridCol w:w="1976"/>
      </w:tblGrid>
      <w:tr w14:paraId="36F9D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3830" w:type="dxa"/>
            <w:tcBorders>
              <w:top w:val="single" w:color="auto" w:sz="4" w:space="0"/>
              <w:left w:val="single" w:color="auto" w:sz="4" w:space="0"/>
              <w:right w:val="single" w:color="auto" w:sz="4" w:space="0"/>
            </w:tcBorders>
            <w:vAlign w:val="center"/>
          </w:tcPr>
          <w:p w14:paraId="43561C7F">
            <w:pPr>
              <w:widowControl/>
              <w:shd w:val="clear"/>
              <w:spacing w:line="400" w:lineRule="exact"/>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磋商项目名称</w:t>
            </w:r>
          </w:p>
        </w:tc>
        <w:tc>
          <w:tcPr>
            <w:tcW w:w="1366" w:type="dxa"/>
            <w:tcBorders>
              <w:top w:val="single" w:color="auto" w:sz="4" w:space="0"/>
              <w:left w:val="single" w:color="auto" w:sz="4" w:space="0"/>
              <w:right w:val="single" w:color="auto" w:sz="4" w:space="0"/>
            </w:tcBorders>
            <w:vAlign w:val="center"/>
          </w:tcPr>
          <w:p w14:paraId="17D4E75F">
            <w:pPr>
              <w:widowControl/>
              <w:shd w:val="clear"/>
              <w:spacing w:line="400" w:lineRule="exact"/>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最高限价</w:t>
            </w:r>
          </w:p>
          <w:p w14:paraId="70E49E53">
            <w:pPr>
              <w:widowControl/>
              <w:shd w:val="clear"/>
              <w:spacing w:line="400" w:lineRule="exact"/>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（元）</w:t>
            </w:r>
          </w:p>
        </w:tc>
        <w:tc>
          <w:tcPr>
            <w:tcW w:w="1567" w:type="dxa"/>
            <w:tcBorders>
              <w:top w:val="single" w:color="auto" w:sz="4" w:space="0"/>
              <w:left w:val="single" w:color="auto" w:sz="4" w:space="0"/>
              <w:right w:val="single" w:color="auto" w:sz="4" w:space="0"/>
            </w:tcBorders>
            <w:vAlign w:val="center"/>
          </w:tcPr>
          <w:p w14:paraId="298192F4">
            <w:pPr>
              <w:widowControl/>
              <w:shd w:val="clear"/>
              <w:spacing w:line="400" w:lineRule="exact"/>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磋商保证金</w:t>
            </w:r>
          </w:p>
          <w:p w14:paraId="17F92E2E">
            <w:pPr>
              <w:widowControl/>
              <w:shd w:val="clear"/>
              <w:spacing w:line="400" w:lineRule="exact"/>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（元）</w:t>
            </w:r>
          </w:p>
        </w:tc>
        <w:tc>
          <w:tcPr>
            <w:tcW w:w="1976" w:type="dxa"/>
            <w:tcBorders>
              <w:top w:val="single" w:color="auto" w:sz="4" w:space="0"/>
              <w:left w:val="single" w:color="auto" w:sz="4" w:space="0"/>
              <w:right w:val="single" w:color="auto" w:sz="4" w:space="0"/>
            </w:tcBorders>
            <w:vAlign w:val="center"/>
          </w:tcPr>
          <w:p w14:paraId="181E9C41">
            <w:pPr>
              <w:widowControl/>
              <w:shd w:val="clear"/>
              <w:spacing w:line="400" w:lineRule="exact"/>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成交供应商数量（名）</w:t>
            </w:r>
          </w:p>
        </w:tc>
      </w:tr>
      <w:tr w14:paraId="26466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3830" w:type="dxa"/>
            <w:tcBorders>
              <w:top w:val="single" w:color="auto" w:sz="4" w:space="0"/>
              <w:left w:val="single" w:color="auto" w:sz="4" w:space="0"/>
              <w:bottom w:val="single" w:color="auto" w:sz="4" w:space="0"/>
              <w:right w:val="single" w:color="auto" w:sz="4" w:space="0"/>
            </w:tcBorders>
            <w:vAlign w:val="center"/>
          </w:tcPr>
          <w:p w14:paraId="5E43846C">
            <w:pPr>
              <w:widowControl/>
              <w:shd w:val="clear"/>
              <w:spacing w:line="400" w:lineRule="exact"/>
              <w:jc w:val="center"/>
              <w:rPr>
                <w:rFonts w:hint="default" w:ascii="宋体" w:hAnsi="宋体" w:eastAsia="宋体" w:cs="宋体"/>
                <w:color w:val="auto"/>
                <w:kern w:val="0"/>
                <w:sz w:val="24"/>
                <w:szCs w:val="24"/>
                <w:highlight w:val="none"/>
                <w:lang w:val="en-US" w:eastAsia="zh-CN"/>
              </w:rPr>
            </w:pPr>
            <w:bookmarkStart w:id="25" w:name="_Hlk344477914"/>
            <w:r>
              <w:rPr>
                <w:rFonts w:hint="eastAsia" w:ascii="宋体" w:hAnsi="宋体" w:cs="宋体"/>
                <w:color w:val="auto"/>
                <w:kern w:val="0"/>
                <w:sz w:val="24"/>
                <w:szCs w:val="24"/>
                <w:highlight w:val="none"/>
              </w:rPr>
              <w:t>重庆市石桥铺殡仪馆配电室配电设备安全整改</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第二次）</w:t>
            </w:r>
          </w:p>
        </w:tc>
        <w:tc>
          <w:tcPr>
            <w:tcW w:w="1366" w:type="dxa"/>
            <w:tcBorders>
              <w:top w:val="single" w:color="auto" w:sz="4" w:space="0"/>
              <w:left w:val="single" w:color="auto" w:sz="4" w:space="0"/>
              <w:bottom w:val="single" w:color="auto" w:sz="4" w:space="0"/>
              <w:right w:val="single" w:color="auto" w:sz="4" w:space="0"/>
            </w:tcBorders>
            <w:vAlign w:val="center"/>
          </w:tcPr>
          <w:p w14:paraId="628D5CA1">
            <w:pPr>
              <w:widowControl/>
              <w:shd w:val="clear"/>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298771.67</w:t>
            </w:r>
          </w:p>
        </w:tc>
        <w:tc>
          <w:tcPr>
            <w:tcW w:w="1567" w:type="dxa"/>
            <w:tcBorders>
              <w:top w:val="single" w:color="auto" w:sz="4" w:space="0"/>
              <w:left w:val="single" w:color="auto" w:sz="4" w:space="0"/>
              <w:bottom w:val="single" w:color="auto" w:sz="4" w:space="0"/>
              <w:right w:val="single" w:color="auto" w:sz="4" w:space="0"/>
            </w:tcBorders>
            <w:vAlign w:val="center"/>
          </w:tcPr>
          <w:p w14:paraId="4C2379F5">
            <w:pPr>
              <w:widowControl/>
              <w:shd w:val="clear"/>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5000</w:t>
            </w:r>
          </w:p>
        </w:tc>
        <w:tc>
          <w:tcPr>
            <w:tcW w:w="1976" w:type="dxa"/>
            <w:tcBorders>
              <w:top w:val="single" w:color="auto" w:sz="4" w:space="0"/>
              <w:left w:val="single" w:color="auto" w:sz="4" w:space="0"/>
              <w:bottom w:val="single" w:color="auto" w:sz="4" w:space="0"/>
              <w:right w:val="single" w:color="auto" w:sz="4" w:space="0"/>
            </w:tcBorders>
            <w:vAlign w:val="center"/>
          </w:tcPr>
          <w:p w14:paraId="66740DEB">
            <w:pPr>
              <w:widowControl/>
              <w:shd w:val="clear"/>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r>
      <w:bookmarkEnd w:id="25"/>
    </w:tbl>
    <w:p w14:paraId="70DAB944">
      <w:pPr>
        <w:pStyle w:val="4"/>
        <w:numPr>
          <w:ilvl w:val="1"/>
          <w:numId w:val="0"/>
        </w:numPr>
        <w:shd w:val="clear"/>
        <w:adjustRightInd w:val="0"/>
        <w:snapToGrid w:val="0"/>
        <w:spacing w:line="400" w:lineRule="exact"/>
        <w:rPr>
          <w:rFonts w:ascii="宋体" w:hAnsi="宋体" w:eastAsia="宋体" w:cs="宋体"/>
          <w:b/>
          <w:bCs w:val="0"/>
          <w:color w:val="auto"/>
          <w:sz w:val="24"/>
          <w:highlight w:val="none"/>
        </w:rPr>
      </w:pPr>
      <w:bookmarkStart w:id="26" w:name="_Toc12972"/>
      <w:bookmarkStart w:id="27" w:name="_Toc29253"/>
      <w:bookmarkStart w:id="28" w:name="_Toc106030873"/>
      <w:bookmarkStart w:id="29" w:name="_Toc21041"/>
      <w:bookmarkStart w:id="30" w:name="_Toc10459"/>
      <w:bookmarkStart w:id="31" w:name="_Toc21123"/>
      <w:bookmarkStart w:id="32" w:name="_Toc76462319"/>
      <w:bookmarkStart w:id="33" w:name="_Toc373860293"/>
      <w:bookmarkStart w:id="34" w:name="_Toc317775178"/>
      <w:r>
        <w:rPr>
          <w:rFonts w:hint="eastAsia" w:ascii="宋体" w:hAnsi="宋体" w:eastAsia="宋体" w:cs="宋体"/>
          <w:b/>
          <w:bCs w:val="0"/>
          <w:color w:val="auto"/>
          <w:sz w:val="24"/>
          <w:highlight w:val="none"/>
        </w:rPr>
        <w:t>二、资金来源</w:t>
      </w:r>
      <w:bookmarkEnd w:id="26"/>
    </w:p>
    <w:p w14:paraId="1B3E0037">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财政资金，预算金额</w:t>
      </w:r>
      <w:r>
        <w:rPr>
          <w:rFonts w:hint="eastAsia" w:ascii="宋体" w:hAnsi="宋体" w:cs="宋体"/>
          <w:color w:val="auto"/>
          <w:kern w:val="0"/>
          <w:sz w:val="24"/>
          <w:szCs w:val="24"/>
          <w:highlight w:val="none"/>
        </w:rPr>
        <w:t>298771.67</w:t>
      </w:r>
      <w:r>
        <w:rPr>
          <w:rFonts w:hint="eastAsia" w:ascii="宋体" w:hAnsi="宋体" w:cs="宋体"/>
          <w:color w:val="auto"/>
          <w:sz w:val="24"/>
          <w:szCs w:val="24"/>
          <w:highlight w:val="none"/>
        </w:rPr>
        <w:t>元（安全文明施工费10560.39元）。</w:t>
      </w:r>
    </w:p>
    <w:p w14:paraId="2028BE32">
      <w:pPr>
        <w:pStyle w:val="4"/>
        <w:numPr>
          <w:ilvl w:val="1"/>
          <w:numId w:val="0"/>
        </w:numPr>
        <w:shd w:val="clear"/>
        <w:adjustRightInd w:val="0"/>
        <w:snapToGrid w:val="0"/>
        <w:spacing w:line="400" w:lineRule="exact"/>
        <w:rPr>
          <w:rFonts w:ascii="宋体" w:hAnsi="宋体" w:eastAsia="宋体" w:cs="宋体"/>
          <w:b/>
          <w:bCs w:val="0"/>
          <w:color w:val="auto"/>
          <w:sz w:val="24"/>
          <w:highlight w:val="none"/>
        </w:rPr>
      </w:pPr>
      <w:bookmarkStart w:id="35" w:name="_Toc25106"/>
      <w:r>
        <w:rPr>
          <w:rFonts w:hint="eastAsia" w:ascii="宋体" w:hAnsi="宋体" w:eastAsia="宋体" w:cs="宋体"/>
          <w:b/>
          <w:bCs w:val="0"/>
          <w:color w:val="auto"/>
          <w:sz w:val="24"/>
          <w:highlight w:val="none"/>
        </w:rPr>
        <w:t>三、供应商资格条件</w:t>
      </w:r>
      <w:bookmarkEnd w:id="27"/>
      <w:bookmarkEnd w:id="28"/>
      <w:bookmarkEnd w:id="29"/>
      <w:bookmarkEnd w:id="30"/>
      <w:bookmarkEnd w:id="31"/>
      <w:bookmarkEnd w:id="32"/>
      <w:bookmarkEnd w:id="35"/>
    </w:p>
    <w:p w14:paraId="0B65C26D">
      <w:pPr>
        <w:shd w:val="clear"/>
        <w:spacing w:line="400" w:lineRule="exact"/>
        <w:ind w:firstLine="480" w:firstLineChars="200"/>
        <w:rPr>
          <w:rFonts w:ascii="宋体" w:hAnsi="宋体" w:cs="宋体"/>
          <w:color w:val="auto"/>
          <w:sz w:val="24"/>
          <w:szCs w:val="24"/>
          <w:highlight w:val="none"/>
        </w:rPr>
      </w:pPr>
      <w:bookmarkStart w:id="36" w:name="_Toc13709"/>
      <w:bookmarkStart w:id="37" w:name="_Toc20997"/>
      <w:bookmarkStart w:id="38" w:name="_Toc106030874"/>
      <w:bookmarkStart w:id="39" w:name="_Toc76462320"/>
      <w:bookmarkStart w:id="40" w:name="_Toc26353"/>
      <w:bookmarkStart w:id="41" w:name="_Toc1125"/>
      <w:r>
        <w:rPr>
          <w:rFonts w:hint="eastAsia" w:ascii="宋体" w:hAnsi="宋体" w:cs="宋体"/>
          <w:color w:val="auto"/>
          <w:sz w:val="24"/>
          <w:szCs w:val="24"/>
          <w:highlight w:val="none"/>
        </w:rPr>
        <w:t>（一）满足《中华人民共和国政府采购法》第二十二条规定。</w:t>
      </w:r>
    </w:p>
    <w:p w14:paraId="64AEE3AB">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（二）本项目的特定资格要求：</w:t>
      </w:r>
    </w:p>
    <w:p w14:paraId="436A66B5">
      <w:pPr>
        <w:shd w:val="clear"/>
        <w:spacing w:line="400" w:lineRule="exact"/>
        <w:ind w:firstLine="480" w:firstLineChars="200"/>
        <w:rPr>
          <w:rFonts w:ascii="宋体" w:hAnsi="宋体" w:cs="宋体"/>
          <w:b/>
          <w:bCs/>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供应商具备建设行政主管部门颁发的电力工程施工总承包三级及以上，</w:t>
      </w:r>
      <w:r>
        <w:rPr>
          <w:rFonts w:hint="eastAsia" w:ascii="宋体" w:hAnsi="宋体" w:cs="宋体"/>
          <w:color w:val="auto"/>
          <w:sz w:val="24"/>
          <w:szCs w:val="24"/>
          <w:highlight w:val="none"/>
          <w:lang w:eastAsia="zh-CN"/>
        </w:rPr>
        <w:t>或</w:t>
      </w:r>
      <w:r>
        <w:rPr>
          <w:rFonts w:hint="eastAsia" w:ascii="宋体" w:hAnsi="宋体" w:cs="宋体"/>
          <w:color w:val="auto"/>
          <w:sz w:val="24"/>
          <w:szCs w:val="24"/>
          <w:highlight w:val="none"/>
          <w:lang w:val="en-US" w:eastAsia="zh-CN"/>
        </w:rPr>
        <w:t>机电工程施工总承包三级及以上，或建筑</w:t>
      </w:r>
      <w:r>
        <w:rPr>
          <w:rFonts w:hint="eastAsia" w:ascii="宋体" w:hAnsi="宋体" w:cs="宋体"/>
          <w:color w:val="auto"/>
          <w:sz w:val="24"/>
          <w:szCs w:val="24"/>
          <w:highlight w:val="none"/>
          <w:lang w:eastAsia="zh-CN"/>
        </w:rPr>
        <w:t>机</w:t>
      </w:r>
      <w:r>
        <w:rPr>
          <w:rFonts w:hint="eastAsia" w:ascii="宋体" w:hAnsi="宋体" w:cs="宋体"/>
          <w:color w:val="auto"/>
          <w:sz w:val="24"/>
          <w:szCs w:val="24"/>
          <w:highlight w:val="none"/>
        </w:rPr>
        <w:t>电安装工程专业承包贰级及以上资质</w:t>
      </w:r>
      <w:r>
        <w:rPr>
          <w:rFonts w:hint="eastAsia" w:ascii="宋体" w:hAnsi="宋体" w:cs="宋体"/>
          <w:color w:val="auto"/>
          <w:sz w:val="24"/>
          <w:szCs w:val="24"/>
          <w:highlight w:val="none"/>
          <w:lang w:eastAsia="zh-CN"/>
        </w:rPr>
        <w:t>。</w:t>
      </w:r>
      <w:r>
        <w:rPr>
          <w:rFonts w:hint="eastAsia" w:ascii="宋体" w:hAnsi="宋体" w:cs="宋体"/>
          <w:b/>
          <w:bCs/>
          <w:color w:val="auto"/>
          <w:sz w:val="24"/>
          <w:szCs w:val="24"/>
          <w:highlight w:val="none"/>
        </w:rPr>
        <w:t>【投标时，响应文件中提供证书复印件，加盖供应商公章】</w:t>
      </w:r>
    </w:p>
    <w:p w14:paraId="0B8B9C0A">
      <w:pPr>
        <w:shd w:val="clear"/>
        <w:spacing w:line="400" w:lineRule="exact"/>
        <w:ind w:firstLine="480"/>
        <w:rPr>
          <w:rFonts w:ascii="宋体" w:hAnsi="宋体" w:cs="宋体"/>
          <w:color w:val="auto"/>
          <w:sz w:val="24"/>
          <w:szCs w:val="24"/>
          <w:highlight w:val="none"/>
        </w:rPr>
      </w:pPr>
      <w:r>
        <w:rPr>
          <w:rFonts w:ascii="宋体" w:hAnsi="宋体" w:cs="宋体"/>
          <w:color w:val="auto"/>
          <w:sz w:val="24"/>
          <w:szCs w:val="24"/>
          <w:highlight w:val="none"/>
        </w:rPr>
        <w:t>2.供应商具备国家能源局或国家电力监管委员</w:t>
      </w:r>
      <w:r>
        <w:rPr>
          <w:rFonts w:hint="eastAsia" w:ascii="宋体" w:hAnsi="宋体" w:cs="宋体"/>
          <w:color w:val="auto"/>
          <w:sz w:val="24"/>
          <w:szCs w:val="24"/>
          <w:highlight w:val="none"/>
          <w:lang w:val="en-US" w:eastAsia="zh-CN"/>
        </w:rPr>
        <w:t>会</w:t>
      </w:r>
      <w:r>
        <w:rPr>
          <w:rFonts w:ascii="宋体" w:hAnsi="宋体" w:cs="宋体"/>
          <w:color w:val="auto"/>
          <w:sz w:val="24"/>
          <w:szCs w:val="24"/>
          <w:highlight w:val="none"/>
        </w:rPr>
        <w:t>或其派出机构颁发的四级及以上承装（修、试）电力设施许可证。</w:t>
      </w:r>
      <w:r>
        <w:rPr>
          <w:rFonts w:ascii="宋体" w:hAnsi="宋体" w:cs="宋体"/>
          <w:b/>
          <w:bCs/>
          <w:color w:val="auto"/>
          <w:sz w:val="24"/>
          <w:szCs w:val="24"/>
          <w:highlight w:val="none"/>
        </w:rPr>
        <w:t>【投标时，响应文件中提供证书复印件，加盖供应商公章】</w:t>
      </w:r>
    </w:p>
    <w:p w14:paraId="29D37087">
      <w:pPr>
        <w:shd w:val="clear"/>
        <w:spacing w:line="400" w:lineRule="exact"/>
        <w:ind w:firstLine="480" w:firstLineChars="200"/>
        <w:rPr>
          <w:rFonts w:ascii="宋体" w:hAnsi="宋体" w:cs="宋体"/>
          <w:b/>
          <w:bCs/>
          <w:color w:val="auto"/>
          <w:sz w:val="24"/>
          <w:szCs w:val="24"/>
          <w:highlight w:val="none"/>
        </w:rPr>
      </w:pPr>
      <w:r>
        <w:rPr>
          <w:rFonts w:ascii="宋体" w:hAnsi="宋体" w:cs="宋体"/>
          <w:color w:val="auto"/>
          <w:sz w:val="24"/>
          <w:szCs w:val="24"/>
          <w:highlight w:val="none"/>
        </w:rPr>
        <w:t>3.供应商须具备建设行政主管部门颁发的有效的安全生产许可证。</w:t>
      </w:r>
      <w:r>
        <w:rPr>
          <w:rFonts w:ascii="宋体" w:hAnsi="宋体" w:cs="宋体"/>
          <w:b/>
          <w:bCs/>
          <w:color w:val="auto"/>
          <w:sz w:val="24"/>
          <w:szCs w:val="24"/>
          <w:highlight w:val="none"/>
        </w:rPr>
        <w:t>【投标时，响应文件中提供证书复印件，加盖供应商公章】</w:t>
      </w:r>
    </w:p>
    <w:p w14:paraId="46BCC378">
      <w:pPr>
        <w:pStyle w:val="4"/>
        <w:numPr>
          <w:ilvl w:val="1"/>
          <w:numId w:val="0"/>
        </w:numPr>
        <w:shd w:val="clear"/>
        <w:adjustRightInd w:val="0"/>
        <w:snapToGrid w:val="0"/>
        <w:spacing w:line="400" w:lineRule="exact"/>
        <w:rPr>
          <w:rFonts w:ascii="宋体" w:hAnsi="宋体" w:eastAsia="宋体" w:cs="宋体"/>
          <w:b/>
          <w:bCs w:val="0"/>
          <w:color w:val="auto"/>
          <w:sz w:val="24"/>
          <w:highlight w:val="none"/>
        </w:rPr>
      </w:pPr>
      <w:bookmarkStart w:id="42" w:name="_Toc29836"/>
      <w:r>
        <w:rPr>
          <w:rFonts w:hint="eastAsia" w:ascii="宋体" w:hAnsi="宋体" w:eastAsia="宋体" w:cs="宋体"/>
          <w:b/>
          <w:bCs w:val="0"/>
          <w:color w:val="auto"/>
          <w:sz w:val="24"/>
          <w:highlight w:val="none"/>
        </w:rPr>
        <w:t>四、磋商有关说明</w:t>
      </w:r>
      <w:bookmarkEnd w:id="33"/>
      <w:bookmarkEnd w:id="36"/>
      <w:bookmarkEnd w:id="37"/>
      <w:bookmarkEnd w:id="38"/>
      <w:bookmarkEnd w:id="39"/>
      <w:bookmarkEnd w:id="40"/>
      <w:bookmarkEnd w:id="41"/>
      <w:bookmarkEnd w:id="42"/>
    </w:p>
    <w:p w14:paraId="238F92B9">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（一）请有意参加本项目的供应商按要求进行注册，通过“行采家”（ </w:t>
      </w:r>
      <w:r>
        <w:rPr>
          <w:color w:val="auto"/>
          <w:highlight w:val="none"/>
        </w:rPr>
        <w:fldChar w:fldCharType="begin"/>
      </w:r>
      <w:r>
        <w:rPr>
          <w:color w:val="auto"/>
          <w:highlight w:val="none"/>
        </w:rPr>
        <w:instrText xml:space="preserve"> HYPERLINK "https://www.gec123.com/），登记加入" </w:instrText>
      </w:r>
      <w:r>
        <w:rPr>
          <w:color w:val="auto"/>
          <w:highlight w:val="none"/>
        </w:rPr>
        <w:fldChar w:fldCharType="separate"/>
      </w:r>
      <w:r>
        <w:rPr>
          <w:rFonts w:hint="eastAsia" w:ascii="宋体" w:hAnsi="宋体" w:cs="宋体"/>
          <w:color w:val="auto"/>
          <w:sz w:val="24"/>
          <w:szCs w:val="24"/>
          <w:highlight w:val="none"/>
        </w:rPr>
        <w:t>https://www.gec123.com/），登记加入“行采家供应商库”。</w:t>
      </w:r>
      <w:r>
        <w:rPr>
          <w:rFonts w:hint="eastAsia" w:ascii="宋体" w:hAnsi="宋体" w:cs="宋体"/>
          <w:color w:val="auto"/>
          <w:sz w:val="24"/>
          <w:szCs w:val="24"/>
          <w:highlight w:val="none"/>
        </w:rPr>
        <w:fldChar w:fldCharType="end"/>
      </w:r>
    </w:p>
    <w:p w14:paraId="79A3CD9B">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（二）凡有意参加磋商的供应商，请在“行采家”（ https://www.gec123.com/）网上下载本项目竞争性磋商文件以及图纸、澄清等磋商前公布的所有项目资料，无论供应商下载与否，均视为已知晓所有磋商实质性要求内容。</w:t>
      </w:r>
    </w:p>
    <w:p w14:paraId="68938DCE">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（三）竞争性磋商公告期限：自采购公告发布之日起三个工作日。</w:t>
      </w:r>
    </w:p>
    <w:p w14:paraId="59D8149A">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（四）竞争性磋商文件发售期限： </w:t>
      </w:r>
    </w:p>
    <w:p w14:paraId="6D26A79F">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1.竞争性磋商文件发售期：2025年</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22</w:t>
      </w:r>
      <w:r>
        <w:rPr>
          <w:rFonts w:hint="eastAsia" w:ascii="宋体" w:hAnsi="宋体" w:cs="宋体"/>
          <w:color w:val="auto"/>
          <w:sz w:val="24"/>
          <w:szCs w:val="24"/>
          <w:highlight w:val="none"/>
        </w:rPr>
        <w:t>日至2025年</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29</w:t>
      </w:r>
      <w:r>
        <w:rPr>
          <w:rFonts w:hint="eastAsia" w:ascii="宋体" w:hAnsi="宋体" w:cs="宋体"/>
          <w:color w:val="auto"/>
          <w:sz w:val="24"/>
          <w:szCs w:val="24"/>
          <w:highlight w:val="none"/>
        </w:rPr>
        <w:t>日。</w:t>
      </w:r>
    </w:p>
    <w:p w14:paraId="7EEAA9D8">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2.报名方式：供应商将《重庆千策招标代理有限公司报名表》（加盖供应商公章）扫描后发送至3097860773@qq.com（邮箱）。</w:t>
      </w:r>
    </w:p>
    <w:p w14:paraId="3AE7343C">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3.竞争性磋商文件售价：人民币300元/份，磋商文件购买费由各供应商在磋商当日递交响应文件时一并缴纳。</w:t>
      </w:r>
    </w:p>
    <w:p w14:paraId="43CDBF20">
      <w:pPr>
        <w:shd w:val="clea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（五）递交响应文件地点：重庆千策招标代理有限公司（重庆市渝北区星光大道82号天王星D1-2栋7楼）会议室</w:t>
      </w:r>
      <w:r>
        <w:rPr>
          <w:rFonts w:hint="eastAsia" w:ascii="宋体" w:hAnsi="宋体" w:cs="宋体"/>
          <w:color w:val="auto"/>
          <w:sz w:val="24"/>
          <w:szCs w:val="24"/>
          <w:highlight w:val="none"/>
          <w:lang w:eastAsia="zh-CN"/>
        </w:rPr>
        <w:t>。</w:t>
      </w:r>
    </w:p>
    <w:p w14:paraId="6A335537">
      <w:pPr>
        <w:shd w:val="clear"/>
        <w:spacing w:line="4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（六）响应文件递交开始时间：2025年</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日北京时间</w:t>
      </w:r>
      <w:r>
        <w:rPr>
          <w:rFonts w:hint="eastAsia" w:ascii="宋体" w:hAnsi="宋体" w:cs="宋体"/>
          <w:color w:val="auto"/>
          <w:sz w:val="24"/>
          <w:szCs w:val="24"/>
          <w:highlight w:val="none"/>
          <w:lang w:val="en-US" w:eastAsia="zh-CN"/>
        </w:rPr>
        <w:t>14</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00</w:t>
      </w:r>
    </w:p>
    <w:p w14:paraId="605D10F3">
      <w:pPr>
        <w:shd w:val="clear"/>
        <w:spacing w:line="4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（七）响应文件递交截止时间：2025年</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日北京时间</w:t>
      </w:r>
      <w:r>
        <w:rPr>
          <w:rFonts w:hint="eastAsia" w:ascii="宋体" w:hAnsi="宋体" w:cs="宋体"/>
          <w:color w:val="auto"/>
          <w:sz w:val="24"/>
          <w:szCs w:val="24"/>
          <w:highlight w:val="none"/>
          <w:lang w:val="en-US" w:eastAsia="zh-CN"/>
        </w:rPr>
        <w:t>14</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30</w:t>
      </w:r>
    </w:p>
    <w:p w14:paraId="58091BDB">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（八）磋商开始时间：2025年</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日北京时间</w:t>
      </w:r>
      <w:r>
        <w:rPr>
          <w:rFonts w:hint="eastAsia" w:ascii="宋体" w:hAnsi="宋体" w:cs="宋体"/>
          <w:color w:val="auto"/>
          <w:sz w:val="24"/>
          <w:szCs w:val="24"/>
          <w:highlight w:val="none"/>
          <w:lang w:val="en-US" w:eastAsia="zh-CN"/>
        </w:rPr>
        <w:t>14</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30</w:t>
      </w:r>
    </w:p>
    <w:bookmarkEnd w:id="34"/>
    <w:p w14:paraId="76B56960">
      <w:pPr>
        <w:pStyle w:val="4"/>
        <w:numPr>
          <w:ilvl w:val="1"/>
          <w:numId w:val="0"/>
        </w:numPr>
        <w:shd w:val="clear"/>
        <w:adjustRightInd w:val="0"/>
        <w:snapToGrid w:val="0"/>
        <w:spacing w:line="400" w:lineRule="exact"/>
        <w:rPr>
          <w:rFonts w:ascii="宋体" w:hAnsi="宋体" w:eastAsia="宋体" w:cs="宋体"/>
          <w:b/>
          <w:bCs w:val="0"/>
          <w:color w:val="auto"/>
          <w:sz w:val="24"/>
          <w:highlight w:val="none"/>
        </w:rPr>
      </w:pPr>
      <w:bookmarkStart w:id="43" w:name="_Toc17643"/>
      <w:bookmarkStart w:id="44" w:name="_Toc25280"/>
      <w:bookmarkStart w:id="45" w:name="_Toc373860294"/>
      <w:bookmarkStart w:id="46" w:name="_Toc8626"/>
      <w:bookmarkStart w:id="47" w:name="_Toc6621"/>
      <w:bookmarkStart w:id="48" w:name="_Toc7502"/>
      <w:bookmarkStart w:id="49" w:name="_Toc76462322"/>
      <w:bookmarkStart w:id="50" w:name="_Toc24994"/>
      <w:bookmarkStart w:id="51" w:name="_Toc106030876"/>
      <w:bookmarkStart w:id="52" w:name="_Toc480466699"/>
      <w:r>
        <w:rPr>
          <w:rFonts w:hint="eastAsia" w:ascii="宋体" w:hAnsi="宋体" w:eastAsia="宋体" w:cs="宋体"/>
          <w:b/>
          <w:bCs w:val="0"/>
          <w:color w:val="auto"/>
          <w:sz w:val="24"/>
          <w:highlight w:val="none"/>
        </w:rPr>
        <w:t>五、磋商保证金</w:t>
      </w:r>
      <w:bookmarkEnd w:id="43"/>
      <w:bookmarkEnd w:id="44"/>
      <w:bookmarkEnd w:id="45"/>
      <w:bookmarkEnd w:id="46"/>
      <w:bookmarkEnd w:id="47"/>
      <w:bookmarkEnd w:id="48"/>
    </w:p>
    <w:p w14:paraId="433F7710">
      <w:pPr>
        <w:shd w:val="clear"/>
        <w:snapToGrid w:val="0"/>
        <w:spacing w:line="400" w:lineRule="exact"/>
        <w:ind w:firstLine="360" w:firstLineChars="150"/>
        <w:rPr>
          <w:rFonts w:ascii="宋体" w:hAnsi="宋体" w:cs="宋体"/>
          <w:color w:val="auto"/>
          <w:sz w:val="24"/>
          <w:szCs w:val="24"/>
          <w:highlight w:val="none"/>
        </w:rPr>
      </w:pPr>
      <w:bookmarkStart w:id="53" w:name="_Toc479668114"/>
      <w:bookmarkStart w:id="54" w:name="_Toc480466698"/>
      <w:bookmarkStart w:id="55" w:name="_Toc8838"/>
      <w:bookmarkStart w:id="56" w:name="_Toc13402"/>
      <w:r>
        <w:rPr>
          <w:rFonts w:hint="eastAsia" w:ascii="宋体" w:hAnsi="宋体" w:cs="宋体"/>
          <w:color w:val="auto"/>
          <w:sz w:val="24"/>
          <w:szCs w:val="24"/>
          <w:highlight w:val="none"/>
        </w:rPr>
        <w:t>（一）磋商保证金递交</w:t>
      </w:r>
    </w:p>
    <w:p w14:paraId="65186250">
      <w:pPr>
        <w:shd w:val="clea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1.供应商应足额缴纳磋商保证金（磋商保证金金额详见本篇，一、竞争性磋商内容），并汇至以下账户，磋商保证金的到账截止时间同响应文件递交截止时间。</w:t>
      </w:r>
    </w:p>
    <w:p w14:paraId="7FAD1EDE">
      <w:pPr>
        <w:shd w:val="clea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磋商保证金账户：</w:t>
      </w:r>
    </w:p>
    <w:p w14:paraId="23EABF18">
      <w:pPr>
        <w:shd w:val="clea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户  名：重庆千策招标代理有限公司</w:t>
      </w:r>
    </w:p>
    <w:p w14:paraId="11599D61">
      <w:pPr>
        <w:shd w:val="clea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开户行：中国建设银行重庆杨家坪支行</w:t>
      </w:r>
    </w:p>
    <w:p w14:paraId="1963699E">
      <w:pPr>
        <w:shd w:val="clea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账  号：50050103360000000623</w:t>
      </w:r>
    </w:p>
    <w:p w14:paraId="0058833B">
      <w:pPr>
        <w:shd w:val="clea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2.各供应商在银行转账（电汇）时，须充分考虑银行转账（电汇）的时间差风险，如同城转账、异地转账或汇款、跨行转账或电汇的时间要求。</w:t>
      </w:r>
    </w:p>
    <w:p w14:paraId="6A7B2A13">
      <w:pPr>
        <w:shd w:val="clea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（二）磋商保证金退还方式</w:t>
      </w:r>
    </w:p>
    <w:bookmarkEnd w:id="53"/>
    <w:bookmarkEnd w:id="54"/>
    <w:p w14:paraId="7BD2B149">
      <w:pPr>
        <w:shd w:val="clea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1.未成交供应商的磋商保证金，在成交通知书发放后，采购代理机构在五个工作日内按供应商来款账户信息退还。</w:t>
      </w:r>
    </w:p>
    <w:p w14:paraId="3701D461">
      <w:pPr>
        <w:shd w:val="clear"/>
        <w:snapToGrid w:val="0"/>
        <w:spacing w:line="400" w:lineRule="exact"/>
        <w:ind w:firstLine="360" w:firstLineChars="150"/>
        <w:rPr>
          <w:rFonts w:ascii="宋体" w:hAnsi="宋体" w:cs="宋体"/>
          <w:color w:val="auto"/>
          <w:sz w:val="24"/>
          <w:szCs w:val="24"/>
          <w:highlight w:val="none"/>
        </w:rPr>
      </w:pPr>
      <w:bookmarkStart w:id="57" w:name="_Toc11537"/>
      <w:bookmarkStart w:id="58" w:name="_Toc22148"/>
      <w:r>
        <w:rPr>
          <w:rFonts w:hint="eastAsia" w:ascii="宋体" w:hAnsi="宋体" w:cs="宋体"/>
          <w:color w:val="auto"/>
          <w:sz w:val="24"/>
          <w:szCs w:val="24"/>
          <w:highlight w:val="none"/>
        </w:rPr>
        <w:t>2.成交供应商的磋商保证金，在成交供应商与采购人签订合同后，采购代理机构在五</w:t>
      </w:r>
      <w:bookmarkEnd w:id="57"/>
      <w:bookmarkEnd w:id="58"/>
      <w:r>
        <w:rPr>
          <w:rFonts w:hint="eastAsia" w:ascii="宋体" w:hAnsi="宋体" w:cs="宋体"/>
          <w:color w:val="auto"/>
          <w:sz w:val="24"/>
          <w:szCs w:val="24"/>
          <w:highlight w:val="none"/>
        </w:rPr>
        <w:t>个工作日内按供应商来款账户信息退还。</w:t>
      </w:r>
    </w:p>
    <w:bookmarkEnd w:id="55"/>
    <w:bookmarkEnd w:id="56"/>
    <w:p w14:paraId="00DE1FA2">
      <w:pPr>
        <w:pStyle w:val="4"/>
        <w:numPr>
          <w:ilvl w:val="1"/>
          <w:numId w:val="0"/>
        </w:numPr>
        <w:shd w:val="clear"/>
        <w:adjustRightInd w:val="0"/>
        <w:snapToGrid w:val="0"/>
        <w:spacing w:line="400" w:lineRule="exact"/>
        <w:rPr>
          <w:rFonts w:ascii="宋体" w:hAnsi="宋体" w:eastAsia="宋体" w:cs="宋体"/>
          <w:b/>
          <w:bCs w:val="0"/>
          <w:color w:val="auto"/>
          <w:sz w:val="24"/>
          <w:highlight w:val="none"/>
        </w:rPr>
      </w:pPr>
      <w:bookmarkStart w:id="59" w:name="_Toc25947"/>
      <w:bookmarkStart w:id="60" w:name="_Toc801"/>
      <w:bookmarkStart w:id="61" w:name="_Toc2659"/>
      <w:bookmarkStart w:id="62" w:name="_Toc31720"/>
      <w:r>
        <w:rPr>
          <w:rFonts w:hint="eastAsia" w:ascii="宋体" w:hAnsi="宋体" w:eastAsia="宋体" w:cs="宋体"/>
          <w:b/>
          <w:bCs w:val="0"/>
          <w:color w:val="auto"/>
          <w:sz w:val="24"/>
          <w:highlight w:val="none"/>
        </w:rPr>
        <w:t>六、其它有关规定</w:t>
      </w:r>
      <w:bookmarkEnd w:id="49"/>
      <w:bookmarkEnd w:id="50"/>
      <w:bookmarkEnd w:id="51"/>
      <w:bookmarkEnd w:id="52"/>
      <w:bookmarkEnd w:id="59"/>
      <w:bookmarkEnd w:id="60"/>
      <w:bookmarkEnd w:id="61"/>
      <w:bookmarkEnd w:id="62"/>
    </w:p>
    <w:p w14:paraId="797C656F">
      <w:pPr>
        <w:shd w:val="clea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（一）单位负责人为同一人或者存在直接控股、管理关系的不同供应商，不得参加同一合同项（包）下的采购活动，否则均为无效响应。</w:t>
      </w:r>
    </w:p>
    <w:p w14:paraId="161F54B9">
      <w:pPr>
        <w:shd w:val="clea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（二）为采购项目提供整体设计、规范编制或者项目管理、监理、检测等服务的供应商，不得再参加该采购项目的其他采购活动。</w:t>
      </w:r>
    </w:p>
    <w:p w14:paraId="467AF2EC">
      <w:pPr>
        <w:shd w:val="clea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（三）本项目的澄清文件（如果有）一律在“行采家”（ https://www.gec123.com/）上发布，请各供应商注意下载；无论供应商下载与否，均视同供应商已知晓本项目澄清文件（如果有）的内容。</w:t>
      </w:r>
    </w:p>
    <w:p w14:paraId="14A1D1CB">
      <w:pPr>
        <w:shd w:val="clea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（四）超过响应文件截止时间递交的响应文件，恕不接收。</w:t>
      </w:r>
    </w:p>
    <w:p w14:paraId="740E52D8">
      <w:pPr>
        <w:shd w:val="clea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（五）磋商费用：无论磋商结果如何，供应商参与本项目磋商的所有费用均应由供应商自行承担。</w:t>
      </w:r>
    </w:p>
    <w:p w14:paraId="4CF7E25F">
      <w:pPr>
        <w:shd w:val="clear"/>
        <w:snapToGrid w:val="0"/>
        <w:spacing w:line="400" w:lineRule="exact"/>
        <w:ind w:firstLine="361" w:firstLineChars="150"/>
        <w:rPr>
          <w:rFonts w:ascii="宋体" w:hAnsi="宋体" w:cs="宋体"/>
          <w:b/>
          <w:bCs/>
          <w:color w:val="auto"/>
          <w:sz w:val="24"/>
          <w:szCs w:val="24"/>
          <w:highlight w:val="none"/>
        </w:rPr>
      </w:pPr>
      <w:r>
        <w:rPr>
          <w:rFonts w:hint="eastAsia" w:ascii="宋体" w:hAnsi="宋体" w:cs="宋体"/>
          <w:b/>
          <w:bCs/>
          <w:color w:val="auto"/>
          <w:sz w:val="24"/>
          <w:szCs w:val="24"/>
          <w:highlight w:val="none"/>
        </w:rPr>
        <w:t>（六）本项目不接受联合体参与磋商，否则按无效处理。</w:t>
      </w:r>
    </w:p>
    <w:p w14:paraId="51FA57C8">
      <w:pPr>
        <w:shd w:val="clear"/>
        <w:snapToGrid w:val="0"/>
        <w:spacing w:line="400" w:lineRule="exact"/>
        <w:ind w:firstLine="361" w:firstLineChars="150"/>
        <w:rPr>
          <w:rFonts w:ascii="宋体" w:hAnsi="宋体" w:cs="宋体"/>
          <w:b/>
          <w:bCs/>
          <w:color w:val="auto"/>
          <w:sz w:val="24"/>
          <w:szCs w:val="24"/>
          <w:highlight w:val="none"/>
        </w:rPr>
      </w:pPr>
      <w:r>
        <w:rPr>
          <w:rFonts w:hint="eastAsia" w:ascii="宋体" w:hAnsi="宋体" w:cs="宋体"/>
          <w:b/>
          <w:bCs/>
          <w:color w:val="auto"/>
          <w:sz w:val="24"/>
          <w:szCs w:val="24"/>
          <w:highlight w:val="none"/>
        </w:rPr>
        <w:t>（七）本项目不接受合同分包，否则按无效处理。</w:t>
      </w:r>
    </w:p>
    <w:p w14:paraId="620F2EAF">
      <w:pPr>
        <w:shd w:val="clea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（八）</w:t>
      </w:r>
      <w:bookmarkStart w:id="63" w:name="_Toc480466700"/>
      <w:r>
        <w:rPr>
          <w:rFonts w:hint="eastAsia" w:ascii="宋体" w:hAnsi="宋体" w:cs="宋体"/>
          <w:color w:val="auto"/>
          <w:sz w:val="24"/>
          <w:szCs w:val="24"/>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514D7AF6">
      <w:pPr>
        <w:pStyle w:val="4"/>
        <w:numPr>
          <w:ilvl w:val="1"/>
          <w:numId w:val="0"/>
        </w:numPr>
        <w:shd w:val="clear"/>
        <w:adjustRightInd w:val="0"/>
        <w:snapToGrid w:val="0"/>
        <w:spacing w:line="400" w:lineRule="exact"/>
        <w:rPr>
          <w:rFonts w:ascii="宋体" w:hAnsi="宋体" w:eastAsia="宋体" w:cs="宋体"/>
          <w:b/>
          <w:bCs w:val="0"/>
          <w:color w:val="auto"/>
          <w:sz w:val="24"/>
          <w:highlight w:val="none"/>
        </w:rPr>
      </w:pPr>
      <w:bookmarkStart w:id="64" w:name="_Toc25021"/>
      <w:bookmarkStart w:id="65" w:name="_Toc19865"/>
      <w:bookmarkStart w:id="66" w:name="_Toc10536"/>
      <w:bookmarkStart w:id="67" w:name="_Toc76462323"/>
      <w:bookmarkStart w:id="68" w:name="_Toc10403"/>
      <w:bookmarkStart w:id="69" w:name="_Toc26964"/>
      <w:bookmarkStart w:id="70" w:name="_Toc106030877"/>
      <w:r>
        <w:rPr>
          <w:rFonts w:hint="eastAsia" w:ascii="宋体" w:hAnsi="宋体" w:eastAsia="宋体" w:cs="宋体"/>
          <w:b/>
          <w:bCs w:val="0"/>
          <w:color w:val="auto"/>
          <w:sz w:val="24"/>
          <w:highlight w:val="none"/>
        </w:rPr>
        <w:t>七、联系方式</w:t>
      </w:r>
      <w:bookmarkEnd w:id="63"/>
      <w:bookmarkEnd w:id="64"/>
      <w:bookmarkEnd w:id="65"/>
      <w:bookmarkEnd w:id="66"/>
      <w:bookmarkEnd w:id="67"/>
      <w:bookmarkEnd w:id="68"/>
      <w:bookmarkEnd w:id="69"/>
      <w:bookmarkEnd w:id="70"/>
    </w:p>
    <w:p w14:paraId="28893BBA">
      <w:pPr>
        <w:shd w:val="clear"/>
        <w:snapToGrid w:val="0"/>
        <w:spacing w:line="400" w:lineRule="exact"/>
        <w:ind w:firstLine="480" w:firstLineChars="200"/>
        <w:rPr>
          <w:rFonts w:ascii="宋体" w:hAnsi="宋体" w:cs="宋体"/>
          <w:color w:val="auto"/>
          <w:sz w:val="24"/>
          <w:szCs w:val="24"/>
          <w:highlight w:val="none"/>
        </w:rPr>
      </w:pPr>
      <w:bookmarkStart w:id="71" w:name="_Toc13219"/>
      <w:r>
        <w:rPr>
          <w:rFonts w:hint="eastAsia" w:ascii="宋体" w:hAnsi="宋体" w:cs="宋体"/>
          <w:color w:val="auto"/>
          <w:sz w:val="24"/>
          <w:szCs w:val="24"/>
          <w:highlight w:val="none"/>
        </w:rPr>
        <w:t>（一）采购人：</w:t>
      </w:r>
      <w:bookmarkEnd w:id="71"/>
      <w:bookmarkStart w:id="72" w:name="_Toc9519"/>
      <w:r>
        <w:rPr>
          <w:rFonts w:hint="eastAsia" w:ascii="宋体" w:hAnsi="宋体" w:cs="宋体"/>
          <w:color w:val="auto"/>
          <w:sz w:val="24"/>
          <w:szCs w:val="24"/>
          <w:highlight w:val="none"/>
        </w:rPr>
        <w:t>重庆市石桥铺殡仪馆</w:t>
      </w:r>
    </w:p>
    <w:bookmarkEnd w:id="72"/>
    <w:p w14:paraId="2AFE6D26">
      <w:pPr>
        <w:shd w:val="clear"/>
        <w:snapToGrid w:val="0"/>
        <w:spacing w:line="400" w:lineRule="exact"/>
        <w:ind w:firstLine="480" w:firstLineChars="200"/>
        <w:outlineLvl w:val="2"/>
        <w:rPr>
          <w:rFonts w:ascii="宋体" w:hAnsi="宋体" w:cs="宋体"/>
          <w:color w:val="auto"/>
          <w:sz w:val="24"/>
          <w:szCs w:val="24"/>
          <w:highlight w:val="none"/>
        </w:rPr>
      </w:pPr>
      <w:bookmarkStart w:id="73" w:name="_Toc30190"/>
      <w:r>
        <w:rPr>
          <w:rFonts w:hint="eastAsia" w:ascii="宋体" w:hAnsi="宋体" w:cs="宋体"/>
          <w:color w:val="auto"/>
          <w:sz w:val="24"/>
          <w:szCs w:val="24"/>
          <w:highlight w:val="none"/>
        </w:rPr>
        <w:t>联系人：陆老师</w:t>
      </w:r>
    </w:p>
    <w:p w14:paraId="43B84844">
      <w:pPr>
        <w:shd w:val="clear"/>
        <w:snapToGrid w:val="0"/>
        <w:spacing w:line="400" w:lineRule="exact"/>
        <w:ind w:firstLine="480" w:firstLineChars="200"/>
        <w:outlineLvl w:val="2"/>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电  话：</w:t>
      </w:r>
      <w:r>
        <w:rPr>
          <w:rFonts w:hint="eastAsia" w:ascii="宋体" w:hAnsi="宋体" w:cs="宋体"/>
          <w:color w:val="auto"/>
          <w:sz w:val="24"/>
          <w:szCs w:val="24"/>
          <w:highlight w:val="none"/>
          <w:lang w:val="en-US" w:eastAsia="zh-CN"/>
        </w:rPr>
        <w:t>023-65380579</w:t>
      </w:r>
    </w:p>
    <w:p w14:paraId="1DFCB7DD">
      <w:pPr>
        <w:shd w:val="clear"/>
        <w:snapToGrid w:val="0"/>
        <w:spacing w:line="400" w:lineRule="exact"/>
        <w:ind w:firstLine="480" w:firstLineChars="200"/>
        <w:outlineLvl w:val="2"/>
        <w:rPr>
          <w:rFonts w:ascii="宋体" w:hAnsi="宋体" w:cs="宋体"/>
          <w:color w:val="auto"/>
          <w:sz w:val="24"/>
          <w:szCs w:val="24"/>
          <w:highlight w:val="none"/>
        </w:rPr>
      </w:pPr>
      <w:r>
        <w:rPr>
          <w:rFonts w:hint="eastAsia" w:ascii="宋体" w:hAnsi="宋体" w:cs="宋体"/>
          <w:color w:val="auto"/>
          <w:sz w:val="24"/>
          <w:szCs w:val="24"/>
          <w:highlight w:val="none"/>
        </w:rPr>
        <w:t>地  址：重庆市沙坪坝区石小路150号</w:t>
      </w:r>
    </w:p>
    <w:p w14:paraId="60C00A73">
      <w:pPr>
        <w:shd w:val="clear"/>
        <w:snapToGrid w:val="0"/>
        <w:spacing w:line="400" w:lineRule="exact"/>
        <w:ind w:firstLine="480" w:firstLineChars="200"/>
        <w:outlineLvl w:val="2"/>
        <w:rPr>
          <w:rFonts w:ascii="宋体" w:hAnsi="宋体" w:cs="宋体"/>
          <w:color w:val="auto"/>
          <w:sz w:val="24"/>
          <w:szCs w:val="24"/>
          <w:highlight w:val="none"/>
        </w:rPr>
      </w:pPr>
      <w:r>
        <w:rPr>
          <w:rFonts w:hint="eastAsia" w:ascii="宋体" w:hAnsi="宋体" w:cs="宋体"/>
          <w:color w:val="auto"/>
          <w:sz w:val="24"/>
          <w:szCs w:val="24"/>
          <w:highlight w:val="none"/>
        </w:rPr>
        <w:t>（二）采购代理机构：重庆千策招标代理有限公司</w:t>
      </w:r>
      <w:bookmarkEnd w:id="73"/>
    </w:p>
    <w:p w14:paraId="575CAD1A">
      <w:pPr>
        <w:shd w:val="clear"/>
        <w:snapToGrid w:val="0"/>
        <w:spacing w:line="400" w:lineRule="exact"/>
        <w:ind w:firstLine="480" w:firstLineChars="200"/>
        <w:outlineLvl w:val="2"/>
        <w:rPr>
          <w:rFonts w:ascii="宋体" w:hAnsi="宋体" w:cs="宋体"/>
          <w:color w:val="auto"/>
          <w:sz w:val="24"/>
          <w:szCs w:val="24"/>
          <w:highlight w:val="none"/>
        </w:rPr>
      </w:pPr>
      <w:r>
        <w:rPr>
          <w:rFonts w:hint="eastAsia" w:ascii="宋体" w:hAnsi="宋体" w:cs="宋体"/>
          <w:color w:val="auto"/>
          <w:sz w:val="24"/>
          <w:szCs w:val="24"/>
          <w:highlight w:val="none"/>
        </w:rPr>
        <w:t>联系人：张欢</w:t>
      </w:r>
    </w:p>
    <w:p w14:paraId="6984F394">
      <w:pPr>
        <w:shd w:val="clear"/>
        <w:snapToGrid w:val="0"/>
        <w:spacing w:line="400" w:lineRule="exact"/>
        <w:ind w:firstLine="480" w:firstLineChars="200"/>
        <w:outlineLvl w:val="2"/>
        <w:rPr>
          <w:rFonts w:ascii="宋体" w:hAnsi="宋体" w:cs="宋体"/>
          <w:color w:val="auto"/>
          <w:sz w:val="24"/>
          <w:szCs w:val="24"/>
          <w:highlight w:val="none"/>
        </w:rPr>
      </w:pPr>
      <w:r>
        <w:rPr>
          <w:rFonts w:hint="eastAsia" w:ascii="宋体" w:hAnsi="宋体" w:cs="宋体"/>
          <w:color w:val="auto"/>
          <w:sz w:val="24"/>
          <w:szCs w:val="24"/>
          <w:highlight w:val="none"/>
        </w:rPr>
        <w:t>电  话：023-63206045（项目内容咨询）</w:t>
      </w:r>
    </w:p>
    <w:p w14:paraId="677BE789">
      <w:pPr>
        <w:shd w:val="clear"/>
        <w:snapToGrid w:val="0"/>
        <w:spacing w:line="400" w:lineRule="exact"/>
        <w:ind w:firstLine="1440" w:firstLineChars="600"/>
        <w:outlineLvl w:val="2"/>
        <w:rPr>
          <w:rFonts w:ascii="宋体" w:hAnsi="宋体" w:cs="宋体"/>
          <w:color w:val="auto"/>
          <w:sz w:val="24"/>
          <w:szCs w:val="24"/>
          <w:highlight w:val="none"/>
        </w:rPr>
      </w:pPr>
      <w:r>
        <w:rPr>
          <w:rFonts w:hint="eastAsia" w:ascii="宋体" w:hAnsi="宋体" w:cs="宋体"/>
          <w:color w:val="auto"/>
          <w:sz w:val="24"/>
          <w:szCs w:val="24"/>
          <w:highlight w:val="none"/>
        </w:rPr>
        <w:t>023-67461776（报名及保证金咨询）</w:t>
      </w:r>
    </w:p>
    <w:p w14:paraId="44FD1FEA">
      <w:pPr>
        <w:shd w:val="clear"/>
        <w:snapToGrid w:val="0"/>
        <w:spacing w:line="400" w:lineRule="exact"/>
        <w:ind w:firstLine="480" w:firstLineChars="200"/>
        <w:outlineLvl w:val="2"/>
        <w:rPr>
          <w:rFonts w:ascii="宋体" w:hAnsi="宋体" w:cs="宋体"/>
          <w:color w:val="auto"/>
          <w:sz w:val="24"/>
          <w:szCs w:val="24"/>
          <w:highlight w:val="none"/>
        </w:rPr>
      </w:pPr>
      <w:r>
        <w:rPr>
          <w:rFonts w:hint="eastAsia" w:ascii="宋体" w:hAnsi="宋体" w:cs="宋体"/>
          <w:color w:val="auto"/>
          <w:sz w:val="24"/>
          <w:szCs w:val="24"/>
          <w:highlight w:val="none"/>
        </w:rPr>
        <w:t>地  址：重庆市渝北区星光大道82号天王星D1-2栋7楼</w:t>
      </w:r>
    </w:p>
    <w:p w14:paraId="297722C7">
      <w:pPr>
        <w:shd w:val="clear"/>
        <w:snapToGrid w:val="0"/>
        <w:spacing w:line="400" w:lineRule="exact"/>
        <w:ind w:firstLine="482" w:firstLineChars="200"/>
        <w:rPr>
          <w:rFonts w:ascii="宋体" w:hAnsi="宋体" w:cs="宋体"/>
          <w:b/>
          <w:color w:val="auto"/>
          <w:sz w:val="24"/>
          <w:szCs w:val="24"/>
          <w:highlight w:val="none"/>
        </w:rPr>
        <w:sectPr>
          <w:footerReference r:id="rId10" w:type="default"/>
          <w:pgSz w:w="11907" w:h="16840"/>
          <w:pgMar w:top="1134" w:right="1418" w:bottom="1134" w:left="1418" w:header="624" w:footer="992" w:gutter="0"/>
          <w:pgNumType w:fmt="numberInDash" w:start="1"/>
          <w:cols w:space="720" w:num="1"/>
          <w:docGrid w:linePitch="312" w:charSpace="0"/>
        </w:sectPr>
      </w:pPr>
    </w:p>
    <w:p w14:paraId="64F01650">
      <w:pPr>
        <w:pStyle w:val="4"/>
        <w:numPr>
          <w:ilvl w:val="1"/>
          <w:numId w:val="0"/>
        </w:numPr>
        <w:shd w:val="clear"/>
        <w:spacing w:line="360" w:lineRule="auto"/>
        <w:jc w:val="center"/>
        <w:rPr>
          <w:rFonts w:ascii="宋体" w:hAnsi="宋体" w:eastAsia="宋体" w:cs="宋体"/>
          <w:color w:val="auto"/>
          <w:sz w:val="24"/>
          <w:szCs w:val="24"/>
          <w:highlight w:val="none"/>
        </w:rPr>
      </w:pPr>
      <w:bookmarkStart w:id="74" w:name="_Toc2866"/>
      <w:bookmarkStart w:id="75" w:name="_Toc14386"/>
      <w:bookmarkStart w:id="76" w:name="_Toc76462324"/>
      <w:bookmarkStart w:id="77" w:name="_Toc20799"/>
      <w:bookmarkStart w:id="78" w:name="_Toc106030878"/>
      <w:bookmarkStart w:id="79" w:name="_Toc26073"/>
      <w:bookmarkStart w:id="80" w:name="_Toc30919"/>
      <w:r>
        <w:rPr>
          <w:rFonts w:hint="eastAsia" w:ascii="宋体" w:hAnsi="宋体" w:eastAsia="宋体" w:cs="宋体"/>
          <w:color w:val="auto"/>
          <w:sz w:val="36"/>
          <w:szCs w:val="30"/>
          <w:highlight w:val="none"/>
        </w:rPr>
        <w:t>第二篇  项目服务需求</w:t>
      </w:r>
      <w:bookmarkEnd w:id="74"/>
      <w:bookmarkEnd w:id="75"/>
      <w:bookmarkEnd w:id="76"/>
      <w:bookmarkEnd w:id="77"/>
      <w:bookmarkEnd w:id="78"/>
      <w:bookmarkEnd w:id="79"/>
      <w:bookmarkEnd w:id="80"/>
      <w:bookmarkStart w:id="81" w:name="_Toc76462325"/>
      <w:bookmarkStart w:id="82" w:name="_Toc12789058"/>
    </w:p>
    <w:p w14:paraId="1C665BED">
      <w:pPr>
        <w:pStyle w:val="4"/>
        <w:numPr>
          <w:ilvl w:val="1"/>
          <w:numId w:val="0"/>
        </w:numPr>
        <w:shd w:val="clear"/>
        <w:adjustRightInd w:val="0"/>
        <w:snapToGrid w:val="0"/>
        <w:spacing w:line="400" w:lineRule="exact"/>
        <w:rPr>
          <w:rFonts w:ascii="宋体" w:hAnsi="宋体" w:eastAsia="宋体" w:cs="宋体"/>
          <w:b/>
          <w:bCs w:val="0"/>
          <w:color w:val="auto"/>
          <w:sz w:val="24"/>
          <w:highlight w:val="none"/>
        </w:rPr>
      </w:pPr>
      <w:bookmarkStart w:id="83" w:name="_Toc6371"/>
      <w:bookmarkStart w:id="84" w:name="_Toc29093"/>
      <w:bookmarkStart w:id="85" w:name="_Toc4063"/>
      <w:bookmarkStart w:id="86" w:name="_Toc28676"/>
      <w:bookmarkStart w:id="87" w:name="_Toc11510"/>
      <w:bookmarkStart w:id="88" w:name="_Toc106030879"/>
      <w:r>
        <w:rPr>
          <w:rFonts w:hint="eastAsia" w:ascii="宋体" w:hAnsi="宋体" w:eastAsia="宋体" w:cs="宋体"/>
          <w:b/>
          <w:bCs w:val="0"/>
          <w:color w:val="auto"/>
          <w:sz w:val="24"/>
          <w:highlight w:val="none"/>
        </w:rPr>
        <w:t>一、项目一览表</w:t>
      </w:r>
      <w:bookmarkEnd w:id="81"/>
      <w:bookmarkEnd w:id="83"/>
      <w:bookmarkEnd w:id="84"/>
      <w:bookmarkEnd w:id="85"/>
      <w:bookmarkEnd w:id="86"/>
      <w:bookmarkEnd w:id="87"/>
      <w:bookmarkEnd w:id="88"/>
    </w:p>
    <w:tbl>
      <w:tblPr>
        <w:tblStyle w:val="32"/>
        <w:tblW w:w="9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4"/>
        <w:gridCol w:w="1918"/>
        <w:gridCol w:w="1876"/>
      </w:tblGrid>
      <w:tr w14:paraId="1A8BA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284" w:type="dxa"/>
            <w:vAlign w:val="center"/>
          </w:tcPr>
          <w:p w14:paraId="752ECF5A">
            <w:pPr>
              <w:shd w:val="clear"/>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磋商项目名称</w:t>
            </w:r>
          </w:p>
        </w:tc>
        <w:tc>
          <w:tcPr>
            <w:tcW w:w="1918" w:type="dxa"/>
            <w:vAlign w:val="center"/>
          </w:tcPr>
          <w:p w14:paraId="3C8F4548">
            <w:pPr>
              <w:shd w:val="clear"/>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数量/单位</w:t>
            </w:r>
          </w:p>
        </w:tc>
        <w:tc>
          <w:tcPr>
            <w:tcW w:w="1876" w:type="dxa"/>
            <w:vAlign w:val="center"/>
          </w:tcPr>
          <w:p w14:paraId="3FA5048F">
            <w:pPr>
              <w:shd w:val="clear"/>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备注</w:t>
            </w:r>
          </w:p>
        </w:tc>
      </w:tr>
      <w:tr w14:paraId="6B4FC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atLeast"/>
        </w:trPr>
        <w:tc>
          <w:tcPr>
            <w:tcW w:w="5284" w:type="dxa"/>
            <w:vAlign w:val="center"/>
          </w:tcPr>
          <w:p w14:paraId="6F79F8C4">
            <w:pPr>
              <w:shd w:val="clea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重庆市石桥铺殡仪馆配电室配电设备安全整改</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第二次）</w:t>
            </w:r>
          </w:p>
        </w:tc>
        <w:tc>
          <w:tcPr>
            <w:tcW w:w="1918" w:type="dxa"/>
            <w:vAlign w:val="center"/>
          </w:tcPr>
          <w:p w14:paraId="2206641C">
            <w:pPr>
              <w:shd w:val="clear"/>
              <w:jc w:val="center"/>
              <w:rPr>
                <w:rFonts w:ascii="宋体" w:hAnsi="宋体" w:cs="宋体"/>
                <w:color w:val="auto"/>
                <w:sz w:val="24"/>
                <w:szCs w:val="24"/>
                <w:highlight w:val="none"/>
              </w:rPr>
            </w:pPr>
            <w:r>
              <w:rPr>
                <w:rFonts w:hint="eastAsia" w:ascii="宋体" w:hAnsi="宋体" w:cs="宋体"/>
                <w:color w:val="auto"/>
                <w:sz w:val="24"/>
                <w:szCs w:val="24"/>
                <w:highlight w:val="none"/>
              </w:rPr>
              <w:t>1项</w:t>
            </w:r>
          </w:p>
        </w:tc>
        <w:tc>
          <w:tcPr>
            <w:tcW w:w="1876" w:type="dxa"/>
            <w:vAlign w:val="center"/>
          </w:tcPr>
          <w:p w14:paraId="17DFA8E9">
            <w:pPr>
              <w:shd w:val="clea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详见下文</w:t>
            </w:r>
          </w:p>
        </w:tc>
      </w:tr>
    </w:tbl>
    <w:p w14:paraId="1A365AC6">
      <w:pPr>
        <w:pStyle w:val="4"/>
        <w:numPr>
          <w:ilvl w:val="1"/>
          <w:numId w:val="0"/>
        </w:numPr>
        <w:shd w:val="clear"/>
        <w:adjustRightInd w:val="0"/>
        <w:snapToGrid w:val="0"/>
        <w:spacing w:line="400" w:lineRule="exact"/>
        <w:rPr>
          <w:rFonts w:ascii="宋体" w:hAnsi="宋体" w:eastAsia="宋体" w:cs="宋体"/>
          <w:b/>
          <w:bCs w:val="0"/>
          <w:color w:val="auto"/>
          <w:sz w:val="24"/>
          <w:highlight w:val="none"/>
        </w:rPr>
      </w:pPr>
      <w:bookmarkStart w:id="89" w:name="_Toc16592"/>
      <w:bookmarkStart w:id="90" w:name="_Toc76462327"/>
      <w:bookmarkStart w:id="91" w:name="_Toc23407"/>
      <w:bookmarkStart w:id="92" w:name="_Toc106030882"/>
      <w:r>
        <w:rPr>
          <w:rFonts w:hint="eastAsia" w:ascii="宋体" w:hAnsi="宋体" w:eastAsia="宋体" w:cs="宋体"/>
          <w:b/>
          <w:bCs w:val="0"/>
          <w:color w:val="auto"/>
          <w:sz w:val="24"/>
          <w:highlight w:val="none"/>
        </w:rPr>
        <w:t>二、项目内容及要求</w:t>
      </w:r>
      <w:bookmarkEnd w:id="89"/>
    </w:p>
    <w:bookmarkEnd w:id="82"/>
    <w:bookmarkEnd w:id="90"/>
    <w:bookmarkEnd w:id="91"/>
    <w:bookmarkEnd w:id="92"/>
    <w:p w14:paraId="7CD3F5DB">
      <w:pPr>
        <w:pStyle w:val="13"/>
        <w:shd w:val="clear"/>
        <w:spacing w:line="400" w:lineRule="exact"/>
        <w:ind w:firstLine="480" w:firstLineChars="200"/>
        <w:rPr>
          <w:rFonts w:hint="eastAsia" w:ascii="宋体" w:hAnsi="宋体" w:cs="宋体"/>
          <w:color w:val="auto"/>
          <w:szCs w:val="24"/>
          <w:highlight w:val="none"/>
        </w:rPr>
      </w:pPr>
      <w:bookmarkStart w:id="93" w:name="_Toc20395"/>
      <w:bookmarkStart w:id="94" w:name="_Toc4804"/>
      <w:bookmarkStart w:id="95" w:name="_Toc4922"/>
      <w:r>
        <w:rPr>
          <w:rFonts w:hint="eastAsia" w:ascii="宋体" w:hAnsi="宋体" w:cs="宋体"/>
          <w:color w:val="auto"/>
          <w:szCs w:val="24"/>
          <w:highlight w:val="none"/>
        </w:rPr>
        <w:t>（一）</w:t>
      </w:r>
      <w:r>
        <w:rPr>
          <w:rFonts w:hint="eastAsia" w:ascii="宋体" w:hAnsi="宋体" w:cs="宋体"/>
          <w:color w:val="auto"/>
          <w:szCs w:val="24"/>
          <w:highlight w:val="none"/>
          <w:lang w:val="en-US" w:eastAsia="zh-CN"/>
        </w:rPr>
        <w:t>工程</w:t>
      </w:r>
      <w:r>
        <w:rPr>
          <w:rFonts w:hint="eastAsia" w:ascii="宋体" w:hAnsi="宋体" w:cs="宋体"/>
          <w:color w:val="auto"/>
          <w:szCs w:val="24"/>
          <w:highlight w:val="none"/>
        </w:rPr>
        <w:t>名称：重庆市石桥铺殡仪馆配电室配电设备安全整改。</w:t>
      </w:r>
    </w:p>
    <w:p w14:paraId="7CEAEEE6">
      <w:pPr>
        <w:pStyle w:val="13"/>
        <w:shd w:val="clear"/>
        <w:spacing w:line="400" w:lineRule="exact"/>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（二）建设单位：重庆市石桥铺殡仪馆。</w:t>
      </w:r>
    </w:p>
    <w:p w14:paraId="374A8155">
      <w:pPr>
        <w:pStyle w:val="13"/>
        <w:shd w:val="clear"/>
        <w:spacing w:line="400" w:lineRule="exact"/>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（三）</w:t>
      </w:r>
      <w:r>
        <w:rPr>
          <w:rFonts w:hint="eastAsia" w:ascii="宋体" w:hAnsi="宋体" w:cs="宋体"/>
          <w:color w:val="auto"/>
          <w:szCs w:val="24"/>
          <w:highlight w:val="none"/>
          <w:lang w:val="en-US" w:eastAsia="zh-CN"/>
        </w:rPr>
        <w:t>工程</w:t>
      </w:r>
      <w:r>
        <w:rPr>
          <w:rFonts w:hint="eastAsia" w:ascii="宋体" w:hAnsi="宋体" w:cs="宋体"/>
          <w:color w:val="auto"/>
          <w:szCs w:val="24"/>
          <w:highlight w:val="none"/>
        </w:rPr>
        <w:t>地点：石桥铺殡仪馆（重庆市沙坪坝区石小路150号）。</w:t>
      </w:r>
    </w:p>
    <w:p w14:paraId="49B5E843">
      <w:pPr>
        <w:pStyle w:val="13"/>
        <w:shd w:val="clear"/>
        <w:spacing w:line="400" w:lineRule="exact"/>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（四）</w:t>
      </w:r>
      <w:r>
        <w:rPr>
          <w:rFonts w:hint="eastAsia" w:ascii="宋体" w:hAnsi="宋体" w:cs="宋体"/>
          <w:color w:val="auto"/>
          <w:szCs w:val="24"/>
          <w:highlight w:val="none"/>
          <w:lang w:val="en-US" w:eastAsia="zh-CN"/>
        </w:rPr>
        <w:t>工程</w:t>
      </w:r>
      <w:r>
        <w:rPr>
          <w:rFonts w:hint="eastAsia" w:ascii="宋体" w:hAnsi="宋体" w:cs="宋体"/>
          <w:color w:val="auto"/>
          <w:szCs w:val="24"/>
          <w:highlight w:val="none"/>
        </w:rPr>
        <w:t>内容：具体内容及要求详见本项目施工图、工程量清单。项目实施需采取对采购人用电影响最小的方案，分次分日短时施工，若需停电需提前4日书面向采购人申请（1次只能申请1个停电点位），在征得采购人同意后，按采购人指定时间段施工，限时完成</w:t>
      </w:r>
      <w:r>
        <w:rPr>
          <w:rFonts w:hint="eastAsia" w:ascii="宋体" w:hAnsi="宋体" w:cs="宋体"/>
          <w:color w:val="auto"/>
          <w:szCs w:val="24"/>
          <w:highlight w:val="none"/>
          <w:lang w:eastAsia="zh-CN"/>
        </w:rPr>
        <w:t>当天当次施工任务，</w:t>
      </w:r>
      <w:r>
        <w:rPr>
          <w:rFonts w:hint="eastAsia" w:ascii="宋体" w:hAnsi="宋体" w:cs="宋体"/>
          <w:color w:val="auto"/>
          <w:szCs w:val="24"/>
          <w:highlight w:val="none"/>
        </w:rPr>
        <w:t>并在指定停电时间结束时，采取措施立即恢复原供电。</w:t>
      </w:r>
    </w:p>
    <w:p w14:paraId="541E1021">
      <w:pPr>
        <w:pStyle w:val="4"/>
        <w:numPr>
          <w:ilvl w:val="1"/>
          <w:numId w:val="0"/>
        </w:numPr>
        <w:shd w:val="clear"/>
        <w:adjustRightInd w:val="0"/>
        <w:snapToGrid w:val="0"/>
        <w:spacing w:line="400" w:lineRule="exact"/>
        <w:rPr>
          <w:rFonts w:ascii="宋体" w:hAnsi="宋体" w:eastAsia="宋体" w:cs="宋体"/>
          <w:b/>
          <w:bCs w:val="0"/>
          <w:color w:val="auto"/>
          <w:sz w:val="24"/>
          <w:highlight w:val="none"/>
        </w:rPr>
      </w:pPr>
      <w:bookmarkStart w:id="96" w:name="_Toc4197"/>
      <w:bookmarkStart w:id="97" w:name="_Toc20667"/>
      <w:bookmarkStart w:id="98" w:name="_Toc14810"/>
      <w:bookmarkStart w:id="99" w:name="_Toc17056"/>
      <w:bookmarkStart w:id="100" w:name="_Toc23971"/>
      <w:r>
        <w:rPr>
          <w:rFonts w:hint="eastAsia" w:ascii="宋体" w:hAnsi="宋体" w:eastAsia="宋体" w:cs="宋体"/>
          <w:b/>
          <w:bCs w:val="0"/>
          <w:color w:val="auto"/>
          <w:sz w:val="24"/>
          <w:highlight w:val="none"/>
        </w:rPr>
        <w:t>三、安全生产</w:t>
      </w:r>
      <w:bookmarkEnd w:id="96"/>
      <w:bookmarkEnd w:id="97"/>
      <w:bookmarkEnd w:id="98"/>
      <w:bookmarkEnd w:id="99"/>
      <w:bookmarkEnd w:id="100"/>
    </w:p>
    <w:p w14:paraId="2B8D441A">
      <w:pPr>
        <w:pStyle w:val="13"/>
        <w:shd w:val="clear"/>
        <w:spacing w:line="400" w:lineRule="exact"/>
        <w:ind w:firstLine="480" w:firstLineChars="200"/>
        <w:rPr>
          <w:rFonts w:ascii="宋体" w:hAnsi="宋体" w:cs="宋体"/>
          <w:color w:val="auto"/>
          <w:szCs w:val="24"/>
          <w:highlight w:val="none"/>
        </w:rPr>
      </w:pPr>
      <w:bookmarkStart w:id="101" w:name="_Toc21230"/>
      <w:r>
        <w:rPr>
          <w:rFonts w:hint="eastAsia" w:ascii="宋体" w:hAnsi="宋体" w:cs="宋体"/>
          <w:color w:val="auto"/>
          <w:szCs w:val="24"/>
          <w:highlight w:val="none"/>
        </w:rPr>
        <w:t>（一）供应商应落实安全生产，对各种作业机械设备、用电、高空作业，按照安全生产作业规范，作出详细的措施安排和提出相应的防护措施，经工程监理认可后实施，防护措施费用由供应商承担。</w:t>
      </w:r>
    </w:p>
    <w:p w14:paraId="749B4A64">
      <w:pPr>
        <w:pStyle w:val="13"/>
        <w:shd w:val="clear"/>
        <w:spacing w:line="40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（二）工程施工过程中的一切安全责任由供应商承担。</w:t>
      </w:r>
    </w:p>
    <w:p w14:paraId="0E1BBC77">
      <w:pPr>
        <w:pStyle w:val="13"/>
        <w:shd w:val="clear"/>
        <w:spacing w:line="40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（三）采购人或监理在施工过程中对供应商的安全文明施工进行检查时，如发现某处达不到安全文明施工合格标准或存在安全隐患，采购人可对供应商处以违约处罚金1000元/次。</w:t>
      </w:r>
    </w:p>
    <w:p w14:paraId="595137BD">
      <w:pPr>
        <w:pStyle w:val="13"/>
        <w:shd w:val="clear"/>
        <w:spacing w:line="40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（四）如本工程因供应商的自身原因造成了安全事故（或致第三人损害的），其赔偿责任、安全事故责任和经济损失等由供应商承担，与采购人无关。</w:t>
      </w:r>
    </w:p>
    <w:p w14:paraId="25AD00DB">
      <w:pPr>
        <w:pStyle w:val="13"/>
        <w:shd w:val="clear"/>
        <w:spacing w:line="40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（五）供应商根据采购人监管要求做好安全教育和管理，并自觉接受发包单位的指导和监督，供应商负责对其施工人员的管理，并承担一切后果。</w:t>
      </w:r>
    </w:p>
    <w:p w14:paraId="2CD0F126">
      <w:pPr>
        <w:pStyle w:val="4"/>
        <w:numPr>
          <w:ilvl w:val="1"/>
          <w:numId w:val="0"/>
        </w:numPr>
        <w:shd w:val="clear"/>
        <w:adjustRightInd w:val="0"/>
        <w:snapToGrid w:val="0"/>
        <w:spacing w:line="400" w:lineRule="exact"/>
        <w:rPr>
          <w:rFonts w:ascii="宋体" w:hAnsi="宋体" w:eastAsia="宋体" w:cs="宋体"/>
          <w:b/>
          <w:bCs w:val="0"/>
          <w:color w:val="auto"/>
          <w:sz w:val="24"/>
          <w:highlight w:val="none"/>
        </w:rPr>
      </w:pPr>
      <w:bookmarkStart w:id="102" w:name="_Toc22993"/>
      <w:r>
        <w:rPr>
          <w:rFonts w:hint="eastAsia" w:ascii="宋体" w:hAnsi="宋体" w:eastAsia="宋体" w:cs="宋体"/>
          <w:b/>
          <w:bCs w:val="0"/>
          <w:color w:val="auto"/>
          <w:sz w:val="24"/>
          <w:highlight w:val="none"/>
        </w:rPr>
        <w:t>四、人员要求</w:t>
      </w:r>
      <w:bookmarkEnd w:id="101"/>
      <w:bookmarkEnd w:id="102"/>
    </w:p>
    <w:p w14:paraId="672232B0">
      <w:pPr>
        <w:pStyle w:val="13"/>
        <w:shd w:val="clear"/>
        <w:spacing w:line="40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（一）项目经理要求</w:t>
      </w:r>
    </w:p>
    <w:p w14:paraId="138CF988">
      <w:pPr>
        <w:pStyle w:val="13"/>
        <w:shd w:val="clear"/>
        <w:spacing w:line="40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项目经理1名，具有电力类或电气类工程师高级职称证书或二级建造师</w:t>
      </w:r>
      <w:r>
        <w:rPr>
          <w:rFonts w:hint="eastAsia" w:ascii="宋体" w:hAnsi="宋体" w:cs="宋体"/>
          <w:color w:val="auto"/>
          <w:szCs w:val="24"/>
          <w:highlight w:val="none"/>
          <w:lang w:eastAsia="zh-CN"/>
        </w:rPr>
        <w:t>（</w:t>
      </w:r>
      <w:r>
        <w:rPr>
          <w:rFonts w:hint="eastAsia" w:ascii="宋体" w:hAnsi="宋体" w:cs="宋体"/>
          <w:color w:val="auto"/>
          <w:szCs w:val="24"/>
          <w:highlight w:val="none"/>
        </w:rPr>
        <w:t>机电专业</w:t>
      </w:r>
      <w:r>
        <w:rPr>
          <w:rFonts w:hint="eastAsia" w:ascii="宋体" w:hAnsi="宋体" w:cs="宋体"/>
          <w:color w:val="auto"/>
          <w:szCs w:val="24"/>
          <w:highlight w:val="none"/>
          <w:lang w:eastAsia="zh-CN"/>
        </w:rPr>
        <w:t>）</w:t>
      </w:r>
      <w:r>
        <w:rPr>
          <w:rFonts w:hint="eastAsia" w:ascii="宋体" w:hAnsi="宋体" w:cs="宋体"/>
          <w:color w:val="auto"/>
          <w:szCs w:val="24"/>
          <w:highlight w:val="none"/>
        </w:rPr>
        <w:t>执业资格和建设行政主管部门颁发的有效的安全生产考核合格证书，且不得在在建工程担任项目经理，和能到岗履职。</w:t>
      </w:r>
      <w:r>
        <w:rPr>
          <w:rFonts w:hint="eastAsia" w:ascii="宋体" w:hAnsi="宋体" w:cs="宋体"/>
          <w:b/>
          <w:bCs/>
          <w:color w:val="auto"/>
          <w:szCs w:val="24"/>
          <w:highlight w:val="none"/>
        </w:rPr>
        <w:t>【投标时，响应文件中提供①对应证书复印件、②项目经理无在建承诺和到岗履职承诺、③供应商为其缴纳2025年</w:t>
      </w:r>
      <w:r>
        <w:rPr>
          <w:rFonts w:hint="eastAsia" w:ascii="宋体" w:hAnsi="宋体" w:cs="宋体"/>
          <w:b/>
          <w:bCs/>
          <w:color w:val="auto"/>
          <w:szCs w:val="24"/>
          <w:highlight w:val="none"/>
          <w:lang w:val="en-US" w:eastAsia="zh-CN"/>
        </w:rPr>
        <w:t>6月至开标当月</w:t>
      </w:r>
      <w:r>
        <w:rPr>
          <w:rFonts w:hint="eastAsia" w:ascii="宋体" w:hAnsi="宋体" w:cs="宋体"/>
          <w:b/>
          <w:bCs/>
          <w:color w:val="auto"/>
          <w:szCs w:val="24"/>
          <w:highlight w:val="none"/>
        </w:rPr>
        <w:t>任意一个月的社保证明材料复印件，加盖供应商公章。】</w:t>
      </w:r>
    </w:p>
    <w:p w14:paraId="5F21481C">
      <w:pPr>
        <w:pStyle w:val="13"/>
        <w:shd w:val="clear"/>
        <w:spacing w:line="40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（二）技术负责人要求</w:t>
      </w:r>
    </w:p>
    <w:p w14:paraId="246390EE">
      <w:pPr>
        <w:pStyle w:val="13"/>
        <w:shd w:val="clear"/>
        <w:spacing w:line="40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技术负责人1名，具有电力类或电气类工程师中级及以上职称证书或二级建造师</w:t>
      </w:r>
      <w:r>
        <w:rPr>
          <w:rFonts w:hint="eastAsia" w:ascii="宋体" w:hAnsi="宋体" w:cs="宋体"/>
          <w:color w:val="auto"/>
          <w:szCs w:val="24"/>
          <w:highlight w:val="none"/>
          <w:lang w:eastAsia="zh-CN"/>
        </w:rPr>
        <w:t>（</w:t>
      </w:r>
      <w:r>
        <w:rPr>
          <w:rFonts w:hint="eastAsia" w:ascii="宋体" w:hAnsi="宋体" w:cs="宋体"/>
          <w:color w:val="auto"/>
          <w:szCs w:val="24"/>
          <w:highlight w:val="none"/>
        </w:rPr>
        <w:t>机电专业</w:t>
      </w:r>
      <w:r>
        <w:rPr>
          <w:rFonts w:hint="eastAsia" w:ascii="宋体" w:hAnsi="宋体" w:cs="宋体"/>
          <w:color w:val="auto"/>
          <w:szCs w:val="24"/>
          <w:highlight w:val="none"/>
          <w:lang w:eastAsia="zh-CN"/>
        </w:rPr>
        <w:t>）</w:t>
      </w:r>
      <w:r>
        <w:rPr>
          <w:rFonts w:hint="eastAsia" w:ascii="宋体" w:hAnsi="宋体" w:cs="宋体"/>
          <w:color w:val="auto"/>
          <w:szCs w:val="24"/>
          <w:highlight w:val="none"/>
        </w:rPr>
        <w:t>执业资格。</w:t>
      </w:r>
      <w:r>
        <w:rPr>
          <w:rFonts w:hint="eastAsia" w:ascii="宋体" w:hAnsi="宋体" w:cs="宋体"/>
          <w:b/>
          <w:bCs/>
          <w:color w:val="auto"/>
          <w:szCs w:val="24"/>
          <w:highlight w:val="none"/>
        </w:rPr>
        <w:t>【投标时，响应文件中提供①对应证书复印件、②供应商为其缴纳2025年</w:t>
      </w:r>
      <w:r>
        <w:rPr>
          <w:rFonts w:hint="eastAsia" w:ascii="宋体" w:hAnsi="宋体" w:cs="宋体"/>
          <w:b/>
          <w:bCs/>
          <w:color w:val="auto"/>
          <w:szCs w:val="24"/>
          <w:highlight w:val="none"/>
          <w:lang w:val="en-US" w:eastAsia="zh-CN"/>
        </w:rPr>
        <w:t>6月至开标当月</w:t>
      </w:r>
      <w:r>
        <w:rPr>
          <w:rFonts w:hint="eastAsia" w:ascii="宋体" w:hAnsi="宋体" w:cs="宋体"/>
          <w:b/>
          <w:bCs/>
          <w:color w:val="auto"/>
          <w:szCs w:val="24"/>
          <w:highlight w:val="none"/>
        </w:rPr>
        <w:t>任意一个月的社保证明材料复印件，加盖供应商公章。】</w:t>
      </w:r>
    </w:p>
    <w:p w14:paraId="0F9707D6">
      <w:pPr>
        <w:pStyle w:val="13"/>
        <w:shd w:val="clear"/>
        <w:spacing w:line="400" w:lineRule="exact"/>
        <w:ind w:firstLine="480" w:firstLineChars="200"/>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lang w:eastAsia="zh-CN"/>
        </w:rPr>
        <w:t>（三）安全管理员要求</w:t>
      </w:r>
      <w:r>
        <w:rPr>
          <w:rFonts w:hint="eastAsia" w:ascii="宋体" w:hAnsi="宋体" w:cs="宋体"/>
          <w:color w:val="auto"/>
          <w:szCs w:val="24"/>
          <w:highlight w:val="none"/>
          <w:lang w:val="en-US" w:eastAsia="zh-CN"/>
        </w:rPr>
        <w:br w:type="textWrapping"/>
      </w:r>
      <w:r>
        <w:rPr>
          <w:rFonts w:hint="eastAsia" w:ascii="宋体" w:hAnsi="宋体" w:cs="宋体"/>
          <w:color w:val="auto"/>
          <w:szCs w:val="24"/>
          <w:highlight w:val="none"/>
          <w:lang w:val="en-US" w:eastAsia="zh-CN"/>
        </w:rPr>
        <w:t xml:space="preserve">    安全管理员1人，派至本项目的专职安全管理人员具有建筑施工企业安全生产考核合格证。</w:t>
      </w:r>
      <w:r>
        <w:rPr>
          <w:rFonts w:hint="eastAsia" w:ascii="宋体" w:hAnsi="宋体" w:cs="宋体"/>
          <w:b/>
          <w:bCs/>
          <w:color w:val="auto"/>
          <w:szCs w:val="24"/>
          <w:highlight w:val="none"/>
        </w:rPr>
        <w:t>【投标时，响应文件中提供①对应证书复印件、②供应商为其缴纳2025年</w:t>
      </w:r>
      <w:r>
        <w:rPr>
          <w:rFonts w:hint="eastAsia" w:ascii="宋体" w:hAnsi="宋体" w:cs="宋体"/>
          <w:b/>
          <w:bCs/>
          <w:color w:val="auto"/>
          <w:szCs w:val="24"/>
          <w:highlight w:val="none"/>
          <w:lang w:val="en-US" w:eastAsia="zh-CN"/>
        </w:rPr>
        <w:t>6月至开标当月</w:t>
      </w:r>
      <w:r>
        <w:rPr>
          <w:rFonts w:hint="eastAsia" w:ascii="宋体" w:hAnsi="宋体" w:cs="宋体"/>
          <w:b/>
          <w:bCs/>
          <w:color w:val="auto"/>
          <w:szCs w:val="24"/>
          <w:highlight w:val="none"/>
        </w:rPr>
        <w:t>任意一个月的社保证明材料复印件，加盖供应商公章。】</w:t>
      </w:r>
    </w:p>
    <w:p w14:paraId="436D4B30">
      <w:pPr>
        <w:pStyle w:val="13"/>
        <w:shd w:val="clear"/>
        <w:spacing w:line="40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w:t>
      </w:r>
      <w:r>
        <w:rPr>
          <w:rFonts w:hint="eastAsia" w:ascii="宋体" w:hAnsi="宋体" w:cs="宋体"/>
          <w:color w:val="auto"/>
          <w:szCs w:val="24"/>
          <w:highlight w:val="none"/>
          <w:lang w:eastAsia="zh-CN"/>
        </w:rPr>
        <w:t>四</w:t>
      </w:r>
      <w:r>
        <w:rPr>
          <w:rFonts w:hint="eastAsia" w:ascii="宋体" w:hAnsi="宋体" w:cs="宋体"/>
          <w:color w:val="auto"/>
          <w:szCs w:val="24"/>
          <w:highlight w:val="none"/>
        </w:rPr>
        <w:t>）其他主要管理人员要求</w:t>
      </w:r>
    </w:p>
    <w:p w14:paraId="7896E175">
      <w:pPr>
        <w:pStyle w:val="13"/>
        <w:shd w:val="clear"/>
        <w:spacing w:line="40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供应商自行承诺成交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供应商为其缴纳社保证明材料。成交后不能满足该要求的，采购人有权拒绝签订合同，给采购人造成损失的，供应商依法承担违约赔偿责任。</w:t>
      </w:r>
      <w:r>
        <w:rPr>
          <w:rFonts w:hint="eastAsia" w:ascii="宋体" w:hAnsi="宋体" w:cs="宋体"/>
          <w:b/>
          <w:bCs/>
          <w:color w:val="auto"/>
          <w:szCs w:val="24"/>
          <w:highlight w:val="none"/>
        </w:rPr>
        <w:t>【投标时，响应文件中提供书面承诺书（格式自拟），加盖供应商公章。】</w:t>
      </w:r>
    </w:p>
    <w:p w14:paraId="5C8B07BD">
      <w:pPr>
        <w:pStyle w:val="4"/>
        <w:numPr>
          <w:ilvl w:val="1"/>
          <w:numId w:val="0"/>
        </w:numPr>
        <w:shd w:val="clear"/>
        <w:adjustRightInd w:val="0"/>
        <w:snapToGrid w:val="0"/>
        <w:spacing w:line="400" w:lineRule="exact"/>
        <w:rPr>
          <w:rFonts w:ascii="宋体" w:hAnsi="宋体" w:eastAsia="宋体" w:cs="宋体"/>
          <w:b/>
          <w:bCs w:val="0"/>
          <w:color w:val="auto"/>
          <w:sz w:val="24"/>
          <w:highlight w:val="none"/>
        </w:rPr>
      </w:pPr>
      <w:bookmarkStart w:id="103" w:name="_Toc25494"/>
      <w:bookmarkStart w:id="104" w:name="_Toc25660"/>
      <w:r>
        <w:rPr>
          <w:rFonts w:hint="eastAsia" w:ascii="宋体" w:hAnsi="宋体" w:eastAsia="宋体" w:cs="宋体"/>
          <w:b/>
          <w:bCs w:val="0"/>
          <w:color w:val="auto"/>
          <w:sz w:val="24"/>
          <w:highlight w:val="none"/>
        </w:rPr>
        <w:t>五、现场踏勘</w:t>
      </w:r>
      <w:bookmarkEnd w:id="103"/>
      <w:bookmarkEnd w:id="104"/>
    </w:p>
    <w:p w14:paraId="76484A9D">
      <w:pPr>
        <w:pStyle w:val="13"/>
        <w:shd w:val="clear"/>
        <w:spacing w:line="40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为确保项目的正常实施开展，了解项目有关情况，供应商可以在本竞争性磋商文件公告期间进行现场踏勘（不管供应商踏勘与否，均视作供应商已了解本项目的所有工作内容）。</w:t>
      </w:r>
    </w:p>
    <w:p w14:paraId="49C2894B">
      <w:pPr>
        <w:shd w:val="clear"/>
        <w:snapToGrid w:val="0"/>
        <w:spacing w:line="400" w:lineRule="exact"/>
        <w:ind w:firstLine="480" w:firstLineChars="200"/>
        <w:outlineLvl w:val="2"/>
        <w:rPr>
          <w:rFonts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eastAsia="zh-CN"/>
        </w:rPr>
        <w:t>陆</w:t>
      </w:r>
      <w:r>
        <w:rPr>
          <w:rFonts w:hint="eastAsia" w:ascii="宋体" w:hAnsi="宋体" w:cs="宋体"/>
          <w:color w:val="auto"/>
          <w:sz w:val="24"/>
          <w:szCs w:val="24"/>
          <w:highlight w:val="none"/>
        </w:rPr>
        <w:t>老师</w:t>
      </w:r>
    </w:p>
    <w:p w14:paraId="10016D44">
      <w:pPr>
        <w:shd w:val="clear"/>
        <w:snapToGrid w:val="0"/>
        <w:spacing w:line="400" w:lineRule="exact"/>
        <w:ind w:firstLine="480" w:firstLineChars="200"/>
        <w:outlineLvl w:val="2"/>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电  话：</w:t>
      </w:r>
      <w:r>
        <w:rPr>
          <w:rFonts w:hint="eastAsia" w:ascii="宋体" w:hAnsi="宋体" w:cs="宋体"/>
          <w:color w:val="auto"/>
          <w:sz w:val="24"/>
          <w:szCs w:val="24"/>
          <w:highlight w:val="none"/>
          <w:lang w:val="en-US" w:eastAsia="zh-CN"/>
        </w:rPr>
        <w:t>13220336426</w:t>
      </w:r>
    </w:p>
    <w:p w14:paraId="5E6917ED">
      <w:pPr>
        <w:pStyle w:val="13"/>
        <w:shd w:val="clear"/>
        <w:spacing w:line="40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注：1.供应商踏勘现场发生的费用自理。</w:t>
      </w:r>
    </w:p>
    <w:p w14:paraId="1FAEE79A">
      <w:pPr>
        <w:pStyle w:val="13"/>
        <w:shd w:val="clear"/>
        <w:spacing w:line="400" w:lineRule="exact"/>
        <w:ind w:firstLine="960" w:firstLineChars="400"/>
        <w:rPr>
          <w:rFonts w:ascii="宋体" w:hAnsi="宋体" w:cs="宋体"/>
          <w:color w:val="auto"/>
          <w:szCs w:val="24"/>
          <w:highlight w:val="none"/>
        </w:rPr>
      </w:pPr>
      <w:r>
        <w:rPr>
          <w:rFonts w:hint="eastAsia" w:ascii="宋体" w:hAnsi="宋体" w:cs="宋体"/>
          <w:color w:val="auto"/>
          <w:szCs w:val="24"/>
          <w:highlight w:val="none"/>
        </w:rPr>
        <w:t>2.供应商自行负责在踏勘现场中可能发生的人员伤亡和财产损失。</w:t>
      </w:r>
    </w:p>
    <w:p w14:paraId="118C3E20">
      <w:pPr>
        <w:pStyle w:val="13"/>
        <w:shd w:val="clear"/>
        <w:spacing w:line="400" w:lineRule="exact"/>
        <w:ind w:firstLine="960" w:firstLineChars="400"/>
        <w:rPr>
          <w:rFonts w:ascii="宋体" w:hAnsi="宋体" w:cs="宋体"/>
          <w:color w:val="auto"/>
          <w:szCs w:val="24"/>
          <w:highlight w:val="none"/>
        </w:rPr>
      </w:pPr>
      <w:r>
        <w:rPr>
          <w:rFonts w:hint="eastAsia" w:ascii="宋体" w:hAnsi="宋体" w:cs="宋体"/>
          <w:color w:val="auto"/>
          <w:szCs w:val="24"/>
          <w:highlight w:val="none"/>
        </w:rPr>
        <w:t>3.采购人在踏勘现场中介绍的项目相关情况，仅供供应商在编制响应文件时参考，采购人不对供应商据此做出的判断和决策负责。</w:t>
      </w:r>
    </w:p>
    <w:p w14:paraId="24299C0C">
      <w:pPr>
        <w:pStyle w:val="4"/>
        <w:numPr>
          <w:ilvl w:val="1"/>
          <w:numId w:val="0"/>
        </w:numPr>
        <w:shd w:val="clear"/>
        <w:adjustRightInd w:val="0"/>
        <w:snapToGrid w:val="0"/>
        <w:spacing w:line="400" w:lineRule="exact"/>
        <w:rPr>
          <w:rFonts w:ascii="宋体" w:hAnsi="宋体" w:eastAsia="宋体" w:cs="宋体"/>
          <w:b/>
          <w:bCs w:val="0"/>
          <w:color w:val="auto"/>
          <w:sz w:val="24"/>
          <w:highlight w:val="none"/>
        </w:rPr>
      </w:pPr>
      <w:bookmarkStart w:id="105" w:name="_Toc9059"/>
      <w:bookmarkStart w:id="106" w:name="_Toc28255"/>
      <w:bookmarkStart w:id="107" w:name="_Toc16187"/>
      <w:bookmarkStart w:id="108" w:name="_Toc15062"/>
      <w:bookmarkStart w:id="109" w:name="_Toc13788"/>
      <w:bookmarkStart w:id="110" w:name="_Toc8213"/>
      <w:r>
        <w:rPr>
          <w:rFonts w:hint="eastAsia" w:ascii="宋体" w:hAnsi="宋体" w:eastAsia="宋体" w:cs="宋体"/>
          <w:b/>
          <w:bCs w:val="0"/>
          <w:color w:val="auto"/>
          <w:sz w:val="24"/>
          <w:highlight w:val="none"/>
        </w:rPr>
        <w:t>六、其他要求</w:t>
      </w:r>
      <w:bookmarkEnd w:id="105"/>
      <w:bookmarkEnd w:id="106"/>
      <w:bookmarkEnd w:id="107"/>
      <w:bookmarkEnd w:id="108"/>
      <w:bookmarkEnd w:id="109"/>
      <w:bookmarkEnd w:id="110"/>
    </w:p>
    <w:p w14:paraId="2F812B06">
      <w:pPr>
        <w:pStyle w:val="13"/>
        <w:shd w:val="clear"/>
        <w:spacing w:line="40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项目实施过程中所有与项目有关的文件资料均需在项目实施过程中完善，不能在项目实施完成后补充资料。</w:t>
      </w:r>
    </w:p>
    <w:p w14:paraId="6D9754DB">
      <w:pPr>
        <w:pStyle w:val="4"/>
        <w:numPr>
          <w:ilvl w:val="1"/>
          <w:numId w:val="0"/>
        </w:numPr>
        <w:shd w:val="clear"/>
        <w:adjustRightInd w:val="0"/>
        <w:snapToGrid w:val="0"/>
        <w:spacing w:line="400" w:lineRule="exact"/>
        <w:rPr>
          <w:rFonts w:ascii="宋体" w:hAnsi="宋体" w:eastAsia="宋体" w:cs="宋体"/>
          <w:b/>
          <w:bCs w:val="0"/>
          <w:color w:val="auto"/>
          <w:sz w:val="24"/>
          <w:highlight w:val="none"/>
        </w:rPr>
      </w:pPr>
      <w:bookmarkStart w:id="111" w:name="_Toc17828"/>
      <w:bookmarkStart w:id="112" w:name="_Toc7269"/>
      <w:bookmarkStart w:id="113" w:name="_Toc26733"/>
      <w:r>
        <w:rPr>
          <w:rFonts w:hint="eastAsia" w:ascii="宋体" w:hAnsi="宋体" w:eastAsia="宋体" w:cs="宋体"/>
          <w:b/>
          <w:bCs w:val="0"/>
          <w:color w:val="auto"/>
          <w:sz w:val="24"/>
          <w:highlight w:val="none"/>
        </w:rPr>
        <w:t>七、附件</w:t>
      </w:r>
      <w:bookmarkEnd w:id="111"/>
      <w:bookmarkEnd w:id="112"/>
      <w:bookmarkEnd w:id="113"/>
    </w:p>
    <w:p w14:paraId="6C2A91DB">
      <w:pPr>
        <w:pStyle w:val="13"/>
        <w:shd w:val="clear"/>
        <w:spacing w:line="40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附件1：施工图—重庆市石桥铺殡仪馆配电室配电设备安全整改</w:t>
      </w:r>
    </w:p>
    <w:p w14:paraId="133A22F2">
      <w:pPr>
        <w:pStyle w:val="13"/>
        <w:shd w:val="clear"/>
        <w:spacing w:line="40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附件2：工程量清单—重庆市石桥铺殡仪馆配电室配电设备安全整改</w:t>
      </w:r>
    </w:p>
    <w:p w14:paraId="134714F2">
      <w:pPr>
        <w:shd w:val="clear"/>
        <w:snapToGrid w:val="0"/>
        <w:spacing w:line="400" w:lineRule="exact"/>
        <w:ind w:firstLine="480" w:firstLineChars="200"/>
        <w:rPr>
          <w:rFonts w:ascii="宋体" w:hAnsi="宋体" w:cs="宋体"/>
          <w:color w:val="auto"/>
          <w:kern w:val="0"/>
          <w:sz w:val="24"/>
          <w:szCs w:val="24"/>
          <w:highlight w:val="none"/>
        </w:rPr>
      </w:pPr>
    </w:p>
    <w:p w14:paraId="5DEC2CE6">
      <w:pPr>
        <w:shd w:val="clear"/>
        <w:snapToGrid w:val="0"/>
        <w:spacing w:line="400" w:lineRule="exact"/>
        <w:ind w:firstLine="480" w:firstLineChars="200"/>
        <w:rPr>
          <w:rFonts w:ascii="宋体" w:hAnsi="宋体" w:cs="宋体"/>
          <w:color w:val="auto"/>
          <w:kern w:val="0"/>
          <w:sz w:val="24"/>
          <w:szCs w:val="24"/>
          <w:highlight w:val="none"/>
        </w:rPr>
      </w:pPr>
    </w:p>
    <w:p w14:paraId="11695247">
      <w:pPr>
        <w:shd w:val="clear"/>
        <w:snapToGrid w:val="0"/>
        <w:spacing w:line="400" w:lineRule="exact"/>
        <w:ind w:firstLine="480" w:firstLineChars="200"/>
        <w:rPr>
          <w:rFonts w:ascii="宋体" w:hAnsi="宋体" w:cs="宋体"/>
          <w:color w:val="auto"/>
          <w:kern w:val="0"/>
          <w:sz w:val="24"/>
          <w:szCs w:val="24"/>
          <w:highlight w:val="none"/>
        </w:rPr>
      </w:pPr>
    </w:p>
    <w:p w14:paraId="2D2487B1">
      <w:pPr>
        <w:pStyle w:val="17"/>
        <w:shd w:val="clear"/>
        <w:ind w:left="1960" w:right="1960"/>
        <w:rPr>
          <w:rFonts w:ascii="宋体" w:hAnsi="宋体" w:cs="宋体"/>
          <w:color w:val="auto"/>
          <w:kern w:val="0"/>
          <w:sz w:val="24"/>
          <w:szCs w:val="24"/>
          <w:highlight w:val="none"/>
        </w:rPr>
      </w:pPr>
    </w:p>
    <w:p w14:paraId="61442416">
      <w:pPr>
        <w:pStyle w:val="17"/>
        <w:shd w:val="clear"/>
        <w:ind w:left="1960" w:right="1960"/>
        <w:rPr>
          <w:rFonts w:ascii="宋体" w:hAnsi="宋体" w:cs="宋体"/>
          <w:color w:val="auto"/>
          <w:kern w:val="0"/>
          <w:sz w:val="24"/>
          <w:szCs w:val="24"/>
          <w:highlight w:val="none"/>
        </w:rPr>
      </w:pPr>
    </w:p>
    <w:p w14:paraId="7AF7762A">
      <w:pPr>
        <w:pStyle w:val="17"/>
        <w:shd w:val="clear"/>
        <w:ind w:left="1960" w:right="1960"/>
        <w:rPr>
          <w:rFonts w:ascii="宋体" w:hAnsi="宋体" w:cs="宋体"/>
          <w:color w:val="auto"/>
          <w:kern w:val="0"/>
          <w:sz w:val="24"/>
          <w:szCs w:val="24"/>
          <w:highlight w:val="none"/>
        </w:rPr>
      </w:pPr>
    </w:p>
    <w:p w14:paraId="3D8D406C">
      <w:pPr>
        <w:pStyle w:val="17"/>
        <w:shd w:val="clear"/>
        <w:ind w:left="1960" w:right="1960"/>
        <w:rPr>
          <w:rFonts w:ascii="宋体" w:hAnsi="宋体" w:cs="宋体"/>
          <w:color w:val="auto"/>
          <w:kern w:val="0"/>
          <w:sz w:val="24"/>
          <w:szCs w:val="24"/>
          <w:highlight w:val="none"/>
        </w:rPr>
      </w:pPr>
    </w:p>
    <w:p w14:paraId="08EA74B6">
      <w:pPr>
        <w:pStyle w:val="17"/>
        <w:shd w:val="clear"/>
        <w:ind w:left="1960" w:right="1960"/>
        <w:rPr>
          <w:rFonts w:ascii="宋体" w:hAnsi="宋体" w:cs="宋体"/>
          <w:color w:val="auto"/>
          <w:kern w:val="0"/>
          <w:sz w:val="24"/>
          <w:szCs w:val="24"/>
          <w:highlight w:val="none"/>
        </w:rPr>
      </w:pPr>
    </w:p>
    <w:p w14:paraId="62DDB2B1">
      <w:pPr>
        <w:pStyle w:val="17"/>
        <w:shd w:val="clear"/>
        <w:ind w:left="1960" w:right="1960"/>
        <w:rPr>
          <w:rFonts w:ascii="宋体" w:hAnsi="宋体" w:cs="宋体"/>
          <w:color w:val="auto"/>
          <w:kern w:val="0"/>
          <w:sz w:val="24"/>
          <w:szCs w:val="24"/>
          <w:highlight w:val="none"/>
        </w:rPr>
      </w:pPr>
    </w:p>
    <w:p w14:paraId="0DC5443B">
      <w:pPr>
        <w:pStyle w:val="4"/>
        <w:numPr>
          <w:ilvl w:val="1"/>
          <w:numId w:val="0"/>
        </w:numPr>
        <w:shd w:val="clear"/>
        <w:spacing w:line="360" w:lineRule="auto"/>
        <w:jc w:val="center"/>
        <w:rPr>
          <w:rFonts w:ascii="宋体" w:hAnsi="宋体" w:eastAsia="宋体" w:cs="宋体"/>
          <w:color w:val="auto"/>
          <w:sz w:val="36"/>
          <w:szCs w:val="30"/>
          <w:highlight w:val="none"/>
        </w:rPr>
      </w:pPr>
      <w:bookmarkStart w:id="114" w:name="_Toc22766"/>
      <w:r>
        <w:rPr>
          <w:rFonts w:hint="eastAsia" w:ascii="宋体" w:hAnsi="宋体" w:eastAsia="宋体" w:cs="宋体"/>
          <w:color w:val="auto"/>
          <w:sz w:val="36"/>
          <w:szCs w:val="30"/>
          <w:highlight w:val="none"/>
        </w:rPr>
        <w:t>第三篇  项目商务需求</w:t>
      </w:r>
      <w:bookmarkEnd w:id="93"/>
      <w:bookmarkEnd w:id="94"/>
      <w:bookmarkEnd w:id="95"/>
      <w:bookmarkEnd w:id="114"/>
    </w:p>
    <w:p w14:paraId="0403B7DF">
      <w:pPr>
        <w:pStyle w:val="4"/>
        <w:numPr>
          <w:ilvl w:val="1"/>
          <w:numId w:val="0"/>
        </w:numPr>
        <w:shd w:val="clear"/>
        <w:spacing w:line="400" w:lineRule="exact"/>
        <w:rPr>
          <w:rFonts w:ascii="宋体" w:hAnsi="宋体" w:eastAsia="宋体" w:cs="宋体"/>
          <w:b/>
          <w:color w:val="auto"/>
          <w:sz w:val="24"/>
          <w:szCs w:val="24"/>
          <w:highlight w:val="none"/>
        </w:rPr>
      </w:pPr>
      <w:bookmarkStart w:id="115" w:name="_Toc9232"/>
      <w:bookmarkStart w:id="116" w:name="_Toc13005"/>
      <w:bookmarkStart w:id="117" w:name="_Toc2135"/>
      <w:bookmarkStart w:id="118" w:name="_Toc3032"/>
      <w:r>
        <w:rPr>
          <w:rFonts w:hint="eastAsia" w:ascii="宋体" w:hAnsi="宋体" w:eastAsia="宋体" w:cs="宋体"/>
          <w:b/>
          <w:color w:val="auto"/>
          <w:sz w:val="24"/>
          <w:szCs w:val="24"/>
          <w:highlight w:val="none"/>
        </w:rPr>
        <w:t>一、计划工期、项目地点及</w:t>
      </w:r>
      <w:bookmarkEnd w:id="115"/>
      <w:bookmarkEnd w:id="116"/>
      <w:bookmarkEnd w:id="117"/>
      <w:r>
        <w:rPr>
          <w:rFonts w:hint="eastAsia" w:ascii="宋体" w:hAnsi="宋体" w:eastAsia="宋体" w:cs="宋体"/>
          <w:b/>
          <w:color w:val="auto"/>
          <w:sz w:val="24"/>
          <w:szCs w:val="24"/>
          <w:highlight w:val="none"/>
        </w:rPr>
        <w:t>验收方式</w:t>
      </w:r>
      <w:bookmarkEnd w:id="118"/>
    </w:p>
    <w:p w14:paraId="41DA6D6B">
      <w:pPr>
        <w:pStyle w:val="13"/>
        <w:shd w:val="clear"/>
        <w:spacing w:line="400" w:lineRule="exact"/>
        <w:ind w:firstLine="480" w:firstLineChars="200"/>
        <w:rPr>
          <w:rFonts w:ascii="宋体" w:hAnsi="宋体" w:cs="宋体"/>
          <w:color w:val="auto"/>
          <w:szCs w:val="24"/>
          <w:highlight w:val="none"/>
        </w:rPr>
      </w:pPr>
      <w:bookmarkStart w:id="119" w:name="_Toc31871"/>
      <w:bookmarkStart w:id="120" w:name="_Toc10103"/>
      <w:bookmarkStart w:id="121" w:name="_Toc11367"/>
      <w:bookmarkStart w:id="122" w:name="_Toc17044"/>
      <w:bookmarkStart w:id="123" w:name="_Toc16277"/>
      <w:bookmarkStart w:id="124" w:name="_Toc76373878"/>
      <w:bookmarkStart w:id="125" w:name="_Toc25977"/>
      <w:bookmarkStart w:id="126" w:name="_Toc267320050"/>
      <w:r>
        <w:rPr>
          <w:rFonts w:hint="eastAsia" w:ascii="宋体" w:hAnsi="宋体" w:cs="宋体"/>
          <w:color w:val="auto"/>
          <w:szCs w:val="24"/>
          <w:highlight w:val="none"/>
        </w:rPr>
        <w:t>（一）计划工期</w:t>
      </w:r>
    </w:p>
    <w:p w14:paraId="7773F41C">
      <w:pPr>
        <w:pStyle w:val="13"/>
        <w:shd w:val="clear"/>
        <w:spacing w:line="40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采购合同签订后30个日历日内开工，具体开工日期以采购人下达的开工令为准；开工令</w:t>
      </w:r>
      <w:r>
        <w:rPr>
          <w:rFonts w:hint="eastAsia" w:ascii="宋体" w:hAnsi="宋体" w:cs="宋体"/>
          <w:color w:val="auto"/>
          <w:szCs w:val="24"/>
          <w:highlight w:val="none"/>
          <w:lang w:eastAsia="zh-CN"/>
        </w:rPr>
        <w:t>确定的开工日期</w:t>
      </w:r>
      <w:r>
        <w:rPr>
          <w:rFonts w:hint="eastAsia" w:ascii="宋体" w:hAnsi="宋体" w:cs="宋体"/>
          <w:color w:val="auto"/>
          <w:szCs w:val="24"/>
          <w:highlight w:val="none"/>
        </w:rPr>
        <w:t>后45个日历日内完工。</w:t>
      </w:r>
    </w:p>
    <w:p w14:paraId="25332785">
      <w:pPr>
        <w:pStyle w:val="13"/>
        <w:shd w:val="clear"/>
        <w:spacing w:line="40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（二）项目地点</w:t>
      </w:r>
    </w:p>
    <w:p w14:paraId="65B59A7F">
      <w:pPr>
        <w:pStyle w:val="13"/>
        <w:shd w:val="clear"/>
        <w:spacing w:line="40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石桥铺殡仪馆（重庆市沙坪坝区石小路150号）。</w:t>
      </w:r>
    </w:p>
    <w:p w14:paraId="60D1537C">
      <w:pPr>
        <w:pStyle w:val="13"/>
        <w:shd w:val="clear"/>
        <w:spacing w:line="40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（三）验收方式</w:t>
      </w:r>
    </w:p>
    <w:p w14:paraId="544265A3">
      <w:pPr>
        <w:pStyle w:val="13"/>
        <w:shd w:val="clear"/>
        <w:spacing w:line="40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1.本工程按国家建设部最新制订的施工及验收规范为质量评定验收标准，并一次性验收合格。如果验收达不到规定要求，施工方将承担由此所造成的一切损失和责任，对不合格的项目进行重新免费施工。</w:t>
      </w:r>
    </w:p>
    <w:p w14:paraId="387CD15C">
      <w:pPr>
        <w:pStyle w:val="13"/>
        <w:shd w:val="clear"/>
        <w:spacing w:line="40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2.成交供应商提供的服务未达到竞争性磋商文件规定要求，且对采购人造成损失的，由成交供应商承担一切责任，并赔偿所造成的损失。</w:t>
      </w:r>
    </w:p>
    <w:p w14:paraId="0E220D4E">
      <w:pPr>
        <w:pStyle w:val="4"/>
        <w:numPr>
          <w:ilvl w:val="1"/>
          <w:numId w:val="0"/>
        </w:numPr>
        <w:shd w:val="clear"/>
        <w:spacing w:line="400" w:lineRule="exact"/>
        <w:rPr>
          <w:rFonts w:ascii="宋体" w:hAnsi="宋体" w:eastAsia="宋体" w:cs="宋体"/>
          <w:b/>
          <w:color w:val="auto"/>
          <w:sz w:val="24"/>
          <w:szCs w:val="24"/>
          <w:highlight w:val="none"/>
        </w:rPr>
      </w:pPr>
      <w:bookmarkStart w:id="127" w:name="_Toc23545"/>
      <w:r>
        <w:rPr>
          <w:rFonts w:hint="eastAsia" w:ascii="宋体" w:hAnsi="宋体" w:eastAsia="宋体" w:cs="宋体"/>
          <w:b/>
          <w:color w:val="auto"/>
          <w:sz w:val="24"/>
          <w:szCs w:val="24"/>
          <w:highlight w:val="none"/>
        </w:rPr>
        <w:t>二、</w:t>
      </w:r>
      <w:bookmarkEnd w:id="119"/>
      <w:bookmarkEnd w:id="120"/>
      <w:bookmarkEnd w:id="121"/>
      <w:bookmarkEnd w:id="122"/>
      <w:r>
        <w:rPr>
          <w:rFonts w:hint="eastAsia" w:ascii="宋体" w:hAnsi="宋体" w:eastAsia="宋体" w:cs="宋体"/>
          <w:b/>
          <w:color w:val="auto"/>
          <w:sz w:val="24"/>
          <w:szCs w:val="24"/>
          <w:highlight w:val="none"/>
        </w:rPr>
        <w:t>报价要求</w:t>
      </w:r>
      <w:bookmarkEnd w:id="127"/>
    </w:p>
    <w:bookmarkEnd w:id="123"/>
    <w:bookmarkEnd w:id="124"/>
    <w:bookmarkEnd w:id="125"/>
    <w:p w14:paraId="36095A61">
      <w:pPr>
        <w:pStyle w:val="13"/>
        <w:shd w:val="clear"/>
        <w:spacing w:line="400" w:lineRule="exact"/>
        <w:ind w:firstLine="480" w:firstLineChars="200"/>
        <w:rPr>
          <w:rFonts w:hint="eastAsia" w:ascii="宋体" w:hAnsi="宋体" w:cs="宋体"/>
          <w:color w:val="auto"/>
          <w:szCs w:val="24"/>
          <w:highlight w:val="none"/>
          <w:lang w:eastAsia="zh-CN"/>
        </w:rPr>
      </w:pPr>
      <w:bookmarkStart w:id="128" w:name="_Toc9689"/>
      <w:bookmarkStart w:id="129" w:name="_Toc126740389"/>
      <w:bookmarkStart w:id="130" w:name="_Toc152056828"/>
      <w:bookmarkStart w:id="131" w:name="_Toc97881380"/>
      <w:r>
        <w:rPr>
          <w:rFonts w:hint="eastAsia" w:ascii="宋体" w:hAnsi="宋体" w:cs="宋体"/>
          <w:color w:val="auto"/>
          <w:szCs w:val="24"/>
          <w:highlight w:val="none"/>
        </w:rPr>
        <w:t>（一）</w:t>
      </w:r>
      <w:r>
        <w:rPr>
          <w:rFonts w:hint="eastAsia" w:ascii="宋体" w:hAnsi="宋体" w:cs="宋体"/>
          <w:color w:val="auto"/>
          <w:szCs w:val="24"/>
          <w:highlight w:val="none"/>
          <w:lang w:eastAsia="zh-CN"/>
        </w:rPr>
        <w:t>本工程采用固定综合单价合同。</w:t>
      </w:r>
    </w:p>
    <w:p w14:paraId="7B0DDF3E">
      <w:pPr>
        <w:pStyle w:val="13"/>
        <w:shd w:val="clear"/>
        <w:spacing w:line="400" w:lineRule="exact"/>
        <w:ind w:firstLine="480" w:firstLineChars="200"/>
        <w:rPr>
          <w:rFonts w:hint="eastAsia" w:ascii="宋体" w:hAnsi="宋体" w:cs="宋体"/>
          <w:color w:val="auto"/>
          <w:szCs w:val="24"/>
          <w:highlight w:val="none"/>
          <w:lang w:eastAsia="zh-CN"/>
        </w:rPr>
      </w:pPr>
      <w:r>
        <w:rPr>
          <w:rFonts w:hint="eastAsia" w:ascii="宋体" w:hAnsi="宋体" w:cs="宋体"/>
          <w:color w:val="auto"/>
          <w:szCs w:val="24"/>
          <w:highlight w:val="none"/>
          <w:lang w:eastAsia="zh-CN"/>
        </w:rPr>
        <w:t>1.磋商报价范围：各供应商应按照磋商范围的规定，对采购人提供的工程量清单，结合施工图的要求予以自主报价。工程量清单中的工程量是用作磋商报价的估算工程量，不作为最终结算的工程量。用于结算的工程量是供应商实际完成的，并按有关规定计量的合格工程量。</w:t>
      </w:r>
      <w:r>
        <w:rPr>
          <w:rFonts w:hint="eastAsia" w:ascii="宋体" w:hAnsi="宋体" w:cs="宋体"/>
          <w:b/>
          <w:bCs/>
          <w:color w:val="auto"/>
          <w:szCs w:val="24"/>
          <w:highlight w:val="none"/>
          <w:lang w:eastAsia="zh-CN"/>
        </w:rPr>
        <w:t>磋商过程中二次报价时，供应商只需对总价进行二次报价。</w:t>
      </w:r>
    </w:p>
    <w:p w14:paraId="3309D66B">
      <w:pPr>
        <w:pStyle w:val="13"/>
        <w:shd w:val="clear"/>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szCs w:val="24"/>
          <w:highlight w:val="none"/>
          <w:lang w:val="en-US" w:eastAsia="zh-CN"/>
        </w:rPr>
        <w:t>2.报价原则：由供应商以磋商文件、合同条件、工程量清单、本次磋商范围内的施工图纸内容、国家技术和经济规范及标准，按照工程量清单及说明、《建设工程工程量清单计价规范》（GB50500-2013）、《重庆市建设工程工程量清单计价规则》（CQQDGZ-2013）、《重庆市建设工程工程量清单计价指南》（2013）；定额执行《重庆市装饰装修工程计价定额》（CQZSDE-2018）、《重庆市房屋修缮工程计价定额》（CQFWXSDE-2018）、《重庆市安装工程计价定额》（CQAZDE-2018）、《重庆市建筑工程计价定额》（CQJZDE-2018）、《重庆市建设工程费用定额》（CQFYDE-2018）及其配套文件等为依据</w:t>
      </w:r>
      <w:r>
        <w:rPr>
          <w:rFonts w:hint="eastAsia" w:ascii="宋体" w:hAnsi="宋体" w:cs="宋体"/>
          <w:color w:val="auto"/>
          <w:kern w:val="0"/>
          <w:sz w:val="24"/>
          <w:szCs w:val="24"/>
          <w:highlight w:val="none"/>
        </w:rPr>
        <w:t>，由供应商结合自身实力、市场行情自主合理报价。磋商报价应包括完成磋商范围内工程项目的工程实体费用、以及相应的劳务、材料、机械、质检（含特殊检测）、缺陷修复、管理、措施费、规费、保险、税费、</w:t>
      </w:r>
      <w:r>
        <w:rPr>
          <w:rFonts w:hint="eastAsia" w:ascii="宋体" w:hAnsi="宋体" w:cs="宋体"/>
          <w:color w:val="auto"/>
          <w:kern w:val="0"/>
          <w:sz w:val="24"/>
          <w:szCs w:val="24"/>
          <w:highlight w:val="none"/>
          <w:lang w:eastAsia="zh-CN"/>
        </w:rPr>
        <w:t>售后、档案编制</w:t>
      </w:r>
      <w:r>
        <w:rPr>
          <w:rFonts w:hint="eastAsia" w:ascii="宋体" w:hAnsi="宋体" w:cs="宋体"/>
          <w:color w:val="auto"/>
          <w:kern w:val="0"/>
          <w:sz w:val="24"/>
          <w:szCs w:val="24"/>
          <w:highlight w:val="none"/>
        </w:rPr>
        <w:t>、利润、除渣费等所有费用。采购人除此以外不支付其它费用。</w:t>
      </w:r>
    </w:p>
    <w:p w14:paraId="19893AF7">
      <w:pPr>
        <w:pStyle w:val="13"/>
        <w:shd w:val="clear"/>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本工程各分部分项工程量清单子项不论其对应的项目特征和工作内容是否描述完整，都将被认为已包括《建设工程工程量清单计价规范》（GB50500-2013）、《重庆市建设工程工程量清单计价规则》（CQQDGZ-2013）、《重庆市建设工程工程量清单计价指南》（2013）；定额执行《重庆市装饰装修工程计价定额》（CQZSDE-2018）、《重庆市房屋修缮工程计价定额》（CQFWXSDE-2018）、《重庆市安装工程计价定额》（CQAZDE-2018）、《重庆市建筑工程计价定额》（CQJZDE-2018）、《重庆市建设工程费用定额》（CQFYDE-2018）及其配套文件中相应项目编码和项目名称及施工图纸、相关规范、标准、政策性文件、规定、限制和禁止使用通告等所有工程内容及完成此工作内容而必须的各种主要、辅助工作；综合单价应包括完成该子项所需的人工费、材料费、机械费、企业管理费、利润、风险费用；措施费（不含安全文明施工费）包干使用；安全文明施工费应按照现行安全文明施工费计取及管理政策规定及《重庆市建设工程费用定额》（CQFYDE-2018）规定执行；安全文明施工措施费：根据“重庆市建设工程费用定额（2018）”执行；税金按照《重庆市城乡建设委员会关于建筑营业税改征增值税调整建设工程计价依据的通知》（渝建〔2016〕35号）和《关于适用增值税新税率调整建设工程计价依据的通知》（渝建〔2019〕143号）执行。成交后采购人无论任何因素不在对综合单价、措施费（不含安全文明施工费）进行调整。投标报价由分部分项工程费、措施项目费（含安全文明施工费）、其他项目费（暂估价和暂列金额）、规费、税金组成。</w:t>
      </w:r>
    </w:p>
    <w:p w14:paraId="6C32B3B3">
      <w:pPr>
        <w:pStyle w:val="13"/>
        <w:shd w:val="clear"/>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4.如发现工程量清单中的数量与图纸中数量不一致，应在磋商前书面通知采购人核查，除非采购人以补遗书的形式予以更正，否则，应以工程量清单中列出的数量为准。</w:t>
      </w:r>
    </w:p>
    <w:p w14:paraId="4FCDD54D">
      <w:pPr>
        <w:pStyle w:val="13"/>
        <w:shd w:val="clear"/>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5.采购人在工程量清单中所列出的专业工程暂估价、暂列金额，供应商不得修改。否则，将被认定为无效。</w:t>
      </w:r>
    </w:p>
    <w:p w14:paraId="3A4DAA8A">
      <w:pPr>
        <w:pStyle w:val="13"/>
        <w:shd w:val="clear"/>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6.工程量清单中的项、量、综合单价：</w:t>
      </w:r>
    </w:p>
    <w:p w14:paraId="6C00344D">
      <w:pPr>
        <w:pStyle w:val="13"/>
        <w:shd w:val="clear"/>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6.1除采购人对清单工程量主动补遗或对供应商质疑作修改外，供应商在编制磋商报价时不得擅自</w:t>
      </w:r>
      <w:r>
        <w:rPr>
          <w:rFonts w:hint="eastAsia" w:ascii="宋体" w:hAnsi="宋体" w:cs="宋体"/>
          <w:color w:val="auto"/>
          <w:kern w:val="0"/>
          <w:sz w:val="24"/>
          <w:szCs w:val="24"/>
          <w:highlight w:val="none"/>
          <w:lang w:eastAsia="zh-CN"/>
        </w:rPr>
        <w:t>改变</w:t>
      </w:r>
      <w:r>
        <w:rPr>
          <w:rFonts w:hint="eastAsia" w:ascii="宋体" w:hAnsi="宋体" w:cs="宋体"/>
          <w:color w:val="auto"/>
          <w:kern w:val="0"/>
          <w:sz w:val="24"/>
          <w:szCs w:val="24"/>
          <w:highlight w:val="none"/>
        </w:rPr>
        <w:t>采购人提供的分部分项工程量清单中的序号、项目编码、项目名称、项目特征、工程内容、工程量及计量单位，否则视为对磋商文件不作实质性响应，其响应文件按无效处理。</w:t>
      </w:r>
    </w:p>
    <w:p w14:paraId="515414B0">
      <w:pPr>
        <w:pStyle w:val="13"/>
        <w:shd w:val="clear"/>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6.2供应商只有严格按采购人提供的《工程量清单》和本磋商文件中提供的已标价工程量清单表格格式内所有项目进行报价，才能视为总体报价完整，不得出现漏项或增项，否则视为对磋商文件不作实质性响应，其响应文件按无效处理。</w:t>
      </w:r>
    </w:p>
    <w:p w14:paraId="746EE520">
      <w:pPr>
        <w:pStyle w:val="13"/>
        <w:shd w:val="clear"/>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6.3报价空白或报价为零，则视为该子项的价款已包括在工程量清单其他子目的单价和合价中，成交后必须完成该子项工作内容，采购人不对该子项进行结算与支付；施工过程中，因采购人原因需要对报价空白或报价为零的项目减少实施工程量或不予实施，采购人将按磋商报价时计价原则计算出该项目的综合单价以及相应的规费、措施费和税金，并据此从结算价中扣除。</w:t>
      </w:r>
    </w:p>
    <w:p w14:paraId="795A14E1">
      <w:pPr>
        <w:pStyle w:val="13"/>
        <w:shd w:val="clear"/>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6.4本工程量清单的计量按照《重庆市建设工程工程量计算规则》（CQJLGZ-2013）、《建设工程工程量清单计价规范》</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GB50500-2013</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中相应细目的“工程量计算规则”中相应细目的“工程量计算规则”进行计算。除采购人另有规定外，凡超出图纸所示的任何长度、面积、体积、重量等均不予计量和支付。工程数量按设计数量净值计算，凡施工过程中的材料损耗、消耗，无论材料由何方供应，也无论这些损耗是否包含在消耗定额内，均由供应商纳入相关工程量清单中的综合单价内。</w:t>
      </w:r>
    </w:p>
    <w:p w14:paraId="560EC50C">
      <w:pPr>
        <w:pStyle w:val="13"/>
        <w:shd w:val="clear"/>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7.材料采购及报价</w:t>
      </w:r>
    </w:p>
    <w:p w14:paraId="684049A6">
      <w:pPr>
        <w:pStyle w:val="13"/>
        <w:shd w:val="clear"/>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7.1本工程所需材料由成交供应商采购，但所采购的材料必须符合国家规范标准及设计文件、竞争性磋商文件要求，并提供相应合格证明资料、质保书。采购人认为成交供应商所使用的材料的质量品质存在缺陷，或者偏离图纸及规范要求（以设计单位和监理单位书面意见为准），不能适用于本项目，采购人有权要求更换调整，采购人不因更换材料品牌而调整材料的价格及其他相关费用；若成交供应商拒绝按采购人要求更换的，则该种材料将改为第三方供货，采购人将收取成交供应商该类材料费的20%作为违约金，并按采购人实际支付的货款从成交供应商的结算价款中予以扣除。</w:t>
      </w:r>
    </w:p>
    <w:p w14:paraId="6D32A31A">
      <w:pPr>
        <w:pStyle w:val="13"/>
        <w:shd w:val="clear"/>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7.2人工、材料费：人工工日单价按2018计价定额中的定额单价执行，人工参照成交当期《重庆市建设工程造价信息》信息价执行，材料价格参照成交当期《重庆市建设工程造价信息》信息价并结合市场价执行，供应商根据信息价格结合市场行情以及供应商的自身实力自主报价，成交后材料价格均不作调整。同一种材料，同规格、型号材料报价必须一致，若评标时未发现，结算时按报价最低值计取。成交后，成交供应商自行承担其它材料价格涨跌风险，材料价格不调整。</w:t>
      </w:r>
    </w:p>
    <w:p w14:paraId="5CA65E18">
      <w:pPr>
        <w:pStyle w:val="13"/>
        <w:shd w:val="clear"/>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7.3本工程所有材料、设备运输距离由供应商根据自身情况及踏勘现场情况自行测算，纳入相应项目的综合单价中，成交后不调整。</w:t>
      </w:r>
      <w:bookmarkStart w:id="372" w:name="_GoBack"/>
      <w:bookmarkEnd w:id="372"/>
    </w:p>
    <w:p w14:paraId="75C6366F">
      <w:pPr>
        <w:pStyle w:val="13"/>
        <w:shd w:val="clear"/>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7.</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措施费（不含安全文明施工费）包干使用，结算</w:t>
      </w:r>
      <w:r>
        <w:rPr>
          <w:rFonts w:hint="eastAsia" w:ascii="宋体" w:hAnsi="宋体" w:cs="宋体"/>
          <w:color w:val="auto"/>
          <w:kern w:val="0"/>
          <w:sz w:val="24"/>
          <w:szCs w:val="24"/>
          <w:highlight w:val="none"/>
          <w:lang w:eastAsia="zh-CN"/>
        </w:rPr>
        <w:t>时</w:t>
      </w:r>
      <w:r>
        <w:rPr>
          <w:rFonts w:hint="eastAsia" w:ascii="宋体" w:hAnsi="宋体" w:cs="宋体"/>
          <w:color w:val="auto"/>
          <w:kern w:val="0"/>
          <w:sz w:val="24"/>
          <w:szCs w:val="24"/>
          <w:highlight w:val="none"/>
        </w:rPr>
        <w:t>不作调整。</w:t>
      </w:r>
    </w:p>
    <w:p w14:paraId="136B2365">
      <w:pPr>
        <w:pStyle w:val="13"/>
        <w:shd w:val="clear"/>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8.安全文明施工措施费：由采购人根据《建设工程工程量清单计价规范》（GB50500-2013</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、《重庆市建设工程工程量清单计价规则》（CQJJGZ-2013</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 《重庆市建设工程费用定额》（CQFYDE-2018）的相关规定和费用标准单列计算，安全文明施工费为暂定金额。供应商的竞争性磋商报价函和工程量清单报价中的安全文明施工费必须按照采购人给出的暂定金额填报，否则视为对竞争性磋商文件不作实质性响应，按无效响应处理。</w:t>
      </w:r>
    </w:p>
    <w:p w14:paraId="45EF9910">
      <w:pPr>
        <w:pStyle w:val="13"/>
        <w:shd w:val="clear"/>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9.规费：按照《重庆市建设工程费用定额》（CQFYDE-2018）所规定费率执行。</w:t>
      </w:r>
    </w:p>
    <w:p w14:paraId="533D83AA">
      <w:pPr>
        <w:pStyle w:val="13"/>
        <w:shd w:val="clear"/>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10.税金：按照《重庆市城乡建设委员会关于建筑营业税改征增值税调整建设工程计价依据的通知》（渝建〔2016〕35号）和《关于适用增值税新税率调整建设工程计价依据的通知》（渝建〔2019〕143号）执行。</w:t>
      </w:r>
    </w:p>
    <w:p w14:paraId="14D16471">
      <w:pPr>
        <w:pStyle w:val="13"/>
        <w:shd w:val="clear"/>
        <w:spacing w:line="400" w:lineRule="exact"/>
        <w:ind w:firstLine="482" w:firstLineChars="200"/>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11.本工程设置总价最高限价，总价最高限价为298771.67元（含安全文明施工费10560.39元），供应商的磋商报价不得超过本项目设置的最高限价，安全文明施工费、暂估价（如有）、暂列金额（如有）等不可竞争费用必须按</w:t>
      </w:r>
      <w:r>
        <w:rPr>
          <w:rFonts w:hint="eastAsia" w:ascii="宋体" w:hAnsi="宋体" w:cs="宋体"/>
          <w:b/>
          <w:bCs/>
          <w:color w:val="auto"/>
          <w:kern w:val="0"/>
          <w:sz w:val="24"/>
          <w:szCs w:val="24"/>
          <w:highlight w:val="none"/>
          <w:lang w:eastAsia="zh-CN"/>
        </w:rPr>
        <w:t>暂定金额</w:t>
      </w:r>
      <w:r>
        <w:rPr>
          <w:rFonts w:hint="eastAsia" w:ascii="宋体" w:hAnsi="宋体" w:cs="宋体"/>
          <w:b/>
          <w:bCs/>
          <w:color w:val="auto"/>
          <w:kern w:val="0"/>
          <w:sz w:val="24"/>
          <w:szCs w:val="24"/>
          <w:highlight w:val="none"/>
        </w:rPr>
        <w:t>填报不得浮动，否则，其响应文件按无效处理。</w:t>
      </w:r>
    </w:p>
    <w:p w14:paraId="545C19B4">
      <w:pPr>
        <w:pStyle w:val="13"/>
        <w:shd w:val="clear"/>
        <w:spacing w:line="400" w:lineRule="exact"/>
        <w:ind w:firstLine="482" w:firstLineChars="200"/>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同时本工程设置全部工程量清单综合单价最高限价，供应商的每项工程量清单综合单价报价原则上不超过其对应清单综合单价最高限价。</w:t>
      </w:r>
    </w:p>
    <w:p w14:paraId="45C1ABC5">
      <w:pPr>
        <w:pStyle w:val="13"/>
        <w:shd w:val="clear"/>
        <w:spacing w:line="400" w:lineRule="exact"/>
        <w:ind w:firstLine="482" w:firstLineChars="200"/>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采购人在合同签订前将对成交供应商已标价工程量清单进行清标。若发现成交供应商的工程量清单综合单价报价超过招标时给出的工程量清单综合单价最高限价的，在工程结算时采购人</w:t>
      </w:r>
      <w:r>
        <w:rPr>
          <w:rFonts w:hint="eastAsia" w:ascii="宋体" w:hAnsi="宋体" w:cs="宋体"/>
          <w:b/>
          <w:bCs/>
          <w:color w:val="auto"/>
          <w:kern w:val="0"/>
          <w:sz w:val="24"/>
          <w:szCs w:val="24"/>
          <w:highlight w:val="none"/>
          <w:lang w:eastAsia="zh-CN"/>
        </w:rPr>
        <w:t>将以已</w:t>
      </w:r>
      <w:r>
        <w:rPr>
          <w:rFonts w:hint="eastAsia" w:ascii="宋体" w:hAnsi="宋体" w:cs="宋体"/>
          <w:b/>
          <w:bCs/>
          <w:color w:val="auto"/>
          <w:kern w:val="0"/>
          <w:sz w:val="24"/>
          <w:szCs w:val="24"/>
          <w:highlight w:val="none"/>
        </w:rPr>
        <w:t>发出的工程量清单综合单价最高限价为基础，按照成交供应商的中标总报价与本工程的总价最高限价的下浮比例进行同比例下调，成交供应商必须无条件接受，否则按成交供应商违约处理。</w:t>
      </w:r>
    </w:p>
    <w:p w14:paraId="6E71CEFA">
      <w:pPr>
        <w:pStyle w:val="13"/>
        <w:shd w:val="clear"/>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12.其他说明</w:t>
      </w:r>
    </w:p>
    <w:p w14:paraId="4CB8406E">
      <w:pPr>
        <w:pStyle w:val="13"/>
        <w:shd w:val="clear"/>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12.1竞争性磋商报价函中的总报价必须与工程量清单报价表所报金额一致，若不一致，作无效处理；供应商不得对采购人发出的工程量清单的项、量进行修改或省略项目特征，否则按无效处理。</w:t>
      </w:r>
    </w:p>
    <w:p w14:paraId="00951FD8">
      <w:pPr>
        <w:pStyle w:val="13"/>
        <w:shd w:val="clear"/>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12.2按政策和合同约定的应由成交供应商交纳的各种保险费由成交供应商自行投保，保险费由成交供应商承担并支付，并根据企业自身和本工程情况，测算包含在相应的报价中。</w:t>
      </w:r>
    </w:p>
    <w:p w14:paraId="2C45EC66">
      <w:pPr>
        <w:pStyle w:val="13"/>
        <w:shd w:val="clear"/>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12.3 符合合同条款规定的全部费用应认为已被计入有标价的工程量清单所列各子目之中，未列子目不予计量的工作，其费用应视为已分摊在本合同工程的有关子目的单价或总价之中。</w:t>
      </w:r>
    </w:p>
    <w:p w14:paraId="534743D6">
      <w:pPr>
        <w:pStyle w:val="13"/>
        <w:shd w:val="clear"/>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12.4每一项目只允许有一个报价。任何有选择的报价将不予接受，其响应文件为无效。</w:t>
      </w:r>
    </w:p>
    <w:p w14:paraId="0074C32F">
      <w:pPr>
        <w:pStyle w:val="13"/>
        <w:shd w:val="clear"/>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12.5各供应商对于相同的工程量清单（即工作内容和项目特征描述相同）报价须一致。若出现报价不一致，按无效处理。</w:t>
      </w:r>
    </w:p>
    <w:p w14:paraId="797D4C96">
      <w:pPr>
        <w:pStyle w:val="13"/>
        <w:shd w:val="clear"/>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12.6弃渣外运运距及处置费各供应商自行考虑，纳入分部分项工程量清单项目报价中，包干使用</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采购人不再另行核定运距或额外支付费用</w:t>
      </w:r>
      <w:r>
        <w:rPr>
          <w:rFonts w:hint="eastAsia" w:ascii="宋体" w:hAnsi="宋体" w:cs="宋体"/>
          <w:color w:val="auto"/>
          <w:kern w:val="0"/>
          <w:sz w:val="24"/>
          <w:szCs w:val="24"/>
          <w:highlight w:val="none"/>
        </w:rPr>
        <w:t>。</w:t>
      </w:r>
    </w:p>
    <w:p w14:paraId="18CF992E">
      <w:pPr>
        <w:pStyle w:val="13"/>
        <w:shd w:val="clear"/>
        <w:spacing w:line="400" w:lineRule="exact"/>
        <w:ind w:firstLine="480" w:firstLineChars="200"/>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12.7采购人提供水电接口，水电所有费用已包含在成交供应商磋商报价中包干使用，结算时不作调整。为了不受停电影响延误工期，成交供应商应自行预备柴油发电机组，确保施工期间能正常使用，采购人不对其费用予以补偿。如停电，由成交供应商自行发电，成交供应商应自行考虑该因素的有关费用，采购人不对发电费用予以补偿。</w:t>
      </w:r>
    </w:p>
    <w:p w14:paraId="37547499">
      <w:pPr>
        <w:pStyle w:val="13"/>
        <w:shd w:val="clear"/>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12.8供应商应先到工地踏勘以充分了解工地位置、地质情况、地下管网状况、进出场道路、交通管制、拆迁干扰、储存空间、装卸限制、水电接口、行车干扰、人行交通及任何其它足以影响承包价格的情况，任何因忽视或误解工地情况而导致的索赔或工期延长申请将不获批准。</w:t>
      </w:r>
    </w:p>
    <w:p w14:paraId="02890F99">
      <w:pPr>
        <w:pStyle w:val="13"/>
        <w:shd w:val="clear"/>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12.9各供应商根据采购人提供的工程量清单和《重庆市建设工程费用定额》（CQFYDE-2018）规定的表格，结合本项目并根据实际情况填报工程量清单。</w:t>
      </w:r>
    </w:p>
    <w:p w14:paraId="278F3138">
      <w:pPr>
        <w:pStyle w:val="13"/>
        <w:shd w:val="clear"/>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12.10按政策和合同约定的应由成交供应商交纳的各种保险费由供应商自行投保，保险费由成交供应商承担并支付，各种规费、环保费、检测试验费并根据企业自身和本工程情况，测算包含在相应的报价中。</w:t>
      </w:r>
    </w:p>
    <w:p w14:paraId="2E9FEE3D">
      <w:pPr>
        <w:pStyle w:val="13"/>
        <w:shd w:val="clear"/>
        <w:spacing w:line="400" w:lineRule="exact"/>
        <w:ind w:firstLine="480" w:firstLineChars="200"/>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12.11本项目拆除产生的废旧钢材所有权及处置权归采购人所有，供应商需按采购人要求将其堆放至指定地点，并完成现场清理及交接工作。</w:t>
      </w:r>
    </w:p>
    <w:p w14:paraId="5219BAF4">
      <w:pPr>
        <w:pStyle w:val="13"/>
        <w:shd w:val="clear"/>
        <w:spacing w:line="400" w:lineRule="exact"/>
        <w:ind w:firstLine="482" w:firstLineChars="200"/>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二）特别说明：评审小组认为，排名在前面的成交候选人的磋商报价或者某些分项报价明显不合理或者低于成本，有可能影响项目实施质量和不能诚信履约的，将要求其在规定的期限内提供书面文件予以解释说明，并提交相关证明材料；否则，评审小组可以取消该成交候选人资格，按顺序由排在后一位的成交候选人递补，以此类推。</w:t>
      </w:r>
    </w:p>
    <w:p w14:paraId="65EC970A">
      <w:pPr>
        <w:pStyle w:val="4"/>
        <w:numPr>
          <w:ilvl w:val="1"/>
          <w:numId w:val="0"/>
        </w:numPr>
        <w:shd w:val="clear"/>
        <w:spacing w:line="400" w:lineRule="exact"/>
        <w:rPr>
          <w:rFonts w:ascii="宋体" w:hAnsi="宋体" w:eastAsia="宋体" w:cs="宋体"/>
          <w:b/>
          <w:color w:val="auto"/>
          <w:sz w:val="24"/>
          <w:szCs w:val="24"/>
          <w:highlight w:val="none"/>
        </w:rPr>
      </w:pPr>
      <w:bookmarkStart w:id="132" w:name="_Toc2475"/>
      <w:r>
        <w:rPr>
          <w:rFonts w:hint="eastAsia" w:ascii="宋体" w:hAnsi="宋体" w:eastAsia="宋体" w:cs="宋体"/>
          <w:b/>
          <w:color w:val="auto"/>
          <w:sz w:val="24"/>
          <w:szCs w:val="24"/>
          <w:highlight w:val="none"/>
        </w:rPr>
        <w:t>三、结算原则</w:t>
      </w:r>
      <w:bookmarkEnd w:id="128"/>
      <w:bookmarkEnd w:id="129"/>
      <w:bookmarkEnd w:id="130"/>
      <w:bookmarkEnd w:id="131"/>
      <w:bookmarkEnd w:id="132"/>
    </w:p>
    <w:p w14:paraId="15EA0CED">
      <w:pPr>
        <w:shd w:val="clea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本合同采用固定综合单价合同，综合单价不因工程量的增减（工程量的变化、施工方式的变化）而调整。除非合同另有约定，磋商报价的工程量清单中的综合单价均已包含但不限于供应商为实施和完成合同工程量清单项目所需的人工费、材料费、机械费、企业管理费、利润、风险费用。</w:t>
      </w:r>
    </w:p>
    <w:p w14:paraId="4538A5A6">
      <w:pPr>
        <w:shd w:val="clea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（二）各部分的结算原则如下：</w:t>
      </w:r>
    </w:p>
    <w:p w14:paraId="4A68F736">
      <w:pPr>
        <w:shd w:val="clea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1.分部分项工程量清单结算总价：</w:t>
      </w:r>
    </w:p>
    <w:p w14:paraId="5FC8A27C">
      <w:pPr>
        <w:shd w:val="clea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分部分项工程结算价=综合单价×子项工程量</w:t>
      </w:r>
    </w:p>
    <w:p w14:paraId="1D494F2C">
      <w:pPr>
        <w:shd w:val="clea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综合单价=供应商初始报价中分部分项清单中的综合单价×下浮比例</w:t>
      </w:r>
    </w:p>
    <w:p w14:paraId="39116187">
      <w:pPr>
        <w:shd w:val="clea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下浮比例={供应商最后总报价-[安全文明施工费+暂估价（如果有）+暂列金额（如果有）}/{供应商初始总报价-[安全文明施工费+暂估价（如果有）+暂定金额（如果有）]×100%。</w:t>
      </w:r>
    </w:p>
    <w:p w14:paraId="6D853FAB">
      <w:pPr>
        <w:shd w:val="clea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子项工程量：工程量计算以施工图、设计变更、有效签证资料（签字且盖章）及竣工图作为计算依据，按《重庆市建设工程工程量计算规则》（CQJLGZ-2013）、《建设工程工程量清单计价规范》（GB50500-2013）、《重庆市建设工程工程量清单计价规则》（CQQDGZ-2013）、《重庆市建设工程工程量清单计价指南》（2013）；定额执行《重庆市装饰装修工程计价定额》（CQZSDE-2018）、《重庆市房屋修缮工程计价定额》（CQFWXSDE-2018）、《重庆市安装工程计价定额》（CQAZDE-2018）、《重庆市建筑工程计价定额》（CQJZDE-2018）、《重庆市建设工程费用定额》（CQFYDE-2018）及其配套文件规定的计量规则计算的合格工程量作为结算依据。</w:t>
      </w:r>
    </w:p>
    <w:p w14:paraId="79256C15">
      <w:pPr>
        <w:shd w:val="clea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2.设计变更费、新增项目</w:t>
      </w:r>
    </w:p>
    <w:p w14:paraId="0A08B9B9">
      <w:pPr>
        <w:shd w:val="clea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当发生设计变更或新增项目，发包人及监理工程师按照下列计价原则结算：</w:t>
      </w:r>
    </w:p>
    <w:p w14:paraId="02FE4121">
      <w:pPr>
        <w:shd w:val="clea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①已标价工程量清单中有适用于变更工作的子目，采用该子目的综合单价。</w:t>
      </w:r>
    </w:p>
    <w:p w14:paraId="4E3A0F58">
      <w:pPr>
        <w:shd w:val="clea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②已标价工程量清单中无适用于变更工程的子目，但有类似子目的，可在合理范围内参照类似子目的综合单价，对该子目主材的价格进行调整。主材调整原则：投标时有的材料，调入时取投标价与投标当期重庆市建设工程造价总站主办的《重庆工程造价信息》的低值；投标时没有的材料，按发包人充分结合施工期市场核定的价格执行，并不高于施工同期《重庆工程造价信息》，调整后的综合单价作为类似子项目的综合单价（类似项目由采购人确定，投标的人工、材料单价表作为合同附件）。</w:t>
      </w:r>
    </w:p>
    <w:p w14:paraId="00E20398">
      <w:pPr>
        <w:shd w:val="clea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③已标价工程量清单中无适用或类似子目的综合单价，按国家技术和经济规范及标准、《重庆市建设工程工程量计算规则》（CQJLGZ－2013）、《建设工程工程量清单计价规范》（GB50500-2013）、《重庆市建设工程工程量清单计价规则》（CQQDGZ-2013）、《重庆市建设工程工程量清单计价指南》（2013）；定额执行《重庆市装饰装修工程计价定额》（CQZSDE-2018）、《重庆市房屋修缮工程计价定额》（CQFWXSDE-2018）、《重庆市安装工程计价定额》（CQAZDE-2018）、《重庆市建筑工程计价定额》（CQJZDE-2018）、《重庆市建设工程费用定额》（CQFYDE-2018）及其配套文件等（配套文件只执行合同签定之日前重庆市建委颁发的文件，合同签定之日后颁发的有关政策文件不予执行。）编制，再按成交总价与总价最高限价同比例进行下浮（其中人工价差、材料价差、未计价材料、不下浮）。其中人工工日、材料单价的确定原则：人工费按投标时有的投标价执行，若供应商磋商报价高于施工实施期《重庆工程造价信息》中对应的人工工日单价平均值（若发布的某一类别人工工日单价是区间值的，则按其算术平均值执行），则按施工实施期《重庆工程造价信息》中对应的人工工日单价平均值执行；材料结算价格：清单报价中已有的按响应文件中清单报价执行；清单报价中没有的按该项目施工期间的《重庆工程造价信息》信息价的算术平均价执行；磋商时没有的，发包人结合市场进行核定价格，且不高于施工同期《重庆工程造价信息》的价格。  </w:t>
      </w:r>
    </w:p>
    <w:p w14:paraId="3B9C4D94">
      <w:pPr>
        <w:shd w:val="clea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3.安全文明施工费: 根据渝建发〔2014〕25号、《重庆市建设工程费用定额（2018）》文并结合渝建〔2019〕143号文按“合格”标准计取。</w:t>
      </w:r>
    </w:p>
    <w:p w14:paraId="4813679F">
      <w:pPr>
        <w:shd w:val="clea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（四）最终结算原则</w:t>
      </w:r>
    </w:p>
    <w:p w14:paraId="7960A506">
      <w:pPr>
        <w:shd w:val="clea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竣工结算价=Σ分部分项工程结算价+Σ措施项目结算价+Σ其他项目结算价±Σ价格调整（如有）±Σ变更、索赔与现场签证结算价±Σ奖励、罚金、违约金及其他费用+Σ规费+Σ税金。</w:t>
      </w:r>
    </w:p>
    <w:p w14:paraId="004DDBBC">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（五）本工程结算价最终以第三方机构审定金额为准。</w:t>
      </w:r>
    </w:p>
    <w:p w14:paraId="2D2CA15B">
      <w:pPr>
        <w:pStyle w:val="4"/>
        <w:numPr>
          <w:ilvl w:val="1"/>
          <w:numId w:val="0"/>
        </w:numPr>
        <w:shd w:val="clear"/>
        <w:spacing w:line="400" w:lineRule="exact"/>
        <w:rPr>
          <w:rFonts w:ascii="宋体" w:hAnsi="宋体" w:eastAsia="宋体" w:cs="宋体"/>
          <w:b/>
          <w:color w:val="auto"/>
          <w:sz w:val="24"/>
          <w:szCs w:val="24"/>
          <w:highlight w:val="none"/>
        </w:rPr>
      </w:pPr>
      <w:bookmarkStart w:id="133" w:name="_Toc23621"/>
      <w:r>
        <w:rPr>
          <w:rFonts w:hint="eastAsia" w:ascii="宋体" w:hAnsi="宋体" w:eastAsia="宋体" w:cs="宋体"/>
          <w:b/>
          <w:color w:val="auto"/>
          <w:sz w:val="24"/>
          <w:szCs w:val="24"/>
          <w:highlight w:val="none"/>
        </w:rPr>
        <w:t>四、履约保证金及付款方式</w:t>
      </w:r>
      <w:bookmarkEnd w:id="133"/>
    </w:p>
    <w:p w14:paraId="238E5B9E">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（一）履约保证金</w:t>
      </w:r>
    </w:p>
    <w:p w14:paraId="35DBBDA2">
      <w:pPr>
        <w:shd w:val="clea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合同签订前成交供应商向采购人缴纳合同金额10%的履约保证金，履约保证金以支票、汇票、本票或者金融机构、担保机构出具的保函等非现金形式提交。本工程竣工验收合格后，采购人在</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个工作日内按程序办理退还手续（无息退还）。</w:t>
      </w:r>
    </w:p>
    <w:p w14:paraId="04ECAF32">
      <w:pPr>
        <w:shd w:val="clea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（二）付款方式</w:t>
      </w:r>
    </w:p>
    <w:p w14:paraId="020F40AA">
      <w:pPr>
        <w:shd w:val="clear"/>
        <w:spacing w:line="400" w:lineRule="exact"/>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本项目完成并经采购人验收合格后</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采购人向成交供应商支付结算金额的</w:t>
      </w:r>
      <w:r>
        <w:rPr>
          <w:rFonts w:hint="eastAsia" w:ascii="宋体" w:hAnsi="宋体" w:cs="宋体"/>
          <w:color w:val="auto"/>
          <w:sz w:val="24"/>
          <w:szCs w:val="24"/>
          <w:highlight w:val="none"/>
        </w:rPr>
        <w:t>80%</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竣工结算审核后</w:t>
      </w:r>
      <w:r>
        <w:rPr>
          <w:rFonts w:hint="eastAsia" w:ascii="宋体" w:hAnsi="宋体" w:cs="宋体"/>
          <w:color w:val="auto"/>
          <w:sz w:val="24"/>
          <w:szCs w:val="24"/>
          <w:highlight w:val="none"/>
          <w:lang w:val="en-US" w:eastAsia="zh-CN"/>
        </w:rPr>
        <w:t>采购人向成交供应商支付</w:t>
      </w:r>
      <w:r>
        <w:rPr>
          <w:rFonts w:hint="eastAsia" w:ascii="宋体" w:hAnsi="宋体" w:cs="宋体"/>
          <w:color w:val="auto"/>
          <w:sz w:val="24"/>
          <w:szCs w:val="24"/>
          <w:highlight w:val="none"/>
        </w:rPr>
        <w:t>至</w:t>
      </w:r>
      <w:r>
        <w:rPr>
          <w:rFonts w:hint="eastAsia" w:ascii="宋体" w:hAnsi="宋体" w:cs="宋体"/>
          <w:color w:val="auto"/>
          <w:sz w:val="24"/>
          <w:szCs w:val="24"/>
          <w:highlight w:val="none"/>
          <w:lang w:val="en-US" w:eastAsia="zh-CN"/>
        </w:rPr>
        <w:t>审定金额的</w:t>
      </w:r>
      <w:r>
        <w:rPr>
          <w:rFonts w:hint="eastAsia" w:ascii="宋体" w:hAnsi="宋体" w:cs="宋体"/>
          <w:color w:val="auto"/>
          <w:sz w:val="24"/>
          <w:szCs w:val="24"/>
          <w:highlight w:val="none"/>
        </w:rPr>
        <w:t>100%，</w:t>
      </w:r>
      <w:r>
        <w:rPr>
          <w:rFonts w:hint="eastAsia" w:ascii="宋体" w:hAnsi="宋体" w:cs="宋体"/>
          <w:color w:val="auto"/>
          <w:sz w:val="24"/>
          <w:szCs w:val="24"/>
          <w:highlight w:val="none"/>
          <w:lang w:val="en-US" w:eastAsia="zh-CN"/>
        </w:rPr>
        <w:t>同时成交供应商向采购人缴纳审定金额</w:t>
      </w: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的</w:t>
      </w:r>
      <w:r>
        <w:rPr>
          <w:rFonts w:hint="eastAsia" w:ascii="宋体" w:hAnsi="宋体" w:cs="宋体"/>
          <w:color w:val="auto"/>
          <w:sz w:val="24"/>
          <w:szCs w:val="24"/>
          <w:highlight w:val="none"/>
        </w:rPr>
        <w:t>质量保证金</w:t>
      </w:r>
      <w:r>
        <w:rPr>
          <w:rFonts w:hint="eastAsia" w:ascii="宋体" w:hAnsi="宋体" w:cs="宋体"/>
          <w:color w:val="auto"/>
          <w:sz w:val="24"/>
          <w:szCs w:val="24"/>
          <w:highlight w:val="none"/>
          <w:lang w:eastAsia="zh-CN"/>
        </w:rPr>
        <w:t>。</w:t>
      </w:r>
    </w:p>
    <w:p w14:paraId="1C804154">
      <w:pPr>
        <w:shd w:val="clea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注：付款时成交供应商向采购人</w:t>
      </w:r>
      <w:r>
        <w:rPr>
          <w:rFonts w:hint="eastAsia" w:ascii="宋体" w:hAnsi="宋体" w:cs="宋体"/>
          <w:color w:val="auto"/>
          <w:sz w:val="24"/>
          <w:szCs w:val="24"/>
          <w:highlight w:val="none"/>
        </w:rPr>
        <w:t>开具增值税专用发票。</w:t>
      </w:r>
    </w:p>
    <w:p w14:paraId="391494EA">
      <w:pPr>
        <w:pStyle w:val="4"/>
        <w:numPr>
          <w:ilvl w:val="1"/>
          <w:numId w:val="0"/>
        </w:numPr>
        <w:shd w:val="clear"/>
        <w:spacing w:line="400" w:lineRule="exact"/>
        <w:rPr>
          <w:rFonts w:ascii="宋体" w:hAnsi="宋体" w:eastAsia="宋体" w:cs="宋体"/>
          <w:b/>
          <w:color w:val="auto"/>
          <w:sz w:val="24"/>
          <w:szCs w:val="24"/>
          <w:highlight w:val="none"/>
        </w:rPr>
      </w:pPr>
      <w:bookmarkStart w:id="134" w:name="_Toc23027"/>
      <w:bookmarkStart w:id="135" w:name="_Toc28563"/>
      <w:bookmarkStart w:id="136" w:name="_Toc76373879"/>
      <w:bookmarkStart w:id="137" w:name="_Toc17051"/>
      <w:bookmarkStart w:id="138" w:name="_Toc20439"/>
      <w:r>
        <w:rPr>
          <w:rFonts w:hint="eastAsia" w:ascii="宋体" w:hAnsi="宋体" w:eastAsia="宋体" w:cs="宋体"/>
          <w:b/>
          <w:color w:val="auto"/>
          <w:sz w:val="24"/>
          <w:szCs w:val="24"/>
          <w:highlight w:val="none"/>
        </w:rPr>
        <w:t>五、缺陷责任期及质量保证期</w:t>
      </w:r>
      <w:bookmarkEnd w:id="134"/>
      <w:bookmarkEnd w:id="135"/>
    </w:p>
    <w:p w14:paraId="19CEA175">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（一）缺陷责任期为36个月，从本工程竣工验收合格之日起计算。</w:t>
      </w:r>
    </w:p>
    <w:p w14:paraId="13517DD3">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（二）质量保证期</w:t>
      </w:r>
    </w:p>
    <w:p w14:paraId="630DDFE9">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1.工程质量保证期除另行约定外为3年。</w:t>
      </w:r>
    </w:p>
    <w:p w14:paraId="49C9FFF2">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2.工程质量保证期自工程竣工验收合格（以竣工验收报告日期为准）之日起计算。</w:t>
      </w:r>
    </w:p>
    <w:p w14:paraId="70501D17">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3.工程在质量保证期范围和质量保证期限内发生质量问题的，成交供应商（施工单位）应当履行保修义务，并对造成的损失承担赔偿责任。</w:t>
      </w:r>
    </w:p>
    <w:bookmarkEnd w:id="126"/>
    <w:bookmarkEnd w:id="136"/>
    <w:bookmarkEnd w:id="137"/>
    <w:bookmarkEnd w:id="138"/>
    <w:p w14:paraId="5DA16E9E">
      <w:pPr>
        <w:pStyle w:val="4"/>
        <w:numPr>
          <w:ilvl w:val="1"/>
          <w:numId w:val="0"/>
        </w:numPr>
        <w:shd w:val="clear"/>
        <w:spacing w:line="400" w:lineRule="exact"/>
        <w:rPr>
          <w:rFonts w:ascii="宋体" w:hAnsi="宋体" w:eastAsia="宋体" w:cs="宋体"/>
          <w:b/>
          <w:color w:val="auto"/>
          <w:sz w:val="24"/>
          <w:szCs w:val="24"/>
          <w:highlight w:val="none"/>
        </w:rPr>
      </w:pPr>
      <w:bookmarkStart w:id="139" w:name="_Toc30396"/>
      <w:bookmarkStart w:id="140" w:name="_Toc267320052"/>
      <w:bookmarkStart w:id="141" w:name="_Toc31346"/>
      <w:bookmarkStart w:id="142" w:name="_Toc32008"/>
      <w:bookmarkStart w:id="143" w:name="_Toc11159"/>
      <w:bookmarkStart w:id="144" w:name="_Toc31176"/>
      <w:bookmarkStart w:id="145" w:name="_Toc76373881"/>
      <w:bookmarkStart w:id="146" w:name="_Toc22056"/>
      <w:bookmarkStart w:id="147" w:name="_Toc21764"/>
      <w:r>
        <w:rPr>
          <w:rFonts w:hint="eastAsia" w:ascii="宋体" w:hAnsi="宋体" w:eastAsia="宋体" w:cs="宋体"/>
          <w:b/>
          <w:color w:val="auto"/>
          <w:sz w:val="24"/>
          <w:szCs w:val="24"/>
          <w:highlight w:val="none"/>
        </w:rPr>
        <w:t>六、知识产权</w:t>
      </w:r>
      <w:bookmarkEnd w:id="139"/>
      <w:bookmarkEnd w:id="140"/>
      <w:bookmarkEnd w:id="141"/>
      <w:bookmarkEnd w:id="142"/>
      <w:bookmarkEnd w:id="143"/>
      <w:bookmarkEnd w:id="144"/>
      <w:bookmarkEnd w:id="145"/>
      <w:bookmarkEnd w:id="146"/>
      <w:bookmarkEnd w:id="147"/>
    </w:p>
    <w:p w14:paraId="4D72C158">
      <w:pPr>
        <w:shd w:val="clea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采购人在中华人民共和国境内使用供应商提供的货物及服务时免受第三方提出的侵犯其专利权或其它知识产权的起诉。如果第三方提出侵权指控，成交供应商应承担由此而引起的一切法律责任和费用。</w:t>
      </w:r>
    </w:p>
    <w:p w14:paraId="21E68AC7">
      <w:pPr>
        <w:shd w:val="clea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（注：若涉及软件开发等服务类项目知识产权的，知识产权归采购人所有）。</w:t>
      </w:r>
      <w:bookmarkStart w:id="148" w:name="_Toc13865"/>
      <w:bookmarkStart w:id="149" w:name="_Toc22507"/>
      <w:bookmarkStart w:id="150" w:name="_Toc28960"/>
      <w:bookmarkStart w:id="151" w:name="_Toc32649"/>
      <w:bookmarkStart w:id="152" w:name="_Toc1051"/>
      <w:bookmarkStart w:id="153" w:name="_Toc76373883"/>
      <w:bookmarkStart w:id="154" w:name="_Toc27211"/>
    </w:p>
    <w:p w14:paraId="62744B7F">
      <w:pPr>
        <w:pStyle w:val="4"/>
        <w:numPr>
          <w:ilvl w:val="1"/>
          <w:numId w:val="0"/>
        </w:numPr>
        <w:shd w:val="clear"/>
        <w:spacing w:line="400" w:lineRule="exact"/>
        <w:rPr>
          <w:rFonts w:ascii="宋体" w:hAnsi="宋体" w:eastAsia="宋体" w:cs="宋体"/>
          <w:b/>
          <w:color w:val="auto"/>
          <w:sz w:val="24"/>
          <w:szCs w:val="24"/>
          <w:highlight w:val="none"/>
        </w:rPr>
      </w:pPr>
      <w:bookmarkStart w:id="155" w:name="_Toc7800"/>
      <w:r>
        <w:rPr>
          <w:rFonts w:hint="eastAsia" w:ascii="宋体" w:hAnsi="宋体" w:eastAsia="宋体" w:cs="宋体"/>
          <w:b/>
          <w:color w:val="auto"/>
          <w:sz w:val="24"/>
          <w:szCs w:val="24"/>
          <w:highlight w:val="none"/>
        </w:rPr>
        <w:t>七、其他</w:t>
      </w:r>
      <w:bookmarkEnd w:id="148"/>
      <w:bookmarkEnd w:id="149"/>
      <w:bookmarkEnd w:id="150"/>
      <w:bookmarkEnd w:id="151"/>
      <w:bookmarkEnd w:id="152"/>
      <w:bookmarkEnd w:id="153"/>
      <w:bookmarkEnd w:id="154"/>
      <w:bookmarkEnd w:id="155"/>
    </w:p>
    <w:p w14:paraId="7C88EBF4">
      <w:pPr>
        <w:pStyle w:val="13"/>
        <w:shd w:val="clear"/>
        <w:spacing w:line="40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（一）成交供应商须自行办理施工手续，不得因此拖延时间。</w:t>
      </w:r>
    </w:p>
    <w:p w14:paraId="149C2E94">
      <w:pPr>
        <w:pStyle w:val="13"/>
        <w:shd w:val="clear"/>
        <w:spacing w:line="40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（二）施工过程中的安全问题由成交供应商自行负责，采购人不承担任何责任。</w:t>
      </w:r>
    </w:p>
    <w:p w14:paraId="31276001">
      <w:pPr>
        <w:pStyle w:val="13"/>
        <w:shd w:val="clear"/>
        <w:spacing w:line="40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（三）涉及本项目隐蔽工程的施工及验收，成交供应商应提前告知采购人；涉及本项目设计变更，须由采购人进行认质核价。</w:t>
      </w:r>
    </w:p>
    <w:p w14:paraId="11151003">
      <w:pPr>
        <w:pStyle w:val="13"/>
        <w:shd w:val="clear"/>
        <w:spacing w:line="40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（四）若供应商响应文件提交虚假资料谋取中标，一经发现取消其成交资格，采购人有权单方面终止合同，情节严重的追究相应责任。</w:t>
      </w:r>
    </w:p>
    <w:p w14:paraId="2425635C">
      <w:pPr>
        <w:pStyle w:val="13"/>
        <w:shd w:val="clear"/>
        <w:spacing w:line="40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（五）其他未尽事宜由供需双方在采购合同中详细约定。</w:t>
      </w:r>
    </w:p>
    <w:p w14:paraId="05DAF75F">
      <w:pPr>
        <w:pStyle w:val="4"/>
        <w:pageBreakBefore/>
        <w:numPr>
          <w:ilvl w:val="1"/>
          <w:numId w:val="0"/>
        </w:numPr>
        <w:shd w:val="clear"/>
        <w:spacing w:line="360" w:lineRule="auto"/>
        <w:jc w:val="center"/>
        <w:rPr>
          <w:rFonts w:ascii="宋体" w:hAnsi="宋体" w:eastAsia="宋体" w:cs="宋体"/>
          <w:color w:val="auto"/>
          <w:sz w:val="36"/>
          <w:szCs w:val="30"/>
          <w:highlight w:val="none"/>
        </w:rPr>
      </w:pPr>
      <w:bookmarkStart w:id="156" w:name="_Toc14992"/>
      <w:bookmarkStart w:id="157" w:name="_Toc106030887"/>
      <w:bookmarkStart w:id="158" w:name="_Toc76462332"/>
      <w:bookmarkStart w:id="159" w:name="_Toc9000"/>
      <w:bookmarkStart w:id="160" w:name="_Toc5979"/>
      <w:bookmarkStart w:id="161" w:name="_Toc11396"/>
      <w:bookmarkStart w:id="162" w:name="_Toc30570"/>
      <w:r>
        <w:rPr>
          <w:rFonts w:hint="eastAsia" w:ascii="宋体" w:hAnsi="宋体" w:eastAsia="宋体" w:cs="宋体"/>
          <w:color w:val="auto"/>
          <w:sz w:val="36"/>
          <w:szCs w:val="30"/>
          <w:highlight w:val="none"/>
        </w:rPr>
        <w:t>第四篇  磋商程序及方法、评审标准、无效响应和</w:t>
      </w:r>
      <w:r>
        <w:rPr>
          <w:rFonts w:hint="eastAsia" w:ascii="宋体" w:hAnsi="宋体" w:eastAsia="宋体" w:cs="宋体"/>
          <w:color w:val="auto"/>
          <w:sz w:val="36"/>
          <w:szCs w:val="36"/>
          <w:highlight w:val="none"/>
        </w:rPr>
        <w:t>采购终止</w:t>
      </w:r>
      <w:bookmarkEnd w:id="156"/>
      <w:bookmarkEnd w:id="157"/>
      <w:bookmarkEnd w:id="158"/>
      <w:bookmarkEnd w:id="159"/>
      <w:bookmarkEnd w:id="160"/>
      <w:bookmarkEnd w:id="161"/>
      <w:bookmarkEnd w:id="162"/>
    </w:p>
    <w:p w14:paraId="70DD397F">
      <w:pPr>
        <w:pStyle w:val="4"/>
        <w:numPr>
          <w:ilvl w:val="1"/>
          <w:numId w:val="0"/>
        </w:numPr>
        <w:shd w:val="clear"/>
        <w:adjustRightInd w:val="0"/>
        <w:snapToGrid w:val="0"/>
        <w:spacing w:line="400" w:lineRule="exact"/>
        <w:rPr>
          <w:rFonts w:ascii="宋体" w:hAnsi="宋体" w:eastAsia="宋体" w:cs="宋体"/>
          <w:b/>
          <w:bCs w:val="0"/>
          <w:color w:val="auto"/>
          <w:sz w:val="24"/>
          <w:highlight w:val="none"/>
        </w:rPr>
      </w:pPr>
      <w:bookmarkStart w:id="163" w:name="_Toc25370"/>
      <w:bookmarkStart w:id="164" w:name="_Toc106030888"/>
      <w:bookmarkStart w:id="165" w:name="_Toc9408"/>
      <w:bookmarkStart w:id="166" w:name="_Toc28798"/>
      <w:bookmarkStart w:id="167" w:name="_Toc11861"/>
      <w:bookmarkStart w:id="168" w:name="_Toc26628"/>
      <w:bookmarkStart w:id="169" w:name="_Toc76462333"/>
      <w:r>
        <w:rPr>
          <w:rFonts w:hint="eastAsia" w:ascii="宋体" w:hAnsi="宋体" w:eastAsia="宋体" w:cs="宋体"/>
          <w:b/>
          <w:bCs w:val="0"/>
          <w:color w:val="auto"/>
          <w:sz w:val="24"/>
          <w:highlight w:val="none"/>
        </w:rPr>
        <w:t>一、磋商程序及方法</w:t>
      </w:r>
      <w:bookmarkEnd w:id="163"/>
      <w:bookmarkEnd w:id="164"/>
      <w:bookmarkEnd w:id="165"/>
      <w:bookmarkEnd w:id="166"/>
      <w:bookmarkEnd w:id="167"/>
      <w:bookmarkEnd w:id="168"/>
      <w:bookmarkEnd w:id="169"/>
    </w:p>
    <w:p w14:paraId="0AC39E32">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768DADFF">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（二）磋商小组对各供应商的资格条件、响应文件的有效性、完整性和响应程度进行审查。各供应商只有在完全符合要求的前提下，才能参与正式磋商。</w:t>
      </w:r>
    </w:p>
    <w:p w14:paraId="34AAC82B">
      <w:pPr>
        <w:shd w:val="clea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sz w:val="24"/>
          <w:szCs w:val="24"/>
          <w:highlight w:val="none"/>
        </w:rPr>
        <w:t>1.</w:t>
      </w:r>
      <w:r>
        <w:rPr>
          <w:rFonts w:hint="eastAsia" w:ascii="宋体" w:hAnsi="宋体" w:cs="宋体"/>
          <w:color w:val="auto"/>
          <w:kern w:val="0"/>
          <w:sz w:val="24"/>
          <w:szCs w:val="24"/>
          <w:highlight w:val="none"/>
        </w:rPr>
        <w:t>资格性审查。依据法律法规和竞争性磋商文件的规定，对响应文件中的资格证明、磋商保证金等进行审查，以确定供应商是否具备磋商资格。资格性审查资料表如下：</w:t>
      </w:r>
    </w:p>
    <w:tbl>
      <w:tblPr>
        <w:tblStyle w:val="32"/>
        <w:tblW w:w="9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670"/>
        <w:gridCol w:w="2955"/>
        <w:gridCol w:w="4721"/>
      </w:tblGrid>
      <w:tr w14:paraId="7F796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14:paraId="73D14E96">
            <w:pPr>
              <w:shd w:val="clear"/>
              <w:spacing w:line="400" w:lineRule="exact"/>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序号</w:t>
            </w:r>
          </w:p>
        </w:tc>
        <w:tc>
          <w:tcPr>
            <w:tcW w:w="3625" w:type="dxa"/>
            <w:gridSpan w:val="2"/>
            <w:tcBorders>
              <w:top w:val="single" w:color="auto" w:sz="4" w:space="0"/>
              <w:left w:val="single" w:color="auto" w:sz="4" w:space="0"/>
              <w:bottom w:val="single" w:color="auto" w:sz="4" w:space="0"/>
              <w:right w:val="single" w:color="auto" w:sz="4" w:space="0"/>
            </w:tcBorders>
            <w:vAlign w:val="center"/>
          </w:tcPr>
          <w:p w14:paraId="1C8285F8">
            <w:pPr>
              <w:shd w:val="clear"/>
              <w:spacing w:line="400" w:lineRule="exact"/>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检查因素</w:t>
            </w:r>
          </w:p>
        </w:tc>
        <w:tc>
          <w:tcPr>
            <w:tcW w:w="4721" w:type="dxa"/>
            <w:tcBorders>
              <w:top w:val="single" w:color="auto" w:sz="4" w:space="0"/>
              <w:left w:val="single" w:color="auto" w:sz="4" w:space="0"/>
              <w:bottom w:val="single" w:color="auto" w:sz="4" w:space="0"/>
              <w:right w:val="single" w:color="auto" w:sz="4" w:space="0"/>
            </w:tcBorders>
            <w:vAlign w:val="center"/>
          </w:tcPr>
          <w:p w14:paraId="130179ED">
            <w:pPr>
              <w:shd w:val="clear"/>
              <w:spacing w:line="400" w:lineRule="exact"/>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检查内容</w:t>
            </w:r>
          </w:p>
        </w:tc>
      </w:tr>
      <w:tr w14:paraId="0966E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jc w:val="center"/>
        </w:trPr>
        <w:tc>
          <w:tcPr>
            <w:tcW w:w="773" w:type="dxa"/>
            <w:vMerge w:val="restart"/>
            <w:vAlign w:val="center"/>
          </w:tcPr>
          <w:p w14:paraId="197A0374">
            <w:pPr>
              <w:shd w:val="clear"/>
              <w:spacing w:line="4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（一）</w:t>
            </w:r>
          </w:p>
        </w:tc>
        <w:tc>
          <w:tcPr>
            <w:tcW w:w="670" w:type="dxa"/>
            <w:vMerge w:val="restart"/>
            <w:vAlign w:val="center"/>
          </w:tcPr>
          <w:p w14:paraId="1D595347">
            <w:pPr>
              <w:shd w:val="clear"/>
              <w:spacing w:line="400" w:lineRule="exac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《中华人民共和国政府采购法》第二十二条规定</w:t>
            </w:r>
          </w:p>
        </w:tc>
        <w:tc>
          <w:tcPr>
            <w:tcW w:w="2955" w:type="dxa"/>
            <w:vAlign w:val="center"/>
          </w:tcPr>
          <w:p w14:paraId="37EAFCFD">
            <w:pPr>
              <w:shd w:val="clear"/>
              <w:spacing w:line="400" w:lineRule="exact"/>
              <w:rPr>
                <w:rFonts w:ascii="宋体" w:hAnsi="宋体" w:cs="宋体"/>
                <w:color w:val="auto"/>
                <w:sz w:val="21"/>
                <w:szCs w:val="21"/>
                <w:highlight w:val="none"/>
              </w:rPr>
            </w:pPr>
            <w:r>
              <w:rPr>
                <w:rFonts w:hint="eastAsia" w:ascii="宋体" w:hAnsi="宋体" w:cs="宋体"/>
                <w:color w:val="auto"/>
                <w:sz w:val="21"/>
                <w:szCs w:val="21"/>
                <w:highlight w:val="none"/>
              </w:rPr>
              <w:t>1.具有独立承担民事责任的能力</w:t>
            </w:r>
          </w:p>
        </w:tc>
        <w:tc>
          <w:tcPr>
            <w:tcW w:w="4721" w:type="dxa"/>
            <w:vAlign w:val="center"/>
          </w:tcPr>
          <w:p w14:paraId="635E939C">
            <w:pPr>
              <w:shd w:val="clear"/>
              <w:spacing w:line="400" w:lineRule="exact"/>
              <w:rPr>
                <w:rFonts w:ascii="宋体" w:hAnsi="宋体" w:cs="宋体"/>
                <w:color w:val="auto"/>
                <w:sz w:val="21"/>
                <w:szCs w:val="21"/>
                <w:highlight w:val="none"/>
              </w:rPr>
            </w:pPr>
            <w:r>
              <w:rPr>
                <w:rFonts w:hint="eastAsia" w:ascii="宋体" w:hAnsi="宋体" w:cs="宋体"/>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4BD083B3">
            <w:pPr>
              <w:shd w:val="clear"/>
              <w:spacing w:line="400" w:lineRule="exact"/>
              <w:rPr>
                <w:rFonts w:ascii="宋体" w:hAnsi="宋体" w:cs="宋体"/>
                <w:color w:val="auto"/>
                <w:sz w:val="21"/>
                <w:szCs w:val="21"/>
                <w:highlight w:val="none"/>
              </w:rPr>
            </w:pPr>
            <w:r>
              <w:rPr>
                <w:rFonts w:hint="eastAsia" w:ascii="宋体" w:hAnsi="宋体" w:cs="宋体"/>
                <w:color w:val="auto"/>
                <w:sz w:val="21"/>
                <w:szCs w:val="21"/>
                <w:highlight w:val="none"/>
              </w:rPr>
              <w:t>2.供应商法定代表人身份证明和法定代表人授权代表委托书。</w:t>
            </w:r>
          </w:p>
        </w:tc>
      </w:tr>
      <w:tr w14:paraId="1D550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73" w:type="dxa"/>
            <w:vMerge w:val="continue"/>
            <w:vAlign w:val="center"/>
          </w:tcPr>
          <w:p w14:paraId="2CE5D0D7">
            <w:pPr>
              <w:shd w:val="clear"/>
              <w:spacing w:line="400" w:lineRule="exact"/>
              <w:jc w:val="center"/>
              <w:rPr>
                <w:rFonts w:ascii="宋体" w:hAnsi="宋体" w:cs="宋体"/>
                <w:color w:val="auto"/>
                <w:sz w:val="21"/>
                <w:szCs w:val="21"/>
                <w:highlight w:val="none"/>
              </w:rPr>
            </w:pPr>
          </w:p>
        </w:tc>
        <w:tc>
          <w:tcPr>
            <w:tcW w:w="670" w:type="dxa"/>
            <w:vMerge w:val="continue"/>
            <w:vAlign w:val="center"/>
          </w:tcPr>
          <w:p w14:paraId="04E1CE8A">
            <w:pPr>
              <w:shd w:val="clear"/>
              <w:spacing w:line="400" w:lineRule="exact"/>
              <w:rPr>
                <w:rFonts w:ascii="宋体" w:hAnsi="宋体" w:cs="宋体"/>
                <w:color w:val="auto"/>
                <w:sz w:val="21"/>
                <w:szCs w:val="21"/>
                <w:highlight w:val="none"/>
                <w:lang w:val="zh-CN"/>
              </w:rPr>
            </w:pPr>
          </w:p>
        </w:tc>
        <w:tc>
          <w:tcPr>
            <w:tcW w:w="2955" w:type="dxa"/>
            <w:vAlign w:val="center"/>
          </w:tcPr>
          <w:p w14:paraId="6C158967">
            <w:pPr>
              <w:shd w:val="clear"/>
              <w:spacing w:line="400" w:lineRule="exact"/>
              <w:rPr>
                <w:rFonts w:ascii="宋体" w:hAnsi="宋体" w:cs="宋体"/>
                <w:color w:val="auto"/>
                <w:sz w:val="21"/>
                <w:szCs w:val="21"/>
                <w:highlight w:val="none"/>
              </w:rPr>
            </w:pPr>
            <w:r>
              <w:rPr>
                <w:rFonts w:hint="eastAsia" w:ascii="宋体" w:hAnsi="宋体" w:cs="宋体"/>
                <w:color w:val="auto"/>
                <w:sz w:val="21"/>
                <w:szCs w:val="21"/>
                <w:highlight w:val="none"/>
                <w:lang w:val="zh-CN"/>
              </w:rPr>
              <w:t>2.</w:t>
            </w:r>
            <w:r>
              <w:rPr>
                <w:rFonts w:hint="eastAsia" w:ascii="宋体" w:hAnsi="宋体" w:cs="宋体"/>
                <w:color w:val="auto"/>
                <w:sz w:val="21"/>
                <w:szCs w:val="21"/>
                <w:highlight w:val="none"/>
              </w:rPr>
              <w:t>具有良好的商业信誉和健全的财务会计制度</w:t>
            </w:r>
          </w:p>
        </w:tc>
        <w:tc>
          <w:tcPr>
            <w:tcW w:w="4721" w:type="dxa"/>
            <w:vMerge w:val="restart"/>
            <w:vAlign w:val="center"/>
          </w:tcPr>
          <w:p w14:paraId="6C945C97">
            <w:pPr>
              <w:shd w:val="clear"/>
              <w:spacing w:line="400" w:lineRule="exact"/>
              <w:rPr>
                <w:rFonts w:ascii="宋体" w:hAnsi="宋体" w:cs="宋体"/>
                <w:b/>
                <w:color w:val="auto"/>
                <w:sz w:val="21"/>
                <w:szCs w:val="21"/>
                <w:highlight w:val="none"/>
              </w:rPr>
            </w:pPr>
            <w:r>
              <w:rPr>
                <w:rFonts w:hint="eastAsia" w:ascii="宋体" w:hAnsi="宋体" w:cs="宋体"/>
                <w:color w:val="auto"/>
                <w:sz w:val="21"/>
                <w:szCs w:val="21"/>
                <w:highlight w:val="none"/>
              </w:rPr>
              <w:t>供应商提供“基本资格条件承诺函”（格式详见第七篇）</w:t>
            </w:r>
          </w:p>
        </w:tc>
      </w:tr>
      <w:tr w14:paraId="0CF12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73" w:type="dxa"/>
            <w:vMerge w:val="continue"/>
            <w:vAlign w:val="center"/>
          </w:tcPr>
          <w:p w14:paraId="787DCD12">
            <w:pPr>
              <w:shd w:val="clear"/>
              <w:spacing w:line="400" w:lineRule="exact"/>
              <w:jc w:val="center"/>
              <w:rPr>
                <w:rFonts w:ascii="宋体" w:hAnsi="宋体" w:cs="宋体"/>
                <w:color w:val="auto"/>
                <w:sz w:val="21"/>
                <w:szCs w:val="21"/>
                <w:highlight w:val="none"/>
              </w:rPr>
            </w:pPr>
          </w:p>
        </w:tc>
        <w:tc>
          <w:tcPr>
            <w:tcW w:w="670" w:type="dxa"/>
            <w:vMerge w:val="continue"/>
            <w:vAlign w:val="center"/>
          </w:tcPr>
          <w:p w14:paraId="7C6B164C">
            <w:pPr>
              <w:shd w:val="clear"/>
              <w:spacing w:line="400" w:lineRule="exact"/>
              <w:rPr>
                <w:rFonts w:ascii="宋体" w:hAnsi="宋体" w:cs="宋体"/>
                <w:color w:val="auto"/>
                <w:sz w:val="21"/>
                <w:szCs w:val="21"/>
                <w:highlight w:val="none"/>
                <w:lang w:val="zh-CN"/>
              </w:rPr>
            </w:pPr>
          </w:p>
        </w:tc>
        <w:tc>
          <w:tcPr>
            <w:tcW w:w="2955" w:type="dxa"/>
            <w:vAlign w:val="center"/>
          </w:tcPr>
          <w:p w14:paraId="77954883">
            <w:pPr>
              <w:shd w:val="clear"/>
              <w:spacing w:line="400" w:lineRule="exac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3.具有履行合同所必需的设备和专业技术能力</w:t>
            </w:r>
          </w:p>
        </w:tc>
        <w:tc>
          <w:tcPr>
            <w:tcW w:w="4721" w:type="dxa"/>
            <w:vMerge w:val="continue"/>
            <w:vAlign w:val="center"/>
          </w:tcPr>
          <w:p w14:paraId="036174F7">
            <w:pPr>
              <w:shd w:val="clear"/>
              <w:spacing w:line="400" w:lineRule="exact"/>
              <w:rPr>
                <w:rFonts w:ascii="宋体" w:hAnsi="宋体" w:cs="宋体"/>
                <w:color w:val="auto"/>
                <w:sz w:val="21"/>
                <w:szCs w:val="21"/>
                <w:highlight w:val="none"/>
              </w:rPr>
            </w:pPr>
          </w:p>
        </w:tc>
      </w:tr>
      <w:tr w14:paraId="0B7EF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73" w:type="dxa"/>
            <w:vMerge w:val="continue"/>
            <w:vAlign w:val="center"/>
          </w:tcPr>
          <w:p w14:paraId="7F5066D1">
            <w:pPr>
              <w:shd w:val="clear"/>
              <w:spacing w:line="400" w:lineRule="exact"/>
              <w:jc w:val="center"/>
              <w:rPr>
                <w:rFonts w:ascii="宋体" w:hAnsi="宋体" w:cs="宋体"/>
                <w:color w:val="auto"/>
                <w:sz w:val="21"/>
                <w:szCs w:val="21"/>
                <w:highlight w:val="none"/>
              </w:rPr>
            </w:pPr>
          </w:p>
        </w:tc>
        <w:tc>
          <w:tcPr>
            <w:tcW w:w="670" w:type="dxa"/>
            <w:vMerge w:val="continue"/>
            <w:vAlign w:val="center"/>
          </w:tcPr>
          <w:p w14:paraId="1FC9517C">
            <w:pPr>
              <w:shd w:val="clear"/>
              <w:spacing w:line="400" w:lineRule="exact"/>
              <w:rPr>
                <w:rFonts w:ascii="宋体" w:hAnsi="宋体" w:cs="宋体"/>
                <w:color w:val="auto"/>
                <w:sz w:val="21"/>
                <w:szCs w:val="21"/>
                <w:highlight w:val="none"/>
                <w:lang w:val="zh-CN"/>
              </w:rPr>
            </w:pPr>
          </w:p>
        </w:tc>
        <w:tc>
          <w:tcPr>
            <w:tcW w:w="2955" w:type="dxa"/>
            <w:vAlign w:val="center"/>
          </w:tcPr>
          <w:p w14:paraId="0A266608">
            <w:pPr>
              <w:shd w:val="clear"/>
              <w:spacing w:line="400" w:lineRule="exac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4.有依法缴纳税收和社会保障金的良好记录</w:t>
            </w:r>
          </w:p>
        </w:tc>
        <w:tc>
          <w:tcPr>
            <w:tcW w:w="4721" w:type="dxa"/>
            <w:vMerge w:val="continue"/>
            <w:vAlign w:val="center"/>
          </w:tcPr>
          <w:p w14:paraId="7304748B">
            <w:pPr>
              <w:shd w:val="clear"/>
              <w:spacing w:line="400" w:lineRule="exact"/>
              <w:rPr>
                <w:rFonts w:ascii="宋体" w:hAnsi="宋体" w:cs="宋体"/>
                <w:color w:val="auto"/>
                <w:sz w:val="21"/>
                <w:szCs w:val="21"/>
                <w:highlight w:val="none"/>
              </w:rPr>
            </w:pPr>
          </w:p>
        </w:tc>
      </w:tr>
      <w:tr w14:paraId="6AB73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73" w:type="dxa"/>
            <w:vMerge w:val="continue"/>
            <w:vAlign w:val="center"/>
          </w:tcPr>
          <w:p w14:paraId="7FD44AFD">
            <w:pPr>
              <w:shd w:val="clear"/>
              <w:spacing w:line="400" w:lineRule="exact"/>
              <w:jc w:val="center"/>
              <w:rPr>
                <w:rFonts w:ascii="宋体" w:hAnsi="宋体" w:cs="宋体"/>
                <w:color w:val="auto"/>
                <w:sz w:val="21"/>
                <w:szCs w:val="21"/>
                <w:highlight w:val="none"/>
              </w:rPr>
            </w:pPr>
          </w:p>
        </w:tc>
        <w:tc>
          <w:tcPr>
            <w:tcW w:w="670" w:type="dxa"/>
            <w:vMerge w:val="continue"/>
            <w:vAlign w:val="center"/>
          </w:tcPr>
          <w:p w14:paraId="66CB898B">
            <w:pPr>
              <w:shd w:val="clear"/>
              <w:spacing w:line="400" w:lineRule="exact"/>
              <w:rPr>
                <w:rFonts w:ascii="宋体" w:hAnsi="宋体" w:cs="宋体"/>
                <w:color w:val="auto"/>
                <w:sz w:val="21"/>
                <w:szCs w:val="21"/>
                <w:highlight w:val="none"/>
                <w:lang w:val="zh-CN"/>
              </w:rPr>
            </w:pPr>
          </w:p>
        </w:tc>
        <w:tc>
          <w:tcPr>
            <w:tcW w:w="2955" w:type="dxa"/>
            <w:vAlign w:val="center"/>
          </w:tcPr>
          <w:p w14:paraId="5FBDE476">
            <w:pPr>
              <w:shd w:val="clear"/>
              <w:spacing w:line="400" w:lineRule="exact"/>
              <w:rPr>
                <w:rFonts w:ascii="宋体" w:hAnsi="宋体" w:cs="宋体"/>
                <w:color w:val="auto"/>
                <w:sz w:val="21"/>
                <w:szCs w:val="21"/>
                <w:highlight w:val="none"/>
              </w:rPr>
            </w:pPr>
            <w:r>
              <w:rPr>
                <w:rFonts w:hint="eastAsia" w:ascii="宋体" w:hAnsi="宋体" w:cs="宋体"/>
                <w:color w:val="auto"/>
                <w:sz w:val="21"/>
                <w:szCs w:val="21"/>
                <w:highlight w:val="none"/>
              </w:rPr>
              <w:t>5.参加政府采购活动前三年内，在经营活动中没有重大违法记录（注</w:t>
            </w:r>
            <w:r>
              <w:rPr>
                <w:rFonts w:hint="eastAsia" w:ascii="宋体" w:hAnsi="宋体" w:cs="宋体"/>
                <w:color w:val="auto"/>
                <w:kern w:val="0"/>
                <w:sz w:val="24"/>
                <w:szCs w:val="24"/>
                <w:highlight w:val="none"/>
              </w:rPr>
              <w:t>①）</w:t>
            </w:r>
          </w:p>
        </w:tc>
        <w:tc>
          <w:tcPr>
            <w:tcW w:w="4721" w:type="dxa"/>
            <w:vMerge w:val="continue"/>
            <w:vAlign w:val="center"/>
          </w:tcPr>
          <w:p w14:paraId="678C4EC5">
            <w:pPr>
              <w:shd w:val="clear"/>
              <w:spacing w:line="400" w:lineRule="exact"/>
              <w:rPr>
                <w:rFonts w:ascii="宋体" w:hAnsi="宋体" w:cs="宋体"/>
                <w:b/>
                <w:color w:val="auto"/>
                <w:sz w:val="21"/>
                <w:szCs w:val="21"/>
                <w:highlight w:val="none"/>
              </w:rPr>
            </w:pPr>
          </w:p>
        </w:tc>
      </w:tr>
      <w:tr w14:paraId="2D52A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73" w:type="dxa"/>
            <w:vMerge w:val="continue"/>
            <w:vAlign w:val="center"/>
          </w:tcPr>
          <w:p w14:paraId="19631F43">
            <w:pPr>
              <w:shd w:val="clear"/>
              <w:spacing w:line="400" w:lineRule="exact"/>
              <w:jc w:val="center"/>
              <w:rPr>
                <w:rFonts w:ascii="宋体" w:hAnsi="宋体" w:cs="宋体"/>
                <w:color w:val="auto"/>
                <w:sz w:val="21"/>
                <w:szCs w:val="21"/>
                <w:highlight w:val="none"/>
              </w:rPr>
            </w:pPr>
          </w:p>
        </w:tc>
        <w:tc>
          <w:tcPr>
            <w:tcW w:w="670" w:type="dxa"/>
            <w:vMerge w:val="continue"/>
            <w:vAlign w:val="center"/>
          </w:tcPr>
          <w:p w14:paraId="133CD92C">
            <w:pPr>
              <w:shd w:val="clear"/>
              <w:spacing w:line="400" w:lineRule="exact"/>
              <w:rPr>
                <w:rFonts w:ascii="宋体" w:hAnsi="宋体" w:cs="宋体"/>
                <w:color w:val="auto"/>
                <w:sz w:val="21"/>
                <w:szCs w:val="21"/>
                <w:highlight w:val="none"/>
              </w:rPr>
            </w:pPr>
          </w:p>
        </w:tc>
        <w:tc>
          <w:tcPr>
            <w:tcW w:w="2955" w:type="dxa"/>
            <w:vAlign w:val="center"/>
          </w:tcPr>
          <w:p w14:paraId="59CDA475">
            <w:pPr>
              <w:shd w:val="clear"/>
              <w:spacing w:line="400" w:lineRule="exact"/>
              <w:rPr>
                <w:rFonts w:ascii="宋体" w:hAnsi="宋体" w:cs="宋体"/>
                <w:color w:val="auto"/>
                <w:sz w:val="21"/>
                <w:szCs w:val="21"/>
                <w:highlight w:val="none"/>
              </w:rPr>
            </w:pPr>
            <w:r>
              <w:rPr>
                <w:rFonts w:hint="eastAsia" w:ascii="宋体" w:hAnsi="宋体" w:cs="宋体"/>
                <w:color w:val="auto"/>
                <w:sz w:val="21"/>
                <w:szCs w:val="21"/>
                <w:highlight w:val="none"/>
              </w:rPr>
              <w:t>6.法律、行政法规规定的其他条件</w:t>
            </w:r>
          </w:p>
        </w:tc>
        <w:tc>
          <w:tcPr>
            <w:tcW w:w="4721" w:type="dxa"/>
            <w:vAlign w:val="center"/>
          </w:tcPr>
          <w:p w14:paraId="50F368A8">
            <w:pPr>
              <w:shd w:val="clear"/>
              <w:spacing w:line="4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r>
      <w:tr w14:paraId="3E437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73" w:type="dxa"/>
            <w:vMerge w:val="continue"/>
            <w:vAlign w:val="center"/>
          </w:tcPr>
          <w:p w14:paraId="76D4DB67">
            <w:pPr>
              <w:shd w:val="clear"/>
              <w:spacing w:line="400" w:lineRule="exact"/>
              <w:jc w:val="center"/>
              <w:rPr>
                <w:rFonts w:ascii="宋体" w:hAnsi="宋体" w:cs="宋体"/>
                <w:color w:val="auto"/>
                <w:sz w:val="21"/>
                <w:szCs w:val="21"/>
                <w:highlight w:val="none"/>
              </w:rPr>
            </w:pPr>
          </w:p>
        </w:tc>
        <w:tc>
          <w:tcPr>
            <w:tcW w:w="670" w:type="dxa"/>
            <w:vMerge w:val="continue"/>
            <w:vAlign w:val="center"/>
          </w:tcPr>
          <w:p w14:paraId="2A88AFE4">
            <w:pPr>
              <w:shd w:val="clear"/>
              <w:spacing w:line="400" w:lineRule="exact"/>
              <w:rPr>
                <w:rFonts w:ascii="宋体" w:hAnsi="宋体" w:cs="宋体"/>
                <w:color w:val="auto"/>
                <w:sz w:val="21"/>
                <w:szCs w:val="21"/>
                <w:highlight w:val="none"/>
              </w:rPr>
            </w:pPr>
          </w:p>
        </w:tc>
        <w:tc>
          <w:tcPr>
            <w:tcW w:w="2955" w:type="dxa"/>
            <w:vAlign w:val="center"/>
          </w:tcPr>
          <w:p w14:paraId="6ED1803B">
            <w:pPr>
              <w:shd w:val="clear"/>
              <w:spacing w:line="400" w:lineRule="exact"/>
              <w:rPr>
                <w:rFonts w:ascii="宋体" w:hAnsi="宋体" w:cs="宋体"/>
                <w:color w:val="auto"/>
                <w:sz w:val="21"/>
                <w:szCs w:val="21"/>
                <w:highlight w:val="none"/>
              </w:rPr>
            </w:pPr>
            <w:r>
              <w:rPr>
                <w:rFonts w:hint="eastAsia" w:ascii="宋体" w:hAnsi="宋体" w:cs="宋体"/>
                <w:color w:val="auto"/>
                <w:sz w:val="21"/>
                <w:szCs w:val="21"/>
                <w:highlight w:val="none"/>
              </w:rPr>
              <w:t>7.本项目的特定资格要求</w:t>
            </w:r>
          </w:p>
        </w:tc>
        <w:tc>
          <w:tcPr>
            <w:tcW w:w="4721" w:type="dxa"/>
            <w:vAlign w:val="center"/>
          </w:tcPr>
          <w:p w14:paraId="1CFCB032">
            <w:pPr>
              <w:shd w:val="clear"/>
              <w:spacing w:line="400" w:lineRule="exact"/>
              <w:rPr>
                <w:rFonts w:ascii="宋体" w:hAnsi="宋体" w:cs="宋体"/>
                <w:color w:val="auto"/>
                <w:sz w:val="21"/>
                <w:szCs w:val="21"/>
                <w:highlight w:val="none"/>
              </w:rPr>
            </w:pPr>
            <w:r>
              <w:rPr>
                <w:rFonts w:hint="eastAsia" w:ascii="宋体" w:hAnsi="宋体" w:cs="宋体"/>
                <w:color w:val="auto"/>
                <w:sz w:val="21"/>
                <w:szCs w:val="21"/>
                <w:highlight w:val="none"/>
              </w:rPr>
              <w:t>按第一篇“三、供应商资格要求（二）本项目的特定资格要求”的要求提交。</w:t>
            </w:r>
          </w:p>
        </w:tc>
      </w:tr>
      <w:tr w14:paraId="18DA8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73" w:type="dxa"/>
            <w:vAlign w:val="center"/>
          </w:tcPr>
          <w:p w14:paraId="1D7DE4AD">
            <w:pPr>
              <w:shd w:val="clear"/>
              <w:spacing w:line="400" w:lineRule="exac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rPr>
              <w:t>二</w:t>
            </w:r>
            <w:r>
              <w:rPr>
                <w:rFonts w:hint="eastAsia" w:ascii="宋体" w:hAnsi="宋体" w:cs="宋体"/>
                <w:color w:val="auto"/>
                <w:sz w:val="21"/>
                <w:szCs w:val="21"/>
                <w:highlight w:val="none"/>
                <w:lang w:val="zh-CN"/>
              </w:rPr>
              <w:t>）</w:t>
            </w:r>
          </w:p>
        </w:tc>
        <w:tc>
          <w:tcPr>
            <w:tcW w:w="3625" w:type="dxa"/>
            <w:gridSpan w:val="2"/>
            <w:vAlign w:val="center"/>
          </w:tcPr>
          <w:p w14:paraId="6B10E1A2">
            <w:pPr>
              <w:shd w:val="clear"/>
              <w:spacing w:line="400" w:lineRule="exac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磋商保证金</w:t>
            </w:r>
          </w:p>
        </w:tc>
        <w:tc>
          <w:tcPr>
            <w:tcW w:w="4721" w:type="dxa"/>
            <w:vAlign w:val="center"/>
          </w:tcPr>
          <w:p w14:paraId="189DEA12">
            <w:pPr>
              <w:shd w:val="clear"/>
              <w:spacing w:line="400" w:lineRule="exac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按照竞争性磋商文件要求足额缴纳磋商保证金。</w:t>
            </w:r>
          </w:p>
        </w:tc>
      </w:tr>
    </w:tbl>
    <w:p w14:paraId="593CD6AC">
      <w:pPr>
        <w:shd w:val="clea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w:t>
      </w:r>
    </w:p>
    <w:p w14:paraId="62701165">
      <w:pPr>
        <w:shd w:val="clea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①根据《中华人民共和国政府采购法实施条例》第十九条“参加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7822CF53">
      <w:pPr>
        <w:shd w:val="clea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2.符合性审查。依据竞争性磋商文件的规定，从响应文件的有效性、完整性和对竞争性磋商文件的响应程度进行审查，以确定是否对竞争性磋商文件的实质性要求作出响应。符合性审查资料表如下：</w:t>
      </w:r>
    </w:p>
    <w:tbl>
      <w:tblPr>
        <w:tblStyle w:val="32"/>
        <w:tblW w:w="9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558"/>
        <w:gridCol w:w="1983"/>
        <w:gridCol w:w="5405"/>
      </w:tblGrid>
      <w:tr w14:paraId="49156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673" w:type="dxa"/>
            <w:vAlign w:val="center"/>
          </w:tcPr>
          <w:p w14:paraId="3F6C85E5">
            <w:pPr>
              <w:shd w:val="clear"/>
              <w:spacing w:line="400" w:lineRule="exact"/>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序号</w:t>
            </w:r>
          </w:p>
        </w:tc>
        <w:tc>
          <w:tcPr>
            <w:tcW w:w="3541" w:type="dxa"/>
            <w:gridSpan w:val="2"/>
            <w:vAlign w:val="center"/>
          </w:tcPr>
          <w:p w14:paraId="6EBAE2B6">
            <w:pPr>
              <w:shd w:val="clear"/>
              <w:spacing w:line="400" w:lineRule="exact"/>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评审因素</w:t>
            </w:r>
          </w:p>
        </w:tc>
        <w:tc>
          <w:tcPr>
            <w:tcW w:w="5405" w:type="dxa"/>
            <w:vAlign w:val="center"/>
          </w:tcPr>
          <w:p w14:paraId="16B70645">
            <w:pPr>
              <w:shd w:val="clear"/>
              <w:spacing w:line="400" w:lineRule="exact"/>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评审标准</w:t>
            </w:r>
          </w:p>
        </w:tc>
      </w:tr>
      <w:tr w14:paraId="0BD5E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673" w:type="dxa"/>
            <w:vMerge w:val="restart"/>
            <w:vAlign w:val="center"/>
          </w:tcPr>
          <w:p w14:paraId="220C9F3F">
            <w:pPr>
              <w:shd w:val="clear"/>
              <w:spacing w:line="400" w:lineRule="exact"/>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558" w:type="dxa"/>
            <w:vMerge w:val="restart"/>
            <w:vAlign w:val="center"/>
          </w:tcPr>
          <w:p w14:paraId="7E98C675">
            <w:pPr>
              <w:shd w:val="clear"/>
              <w:spacing w:line="400" w:lineRule="exact"/>
              <w:rPr>
                <w:rFonts w:ascii="宋体" w:hAnsi="宋体" w:cs="宋体"/>
                <w:color w:val="auto"/>
                <w:kern w:val="0"/>
                <w:sz w:val="21"/>
                <w:szCs w:val="21"/>
                <w:highlight w:val="none"/>
              </w:rPr>
            </w:pPr>
            <w:r>
              <w:rPr>
                <w:rFonts w:hint="eastAsia" w:ascii="宋体" w:hAnsi="宋体" w:cs="宋体"/>
                <w:color w:val="auto"/>
                <w:kern w:val="0"/>
                <w:sz w:val="21"/>
                <w:szCs w:val="21"/>
                <w:highlight w:val="none"/>
              </w:rPr>
              <w:t>有效性审查</w:t>
            </w:r>
          </w:p>
        </w:tc>
        <w:tc>
          <w:tcPr>
            <w:tcW w:w="1983" w:type="dxa"/>
            <w:vAlign w:val="center"/>
          </w:tcPr>
          <w:p w14:paraId="0AB62C35">
            <w:pPr>
              <w:shd w:val="clear"/>
              <w:spacing w:line="400" w:lineRule="exact"/>
              <w:rPr>
                <w:rFonts w:ascii="宋体" w:hAnsi="宋体" w:cs="宋体"/>
                <w:color w:val="auto"/>
                <w:kern w:val="0"/>
                <w:sz w:val="21"/>
                <w:szCs w:val="21"/>
                <w:highlight w:val="none"/>
              </w:rPr>
            </w:pPr>
            <w:r>
              <w:rPr>
                <w:rFonts w:hint="eastAsia" w:ascii="宋体" w:hAnsi="宋体" w:cs="宋体"/>
                <w:color w:val="auto"/>
                <w:sz w:val="21"/>
                <w:szCs w:val="21"/>
                <w:highlight w:val="none"/>
              </w:rPr>
              <w:t>响应文件签署或盖章</w:t>
            </w:r>
          </w:p>
        </w:tc>
        <w:tc>
          <w:tcPr>
            <w:tcW w:w="5405" w:type="dxa"/>
            <w:vAlign w:val="center"/>
          </w:tcPr>
          <w:p w14:paraId="4AF729C0">
            <w:pPr>
              <w:shd w:val="clear"/>
              <w:spacing w:line="400" w:lineRule="exact"/>
              <w:rPr>
                <w:rFonts w:ascii="宋体" w:hAnsi="宋体" w:cs="宋体"/>
                <w:color w:val="auto"/>
                <w:kern w:val="0"/>
                <w:sz w:val="21"/>
                <w:szCs w:val="21"/>
                <w:highlight w:val="none"/>
              </w:rPr>
            </w:pPr>
            <w:r>
              <w:rPr>
                <w:rFonts w:hint="eastAsia" w:ascii="宋体" w:hAnsi="宋体" w:cs="宋体"/>
                <w:color w:val="auto"/>
                <w:sz w:val="21"/>
                <w:szCs w:val="21"/>
                <w:highlight w:val="none"/>
              </w:rPr>
              <w:t>按竞争性磋商文件“第七篇响应文件编制要求”要求签署或盖章。</w:t>
            </w:r>
          </w:p>
        </w:tc>
      </w:tr>
      <w:tr w14:paraId="44C02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673" w:type="dxa"/>
            <w:vMerge w:val="continue"/>
            <w:vAlign w:val="center"/>
          </w:tcPr>
          <w:p w14:paraId="0D2116A5">
            <w:pPr>
              <w:shd w:val="clear"/>
              <w:spacing w:line="400" w:lineRule="exact"/>
              <w:jc w:val="center"/>
              <w:rPr>
                <w:rFonts w:ascii="宋体" w:hAnsi="宋体" w:cs="宋体"/>
                <w:color w:val="auto"/>
                <w:kern w:val="0"/>
                <w:sz w:val="21"/>
                <w:szCs w:val="21"/>
                <w:highlight w:val="none"/>
              </w:rPr>
            </w:pPr>
          </w:p>
        </w:tc>
        <w:tc>
          <w:tcPr>
            <w:tcW w:w="1558" w:type="dxa"/>
            <w:vMerge w:val="continue"/>
            <w:vAlign w:val="center"/>
          </w:tcPr>
          <w:p w14:paraId="0E9632FD">
            <w:pPr>
              <w:shd w:val="clear"/>
              <w:spacing w:line="400" w:lineRule="exact"/>
              <w:rPr>
                <w:rFonts w:ascii="宋体" w:hAnsi="宋体" w:cs="宋体"/>
                <w:color w:val="auto"/>
                <w:kern w:val="0"/>
                <w:sz w:val="21"/>
                <w:szCs w:val="21"/>
                <w:highlight w:val="none"/>
              </w:rPr>
            </w:pPr>
          </w:p>
        </w:tc>
        <w:tc>
          <w:tcPr>
            <w:tcW w:w="1983" w:type="dxa"/>
            <w:vAlign w:val="center"/>
          </w:tcPr>
          <w:p w14:paraId="4CCB753A">
            <w:pPr>
              <w:shd w:val="clear"/>
              <w:spacing w:line="400" w:lineRule="exact"/>
              <w:rPr>
                <w:rFonts w:ascii="宋体" w:hAnsi="宋体" w:cs="宋体"/>
                <w:color w:val="auto"/>
                <w:sz w:val="21"/>
                <w:szCs w:val="21"/>
                <w:highlight w:val="none"/>
              </w:rPr>
            </w:pPr>
            <w:r>
              <w:rPr>
                <w:rFonts w:hint="eastAsia" w:ascii="宋体" w:hAnsi="宋体" w:cs="宋体"/>
                <w:color w:val="auto"/>
                <w:sz w:val="21"/>
                <w:szCs w:val="21"/>
                <w:highlight w:val="none"/>
              </w:rPr>
              <w:t>法定代表人身份证明及授权委托书</w:t>
            </w:r>
          </w:p>
        </w:tc>
        <w:tc>
          <w:tcPr>
            <w:tcW w:w="5405" w:type="dxa"/>
            <w:vAlign w:val="center"/>
          </w:tcPr>
          <w:p w14:paraId="58B51313">
            <w:pPr>
              <w:shd w:val="clear"/>
              <w:spacing w:line="400" w:lineRule="exact"/>
              <w:rPr>
                <w:rFonts w:ascii="宋体" w:hAnsi="宋体" w:cs="宋体"/>
                <w:color w:val="auto"/>
                <w:sz w:val="21"/>
                <w:szCs w:val="21"/>
                <w:highlight w:val="none"/>
              </w:rPr>
            </w:pPr>
            <w:r>
              <w:rPr>
                <w:rFonts w:hint="eastAsia" w:ascii="宋体" w:hAnsi="宋体" w:cs="宋体"/>
                <w:color w:val="auto"/>
                <w:sz w:val="21"/>
                <w:szCs w:val="21"/>
                <w:highlight w:val="none"/>
              </w:rPr>
              <w:t>法定代表人身份证明及授权委托书有效，符合竞争性磋商文件规定的格式，签署或盖章齐全。</w:t>
            </w:r>
          </w:p>
        </w:tc>
      </w:tr>
      <w:tr w14:paraId="54E54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73" w:type="dxa"/>
            <w:vMerge w:val="continue"/>
            <w:vAlign w:val="center"/>
          </w:tcPr>
          <w:p w14:paraId="78CFD51C">
            <w:pPr>
              <w:shd w:val="clear"/>
              <w:spacing w:line="400" w:lineRule="exact"/>
              <w:jc w:val="center"/>
              <w:rPr>
                <w:rFonts w:ascii="宋体" w:hAnsi="宋体" w:cs="宋体"/>
                <w:color w:val="auto"/>
                <w:kern w:val="0"/>
                <w:sz w:val="21"/>
                <w:szCs w:val="21"/>
                <w:highlight w:val="none"/>
              </w:rPr>
            </w:pPr>
          </w:p>
        </w:tc>
        <w:tc>
          <w:tcPr>
            <w:tcW w:w="1558" w:type="dxa"/>
            <w:vMerge w:val="continue"/>
            <w:vAlign w:val="center"/>
          </w:tcPr>
          <w:p w14:paraId="3D87C467">
            <w:pPr>
              <w:shd w:val="clear"/>
              <w:spacing w:line="400" w:lineRule="exact"/>
              <w:rPr>
                <w:rFonts w:ascii="宋体" w:hAnsi="宋体" w:cs="宋体"/>
                <w:color w:val="auto"/>
                <w:kern w:val="0"/>
                <w:sz w:val="21"/>
                <w:szCs w:val="21"/>
                <w:highlight w:val="none"/>
              </w:rPr>
            </w:pPr>
          </w:p>
        </w:tc>
        <w:tc>
          <w:tcPr>
            <w:tcW w:w="1983" w:type="dxa"/>
            <w:vAlign w:val="center"/>
          </w:tcPr>
          <w:p w14:paraId="679307C5">
            <w:pPr>
              <w:shd w:val="clear"/>
              <w:spacing w:line="400" w:lineRule="exact"/>
              <w:rPr>
                <w:rFonts w:ascii="宋体" w:hAnsi="宋体" w:cs="宋体"/>
                <w:color w:val="auto"/>
                <w:sz w:val="21"/>
                <w:szCs w:val="21"/>
                <w:highlight w:val="none"/>
                <w:lang w:val="zh-CN"/>
              </w:rPr>
            </w:pPr>
            <w:r>
              <w:rPr>
                <w:rFonts w:hint="eastAsia" w:ascii="宋体" w:hAnsi="宋体" w:cs="宋体"/>
                <w:color w:val="auto"/>
                <w:sz w:val="21"/>
                <w:szCs w:val="21"/>
                <w:highlight w:val="none"/>
              </w:rPr>
              <w:t>响应</w:t>
            </w:r>
            <w:r>
              <w:rPr>
                <w:rFonts w:hint="eastAsia" w:ascii="宋体" w:hAnsi="宋体" w:cs="宋体"/>
                <w:color w:val="auto"/>
                <w:sz w:val="21"/>
                <w:szCs w:val="21"/>
                <w:highlight w:val="none"/>
                <w:lang w:val="zh-CN"/>
              </w:rPr>
              <w:t>方案</w:t>
            </w:r>
          </w:p>
        </w:tc>
        <w:tc>
          <w:tcPr>
            <w:tcW w:w="5405" w:type="dxa"/>
            <w:vAlign w:val="center"/>
          </w:tcPr>
          <w:p w14:paraId="49ABF8D2">
            <w:pPr>
              <w:shd w:val="clear"/>
              <w:spacing w:line="400" w:lineRule="exact"/>
              <w:rPr>
                <w:rFonts w:ascii="宋体" w:hAnsi="宋体" w:cs="宋体"/>
                <w:color w:val="auto"/>
                <w:kern w:val="0"/>
                <w:sz w:val="21"/>
                <w:szCs w:val="21"/>
                <w:highlight w:val="none"/>
              </w:rPr>
            </w:pPr>
            <w:r>
              <w:rPr>
                <w:rFonts w:hint="eastAsia" w:ascii="宋体" w:hAnsi="宋体" w:cs="宋体"/>
                <w:color w:val="auto"/>
                <w:sz w:val="21"/>
                <w:szCs w:val="21"/>
                <w:highlight w:val="none"/>
                <w:lang w:val="zh-CN"/>
              </w:rPr>
              <w:t>每个包只能有一个</w:t>
            </w:r>
            <w:r>
              <w:rPr>
                <w:rFonts w:hint="eastAsia" w:ascii="宋体" w:hAnsi="宋体" w:cs="宋体"/>
                <w:color w:val="auto"/>
                <w:sz w:val="21"/>
                <w:szCs w:val="21"/>
                <w:highlight w:val="none"/>
              </w:rPr>
              <w:t>响应</w:t>
            </w:r>
            <w:r>
              <w:rPr>
                <w:rFonts w:hint="eastAsia" w:ascii="宋体" w:hAnsi="宋体" w:cs="宋体"/>
                <w:color w:val="auto"/>
                <w:sz w:val="21"/>
                <w:szCs w:val="21"/>
                <w:highlight w:val="none"/>
                <w:lang w:val="zh-CN"/>
              </w:rPr>
              <w:t>方案。</w:t>
            </w:r>
          </w:p>
        </w:tc>
      </w:tr>
      <w:tr w14:paraId="7E58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73" w:type="dxa"/>
            <w:vMerge w:val="continue"/>
            <w:vAlign w:val="center"/>
          </w:tcPr>
          <w:p w14:paraId="788D9952">
            <w:pPr>
              <w:shd w:val="clear"/>
              <w:spacing w:line="400" w:lineRule="exact"/>
              <w:jc w:val="center"/>
              <w:rPr>
                <w:rFonts w:ascii="宋体" w:hAnsi="宋体" w:cs="宋体"/>
                <w:color w:val="auto"/>
                <w:kern w:val="0"/>
                <w:sz w:val="21"/>
                <w:szCs w:val="21"/>
                <w:highlight w:val="none"/>
              </w:rPr>
            </w:pPr>
          </w:p>
        </w:tc>
        <w:tc>
          <w:tcPr>
            <w:tcW w:w="1558" w:type="dxa"/>
            <w:vMerge w:val="continue"/>
            <w:vAlign w:val="center"/>
          </w:tcPr>
          <w:p w14:paraId="6CEC72D8">
            <w:pPr>
              <w:shd w:val="clear"/>
              <w:spacing w:line="400" w:lineRule="exact"/>
              <w:rPr>
                <w:rFonts w:ascii="宋体" w:hAnsi="宋体" w:cs="宋体"/>
                <w:color w:val="auto"/>
                <w:kern w:val="0"/>
                <w:sz w:val="21"/>
                <w:szCs w:val="21"/>
                <w:highlight w:val="none"/>
              </w:rPr>
            </w:pPr>
          </w:p>
        </w:tc>
        <w:tc>
          <w:tcPr>
            <w:tcW w:w="1983" w:type="dxa"/>
            <w:vAlign w:val="center"/>
          </w:tcPr>
          <w:p w14:paraId="2917B37F">
            <w:pPr>
              <w:shd w:val="clear"/>
              <w:spacing w:line="400" w:lineRule="exact"/>
              <w:rPr>
                <w:rFonts w:ascii="宋体" w:hAnsi="宋体" w:cs="宋体"/>
                <w:color w:val="auto"/>
                <w:sz w:val="21"/>
                <w:szCs w:val="21"/>
                <w:highlight w:val="none"/>
                <w:lang w:val="zh-CN"/>
              </w:rPr>
            </w:pPr>
            <w:r>
              <w:rPr>
                <w:rFonts w:hint="eastAsia" w:ascii="宋体" w:hAnsi="宋体" w:cs="宋体"/>
                <w:color w:val="auto"/>
                <w:sz w:val="21"/>
                <w:szCs w:val="21"/>
                <w:highlight w:val="none"/>
              </w:rPr>
              <w:t>报价唯一</w:t>
            </w:r>
          </w:p>
        </w:tc>
        <w:tc>
          <w:tcPr>
            <w:tcW w:w="5405" w:type="dxa"/>
            <w:vAlign w:val="center"/>
          </w:tcPr>
          <w:p w14:paraId="55E0837A">
            <w:pPr>
              <w:shd w:val="clear"/>
              <w:spacing w:line="400" w:lineRule="exact"/>
              <w:rPr>
                <w:rFonts w:ascii="宋体" w:hAnsi="宋体" w:cs="宋体"/>
                <w:color w:val="auto"/>
                <w:kern w:val="0"/>
                <w:sz w:val="21"/>
                <w:szCs w:val="21"/>
                <w:highlight w:val="none"/>
              </w:rPr>
            </w:pPr>
            <w:r>
              <w:rPr>
                <w:rFonts w:hint="eastAsia" w:ascii="宋体" w:hAnsi="宋体" w:cs="宋体"/>
                <w:color w:val="auto"/>
                <w:kern w:val="0"/>
                <w:sz w:val="21"/>
                <w:szCs w:val="21"/>
                <w:highlight w:val="none"/>
              </w:rPr>
              <w:t>只能有一个有效报价，不得提交选择性报价。</w:t>
            </w:r>
          </w:p>
        </w:tc>
      </w:tr>
      <w:tr w14:paraId="42DD6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673" w:type="dxa"/>
            <w:vAlign w:val="center"/>
          </w:tcPr>
          <w:p w14:paraId="414D9B88">
            <w:pPr>
              <w:shd w:val="clear"/>
              <w:spacing w:line="400" w:lineRule="exact"/>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1558" w:type="dxa"/>
            <w:vAlign w:val="center"/>
          </w:tcPr>
          <w:p w14:paraId="52D513C6">
            <w:pPr>
              <w:shd w:val="clear"/>
              <w:spacing w:line="400" w:lineRule="exact"/>
              <w:rPr>
                <w:rFonts w:ascii="宋体" w:hAnsi="宋体" w:cs="宋体"/>
                <w:color w:val="auto"/>
                <w:kern w:val="0"/>
                <w:sz w:val="21"/>
                <w:szCs w:val="21"/>
                <w:highlight w:val="none"/>
              </w:rPr>
            </w:pPr>
            <w:r>
              <w:rPr>
                <w:rFonts w:hint="eastAsia" w:ascii="宋体" w:hAnsi="宋体" w:cs="宋体"/>
                <w:color w:val="auto"/>
                <w:kern w:val="0"/>
                <w:sz w:val="21"/>
                <w:szCs w:val="21"/>
                <w:highlight w:val="none"/>
              </w:rPr>
              <w:t>完整性审查</w:t>
            </w:r>
          </w:p>
        </w:tc>
        <w:tc>
          <w:tcPr>
            <w:tcW w:w="1983" w:type="dxa"/>
            <w:vAlign w:val="center"/>
          </w:tcPr>
          <w:p w14:paraId="6E3EBB3F">
            <w:pPr>
              <w:shd w:val="clear"/>
              <w:spacing w:line="400" w:lineRule="exact"/>
              <w:rPr>
                <w:rFonts w:ascii="宋体" w:hAnsi="宋体" w:cs="宋体"/>
                <w:color w:val="auto"/>
                <w:kern w:val="0"/>
                <w:sz w:val="21"/>
                <w:szCs w:val="21"/>
                <w:highlight w:val="none"/>
              </w:rPr>
            </w:pPr>
            <w:r>
              <w:rPr>
                <w:rFonts w:hint="eastAsia" w:ascii="宋体" w:hAnsi="宋体" w:cs="宋体"/>
                <w:color w:val="auto"/>
                <w:sz w:val="21"/>
                <w:szCs w:val="21"/>
                <w:highlight w:val="none"/>
              </w:rPr>
              <w:t>响应</w:t>
            </w:r>
            <w:r>
              <w:rPr>
                <w:rFonts w:hint="eastAsia" w:ascii="宋体" w:hAnsi="宋体" w:cs="宋体"/>
                <w:color w:val="auto"/>
                <w:sz w:val="21"/>
                <w:szCs w:val="21"/>
                <w:highlight w:val="none"/>
                <w:lang w:val="zh-CN"/>
              </w:rPr>
              <w:t>文件份数</w:t>
            </w:r>
          </w:p>
        </w:tc>
        <w:tc>
          <w:tcPr>
            <w:tcW w:w="5405" w:type="dxa"/>
            <w:vAlign w:val="center"/>
          </w:tcPr>
          <w:p w14:paraId="0A1112FE">
            <w:pPr>
              <w:shd w:val="clear"/>
              <w:spacing w:line="400" w:lineRule="exact"/>
              <w:rPr>
                <w:rFonts w:ascii="宋体" w:hAnsi="宋体" w:cs="宋体"/>
                <w:color w:val="auto"/>
                <w:kern w:val="0"/>
                <w:sz w:val="21"/>
                <w:szCs w:val="21"/>
                <w:highlight w:val="none"/>
              </w:rPr>
            </w:pPr>
            <w:r>
              <w:rPr>
                <w:rFonts w:hint="eastAsia" w:ascii="宋体" w:hAnsi="宋体" w:cs="宋体"/>
                <w:color w:val="auto"/>
                <w:kern w:val="0"/>
                <w:sz w:val="21"/>
                <w:szCs w:val="21"/>
                <w:highlight w:val="none"/>
              </w:rPr>
              <w:t>响应</w:t>
            </w:r>
            <w:r>
              <w:rPr>
                <w:rFonts w:hint="eastAsia" w:ascii="宋体" w:hAnsi="宋体" w:cs="宋体"/>
                <w:color w:val="auto"/>
                <w:kern w:val="0"/>
                <w:sz w:val="21"/>
                <w:szCs w:val="21"/>
                <w:highlight w:val="none"/>
                <w:lang w:val="zh-CN"/>
              </w:rPr>
              <w:t>文件正、副本数量（含电子文档）符合</w:t>
            </w:r>
            <w:r>
              <w:rPr>
                <w:rFonts w:hint="eastAsia" w:ascii="宋体" w:hAnsi="宋体" w:cs="宋体"/>
                <w:color w:val="auto"/>
                <w:kern w:val="0"/>
                <w:sz w:val="21"/>
                <w:szCs w:val="21"/>
                <w:highlight w:val="none"/>
              </w:rPr>
              <w:t>竞争性磋商</w:t>
            </w:r>
            <w:r>
              <w:rPr>
                <w:rFonts w:hint="eastAsia" w:ascii="宋体" w:hAnsi="宋体" w:cs="宋体"/>
                <w:color w:val="auto"/>
                <w:kern w:val="0"/>
                <w:sz w:val="21"/>
                <w:szCs w:val="21"/>
                <w:highlight w:val="none"/>
                <w:lang w:val="zh-CN"/>
              </w:rPr>
              <w:t>文件要求。</w:t>
            </w:r>
          </w:p>
        </w:tc>
      </w:tr>
      <w:tr w14:paraId="5B51A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673" w:type="dxa"/>
            <w:vMerge w:val="restart"/>
            <w:vAlign w:val="center"/>
          </w:tcPr>
          <w:p w14:paraId="7CD6B0BC">
            <w:pPr>
              <w:shd w:val="clear"/>
              <w:spacing w:line="400" w:lineRule="exact"/>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1558" w:type="dxa"/>
            <w:vMerge w:val="restart"/>
            <w:vAlign w:val="center"/>
          </w:tcPr>
          <w:p w14:paraId="23831A46">
            <w:pPr>
              <w:shd w:val="clear"/>
              <w:spacing w:line="400" w:lineRule="exact"/>
              <w:rPr>
                <w:rFonts w:ascii="宋体" w:hAnsi="宋体" w:cs="宋体"/>
                <w:color w:val="auto"/>
                <w:sz w:val="21"/>
                <w:szCs w:val="21"/>
                <w:highlight w:val="none"/>
                <w:lang w:val="zh-CN"/>
              </w:rPr>
            </w:pPr>
            <w:r>
              <w:rPr>
                <w:rFonts w:hint="eastAsia" w:ascii="宋体" w:hAnsi="宋体" w:cs="宋体"/>
                <w:color w:val="auto"/>
                <w:kern w:val="0"/>
                <w:sz w:val="21"/>
                <w:szCs w:val="21"/>
                <w:highlight w:val="none"/>
              </w:rPr>
              <w:t>响应程度审查</w:t>
            </w:r>
          </w:p>
        </w:tc>
        <w:tc>
          <w:tcPr>
            <w:tcW w:w="1983" w:type="dxa"/>
            <w:vAlign w:val="center"/>
          </w:tcPr>
          <w:p w14:paraId="17ED2489">
            <w:pPr>
              <w:shd w:val="clear"/>
              <w:spacing w:line="400" w:lineRule="exact"/>
              <w:rPr>
                <w:rFonts w:ascii="宋体" w:hAnsi="宋体" w:cs="宋体"/>
                <w:color w:val="auto"/>
                <w:kern w:val="0"/>
                <w:sz w:val="21"/>
                <w:szCs w:val="21"/>
                <w:highlight w:val="none"/>
              </w:rPr>
            </w:pPr>
            <w:r>
              <w:rPr>
                <w:rFonts w:hint="eastAsia" w:ascii="宋体" w:hAnsi="宋体" w:cs="宋体"/>
                <w:color w:val="auto"/>
                <w:kern w:val="0"/>
                <w:sz w:val="21"/>
                <w:szCs w:val="21"/>
                <w:highlight w:val="none"/>
              </w:rPr>
              <w:t>实质性响应</w:t>
            </w:r>
          </w:p>
        </w:tc>
        <w:tc>
          <w:tcPr>
            <w:tcW w:w="5405" w:type="dxa"/>
            <w:vAlign w:val="center"/>
          </w:tcPr>
          <w:p w14:paraId="19206641">
            <w:pPr>
              <w:pStyle w:val="20"/>
              <w:shd w:val="clear"/>
              <w:spacing w:line="400" w:lineRule="exact"/>
              <w:rPr>
                <w:rFonts w:ascii="宋体" w:hAnsi="宋体" w:cs="宋体"/>
                <w:color w:val="auto"/>
                <w:kern w:val="0"/>
                <w:sz w:val="21"/>
                <w:szCs w:val="21"/>
                <w:highlight w:val="none"/>
              </w:rPr>
            </w:pPr>
            <w:r>
              <w:rPr>
                <w:rFonts w:hint="eastAsia" w:ascii="宋体" w:hAnsi="宋体" w:cs="宋体"/>
                <w:color w:val="auto"/>
                <w:kern w:val="0"/>
                <w:sz w:val="22"/>
                <w:szCs w:val="22"/>
                <w:highlight w:val="none"/>
              </w:rPr>
              <w:t>对竞争性磋商文</w:t>
            </w:r>
            <w:r>
              <w:rPr>
                <w:rFonts w:hint="eastAsia" w:ascii="宋体" w:hAnsi="宋体" w:cs="宋体"/>
                <w:color w:val="auto"/>
                <w:sz w:val="22"/>
                <w:szCs w:val="22"/>
                <w:highlight w:val="none"/>
              </w:rPr>
              <w:t>件第二篇以及第三篇规定的所有内容作出响应。</w:t>
            </w:r>
          </w:p>
        </w:tc>
      </w:tr>
      <w:tr w14:paraId="5EAC9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673" w:type="dxa"/>
            <w:vMerge w:val="continue"/>
            <w:vAlign w:val="center"/>
          </w:tcPr>
          <w:p w14:paraId="6ECB466C">
            <w:pPr>
              <w:shd w:val="clear"/>
              <w:spacing w:line="400" w:lineRule="exact"/>
              <w:jc w:val="center"/>
              <w:rPr>
                <w:rFonts w:ascii="宋体" w:hAnsi="宋体" w:cs="宋体"/>
                <w:color w:val="auto"/>
                <w:kern w:val="0"/>
                <w:sz w:val="21"/>
                <w:szCs w:val="21"/>
                <w:highlight w:val="none"/>
              </w:rPr>
            </w:pPr>
          </w:p>
        </w:tc>
        <w:tc>
          <w:tcPr>
            <w:tcW w:w="1558" w:type="dxa"/>
            <w:vMerge w:val="continue"/>
            <w:vAlign w:val="center"/>
          </w:tcPr>
          <w:p w14:paraId="1A0AA54E">
            <w:pPr>
              <w:shd w:val="clear"/>
              <w:spacing w:line="400" w:lineRule="exact"/>
              <w:rPr>
                <w:rFonts w:ascii="宋体" w:hAnsi="宋体" w:cs="宋体"/>
                <w:color w:val="auto"/>
                <w:sz w:val="21"/>
                <w:szCs w:val="21"/>
                <w:highlight w:val="none"/>
                <w:lang w:val="zh-CN"/>
              </w:rPr>
            </w:pPr>
          </w:p>
        </w:tc>
        <w:tc>
          <w:tcPr>
            <w:tcW w:w="1983" w:type="dxa"/>
            <w:vAlign w:val="center"/>
          </w:tcPr>
          <w:p w14:paraId="2B5F3EB9">
            <w:pPr>
              <w:shd w:val="clear"/>
              <w:spacing w:line="400" w:lineRule="exact"/>
              <w:rPr>
                <w:rFonts w:ascii="宋体" w:hAnsi="宋体" w:cs="宋体"/>
                <w:b/>
                <w:bCs/>
                <w:color w:val="auto"/>
                <w:kern w:val="0"/>
                <w:sz w:val="21"/>
                <w:szCs w:val="21"/>
                <w:highlight w:val="none"/>
              </w:rPr>
            </w:pPr>
            <w:r>
              <w:rPr>
                <w:rFonts w:hint="eastAsia" w:ascii="宋体" w:hAnsi="宋体" w:cs="宋体"/>
                <w:color w:val="auto"/>
                <w:kern w:val="0"/>
                <w:sz w:val="21"/>
                <w:szCs w:val="21"/>
                <w:highlight w:val="none"/>
              </w:rPr>
              <w:t>磋商有效期</w:t>
            </w:r>
          </w:p>
        </w:tc>
        <w:tc>
          <w:tcPr>
            <w:tcW w:w="5405" w:type="dxa"/>
            <w:vAlign w:val="center"/>
          </w:tcPr>
          <w:p w14:paraId="7E059F20">
            <w:pPr>
              <w:shd w:val="clear"/>
              <w:spacing w:line="400" w:lineRule="exact"/>
              <w:rPr>
                <w:rFonts w:ascii="宋体" w:hAnsi="宋体" w:cs="宋体"/>
                <w:color w:val="auto"/>
                <w:kern w:val="0"/>
                <w:sz w:val="21"/>
                <w:szCs w:val="21"/>
                <w:highlight w:val="none"/>
              </w:rPr>
            </w:pPr>
            <w:r>
              <w:rPr>
                <w:rFonts w:hint="eastAsia" w:ascii="宋体" w:hAnsi="宋体" w:cs="宋体"/>
                <w:color w:val="auto"/>
                <w:kern w:val="0"/>
                <w:sz w:val="21"/>
                <w:szCs w:val="21"/>
                <w:highlight w:val="none"/>
              </w:rPr>
              <w:t>响应文件及有关承诺文件有效期为提交响应文件截止时间起90天。</w:t>
            </w:r>
          </w:p>
        </w:tc>
      </w:tr>
    </w:tbl>
    <w:p w14:paraId="1442F7FA">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33E80502">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FE65BF8">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0CBAB88B">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（五）在磋商过程中磋商的任何一方不得向他人透露与磋商有关的服务资料、价格或其他信息。</w:t>
      </w:r>
    </w:p>
    <w:p w14:paraId="71C58B92">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45FED3A8">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（七）供应商在磋商时作出的所有书面承诺须由法定代表人（或其授权代表）或自然人（供应商为自然人）签署。</w:t>
      </w:r>
    </w:p>
    <w:p w14:paraId="7F79E8B0">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4C9551C8">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（九）磋商小组采用综合评分法对提交最后报价的供应商的响应文件和最后报价（含有效书面承诺）进行综合评分。</w:t>
      </w:r>
      <w:r>
        <w:rPr>
          <w:rFonts w:hint="eastAsia" w:ascii="宋体" w:hAnsi="宋体" w:cs="宋体"/>
          <w:color w:val="auto"/>
          <w:kern w:val="0"/>
          <w:sz w:val="24"/>
          <w:szCs w:val="24"/>
          <w:highlight w:val="none"/>
        </w:rPr>
        <w:t>综合评分法，是指响应文件满足竞争性磋商文件全部实质性要求且按照评审因素的量化指标评审得分最高的供应商为成交候选供应商的评审方法。供应商总得分为报价、服务、商务等评定因素分别按照相应权重值计算分项得分后相加，满分为100分</w:t>
      </w:r>
      <w:r>
        <w:rPr>
          <w:rFonts w:hint="eastAsia" w:ascii="宋体" w:hAnsi="宋体" w:cs="宋体"/>
          <w:color w:val="auto"/>
          <w:sz w:val="24"/>
          <w:szCs w:val="24"/>
          <w:highlight w:val="none"/>
        </w:rPr>
        <w:t>。</w:t>
      </w:r>
    </w:p>
    <w:p w14:paraId="7BED1AE5">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（十）磋商小组各成员独立对每个有效响应（通过资格性审查、</w:t>
      </w:r>
      <w:r>
        <w:rPr>
          <w:rFonts w:hint="eastAsia" w:ascii="宋体" w:hAnsi="宋体" w:cs="宋体"/>
          <w:color w:val="auto"/>
          <w:kern w:val="0"/>
          <w:sz w:val="24"/>
          <w:szCs w:val="24"/>
          <w:highlight w:val="none"/>
        </w:rPr>
        <w:t>符合性审查的供应商</w:t>
      </w:r>
      <w:r>
        <w:rPr>
          <w:rFonts w:hint="eastAsia" w:ascii="宋体" w:hAnsi="宋体" w:cs="宋体"/>
          <w:color w:val="auto"/>
          <w:sz w:val="24"/>
          <w:szCs w:val="24"/>
          <w:highlight w:val="none"/>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w:t>
      </w:r>
    </w:p>
    <w:p w14:paraId="0B3A49D6">
      <w:pPr>
        <w:pStyle w:val="4"/>
        <w:numPr>
          <w:ilvl w:val="1"/>
          <w:numId w:val="0"/>
        </w:numPr>
        <w:shd w:val="clear"/>
        <w:adjustRightInd w:val="0"/>
        <w:snapToGrid w:val="0"/>
        <w:spacing w:line="400" w:lineRule="exact"/>
        <w:rPr>
          <w:rFonts w:ascii="宋体" w:hAnsi="宋体" w:eastAsia="宋体" w:cs="宋体"/>
          <w:color w:val="auto"/>
          <w:highlight w:val="none"/>
        </w:rPr>
      </w:pPr>
      <w:bookmarkStart w:id="170" w:name="_Toc25329"/>
      <w:bookmarkStart w:id="171" w:name="_Toc3799"/>
      <w:bookmarkStart w:id="172" w:name="_Toc3245"/>
      <w:bookmarkStart w:id="173" w:name="_Toc22015"/>
      <w:bookmarkStart w:id="174" w:name="_Toc22744"/>
      <w:bookmarkStart w:id="175" w:name="_Toc76462334"/>
      <w:bookmarkStart w:id="176" w:name="_Toc106030889"/>
      <w:r>
        <w:rPr>
          <w:rFonts w:hint="eastAsia" w:ascii="宋体" w:hAnsi="宋体" w:eastAsia="宋体" w:cs="宋体"/>
          <w:b/>
          <w:bCs w:val="0"/>
          <w:color w:val="auto"/>
          <w:sz w:val="24"/>
          <w:highlight w:val="none"/>
        </w:rPr>
        <w:t>二、</w:t>
      </w:r>
      <w:bookmarkStart w:id="177" w:name="_Toc342913394"/>
      <w:bookmarkStart w:id="178" w:name="_Toc102227320"/>
      <w:r>
        <w:rPr>
          <w:rFonts w:hint="eastAsia" w:ascii="宋体" w:hAnsi="宋体" w:eastAsia="宋体" w:cs="宋体"/>
          <w:b/>
          <w:bCs w:val="0"/>
          <w:color w:val="auto"/>
          <w:sz w:val="24"/>
          <w:highlight w:val="none"/>
        </w:rPr>
        <w:t>评审标准</w:t>
      </w:r>
      <w:bookmarkEnd w:id="170"/>
      <w:bookmarkEnd w:id="171"/>
      <w:bookmarkEnd w:id="172"/>
      <w:bookmarkEnd w:id="173"/>
      <w:bookmarkEnd w:id="174"/>
      <w:bookmarkEnd w:id="175"/>
      <w:bookmarkEnd w:id="176"/>
    </w:p>
    <w:tbl>
      <w:tblPr>
        <w:tblStyle w:val="32"/>
        <w:tblW w:w="9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253"/>
        <w:gridCol w:w="1350"/>
        <w:gridCol w:w="4625"/>
        <w:gridCol w:w="1644"/>
      </w:tblGrid>
      <w:tr w14:paraId="137E9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Align w:val="center"/>
          </w:tcPr>
          <w:p w14:paraId="4DC84EE4">
            <w:pPr>
              <w:shd w:val="clear"/>
              <w:snapToGrid w:val="0"/>
              <w:spacing w:line="400" w:lineRule="exact"/>
              <w:ind w:firstLine="28"/>
              <w:jc w:val="center"/>
              <w:rPr>
                <w:rFonts w:ascii="宋体" w:hAnsi="宋体" w:cs="宋体"/>
                <w:b/>
                <w:color w:val="auto"/>
                <w:sz w:val="24"/>
                <w:szCs w:val="24"/>
                <w:highlight w:val="none"/>
              </w:rPr>
            </w:pPr>
            <w:r>
              <w:rPr>
                <w:rFonts w:hint="eastAsia" w:ascii="宋体" w:hAnsi="宋体" w:cs="宋体"/>
                <w:b/>
                <w:color w:val="auto"/>
                <w:sz w:val="24"/>
                <w:szCs w:val="24"/>
                <w:highlight w:val="none"/>
              </w:rPr>
              <w:t>序号</w:t>
            </w:r>
          </w:p>
        </w:tc>
        <w:tc>
          <w:tcPr>
            <w:tcW w:w="1253" w:type="dxa"/>
            <w:vAlign w:val="center"/>
          </w:tcPr>
          <w:p w14:paraId="516E34BC">
            <w:pPr>
              <w:shd w:val="clear"/>
              <w:snapToGrid w:val="0"/>
              <w:spacing w:line="400" w:lineRule="exact"/>
              <w:ind w:firstLine="28"/>
              <w:jc w:val="center"/>
              <w:rPr>
                <w:rFonts w:ascii="宋体" w:hAnsi="宋体" w:cs="宋体"/>
                <w:b/>
                <w:color w:val="auto"/>
                <w:sz w:val="24"/>
                <w:szCs w:val="24"/>
                <w:highlight w:val="none"/>
              </w:rPr>
            </w:pPr>
            <w:r>
              <w:rPr>
                <w:rFonts w:hint="eastAsia" w:ascii="宋体" w:hAnsi="宋体" w:cs="宋体"/>
                <w:b/>
                <w:color w:val="auto"/>
                <w:sz w:val="24"/>
                <w:szCs w:val="24"/>
                <w:highlight w:val="none"/>
              </w:rPr>
              <w:t>评分因素</w:t>
            </w:r>
          </w:p>
          <w:p w14:paraId="51BAA3D6">
            <w:pPr>
              <w:shd w:val="clear"/>
              <w:snapToGrid w:val="0"/>
              <w:spacing w:line="400" w:lineRule="exact"/>
              <w:ind w:firstLine="28"/>
              <w:jc w:val="center"/>
              <w:rPr>
                <w:rFonts w:ascii="宋体" w:hAnsi="宋体" w:cs="宋体"/>
                <w:b/>
                <w:color w:val="auto"/>
                <w:sz w:val="24"/>
                <w:szCs w:val="24"/>
                <w:highlight w:val="none"/>
              </w:rPr>
            </w:pPr>
            <w:r>
              <w:rPr>
                <w:rFonts w:hint="eastAsia" w:ascii="宋体" w:hAnsi="宋体" w:cs="宋体"/>
                <w:b/>
                <w:color w:val="auto"/>
                <w:sz w:val="24"/>
                <w:szCs w:val="24"/>
                <w:highlight w:val="none"/>
              </w:rPr>
              <w:t>及权值</w:t>
            </w:r>
          </w:p>
        </w:tc>
        <w:tc>
          <w:tcPr>
            <w:tcW w:w="1350" w:type="dxa"/>
            <w:vAlign w:val="center"/>
          </w:tcPr>
          <w:p w14:paraId="33000018">
            <w:pPr>
              <w:shd w:val="clear"/>
              <w:snapToGrid w:val="0"/>
              <w:spacing w:line="400" w:lineRule="exact"/>
              <w:ind w:firstLine="28"/>
              <w:jc w:val="center"/>
              <w:rPr>
                <w:rFonts w:ascii="宋体" w:hAnsi="宋体" w:cs="宋体"/>
                <w:b/>
                <w:color w:val="auto"/>
                <w:sz w:val="24"/>
                <w:szCs w:val="24"/>
                <w:highlight w:val="none"/>
              </w:rPr>
            </w:pPr>
            <w:r>
              <w:rPr>
                <w:rFonts w:hint="eastAsia" w:ascii="宋体" w:hAnsi="宋体" w:cs="宋体"/>
                <w:b/>
                <w:color w:val="auto"/>
                <w:sz w:val="24"/>
                <w:szCs w:val="24"/>
                <w:highlight w:val="none"/>
              </w:rPr>
              <w:t>分值</w:t>
            </w:r>
          </w:p>
        </w:tc>
        <w:tc>
          <w:tcPr>
            <w:tcW w:w="4625" w:type="dxa"/>
            <w:vAlign w:val="center"/>
          </w:tcPr>
          <w:p w14:paraId="50A85E07">
            <w:pPr>
              <w:shd w:val="clear"/>
              <w:snapToGrid w:val="0"/>
              <w:spacing w:line="400" w:lineRule="exact"/>
              <w:ind w:firstLine="28"/>
              <w:jc w:val="center"/>
              <w:rPr>
                <w:rFonts w:ascii="宋体" w:hAnsi="宋体" w:cs="宋体"/>
                <w:b/>
                <w:color w:val="auto"/>
                <w:sz w:val="24"/>
                <w:szCs w:val="24"/>
                <w:highlight w:val="none"/>
              </w:rPr>
            </w:pPr>
            <w:r>
              <w:rPr>
                <w:rFonts w:hint="eastAsia" w:ascii="宋体" w:hAnsi="宋体" w:cs="宋体"/>
                <w:b/>
                <w:color w:val="auto"/>
                <w:sz w:val="24"/>
                <w:szCs w:val="24"/>
                <w:highlight w:val="none"/>
              </w:rPr>
              <w:t>评分标准</w:t>
            </w:r>
          </w:p>
        </w:tc>
        <w:tc>
          <w:tcPr>
            <w:tcW w:w="1644" w:type="dxa"/>
            <w:vAlign w:val="center"/>
          </w:tcPr>
          <w:p w14:paraId="47BA2F75">
            <w:pPr>
              <w:pStyle w:val="47"/>
              <w:shd w:val="clear"/>
              <w:snapToGrid w:val="0"/>
              <w:spacing w:line="400" w:lineRule="exact"/>
              <w:rPr>
                <w:rFonts w:ascii="宋体" w:hAnsi="宋体" w:eastAsia="宋体" w:cs="宋体"/>
                <w:color w:val="auto"/>
                <w:szCs w:val="24"/>
                <w:highlight w:val="none"/>
              </w:rPr>
            </w:pPr>
            <w:r>
              <w:rPr>
                <w:rFonts w:hint="eastAsia" w:ascii="宋体" w:hAnsi="宋体" w:eastAsia="宋体" w:cs="宋体"/>
                <w:color w:val="auto"/>
                <w:szCs w:val="24"/>
                <w:highlight w:val="none"/>
              </w:rPr>
              <w:t>说明</w:t>
            </w:r>
          </w:p>
        </w:tc>
      </w:tr>
      <w:tr w14:paraId="5E8A3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Align w:val="center"/>
          </w:tcPr>
          <w:p w14:paraId="5AC392DA">
            <w:pPr>
              <w:shd w:val="clear"/>
              <w:snapToGrid w:val="0"/>
              <w:spacing w:line="400" w:lineRule="exact"/>
              <w:ind w:firstLine="28"/>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253" w:type="dxa"/>
            <w:vAlign w:val="center"/>
          </w:tcPr>
          <w:p w14:paraId="31B55911">
            <w:pPr>
              <w:shd w:val="clear"/>
              <w:snapToGrid w:val="0"/>
              <w:spacing w:line="400" w:lineRule="exact"/>
              <w:ind w:firstLine="28"/>
              <w:jc w:val="center"/>
              <w:rPr>
                <w:rFonts w:ascii="宋体" w:hAnsi="宋体" w:cs="宋体"/>
                <w:color w:val="auto"/>
                <w:sz w:val="24"/>
                <w:szCs w:val="24"/>
                <w:highlight w:val="none"/>
              </w:rPr>
            </w:pPr>
            <w:r>
              <w:rPr>
                <w:rFonts w:hint="eastAsia" w:ascii="宋体" w:hAnsi="宋体" w:cs="宋体"/>
                <w:color w:val="auto"/>
                <w:sz w:val="24"/>
                <w:szCs w:val="24"/>
                <w:highlight w:val="none"/>
              </w:rPr>
              <w:t>磋商报价</w:t>
            </w:r>
          </w:p>
          <w:p w14:paraId="74F1D27E">
            <w:pPr>
              <w:shd w:val="clear"/>
              <w:snapToGrid w:val="0"/>
              <w:spacing w:line="400" w:lineRule="exact"/>
              <w:ind w:firstLine="28"/>
              <w:jc w:val="center"/>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70</w:t>
            </w:r>
            <w:r>
              <w:rPr>
                <w:rFonts w:hint="eastAsia" w:ascii="宋体" w:hAnsi="宋体" w:cs="宋体"/>
                <w:color w:val="auto"/>
                <w:sz w:val="24"/>
                <w:szCs w:val="24"/>
                <w:highlight w:val="none"/>
              </w:rPr>
              <w:t>%）</w:t>
            </w:r>
          </w:p>
        </w:tc>
        <w:tc>
          <w:tcPr>
            <w:tcW w:w="1350" w:type="dxa"/>
            <w:vAlign w:val="center"/>
          </w:tcPr>
          <w:p w14:paraId="068211AB">
            <w:pPr>
              <w:shd w:val="clear"/>
              <w:snapToGrid w:val="0"/>
              <w:spacing w:line="400" w:lineRule="exact"/>
              <w:ind w:firstLine="28"/>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70</w:t>
            </w:r>
            <w:r>
              <w:rPr>
                <w:rFonts w:hint="eastAsia" w:ascii="宋体" w:hAnsi="宋体" w:cs="宋体"/>
                <w:color w:val="auto"/>
                <w:sz w:val="24"/>
                <w:szCs w:val="24"/>
                <w:highlight w:val="none"/>
              </w:rPr>
              <w:t>分</w:t>
            </w:r>
          </w:p>
        </w:tc>
        <w:tc>
          <w:tcPr>
            <w:tcW w:w="4625" w:type="dxa"/>
            <w:vAlign w:val="center"/>
          </w:tcPr>
          <w:p w14:paraId="62EDFF5F">
            <w:pPr>
              <w:shd w:val="clear"/>
              <w:spacing w:line="400" w:lineRule="exact"/>
              <w:rPr>
                <w:rFonts w:ascii="宋体" w:hAnsi="宋体" w:cs="宋体"/>
                <w:bCs/>
                <w:color w:val="auto"/>
                <w:sz w:val="24"/>
                <w:szCs w:val="24"/>
                <w:highlight w:val="none"/>
              </w:rPr>
            </w:pPr>
            <w:r>
              <w:rPr>
                <w:rFonts w:hint="eastAsia" w:ascii="宋体" w:hAnsi="宋体" w:cs="宋体"/>
                <w:bCs/>
                <w:color w:val="auto"/>
                <w:sz w:val="24"/>
                <w:szCs w:val="24"/>
                <w:highlight w:val="none"/>
              </w:rPr>
              <w:t>满足资格性、符合性要求且最后报价最低的供应商的价格为磋商基准价，其价格分为满分。其他供应商的价格分统一按照下列公式计算：</w:t>
            </w:r>
          </w:p>
          <w:p w14:paraId="56ABBCAC">
            <w:pPr>
              <w:shd w:val="clear"/>
              <w:snapToGrid w:val="0"/>
              <w:spacing w:line="400" w:lineRule="exact"/>
              <w:rPr>
                <w:rFonts w:ascii="宋体" w:hAnsi="宋体" w:cs="宋体"/>
                <w:color w:val="auto"/>
                <w:sz w:val="24"/>
                <w:szCs w:val="24"/>
                <w:highlight w:val="none"/>
              </w:rPr>
            </w:pPr>
            <w:r>
              <w:rPr>
                <w:rFonts w:hint="eastAsia" w:ascii="宋体" w:hAnsi="宋体" w:cs="宋体"/>
                <w:bCs/>
                <w:color w:val="auto"/>
                <w:sz w:val="24"/>
                <w:szCs w:val="24"/>
                <w:highlight w:val="none"/>
              </w:rPr>
              <w:t>磋商报价得分=（磋商基准价/最后磋商报价）×价格权值×100（按四舍五入法保留小数点后两位）</w:t>
            </w:r>
          </w:p>
        </w:tc>
        <w:tc>
          <w:tcPr>
            <w:tcW w:w="1644" w:type="dxa"/>
            <w:vAlign w:val="center"/>
          </w:tcPr>
          <w:p w14:paraId="36410091">
            <w:pPr>
              <w:shd w:val="clear"/>
              <w:snapToGrid w:val="0"/>
              <w:spacing w:line="400" w:lineRule="exact"/>
              <w:ind w:left="-38"/>
              <w:jc w:val="center"/>
              <w:rPr>
                <w:rFonts w:ascii="宋体" w:hAnsi="宋体" w:cs="宋体"/>
                <w:color w:val="auto"/>
                <w:sz w:val="24"/>
                <w:szCs w:val="24"/>
                <w:highlight w:val="none"/>
              </w:rPr>
            </w:pPr>
            <w:r>
              <w:rPr>
                <w:rFonts w:hint="eastAsia" w:ascii="宋体" w:hAnsi="宋体" w:cs="宋体"/>
                <w:color w:val="auto"/>
                <w:sz w:val="24"/>
                <w:szCs w:val="24"/>
                <w:highlight w:val="none"/>
              </w:rPr>
              <w:t>无</w:t>
            </w:r>
          </w:p>
        </w:tc>
      </w:tr>
      <w:tr w14:paraId="5DBEB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restart"/>
            <w:vAlign w:val="center"/>
          </w:tcPr>
          <w:p w14:paraId="45018CD5">
            <w:pPr>
              <w:shd w:val="clear"/>
              <w:snapToGrid w:val="0"/>
              <w:spacing w:line="400" w:lineRule="exact"/>
              <w:ind w:firstLine="28"/>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253" w:type="dxa"/>
            <w:vMerge w:val="restart"/>
            <w:vAlign w:val="center"/>
          </w:tcPr>
          <w:p w14:paraId="403E3BAC">
            <w:pPr>
              <w:shd w:val="clear"/>
              <w:snapToGrid w:val="0"/>
              <w:spacing w:line="400" w:lineRule="exact"/>
              <w:ind w:firstLine="28"/>
              <w:jc w:val="center"/>
              <w:rPr>
                <w:rFonts w:ascii="宋体" w:hAnsi="宋体" w:cs="宋体"/>
                <w:color w:val="auto"/>
                <w:sz w:val="24"/>
                <w:szCs w:val="24"/>
                <w:highlight w:val="none"/>
              </w:rPr>
            </w:pPr>
            <w:r>
              <w:rPr>
                <w:rFonts w:hint="eastAsia" w:ascii="宋体" w:hAnsi="宋体" w:cs="宋体"/>
                <w:color w:val="auto"/>
                <w:sz w:val="24"/>
                <w:szCs w:val="24"/>
                <w:highlight w:val="none"/>
              </w:rPr>
              <w:t>服务部分</w:t>
            </w:r>
          </w:p>
          <w:p w14:paraId="5A4C2A07">
            <w:pPr>
              <w:shd w:val="clea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w:t>
            </w:r>
          </w:p>
        </w:tc>
        <w:tc>
          <w:tcPr>
            <w:tcW w:w="1350" w:type="dxa"/>
            <w:vAlign w:val="center"/>
          </w:tcPr>
          <w:p w14:paraId="65A88EC2">
            <w:pPr>
              <w:shd w:val="clear"/>
              <w:spacing w:line="400" w:lineRule="exact"/>
              <w:jc w:val="center"/>
              <w:rPr>
                <w:rFonts w:ascii="宋体" w:hAnsi="宋体" w:cs="宋体"/>
                <w:color w:val="auto"/>
                <w:sz w:val="24"/>
                <w:szCs w:val="24"/>
                <w:highlight w:val="none"/>
              </w:rPr>
            </w:pPr>
            <w:r>
              <w:rPr>
                <w:rFonts w:hint="eastAsia" w:ascii="宋体" w:hAnsi="宋体" w:cs="仿宋"/>
                <w:color w:val="auto"/>
                <w:sz w:val="24"/>
                <w:szCs w:val="24"/>
                <w:highlight w:val="none"/>
                <w:lang w:val="en-US" w:eastAsia="zh-CN"/>
              </w:rPr>
              <w:t>5</w:t>
            </w:r>
            <w:r>
              <w:rPr>
                <w:rFonts w:hint="eastAsia" w:ascii="宋体" w:hAnsi="宋体" w:cs="仿宋"/>
                <w:color w:val="auto"/>
                <w:sz w:val="24"/>
                <w:szCs w:val="24"/>
                <w:highlight w:val="none"/>
              </w:rPr>
              <w:t>分</w:t>
            </w:r>
          </w:p>
        </w:tc>
        <w:tc>
          <w:tcPr>
            <w:tcW w:w="4625" w:type="dxa"/>
            <w:vAlign w:val="center"/>
          </w:tcPr>
          <w:p w14:paraId="07EADFC4">
            <w:pPr>
              <w:shd w:val="clear"/>
              <w:spacing w:line="400" w:lineRule="exact"/>
              <w:rPr>
                <w:rFonts w:ascii="宋体" w:hAnsi="宋体" w:cs="仿宋"/>
                <w:color w:val="auto"/>
                <w:sz w:val="24"/>
                <w:szCs w:val="24"/>
                <w:highlight w:val="none"/>
              </w:rPr>
            </w:pPr>
            <w:r>
              <w:rPr>
                <w:rFonts w:hint="eastAsia" w:ascii="宋体" w:hAnsi="宋体" w:cs="仿宋"/>
                <w:color w:val="auto"/>
                <w:sz w:val="24"/>
                <w:szCs w:val="24"/>
                <w:highlight w:val="none"/>
              </w:rPr>
              <w:t>供应商针对本项目提供施工方案与技术措施方案，方案内容包括但不限于：①</w:t>
            </w:r>
            <w:r>
              <w:rPr>
                <w:rFonts w:hint="eastAsia" w:ascii="宋体" w:hAnsi="宋体" w:cs="宋体"/>
                <w:color w:val="auto"/>
                <w:sz w:val="24"/>
                <w:szCs w:val="24"/>
                <w:highlight w:val="none"/>
              </w:rPr>
              <w:t>规程措施；②施工技术关键点；③施工重难点</w:t>
            </w:r>
            <w:r>
              <w:rPr>
                <w:rFonts w:hint="eastAsia" w:ascii="宋体" w:hAnsi="宋体" w:cs="宋体"/>
                <w:bCs/>
                <w:color w:val="auto"/>
                <w:sz w:val="24"/>
                <w:szCs w:val="24"/>
                <w:highlight w:val="none"/>
              </w:rPr>
              <w:t>。</w:t>
            </w:r>
          </w:p>
          <w:p w14:paraId="7736453C">
            <w:pPr>
              <w:shd w:val="clear"/>
              <w:spacing w:line="400" w:lineRule="exact"/>
              <w:ind w:firstLine="28"/>
              <w:rPr>
                <w:rFonts w:ascii="宋体" w:hAnsi="宋体" w:cs="仿宋"/>
                <w:color w:val="auto"/>
                <w:sz w:val="24"/>
                <w:szCs w:val="24"/>
                <w:highlight w:val="none"/>
              </w:rPr>
            </w:pPr>
            <w:r>
              <w:rPr>
                <w:rFonts w:hint="eastAsia" w:ascii="宋体" w:hAnsi="宋体" w:cs="仿宋"/>
                <w:color w:val="auto"/>
                <w:sz w:val="24"/>
                <w:szCs w:val="24"/>
                <w:highlight w:val="none"/>
              </w:rPr>
              <w:t>方案内容不存在瑕疵，得</w:t>
            </w:r>
            <w:r>
              <w:rPr>
                <w:rFonts w:hint="eastAsia" w:ascii="宋体" w:hAnsi="宋体" w:cs="仿宋"/>
                <w:color w:val="auto"/>
                <w:sz w:val="24"/>
                <w:szCs w:val="24"/>
                <w:highlight w:val="none"/>
                <w:lang w:val="en-US" w:eastAsia="zh-CN"/>
              </w:rPr>
              <w:t>5</w:t>
            </w:r>
            <w:r>
              <w:rPr>
                <w:rFonts w:hint="eastAsia" w:ascii="宋体" w:hAnsi="宋体" w:cs="仿宋"/>
                <w:color w:val="auto"/>
                <w:sz w:val="24"/>
                <w:szCs w:val="24"/>
                <w:highlight w:val="none"/>
              </w:rPr>
              <w:t>分；</w:t>
            </w:r>
          </w:p>
          <w:p w14:paraId="0960AD8B">
            <w:pPr>
              <w:shd w:val="clear"/>
              <w:spacing w:line="400" w:lineRule="exact"/>
              <w:ind w:firstLine="28"/>
              <w:rPr>
                <w:rFonts w:ascii="宋体" w:hAnsi="宋体" w:cs="仿宋"/>
                <w:color w:val="auto"/>
                <w:sz w:val="24"/>
                <w:szCs w:val="24"/>
                <w:highlight w:val="none"/>
              </w:rPr>
            </w:pPr>
            <w:r>
              <w:rPr>
                <w:rFonts w:hint="eastAsia" w:ascii="宋体" w:hAnsi="宋体" w:cs="仿宋"/>
                <w:color w:val="auto"/>
                <w:sz w:val="24"/>
                <w:szCs w:val="24"/>
                <w:highlight w:val="none"/>
              </w:rPr>
              <w:t>方案内容存在1处瑕疵，得</w:t>
            </w:r>
            <w:r>
              <w:rPr>
                <w:rFonts w:hint="eastAsia" w:ascii="宋体" w:hAnsi="宋体" w:cs="仿宋"/>
                <w:color w:val="auto"/>
                <w:sz w:val="24"/>
                <w:szCs w:val="24"/>
                <w:highlight w:val="none"/>
                <w:lang w:val="en-US" w:eastAsia="zh-CN"/>
              </w:rPr>
              <w:t>3</w:t>
            </w:r>
            <w:r>
              <w:rPr>
                <w:rFonts w:hint="eastAsia" w:ascii="宋体" w:hAnsi="宋体" w:cs="仿宋"/>
                <w:color w:val="auto"/>
                <w:sz w:val="24"/>
                <w:szCs w:val="24"/>
                <w:highlight w:val="none"/>
              </w:rPr>
              <w:t>分；</w:t>
            </w:r>
          </w:p>
          <w:p w14:paraId="3783500E">
            <w:pPr>
              <w:shd w:val="clear"/>
              <w:spacing w:line="400" w:lineRule="exact"/>
              <w:ind w:firstLine="28"/>
              <w:rPr>
                <w:rFonts w:ascii="宋体" w:hAnsi="宋体" w:cs="仿宋"/>
                <w:color w:val="auto"/>
                <w:sz w:val="24"/>
                <w:szCs w:val="24"/>
                <w:highlight w:val="none"/>
              </w:rPr>
            </w:pPr>
            <w:r>
              <w:rPr>
                <w:rFonts w:hint="eastAsia" w:ascii="宋体" w:hAnsi="宋体" w:cs="仿宋"/>
                <w:color w:val="auto"/>
                <w:sz w:val="24"/>
                <w:szCs w:val="24"/>
                <w:highlight w:val="none"/>
              </w:rPr>
              <w:t>方案内容存在2处瑕疵，得</w:t>
            </w:r>
            <w:r>
              <w:rPr>
                <w:rFonts w:hint="eastAsia" w:ascii="宋体" w:hAnsi="宋体" w:cs="仿宋"/>
                <w:color w:val="auto"/>
                <w:sz w:val="24"/>
                <w:szCs w:val="24"/>
                <w:highlight w:val="none"/>
                <w:lang w:val="en-US" w:eastAsia="zh-CN"/>
              </w:rPr>
              <w:t>2</w:t>
            </w:r>
            <w:r>
              <w:rPr>
                <w:rFonts w:hint="eastAsia" w:ascii="宋体" w:hAnsi="宋体" w:cs="仿宋"/>
                <w:color w:val="auto"/>
                <w:sz w:val="24"/>
                <w:szCs w:val="24"/>
                <w:highlight w:val="none"/>
              </w:rPr>
              <w:t>分；</w:t>
            </w:r>
          </w:p>
          <w:p w14:paraId="0E2E41A1">
            <w:pPr>
              <w:shd w:val="clear"/>
              <w:spacing w:line="400" w:lineRule="exact"/>
              <w:ind w:firstLine="28"/>
              <w:rPr>
                <w:rFonts w:ascii="宋体" w:hAnsi="宋体" w:cs="仿宋"/>
                <w:color w:val="auto"/>
                <w:sz w:val="24"/>
                <w:szCs w:val="24"/>
                <w:highlight w:val="none"/>
              </w:rPr>
            </w:pPr>
            <w:r>
              <w:rPr>
                <w:rFonts w:hint="eastAsia" w:ascii="宋体" w:hAnsi="宋体" w:cs="仿宋"/>
                <w:color w:val="auto"/>
                <w:sz w:val="24"/>
                <w:szCs w:val="24"/>
                <w:highlight w:val="none"/>
              </w:rPr>
              <w:t>方案内容存在3处瑕疵，得</w:t>
            </w:r>
            <w:r>
              <w:rPr>
                <w:rFonts w:hint="eastAsia" w:ascii="宋体" w:hAnsi="宋体" w:cs="仿宋"/>
                <w:color w:val="auto"/>
                <w:sz w:val="24"/>
                <w:szCs w:val="24"/>
                <w:highlight w:val="none"/>
                <w:lang w:val="en-US" w:eastAsia="zh-CN"/>
              </w:rPr>
              <w:t>1</w:t>
            </w:r>
            <w:r>
              <w:rPr>
                <w:rFonts w:hint="eastAsia" w:ascii="宋体" w:hAnsi="宋体" w:cs="仿宋"/>
                <w:color w:val="auto"/>
                <w:sz w:val="24"/>
                <w:szCs w:val="24"/>
                <w:highlight w:val="none"/>
              </w:rPr>
              <w:t>分；</w:t>
            </w:r>
          </w:p>
          <w:p w14:paraId="6EA1937F">
            <w:pPr>
              <w:shd w:val="clear"/>
              <w:spacing w:line="400" w:lineRule="exact"/>
              <w:ind w:firstLine="28"/>
              <w:rPr>
                <w:rFonts w:ascii="宋体" w:hAnsi="宋体" w:cs="宋体"/>
                <w:color w:val="auto"/>
                <w:sz w:val="24"/>
                <w:szCs w:val="24"/>
                <w:highlight w:val="none"/>
              </w:rPr>
            </w:pPr>
            <w:r>
              <w:rPr>
                <w:rFonts w:hint="eastAsia" w:ascii="宋体" w:hAnsi="宋体" w:cs="仿宋"/>
                <w:color w:val="auto"/>
                <w:sz w:val="24"/>
                <w:szCs w:val="24"/>
                <w:highlight w:val="none"/>
              </w:rPr>
              <w:t>方案内容存在4处及以上瑕疵，得0分。</w:t>
            </w:r>
          </w:p>
        </w:tc>
        <w:tc>
          <w:tcPr>
            <w:tcW w:w="1644" w:type="dxa"/>
            <w:vMerge w:val="restart"/>
            <w:vAlign w:val="center"/>
          </w:tcPr>
          <w:p w14:paraId="13D6F51D">
            <w:pPr>
              <w:shd w:val="clear"/>
              <w:spacing w:line="4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1.提供书面方案进行评审。</w:t>
            </w:r>
          </w:p>
          <w:p w14:paraId="26E9702D">
            <w:pPr>
              <w:shd w:val="clear"/>
              <w:spacing w:line="400" w:lineRule="exact"/>
              <w:rPr>
                <w:rFonts w:ascii="宋体" w:hAnsi="宋体" w:cs="宋体"/>
                <w:b/>
                <w:color w:val="auto"/>
                <w:sz w:val="24"/>
                <w:szCs w:val="24"/>
                <w:highlight w:val="none"/>
              </w:rPr>
            </w:pPr>
            <w:r>
              <w:rPr>
                <w:rFonts w:hint="eastAsia" w:ascii="宋体" w:hAnsi="宋体" w:cs="宋体"/>
                <w:color w:val="auto"/>
                <w:kern w:val="0"/>
                <w:sz w:val="24"/>
                <w:szCs w:val="24"/>
                <w:highlight w:val="none"/>
              </w:rPr>
              <w:t>2.本项内容中所称的“瑕疵”：①内容表述不完整或缺少关键分析点；②计划及措施不科学合理方案；③内容表述前后矛盾、无连贯性、内容存在逻辑漏洞；④常识性错误；⑤技术措施保障安排并不适用本项目特性或非专门针对本项目制定；⑥方案中提出的措施举措不利于本项目目标的实现；⑦现有技术条件下不可能实现采购目标；上述任意一种情形为1处瑕疵。</w:t>
            </w:r>
          </w:p>
        </w:tc>
      </w:tr>
      <w:tr w14:paraId="23D5E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vAlign w:val="center"/>
          </w:tcPr>
          <w:p w14:paraId="45B7107C">
            <w:pPr>
              <w:shd w:val="clear"/>
              <w:snapToGrid w:val="0"/>
              <w:spacing w:line="400" w:lineRule="exact"/>
              <w:ind w:firstLine="28"/>
              <w:jc w:val="center"/>
              <w:rPr>
                <w:rFonts w:ascii="宋体" w:hAnsi="宋体" w:cs="宋体"/>
                <w:color w:val="auto"/>
                <w:sz w:val="24"/>
                <w:szCs w:val="24"/>
                <w:highlight w:val="none"/>
              </w:rPr>
            </w:pPr>
          </w:p>
        </w:tc>
        <w:tc>
          <w:tcPr>
            <w:tcW w:w="1253" w:type="dxa"/>
            <w:vMerge w:val="continue"/>
            <w:vAlign w:val="center"/>
          </w:tcPr>
          <w:p w14:paraId="55DCDA43">
            <w:pPr>
              <w:shd w:val="clear"/>
              <w:snapToGrid w:val="0"/>
              <w:spacing w:line="400" w:lineRule="exact"/>
              <w:ind w:firstLine="28"/>
              <w:jc w:val="center"/>
              <w:rPr>
                <w:rFonts w:ascii="宋体" w:hAnsi="宋体" w:cs="宋体"/>
                <w:color w:val="auto"/>
                <w:sz w:val="24"/>
                <w:szCs w:val="24"/>
                <w:highlight w:val="none"/>
              </w:rPr>
            </w:pPr>
          </w:p>
        </w:tc>
        <w:tc>
          <w:tcPr>
            <w:tcW w:w="1350" w:type="dxa"/>
            <w:vAlign w:val="center"/>
          </w:tcPr>
          <w:p w14:paraId="3A314370">
            <w:pPr>
              <w:shd w:val="clear"/>
              <w:spacing w:line="400" w:lineRule="exact"/>
              <w:jc w:val="center"/>
              <w:rPr>
                <w:rFonts w:ascii="宋体" w:hAnsi="宋体" w:cs="宋体"/>
                <w:color w:val="auto"/>
                <w:sz w:val="24"/>
                <w:szCs w:val="24"/>
                <w:highlight w:val="none"/>
              </w:rPr>
            </w:pPr>
            <w:r>
              <w:rPr>
                <w:rFonts w:hint="eastAsia" w:ascii="宋体" w:hAnsi="宋体" w:cs="仿宋"/>
                <w:color w:val="auto"/>
                <w:sz w:val="24"/>
                <w:szCs w:val="24"/>
                <w:highlight w:val="none"/>
                <w:lang w:val="en-US" w:eastAsia="zh-CN"/>
              </w:rPr>
              <w:t>5</w:t>
            </w:r>
            <w:r>
              <w:rPr>
                <w:rFonts w:hint="eastAsia" w:ascii="宋体" w:hAnsi="宋体" w:cs="仿宋"/>
                <w:color w:val="auto"/>
                <w:sz w:val="24"/>
                <w:szCs w:val="24"/>
                <w:highlight w:val="none"/>
              </w:rPr>
              <w:t>分</w:t>
            </w:r>
          </w:p>
        </w:tc>
        <w:tc>
          <w:tcPr>
            <w:tcW w:w="4625" w:type="dxa"/>
            <w:vAlign w:val="center"/>
          </w:tcPr>
          <w:p w14:paraId="13AA6CB0">
            <w:pPr>
              <w:shd w:val="clear"/>
              <w:spacing w:line="400" w:lineRule="exact"/>
              <w:rPr>
                <w:rFonts w:ascii="宋体" w:hAnsi="宋体" w:cs="仿宋"/>
                <w:color w:val="auto"/>
                <w:sz w:val="24"/>
                <w:szCs w:val="24"/>
                <w:highlight w:val="none"/>
              </w:rPr>
            </w:pPr>
            <w:r>
              <w:rPr>
                <w:rFonts w:hint="eastAsia" w:ascii="宋体" w:hAnsi="宋体" w:cs="仿宋"/>
                <w:color w:val="auto"/>
                <w:sz w:val="24"/>
                <w:szCs w:val="24"/>
                <w:highlight w:val="none"/>
              </w:rPr>
              <w:t>供应商针对本项目提供</w:t>
            </w:r>
            <w:r>
              <w:rPr>
                <w:rFonts w:hint="eastAsia" w:ascii="宋体" w:hAnsi="宋体" w:cs="宋体"/>
                <w:bCs/>
                <w:color w:val="auto"/>
                <w:sz w:val="24"/>
                <w:szCs w:val="24"/>
                <w:highlight w:val="none"/>
              </w:rPr>
              <w:t>质量管理体系</w:t>
            </w:r>
            <w:r>
              <w:rPr>
                <w:rFonts w:hint="eastAsia" w:ascii="宋体" w:hAnsi="宋体" w:cs="宋体"/>
                <w:bCs/>
                <w:color w:val="auto"/>
                <w:sz w:val="24"/>
                <w:szCs w:val="24"/>
                <w:highlight w:val="none"/>
                <w:lang w:eastAsia="zh-CN"/>
              </w:rPr>
              <w:t>及认证，以及</w:t>
            </w:r>
            <w:r>
              <w:rPr>
                <w:rFonts w:hint="eastAsia" w:ascii="宋体" w:hAnsi="宋体" w:cs="宋体"/>
                <w:bCs/>
                <w:color w:val="auto"/>
                <w:sz w:val="24"/>
                <w:szCs w:val="24"/>
                <w:highlight w:val="none"/>
              </w:rPr>
              <w:t>安全措施</w:t>
            </w:r>
            <w:r>
              <w:rPr>
                <w:rFonts w:hint="eastAsia" w:ascii="宋体" w:hAnsi="宋体" w:cs="仿宋"/>
                <w:color w:val="auto"/>
                <w:sz w:val="24"/>
                <w:szCs w:val="24"/>
                <w:highlight w:val="none"/>
              </w:rPr>
              <w:t>，方案内容包括但不限于：①</w:t>
            </w:r>
            <w:r>
              <w:rPr>
                <w:rFonts w:hint="eastAsia" w:ascii="宋体" w:hAnsi="宋体" w:cs="宋体"/>
                <w:bCs/>
                <w:color w:val="auto"/>
                <w:sz w:val="24"/>
                <w:szCs w:val="24"/>
                <w:highlight w:val="none"/>
              </w:rPr>
              <w:t>施工质量保证体系；②质量检查监督机构；③安全控制措施和手段</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④</w:t>
            </w:r>
            <w:r>
              <w:rPr>
                <w:rFonts w:hint="eastAsia" w:ascii="宋体" w:hAnsi="宋体" w:cs="宋体"/>
                <w:bCs/>
                <w:color w:val="auto"/>
                <w:sz w:val="24"/>
                <w:szCs w:val="24"/>
                <w:highlight w:val="none"/>
              </w:rPr>
              <w:t>安全承诺</w:t>
            </w:r>
            <w:r>
              <w:rPr>
                <w:rFonts w:hint="eastAsia" w:ascii="宋体" w:hAnsi="宋体" w:cs="宋体"/>
                <w:bCs/>
                <w:color w:val="auto"/>
                <w:sz w:val="24"/>
                <w:szCs w:val="24"/>
                <w:highlight w:val="none"/>
                <w:lang w:eastAsia="zh-CN"/>
              </w:rPr>
              <w:t>。</w:t>
            </w:r>
          </w:p>
          <w:p w14:paraId="7E84E2E3">
            <w:pPr>
              <w:shd w:val="clear"/>
              <w:spacing w:line="400" w:lineRule="exact"/>
              <w:ind w:firstLine="28"/>
              <w:rPr>
                <w:rFonts w:hint="eastAsia" w:ascii="宋体" w:hAnsi="宋体" w:cs="仿宋"/>
                <w:color w:val="auto"/>
                <w:sz w:val="24"/>
                <w:szCs w:val="24"/>
                <w:highlight w:val="none"/>
              </w:rPr>
            </w:pPr>
            <w:r>
              <w:rPr>
                <w:rFonts w:hint="eastAsia" w:ascii="宋体" w:hAnsi="宋体" w:cs="仿宋"/>
                <w:color w:val="auto"/>
                <w:sz w:val="24"/>
                <w:szCs w:val="24"/>
                <w:highlight w:val="none"/>
              </w:rPr>
              <w:t>方案内容不存在瑕疵，得</w:t>
            </w:r>
            <w:r>
              <w:rPr>
                <w:rFonts w:hint="eastAsia" w:ascii="宋体" w:hAnsi="宋体" w:cs="仿宋"/>
                <w:color w:val="auto"/>
                <w:sz w:val="24"/>
                <w:szCs w:val="24"/>
                <w:highlight w:val="none"/>
                <w:lang w:val="en-US" w:eastAsia="zh-CN"/>
              </w:rPr>
              <w:t>5</w:t>
            </w:r>
            <w:r>
              <w:rPr>
                <w:rFonts w:hint="eastAsia" w:ascii="宋体" w:hAnsi="宋体" w:cs="仿宋"/>
                <w:color w:val="auto"/>
                <w:sz w:val="24"/>
                <w:szCs w:val="24"/>
                <w:highlight w:val="none"/>
              </w:rPr>
              <w:t>分；</w:t>
            </w:r>
          </w:p>
          <w:p w14:paraId="117B61AB">
            <w:pPr>
              <w:shd w:val="clear"/>
              <w:spacing w:line="400" w:lineRule="exact"/>
              <w:ind w:firstLine="28"/>
              <w:rPr>
                <w:rFonts w:hint="eastAsia" w:ascii="宋体" w:hAnsi="宋体" w:cs="仿宋"/>
                <w:color w:val="auto"/>
                <w:sz w:val="24"/>
                <w:szCs w:val="24"/>
                <w:highlight w:val="none"/>
              </w:rPr>
            </w:pPr>
            <w:r>
              <w:rPr>
                <w:rFonts w:hint="eastAsia" w:ascii="宋体" w:hAnsi="宋体" w:cs="仿宋"/>
                <w:color w:val="auto"/>
                <w:sz w:val="24"/>
                <w:szCs w:val="24"/>
                <w:highlight w:val="none"/>
              </w:rPr>
              <w:t>方案内容存在1处瑕疵，得</w:t>
            </w:r>
            <w:r>
              <w:rPr>
                <w:rFonts w:hint="eastAsia" w:ascii="宋体" w:hAnsi="宋体" w:cs="仿宋"/>
                <w:color w:val="auto"/>
                <w:sz w:val="24"/>
                <w:szCs w:val="24"/>
                <w:highlight w:val="none"/>
                <w:lang w:val="en-US" w:eastAsia="zh-CN"/>
              </w:rPr>
              <w:t>3</w:t>
            </w:r>
            <w:r>
              <w:rPr>
                <w:rFonts w:hint="eastAsia" w:ascii="宋体" w:hAnsi="宋体" w:cs="仿宋"/>
                <w:color w:val="auto"/>
                <w:sz w:val="24"/>
                <w:szCs w:val="24"/>
                <w:highlight w:val="none"/>
              </w:rPr>
              <w:t>分；</w:t>
            </w:r>
          </w:p>
          <w:p w14:paraId="17C199A1">
            <w:pPr>
              <w:shd w:val="clear"/>
              <w:spacing w:line="400" w:lineRule="exact"/>
              <w:ind w:firstLine="28"/>
              <w:rPr>
                <w:rFonts w:hint="eastAsia" w:ascii="宋体" w:hAnsi="宋体" w:cs="仿宋"/>
                <w:color w:val="auto"/>
                <w:sz w:val="24"/>
                <w:szCs w:val="24"/>
                <w:highlight w:val="none"/>
              </w:rPr>
            </w:pPr>
            <w:r>
              <w:rPr>
                <w:rFonts w:hint="eastAsia" w:ascii="宋体" w:hAnsi="宋体" w:cs="仿宋"/>
                <w:color w:val="auto"/>
                <w:sz w:val="24"/>
                <w:szCs w:val="24"/>
                <w:highlight w:val="none"/>
              </w:rPr>
              <w:t>方案内容存在2处瑕疵，得</w:t>
            </w:r>
            <w:r>
              <w:rPr>
                <w:rFonts w:hint="eastAsia" w:ascii="宋体" w:hAnsi="宋体" w:cs="仿宋"/>
                <w:color w:val="auto"/>
                <w:sz w:val="24"/>
                <w:szCs w:val="24"/>
                <w:highlight w:val="none"/>
                <w:lang w:val="en-US" w:eastAsia="zh-CN"/>
              </w:rPr>
              <w:t>2</w:t>
            </w:r>
            <w:r>
              <w:rPr>
                <w:rFonts w:hint="eastAsia" w:ascii="宋体" w:hAnsi="宋体" w:cs="仿宋"/>
                <w:color w:val="auto"/>
                <w:sz w:val="24"/>
                <w:szCs w:val="24"/>
                <w:highlight w:val="none"/>
              </w:rPr>
              <w:t>分；</w:t>
            </w:r>
          </w:p>
          <w:p w14:paraId="6C8DB8DE">
            <w:pPr>
              <w:shd w:val="clear"/>
              <w:spacing w:line="400" w:lineRule="exact"/>
              <w:ind w:firstLine="28"/>
              <w:rPr>
                <w:rFonts w:hint="eastAsia" w:ascii="宋体" w:hAnsi="宋体" w:cs="仿宋"/>
                <w:color w:val="auto"/>
                <w:sz w:val="24"/>
                <w:szCs w:val="24"/>
                <w:highlight w:val="none"/>
              </w:rPr>
            </w:pPr>
            <w:r>
              <w:rPr>
                <w:rFonts w:hint="eastAsia" w:ascii="宋体" w:hAnsi="宋体" w:cs="仿宋"/>
                <w:color w:val="auto"/>
                <w:sz w:val="24"/>
                <w:szCs w:val="24"/>
                <w:highlight w:val="none"/>
              </w:rPr>
              <w:t>方案内容存在3处瑕疵，得</w:t>
            </w:r>
            <w:r>
              <w:rPr>
                <w:rFonts w:hint="eastAsia" w:ascii="宋体" w:hAnsi="宋体" w:cs="仿宋"/>
                <w:color w:val="auto"/>
                <w:sz w:val="24"/>
                <w:szCs w:val="24"/>
                <w:highlight w:val="none"/>
                <w:lang w:val="en-US" w:eastAsia="zh-CN"/>
              </w:rPr>
              <w:t>1</w:t>
            </w:r>
            <w:r>
              <w:rPr>
                <w:rFonts w:hint="eastAsia" w:ascii="宋体" w:hAnsi="宋体" w:cs="仿宋"/>
                <w:color w:val="auto"/>
                <w:sz w:val="24"/>
                <w:szCs w:val="24"/>
                <w:highlight w:val="none"/>
              </w:rPr>
              <w:t>分；</w:t>
            </w:r>
          </w:p>
          <w:p w14:paraId="2B68EFC2">
            <w:pPr>
              <w:shd w:val="clear"/>
              <w:spacing w:line="400" w:lineRule="exact"/>
              <w:ind w:firstLine="28"/>
              <w:rPr>
                <w:rFonts w:ascii="宋体" w:hAnsi="宋体" w:cs="宋体"/>
                <w:color w:val="auto"/>
                <w:sz w:val="24"/>
                <w:szCs w:val="24"/>
                <w:highlight w:val="none"/>
              </w:rPr>
            </w:pPr>
            <w:r>
              <w:rPr>
                <w:rFonts w:hint="eastAsia" w:ascii="宋体" w:hAnsi="宋体" w:cs="仿宋"/>
                <w:color w:val="auto"/>
                <w:sz w:val="24"/>
                <w:szCs w:val="24"/>
                <w:highlight w:val="none"/>
              </w:rPr>
              <w:t>方案内容存在4处及以上瑕疵，得0分。</w:t>
            </w:r>
          </w:p>
        </w:tc>
        <w:tc>
          <w:tcPr>
            <w:tcW w:w="1644" w:type="dxa"/>
            <w:vMerge w:val="continue"/>
            <w:vAlign w:val="center"/>
          </w:tcPr>
          <w:p w14:paraId="22AB0FB5">
            <w:pPr>
              <w:shd w:val="clear"/>
              <w:snapToGrid w:val="0"/>
              <w:spacing w:line="400" w:lineRule="exact"/>
              <w:rPr>
                <w:rFonts w:ascii="宋体" w:hAnsi="宋体" w:cs="宋体"/>
                <w:color w:val="auto"/>
                <w:sz w:val="24"/>
                <w:szCs w:val="24"/>
                <w:highlight w:val="none"/>
              </w:rPr>
            </w:pPr>
          </w:p>
        </w:tc>
      </w:tr>
      <w:tr w14:paraId="38BC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vAlign w:val="center"/>
          </w:tcPr>
          <w:p w14:paraId="2EE74545">
            <w:pPr>
              <w:shd w:val="clear"/>
              <w:snapToGrid w:val="0"/>
              <w:spacing w:line="400" w:lineRule="exact"/>
              <w:ind w:firstLine="28"/>
              <w:jc w:val="center"/>
              <w:rPr>
                <w:rFonts w:ascii="宋体" w:hAnsi="宋体" w:cs="宋体"/>
                <w:color w:val="auto"/>
                <w:sz w:val="24"/>
                <w:szCs w:val="24"/>
                <w:highlight w:val="none"/>
              </w:rPr>
            </w:pPr>
          </w:p>
        </w:tc>
        <w:tc>
          <w:tcPr>
            <w:tcW w:w="1253" w:type="dxa"/>
            <w:vMerge w:val="continue"/>
            <w:vAlign w:val="center"/>
          </w:tcPr>
          <w:p w14:paraId="4BCFC6C1">
            <w:pPr>
              <w:shd w:val="clear"/>
              <w:snapToGrid w:val="0"/>
              <w:spacing w:line="400" w:lineRule="exact"/>
              <w:ind w:firstLine="28"/>
              <w:jc w:val="center"/>
              <w:rPr>
                <w:rFonts w:ascii="宋体" w:hAnsi="宋体" w:cs="宋体"/>
                <w:color w:val="auto"/>
                <w:sz w:val="24"/>
                <w:szCs w:val="24"/>
                <w:highlight w:val="none"/>
              </w:rPr>
            </w:pPr>
          </w:p>
        </w:tc>
        <w:tc>
          <w:tcPr>
            <w:tcW w:w="1350" w:type="dxa"/>
            <w:vAlign w:val="center"/>
          </w:tcPr>
          <w:p w14:paraId="77F5861F">
            <w:pPr>
              <w:shd w:val="clear"/>
              <w:spacing w:line="400" w:lineRule="exact"/>
              <w:jc w:val="center"/>
              <w:rPr>
                <w:rFonts w:ascii="宋体" w:hAnsi="宋体" w:cs="仿宋"/>
                <w:color w:val="auto"/>
                <w:sz w:val="24"/>
                <w:szCs w:val="24"/>
                <w:highlight w:val="none"/>
              </w:rPr>
            </w:pPr>
            <w:r>
              <w:rPr>
                <w:rFonts w:hint="eastAsia" w:ascii="宋体" w:hAnsi="宋体" w:cs="仿宋"/>
                <w:color w:val="auto"/>
                <w:sz w:val="24"/>
                <w:szCs w:val="24"/>
                <w:highlight w:val="none"/>
                <w:lang w:val="en-US" w:eastAsia="zh-CN"/>
              </w:rPr>
              <w:t>5</w:t>
            </w:r>
            <w:r>
              <w:rPr>
                <w:rFonts w:hint="eastAsia" w:ascii="宋体" w:hAnsi="宋体" w:cs="仿宋"/>
                <w:color w:val="auto"/>
                <w:sz w:val="24"/>
                <w:szCs w:val="24"/>
                <w:highlight w:val="none"/>
              </w:rPr>
              <w:t>分</w:t>
            </w:r>
          </w:p>
        </w:tc>
        <w:tc>
          <w:tcPr>
            <w:tcW w:w="4625" w:type="dxa"/>
            <w:vAlign w:val="center"/>
          </w:tcPr>
          <w:p w14:paraId="45BA9D9A">
            <w:pPr>
              <w:shd w:val="clear"/>
              <w:spacing w:line="400" w:lineRule="exact"/>
              <w:rPr>
                <w:rFonts w:hint="eastAsia" w:ascii="宋体" w:hAnsi="宋体" w:cs="仿宋"/>
                <w:color w:val="auto"/>
                <w:sz w:val="24"/>
                <w:szCs w:val="24"/>
                <w:highlight w:val="none"/>
              </w:rPr>
            </w:pPr>
            <w:r>
              <w:rPr>
                <w:rFonts w:hint="eastAsia" w:ascii="宋体" w:hAnsi="宋体" w:cs="仿宋"/>
                <w:color w:val="auto"/>
                <w:sz w:val="24"/>
                <w:szCs w:val="24"/>
                <w:highlight w:val="none"/>
              </w:rPr>
              <w:t>供应商针对本项目提供工程进度计划与最小供电影响措施，方案内容包括但不限于：①进度控制计划；②进度保障措施；③现场管理人员和现场工人配备；④最小供电影响措施方法。</w:t>
            </w:r>
          </w:p>
          <w:p w14:paraId="4106760F">
            <w:pPr>
              <w:shd w:val="clear"/>
              <w:spacing w:line="400" w:lineRule="exact"/>
              <w:rPr>
                <w:rFonts w:hint="eastAsia" w:ascii="宋体" w:hAnsi="宋体" w:cs="仿宋"/>
                <w:color w:val="auto"/>
                <w:sz w:val="24"/>
                <w:szCs w:val="24"/>
                <w:highlight w:val="none"/>
              </w:rPr>
            </w:pPr>
            <w:r>
              <w:rPr>
                <w:rFonts w:hint="eastAsia" w:ascii="宋体" w:hAnsi="宋体" w:cs="仿宋"/>
                <w:color w:val="auto"/>
                <w:sz w:val="24"/>
                <w:szCs w:val="24"/>
                <w:highlight w:val="none"/>
              </w:rPr>
              <w:t>方案内容不存在瑕疵，得</w:t>
            </w:r>
            <w:r>
              <w:rPr>
                <w:rFonts w:hint="eastAsia" w:ascii="宋体" w:hAnsi="宋体" w:cs="仿宋"/>
                <w:color w:val="auto"/>
                <w:sz w:val="24"/>
                <w:szCs w:val="24"/>
                <w:highlight w:val="none"/>
                <w:lang w:val="en-US" w:eastAsia="zh-CN"/>
              </w:rPr>
              <w:t>5</w:t>
            </w:r>
            <w:r>
              <w:rPr>
                <w:rFonts w:hint="eastAsia" w:ascii="宋体" w:hAnsi="宋体" w:cs="仿宋"/>
                <w:color w:val="auto"/>
                <w:sz w:val="24"/>
                <w:szCs w:val="24"/>
                <w:highlight w:val="none"/>
              </w:rPr>
              <w:t>分；</w:t>
            </w:r>
          </w:p>
          <w:p w14:paraId="5FE8861C">
            <w:pPr>
              <w:shd w:val="clear"/>
              <w:spacing w:line="400" w:lineRule="exact"/>
              <w:rPr>
                <w:rFonts w:hint="eastAsia" w:ascii="宋体" w:hAnsi="宋体" w:cs="仿宋"/>
                <w:color w:val="auto"/>
                <w:sz w:val="24"/>
                <w:szCs w:val="24"/>
                <w:highlight w:val="none"/>
              </w:rPr>
            </w:pPr>
            <w:r>
              <w:rPr>
                <w:rFonts w:hint="eastAsia" w:ascii="宋体" w:hAnsi="宋体" w:cs="仿宋"/>
                <w:color w:val="auto"/>
                <w:sz w:val="24"/>
                <w:szCs w:val="24"/>
                <w:highlight w:val="none"/>
              </w:rPr>
              <w:t>方案内容存在1处瑕疵，得</w:t>
            </w:r>
            <w:r>
              <w:rPr>
                <w:rFonts w:hint="eastAsia" w:ascii="宋体" w:hAnsi="宋体" w:cs="仿宋"/>
                <w:color w:val="auto"/>
                <w:sz w:val="24"/>
                <w:szCs w:val="24"/>
                <w:highlight w:val="none"/>
                <w:lang w:val="en-US" w:eastAsia="zh-CN"/>
              </w:rPr>
              <w:t>3</w:t>
            </w:r>
            <w:r>
              <w:rPr>
                <w:rFonts w:hint="eastAsia" w:ascii="宋体" w:hAnsi="宋体" w:cs="仿宋"/>
                <w:color w:val="auto"/>
                <w:sz w:val="24"/>
                <w:szCs w:val="24"/>
                <w:highlight w:val="none"/>
              </w:rPr>
              <w:t>分；</w:t>
            </w:r>
          </w:p>
          <w:p w14:paraId="0A1EA42C">
            <w:pPr>
              <w:shd w:val="clear"/>
              <w:spacing w:line="400" w:lineRule="exact"/>
              <w:rPr>
                <w:rFonts w:hint="eastAsia" w:ascii="宋体" w:hAnsi="宋体" w:cs="仿宋"/>
                <w:color w:val="auto"/>
                <w:sz w:val="24"/>
                <w:szCs w:val="24"/>
                <w:highlight w:val="none"/>
              </w:rPr>
            </w:pPr>
            <w:r>
              <w:rPr>
                <w:rFonts w:hint="eastAsia" w:ascii="宋体" w:hAnsi="宋体" w:cs="仿宋"/>
                <w:color w:val="auto"/>
                <w:sz w:val="24"/>
                <w:szCs w:val="24"/>
                <w:highlight w:val="none"/>
              </w:rPr>
              <w:t>方案内容存在2处瑕疵，得</w:t>
            </w:r>
            <w:r>
              <w:rPr>
                <w:rFonts w:hint="eastAsia" w:ascii="宋体" w:hAnsi="宋体" w:cs="仿宋"/>
                <w:color w:val="auto"/>
                <w:sz w:val="24"/>
                <w:szCs w:val="24"/>
                <w:highlight w:val="none"/>
                <w:lang w:val="en-US" w:eastAsia="zh-CN"/>
              </w:rPr>
              <w:t>2</w:t>
            </w:r>
            <w:r>
              <w:rPr>
                <w:rFonts w:hint="eastAsia" w:ascii="宋体" w:hAnsi="宋体" w:cs="仿宋"/>
                <w:color w:val="auto"/>
                <w:sz w:val="24"/>
                <w:szCs w:val="24"/>
                <w:highlight w:val="none"/>
              </w:rPr>
              <w:t>分；</w:t>
            </w:r>
          </w:p>
          <w:p w14:paraId="7F0ACDAE">
            <w:pPr>
              <w:shd w:val="clear"/>
              <w:spacing w:line="400" w:lineRule="exact"/>
              <w:rPr>
                <w:rFonts w:hint="eastAsia" w:ascii="宋体" w:hAnsi="宋体" w:cs="仿宋"/>
                <w:color w:val="auto"/>
                <w:sz w:val="24"/>
                <w:szCs w:val="24"/>
                <w:highlight w:val="none"/>
              </w:rPr>
            </w:pPr>
            <w:r>
              <w:rPr>
                <w:rFonts w:hint="eastAsia" w:ascii="宋体" w:hAnsi="宋体" w:cs="仿宋"/>
                <w:color w:val="auto"/>
                <w:sz w:val="24"/>
                <w:szCs w:val="24"/>
                <w:highlight w:val="none"/>
              </w:rPr>
              <w:t>方案内容存在3处瑕疵，得</w:t>
            </w:r>
            <w:r>
              <w:rPr>
                <w:rFonts w:hint="eastAsia" w:ascii="宋体" w:hAnsi="宋体" w:cs="仿宋"/>
                <w:color w:val="auto"/>
                <w:sz w:val="24"/>
                <w:szCs w:val="24"/>
                <w:highlight w:val="none"/>
                <w:lang w:val="en-US" w:eastAsia="zh-CN"/>
              </w:rPr>
              <w:t>1</w:t>
            </w:r>
            <w:r>
              <w:rPr>
                <w:rFonts w:hint="eastAsia" w:ascii="宋体" w:hAnsi="宋体" w:cs="仿宋"/>
                <w:color w:val="auto"/>
                <w:sz w:val="24"/>
                <w:szCs w:val="24"/>
                <w:highlight w:val="none"/>
              </w:rPr>
              <w:t>分；</w:t>
            </w:r>
          </w:p>
          <w:p w14:paraId="408C2CB9">
            <w:pPr>
              <w:shd w:val="clear"/>
              <w:spacing w:line="400" w:lineRule="exact"/>
              <w:rPr>
                <w:rFonts w:hint="eastAsia" w:ascii="宋体" w:hAnsi="宋体" w:cs="仿宋"/>
                <w:color w:val="auto"/>
                <w:sz w:val="24"/>
                <w:szCs w:val="24"/>
                <w:highlight w:val="none"/>
              </w:rPr>
            </w:pPr>
            <w:r>
              <w:rPr>
                <w:rFonts w:hint="eastAsia" w:ascii="宋体" w:hAnsi="宋体" w:cs="仿宋"/>
                <w:color w:val="auto"/>
                <w:sz w:val="24"/>
                <w:szCs w:val="24"/>
                <w:highlight w:val="none"/>
              </w:rPr>
              <w:t>方案内容存在4处及以上瑕疵，得0分。</w:t>
            </w:r>
          </w:p>
        </w:tc>
        <w:tc>
          <w:tcPr>
            <w:tcW w:w="1644" w:type="dxa"/>
            <w:vMerge w:val="continue"/>
            <w:vAlign w:val="center"/>
          </w:tcPr>
          <w:p w14:paraId="47CED40F">
            <w:pPr>
              <w:shd w:val="clear"/>
              <w:snapToGrid w:val="0"/>
              <w:spacing w:line="400" w:lineRule="exact"/>
              <w:rPr>
                <w:rFonts w:ascii="宋体" w:hAnsi="宋体" w:cs="宋体"/>
                <w:color w:val="auto"/>
                <w:sz w:val="24"/>
                <w:szCs w:val="24"/>
                <w:highlight w:val="none"/>
              </w:rPr>
            </w:pPr>
          </w:p>
        </w:tc>
      </w:tr>
      <w:tr w14:paraId="7B363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vAlign w:val="center"/>
          </w:tcPr>
          <w:p w14:paraId="25D25DC0">
            <w:pPr>
              <w:shd w:val="clear"/>
              <w:snapToGrid w:val="0"/>
              <w:spacing w:line="400" w:lineRule="exact"/>
              <w:ind w:firstLine="28"/>
              <w:jc w:val="center"/>
              <w:rPr>
                <w:rFonts w:ascii="宋体" w:hAnsi="宋体" w:cs="宋体"/>
                <w:color w:val="auto"/>
                <w:sz w:val="24"/>
                <w:szCs w:val="24"/>
                <w:highlight w:val="none"/>
              </w:rPr>
            </w:pPr>
          </w:p>
        </w:tc>
        <w:tc>
          <w:tcPr>
            <w:tcW w:w="1253" w:type="dxa"/>
            <w:vMerge w:val="continue"/>
            <w:vAlign w:val="center"/>
          </w:tcPr>
          <w:p w14:paraId="67385BC1">
            <w:pPr>
              <w:shd w:val="clear"/>
              <w:snapToGrid w:val="0"/>
              <w:spacing w:line="400" w:lineRule="exact"/>
              <w:ind w:firstLine="28"/>
              <w:jc w:val="center"/>
              <w:rPr>
                <w:rFonts w:ascii="宋体" w:hAnsi="宋体" w:cs="宋体"/>
                <w:color w:val="auto"/>
                <w:sz w:val="24"/>
                <w:szCs w:val="24"/>
                <w:highlight w:val="none"/>
              </w:rPr>
            </w:pPr>
          </w:p>
        </w:tc>
        <w:tc>
          <w:tcPr>
            <w:tcW w:w="1350" w:type="dxa"/>
            <w:vAlign w:val="center"/>
          </w:tcPr>
          <w:p w14:paraId="583790ED">
            <w:pPr>
              <w:shd w:val="clear"/>
              <w:spacing w:line="400" w:lineRule="exact"/>
              <w:jc w:val="center"/>
              <w:rPr>
                <w:rFonts w:ascii="宋体" w:hAnsi="宋体" w:cs="宋体"/>
                <w:color w:val="auto"/>
                <w:sz w:val="24"/>
                <w:szCs w:val="24"/>
                <w:highlight w:val="none"/>
              </w:rPr>
            </w:pPr>
            <w:r>
              <w:rPr>
                <w:rFonts w:hint="eastAsia" w:ascii="宋体" w:hAnsi="宋体" w:cs="仿宋"/>
                <w:color w:val="auto"/>
                <w:sz w:val="24"/>
                <w:szCs w:val="24"/>
                <w:highlight w:val="none"/>
                <w:lang w:val="en-US" w:eastAsia="zh-CN"/>
              </w:rPr>
              <w:t>5</w:t>
            </w:r>
            <w:r>
              <w:rPr>
                <w:rFonts w:hint="eastAsia" w:ascii="宋体" w:hAnsi="宋体" w:cs="仿宋"/>
                <w:color w:val="auto"/>
                <w:sz w:val="24"/>
                <w:szCs w:val="24"/>
                <w:highlight w:val="none"/>
              </w:rPr>
              <w:t>分</w:t>
            </w:r>
          </w:p>
        </w:tc>
        <w:tc>
          <w:tcPr>
            <w:tcW w:w="4625" w:type="dxa"/>
            <w:vAlign w:val="center"/>
          </w:tcPr>
          <w:p w14:paraId="222E7BF1">
            <w:pPr>
              <w:shd w:val="clear"/>
              <w:spacing w:line="400" w:lineRule="exact"/>
              <w:rPr>
                <w:rFonts w:hint="eastAsia" w:ascii="宋体" w:hAnsi="宋体" w:cs="仿宋"/>
                <w:color w:val="auto"/>
                <w:sz w:val="24"/>
                <w:szCs w:val="24"/>
                <w:highlight w:val="none"/>
                <w:lang w:eastAsia="zh-CN"/>
              </w:rPr>
            </w:pPr>
            <w:r>
              <w:rPr>
                <w:rFonts w:hint="eastAsia" w:ascii="宋体" w:hAnsi="宋体" w:cs="仿宋"/>
                <w:color w:val="auto"/>
                <w:sz w:val="24"/>
                <w:szCs w:val="24"/>
                <w:highlight w:val="none"/>
              </w:rPr>
              <w:t>供应商针对本项目提供产品材料和供应商综合能力</w:t>
            </w:r>
            <w:r>
              <w:rPr>
                <w:rFonts w:hint="eastAsia" w:ascii="宋体" w:hAnsi="宋体" w:cs="仿宋"/>
                <w:color w:val="auto"/>
                <w:sz w:val="24"/>
                <w:szCs w:val="24"/>
                <w:highlight w:val="none"/>
                <w:lang w:eastAsia="zh-CN"/>
              </w:rPr>
              <w:t>实力</w:t>
            </w:r>
            <w:r>
              <w:rPr>
                <w:rFonts w:hint="eastAsia" w:ascii="宋体" w:hAnsi="宋体" w:cs="仿宋"/>
                <w:color w:val="auto"/>
                <w:sz w:val="24"/>
                <w:szCs w:val="24"/>
                <w:highlight w:val="none"/>
              </w:rPr>
              <w:t>，内容包括但不限于：①产品材料品牌、型号、图片；②综合能力；③安全应急处置方案；④电力意外中断恢复保障方案。⑤质保售</w:t>
            </w:r>
            <w:r>
              <w:rPr>
                <w:rFonts w:hint="eastAsia" w:ascii="宋体" w:hAnsi="宋体" w:cs="仿宋"/>
                <w:color w:val="auto"/>
                <w:sz w:val="24"/>
                <w:szCs w:val="24"/>
                <w:highlight w:val="none"/>
                <w:lang w:eastAsia="zh-CN"/>
              </w:rPr>
              <w:t>方案和质保售后</w:t>
            </w:r>
            <w:r>
              <w:rPr>
                <w:rFonts w:hint="eastAsia" w:ascii="宋体" w:hAnsi="宋体" w:cs="仿宋"/>
                <w:color w:val="auto"/>
                <w:sz w:val="24"/>
                <w:szCs w:val="24"/>
                <w:highlight w:val="none"/>
              </w:rPr>
              <w:t>承诺</w:t>
            </w:r>
            <w:r>
              <w:rPr>
                <w:rFonts w:hint="eastAsia" w:ascii="宋体" w:hAnsi="宋体" w:cs="仿宋"/>
                <w:color w:val="auto"/>
                <w:sz w:val="24"/>
                <w:szCs w:val="24"/>
                <w:highlight w:val="none"/>
                <w:lang w:eastAsia="zh-CN"/>
              </w:rPr>
              <w:t>，包括售后人员、备件、响应时限、到达时限、违约处罚等。</w:t>
            </w:r>
          </w:p>
          <w:p w14:paraId="2417D664">
            <w:pPr>
              <w:shd w:val="clear"/>
              <w:spacing w:line="400" w:lineRule="exact"/>
              <w:rPr>
                <w:rFonts w:hint="eastAsia" w:ascii="宋体" w:hAnsi="宋体" w:cs="仿宋"/>
                <w:color w:val="auto"/>
                <w:sz w:val="24"/>
                <w:szCs w:val="24"/>
                <w:highlight w:val="none"/>
              </w:rPr>
            </w:pPr>
            <w:r>
              <w:rPr>
                <w:rFonts w:hint="eastAsia" w:ascii="宋体" w:hAnsi="宋体" w:cs="仿宋"/>
                <w:color w:val="auto"/>
                <w:sz w:val="24"/>
                <w:szCs w:val="24"/>
                <w:highlight w:val="none"/>
              </w:rPr>
              <w:t>方案内容不存在瑕疵，得</w:t>
            </w:r>
            <w:r>
              <w:rPr>
                <w:rFonts w:hint="eastAsia" w:ascii="宋体" w:hAnsi="宋体" w:cs="仿宋"/>
                <w:color w:val="auto"/>
                <w:sz w:val="24"/>
                <w:szCs w:val="24"/>
                <w:highlight w:val="none"/>
                <w:lang w:val="en-US" w:eastAsia="zh-CN"/>
              </w:rPr>
              <w:t>5</w:t>
            </w:r>
            <w:r>
              <w:rPr>
                <w:rFonts w:hint="eastAsia" w:ascii="宋体" w:hAnsi="宋体" w:cs="仿宋"/>
                <w:color w:val="auto"/>
                <w:sz w:val="24"/>
                <w:szCs w:val="24"/>
                <w:highlight w:val="none"/>
              </w:rPr>
              <w:t>分；</w:t>
            </w:r>
          </w:p>
          <w:p w14:paraId="0C9F7C0F">
            <w:pPr>
              <w:shd w:val="clear"/>
              <w:spacing w:line="400" w:lineRule="exact"/>
              <w:rPr>
                <w:rFonts w:hint="eastAsia" w:ascii="宋体" w:hAnsi="宋体" w:cs="仿宋"/>
                <w:color w:val="auto"/>
                <w:sz w:val="24"/>
                <w:szCs w:val="24"/>
                <w:highlight w:val="none"/>
              </w:rPr>
            </w:pPr>
            <w:r>
              <w:rPr>
                <w:rFonts w:hint="eastAsia" w:ascii="宋体" w:hAnsi="宋体" w:cs="仿宋"/>
                <w:color w:val="auto"/>
                <w:sz w:val="24"/>
                <w:szCs w:val="24"/>
                <w:highlight w:val="none"/>
              </w:rPr>
              <w:t>方案内容存在1处瑕疵，得</w:t>
            </w:r>
            <w:r>
              <w:rPr>
                <w:rFonts w:hint="eastAsia" w:ascii="宋体" w:hAnsi="宋体" w:cs="仿宋"/>
                <w:color w:val="auto"/>
                <w:sz w:val="24"/>
                <w:szCs w:val="24"/>
                <w:highlight w:val="none"/>
                <w:lang w:val="en-US" w:eastAsia="zh-CN"/>
              </w:rPr>
              <w:t>3</w:t>
            </w:r>
            <w:r>
              <w:rPr>
                <w:rFonts w:hint="eastAsia" w:ascii="宋体" w:hAnsi="宋体" w:cs="仿宋"/>
                <w:color w:val="auto"/>
                <w:sz w:val="24"/>
                <w:szCs w:val="24"/>
                <w:highlight w:val="none"/>
              </w:rPr>
              <w:t>分；</w:t>
            </w:r>
          </w:p>
          <w:p w14:paraId="709B7EB0">
            <w:pPr>
              <w:shd w:val="clear"/>
              <w:spacing w:line="400" w:lineRule="exact"/>
              <w:rPr>
                <w:rFonts w:hint="eastAsia" w:ascii="宋体" w:hAnsi="宋体" w:cs="仿宋"/>
                <w:color w:val="auto"/>
                <w:sz w:val="24"/>
                <w:szCs w:val="24"/>
                <w:highlight w:val="none"/>
              </w:rPr>
            </w:pPr>
            <w:r>
              <w:rPr>
                <w:rFonts w:hint="eastAsia" w:ascii="宋体" w:hAnsi="宋体" w:cs="仿宋"/>
                <w:color w:val="auto"/>
                <w:sz w:val="24"/>
                <w:szCs w:val="24"/>
                <w:highlight w:val="none"/>
              </w:rPr>
              <w:t>方案内容存在2处瑕疵，得</w:t>
            </w:r>
            <w:r>
              <w:rPr>
                <w:rFonts w:hint="eastAsia" w:ascii="宋体" w:hAnsi="宋体" w:cs="仿宋"/>
                <w:color w:val="auto"/>
                <w:sz w:val="24"/>
                <w:szCs w:val="24"/>
                <w:highlight w:val="none"/>
                <w:lang w:val="en-US" w:eastAsia="zh-CN"/>
              </w:rPr>
              <w:t>2</w:t>
            </w:r>
            <w:r>
              <w:rPr>
                <w:rFonts w:hint="eastAsia" w:ascii="宋体" w:hAnsi="宋体" w:cs="仿宋"/>
                <w:color w:val="auto"/>
                <w:sz w:val="24"/>
                <w:szCs w:val="24"/>
                <w:highlight w:val="none"/>
              </w:rPr>
              <w:t>分；</w:t>
            </w:r>
          </w:p>
          <w:p w14:paraId="791C17C7">
            <w:pPr>
              <w:shd w:val="clear"/>
              <w:spacing w:line="400" w:lineRule="exact"/>
              <w:rPr>
                <w:rFonts w:hint="eastAsia" w:ascii="宋体" w:hAnsi="宋体" w:cs="仿宋"/>
                <w:color w:val="auto"/>
                <w:sz w:val="24"/>
                <w:szCs w:val="24"/>
                <w:highlight w:val="none"/>
              </w:rPr>
            </w:pPr>
            <w:r>
              <w:rPr>
                <w:rFonts w:hint="eastAsia" w:ascii="宋体" w:hAnsi="宋体" w:cs="仿宋"/>
                <w:color w:val="auto"/>
                <w:sz w:val="24"/>
                <w:szCs w:val="24"/>
                <w:highlight w:val="none"/>
              </w:rPr>
              <w:t>方案内容存在3处瑕疵，得</w:t>
            </w:r>
            <w:r>
              <w:rPr>
                <w:rFonts w:hint="eastAsia" w:ascii="宋体" w:hAnsi="宋体" w:cs="仿宋"/>
                <w:color w:val="auto"/>
                <w:sz w:val="24"/>
                <w:szCs w:val="24"/>
                <w:highlight w:val="none"/>
                <w:lang w:val="en-US" w:eastAsia="zh-CN"/>
              </w:rPr>
              <w:t>1</w:t>
            </w:r>
            <w:r>
              <w:rPr>
                <w:rFonts w:hint="eastAsia" w:ascii="宋体" w:hAnsi="宋体" w:cs="仿宋"/>
                <w:color w:val="auto"/>
                <w:sz w:val="24"/>
                <w:szCs w:val="24"/>
                <w:highlight w:val="none"/>
              </w:rPr>
              <w:t>分；</w:t>
            </w:r>
          </w:p>
          <w:p w14:paraId="70EAB85E">
            <w:pPr>
              <w:shd w:val="clear"/>
              <w:spacing w:line="400" w:lineRule="exact"/>
              <w:rPr>
                <w:rFonts w:hint="eastAsia" w:ascii="宋体" w:hAnsi="宋体" w:cs="仿宋"/>
                <w:color w:val="auto"/>
                <w:sz w:val="24"/>
                <w:szCs w:val="24"/>
                <w:highlight w:val="none"/>
              </w:rPr>
            </w:pPr>
            <w:r>
              <w:rPr>
                <w:rFonts w:hint="eastAsia" w:ascii="宋体" w:hAnsi="宋体" w:cs="仿宋"/>
                <w:color w:val="auto"/>
                <w:sz w:val="24"/>
                <w:szCs w:val="24"/>
                <w:highlight w:val="none"/>
              </w:rPr>
              <w:t>方案内容存在4处及以上瑕疵，得0分。</w:t>
            </w:r>
          </w:p>
        </w:tc>
        <w:tc>
          <w:tcPr>
            <w:tcW w:w="1644" w:type="dxa"/>
            <w:vMerge w:val="continue"/>
            <w:vAlign w:val="center"/>
          </w:tcPr>
          <w:p w14:paraId="15BA711E">
            <w:pPr>
              <w:shd w:val="clear"/>
              <w:snapToGrid w:val="0"/>
              <w:spacing w:line="400" w:lineRule="exact"/>
              <w:rPr>
                <w:rFonts w:ascii="宋体" w:hAnsi="宋体" w:cs="宋体"/>
                <w:color w:val="auto"/>
                <w:sz w:val="24"/>
                <w:szCs w:val="24"/>
                <w:highlight w:val="none"/>
              </w:rPr>
            </w:pPr>
          </w:p>
        </w:tc>
      </w:tr>
      <w:tr w14:paraId="7F245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restart"/>
            <w:vAlign w:val="center"/>
          </w:tcPr>
          <w:p w14:paraId="1A539A69">
            <w:pPr>
              <w:shd w:val="clea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253" w:type="dxa"/>
            <w:vMerge w:val="restart"/>
            <w:vAlign w:val="center"/>
          </w:tcPr>
          <w:p w14:paraId="019FA816">
            <w:pPr>
              <w:shd w:val="clea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商务部分（</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w:t>
            </w:r>
          </w:p>
        </w:tc>
        <w:tc>
          <w:tcPr>
            <w:tcW w:w="1350" w:type="dxa"/>
            <w:vAlign w:val="center"/>
          </w:tcPr>
          <w:p w14:paraId="7E96388D">
            <w:pPr>
              <w:shd w:val="clear"/>
              <w:spacing w:line="400" w:lineRule="exact"/>
              <w:jc w:val="center"/>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val="en-US" w:eastAsia="zh-CN"/>
              </w:rPr>
              <w:t>3</w:t>
            </w:r>
            <w:r>
              <w:rPr>
                <w:rFonts w:hint="eastAsia" w:ascii="宋体" w:hAnsi="宋体" w:cs="宋体"/>
                <w:bCs/>
                <w:color w:val="auto"/>
                <w:sz w:val="24"/>
                <w:szCs w:val="24"/>
                <w:highlight w:val="none"/>
                <w:lang w:eastAsia="zh-CN"/>
              </w:rPr>
              <w:t>分</w:t>
            </w:r>
          </w:p>
        </w:tc>
        <w:tc>
          <w:tcPr>
            <w:tcW w:w="4625" w:type="dxa"/>
            <w:vAlign w:val="center"/>
          </w:tcPr>
          <w:p w14:paraId="140EA1A8">
            <w:pPr>
              <w:shd w:val="clear"/>
              <w:spacing w:line="400" w:lineRule="exact"/>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供应商派至本项目团队人员中具有应急局或原安监局签发的高压电工特种作业操作证的，每提供一名得</w:t>
            </w:r>
            <w:r>
              <w:rPr>
                <w:rFonts w:hint="eastAsia" w:ascii="宋体" w:hAnsi="宋体" w:cs="宋体"/>
                <w:bCs/>
                <w:color w:val="auto"/>
                <w:sz w:val="24"/>
                <w:szCs w:val="24"/>
                <w:highlight w:val="none"/>
                <w:lang w:val="en-US" w:eastAsia="zh-CN"/>
              </w:rPr>
              <w:t>1</w:t>
            </w:r>
            <w:r>
              <w:rPr>
                <w:rFonts w:hint="eastAsia" w:ascii="宋体" w:hAnsi="宋体" w:cs="宋体"/>
                <w:bCs/>
                <w:color w:val="auto"/>
                <w:sz w:val="24"/>
                <w:szCs w:val="24"/>
                <w:highlight w:val="none"/>
                <w:lang w:eastAsia="zh-CN"/>
              </w:rPr>
              <w:t>分，最多得</w:t>
            </w:r>
            <w:r>
              <w:rPr>
                <w:rFonts w:hint="eastAsia" w:ascii="宋体" w:hAnsi="宋体" w:cs="宋体"/>
                <w:bCs/>
                <w:color w:val="auto"/>
                <w:sz w:val="24"/>
                <w:szCs w:val="24"/>
                <w:highlight w:val="none"/>
                <w:lang w:val="en-US" w:eastAsia="zh-CN"/>
              </w:rPr>
              <w:t>3</w:t>
            </w:r>
            <w:r>
              <w:rPr>
                <w:rFonts w:hint="eastAsia" w:ascii="宋体" w:hAnsi="宋体" w:cs="宋体"/>
                <w:bCs/>
                <w:color w:val="auto"/>
                <w:sz w:val="24"/>
                <w:szCs w:val="24"/>
                <w:highlight w:val="none"/>
                <w:lang w:eastAsia="zh-CN"/>
              </w:rPr>
              <w:t>分。</w:t>
            </w:r>
          </w:p>
          <w:p w14:paraId="788F329C">
            <w:pPr>
              <w:shd w:val="clear"/>
              <w:spacing w:line="400" w:lineRule="exact"/>
              <w:rPr>
                <w:rFonts w:hint="eastAsia" w:ascii="宋体" w:hAnsi="宋体" w:cs="宋体"/>
                <w:bCs/>
                <w:color w:val="auto"/>
                <w:sz w:val="24"/>
                <w:szCs w:val="24"/>
                <w:highlight w:val="none"/>
                <w:lang w:eastAsia="zh-CN"/>
              </w:rPr>
            </w:pPr>
          </w:p>
        </w:tc>
        <w:tc>
          <w:tcPr>
            <w:tcW w:w="1644" w:type="dxa"/>
            <w:vAlign w:val="center"/>
          </w:tcPr>
          <w:p w14:paraId="7F3B3514">
            <w:pPr>
              <w:shd w:val="clear"/>
              <w:spacing w:line="400" w:lineRule="exact"/>
              <w:ind w:firstLine="28"/>
              <w:rPr>
                <w:rFonts w:ascii="宋体" w:hAnsi="宋体" w:cs="仿宋"/>
                <w:color w:val="auto"/>
                <w:sz w:val="24"/>
                <w:szCs w:val="24"/>
                <w:highlight w:val="none"/>
              </w:rPr>
            </w:pPr>
            <w:r>
              <w:rPr>
                <w:rFonts w:hint="eastAsia" w:ascii="宋体" w:hAnsi="宋体" w:cs="仿宋"/>
                <w:color w:val="auto"/>
                <w:sz w:val="24"/>
                <w:szCs w:val="24"/>
                <w:highlight w:val="none"/>
              </w:rPr>
              <w:t>提供证书复印件、供应商为其缴纳2025年</w:t>
            </w:r>
            <w:r>
              <w:rPr>
                <w:rFonts w:hint="eastAsia" w:ascii="宋体" w:hAnsi="宋体" w:cs="仿宋"/>
                <w:color w:val="auto"/>
                <w:sz w:val="24"/>
                <w:szCs w:val="24"/>
                <w:highlight w:val="none"/>
                <w:lang w:val="en-US" w:eastAsia="zh-CN"/>
              </w:rPr>
              <w:t>6月至开标当月</w:t>
            </w:r>
            <w:r>
              <w:rPr>
                <w:rFonts w:hint="eastAsia" w:ascii="宋体" w:hAnsi="宋体" w:cs="仿宋"/>
                <w:color w:val="auto"/>
                <w:sz w:val="24"/>
                <w:szCs w:val="24"/>
                <w:highlight w:val="none"/>
              </w:rPr>
              <w:t>任意一个月的社保证明材料复印件</w:t>
            </w:r>
            <w:r>
              <w:rPr>
                <w:rFonts w:hint="eastAsia" w:ascii="宋体" w:hAnsi="宋体" w:cs="仿宋"/>
                <w:color w:val="auto"/>
                <w:sz w:val="24"/>
                <w:szCs w:val="24"/>
                <w:highlight w:val="none"/>
                <w:lang w:eastAsia="zh-CN"/>
              </w:rPr>
              <w:t>，</w:t>
            </w:r>
            <w:r>
              <w:rPr>
                <w:rFonts w:hint="eastAsia" w:ascii="宋体" w:hAnsi="宋体" w:cs="仿宋"/>
                <w:color w:val="auto"/>
                <w:sz w:val="24"/>
                <w:szCs w:val="24"/>
                <w:highlight w:val="none"/>
              </w:rPr>
              <w:t>加盖供应商公章。</w:t>
            </w:r>
          </w:p>
        </w:tc>
      </w:tr>
      <w:tr w14:paraId="4B939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vAlign w:val="center"/>
          </w:tcPr>
          <w:p w14:paraId="6F2C043E">
            <w:pPr>
              <w:shd w:val="clear"/>
              <w:snapToGrid w:val="0"/>
              <w:spacing w:line="400" w:lineRule="exact"/>
              <w:jc w:val="center"/>
              <w:rPr>
                <w:rFonts w:ascii="宋体" w:hAnsi="宋体" w:cs="宋体"/>
                <w:color w:val="auto"/>
                <w:sz w:val="24"/>
                <w:szCs w:val="24"/>
                <w:highlight w:val="none"/>
              </w:rPr>
            </w:pPr>
          </w:p>
        </w:tc>
        <w:tc>
          <w:tcPr>
            <w:tcW w:w="1253" w:type="dxa"/>
            <w:vMerge w:val="continue"/>
            <w:vAlign w:val="center"/>
          </w:tcPr>
          <w:p w14:paraId="101443BA">
            <w:pPr>
              <w:shd w:val="clear"/>
              <w:snapToGrid w:val="0"/>
              <w:spacing w:line="400" w:lineRule="exact"/>
              <w:jc w:val="center"/>
              <w:rPr>
                <w:rFonts w:ascii="宋体" w:hAnsi="宋体" w:cs="宋体"/>
                <w:color w:val="auto"/>
                <w:sz w:val="24"/>
                <w:szCs w:val="24"/>
                <w:highlight w:val="none"/>
              </w:rPr>
            </w:pPr>
          </w:p>
        </w:tc>
        <w:tc>
          <w:tcPr>
            <w:tcW w:w="1350" w:type="dxa"/>
            <w:vAlign w:val="center"/>
          </w:tcPr>
          <w:p w14:paraId="330A3A77">
            <w:pPr>
              <w:shd w:val="clear"/>
              <w:spacing w:line="400" w:lineRule="exact"/>
              <w:jc w:val="center"/>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val="en-US" w:eastAsia="zh-CN"/>
              </w:rPr>
              <w:t>7</w:t>
            </w:r>
            <w:r>
              <w:rPr>
                <w:rFonts w:hint="eastAsia" w:ascii="宋体" w:hAnsi="宋体" w:cs="宋体"/>
                <w:bCs/>
                <w:color w:val="auto"/>
                <w:sz w:val="24"/>
                <w:szCs w:val="24"/>
                <w:highlight w:val="none"/>
                <w:lang w:eastAsia="zh-CN"/>
              </w:rPr>
              <w:t>分</w:t>
            </w:r>
          </w:p>
        </w:tc>
        <w:tc>
          <w:tcPr>
            <w:tcW w:w="4625" w:type="dxa"/>
            <w:vAlign w:val="center"/>
          </w:tcPr>
          <w:p w14:paraId="0EDFE57F">
            <w:pPr>
              <w:shd w:val="clear"/>
              <w:spacing w:line="400" w:lineRule="exact"/>
              <w:rPr>
                <w:rFonts w:hint="eastAsia" w:ascii="宋体" w:hAnsi="宋体" w:cs="宋体"/>
                <w:bCs/>
                <w:color w:val="auto"/>
                <w:sz w:val="24"/>
                <w:szCs w:val="24"/>
                <w:highlight w:val="none"/>
                <w:lang w:eastAsia="zh-CN"/>
              </w:rPr>
            </w:pPr>
            <w:r>
              <w:rPr>
                <w:rFonts w:hint="default" w:ascii="宋体" w:hAnsi="宋体" w:cs="仿宋"/>
                <w:color w:val="auto"/>
                <w:sz w:val="24"/>
                <w:szCs w:val="24"/>
                <w:highlight w:val="none"/>
                <w:lang w:val="en-US" w:eastAsia="zh-CN"/>
              </w:rPr>
              <w:t>2020年1月1日至今（以合同签订时间为准），供应商具有配电室（或变电站）等设施的电力工程或者变配电工程的安装（或改造或增容或迁移）施工业绩</w:t>
            </w:r>
            <w:r>
              <w:rPr>
                <w:rFonts w:hint="eastAsia" w:ascii="宋体" w:hAnsi="宋体" w:cs="仿宋"/>
                <w:color w:val="auto"/>
                <w:sz w:val="24"/>
                <w:szCs w:val="24"/>
                <w:highlight w:val="none"/>
                <w:lang w:val="en-US" w:eastAsia="zh-CN"/>
              </w:rPr>
              <w:t>的</w:t>
            </w:r>
            <w:r>
              <w:rPr>
                <w:rFonts w:hint="default" w:ascii="宋体" w:hAnsi="宋体" w:cs="仿宋"/>
                <w:color w:val="auto"/>
                <w:sz w:val="24"/>
                <w:szCs w:val="24"/>
                <w:highlight w:val="none"/>
                <w:lang w:val="en-US" w:eastAsia="zh-CN"/>
              </w:rPr>
              <w:t>，每有一个业绩得</w:t>
            </w:r>
            <w:r>
              <w:rPr>
                <w:rFonts w:hint="eastAsia" w:ascii="宋体" w:hAnsi="宋体" w:cs="仿宋"/>
                <w:color w:val="auto"/>
                <w:sz w:val="24"/>
                <w:szCs w:val="24"/>
                <w:highlight w:val="none"/>
                <w:lang w:val="en-US" w:eastAsia="zh-CN"/>
              </w:rPr>
              <w:t>2.5</w:t>
            </w:r>
            <w:r>
              <w:rPr>
                <w:rFonts w:hint="default" w:ascii="宋体" w:hAnsi="宋体" w:cs="仿宋"/>
                <w:color w:val="auto"/>
                <w:sz w:val="24"/>
                <w:szCs w:val="24"/>
                <w:highlight w:val="none"/>
                <w:lang w:val="en-US" w:eastAsia="zh-CN"/>
              </w:rPr>
              <w:t>分，最多得</w:t>
            </w:r>
            <w:r>
              <w:rPr>
                <w:rFonts w:hint="eastAsia" w:ascii="宋体" w:hAnsi="宋体" w:cs="仿宋"/>
                <w:color w:val="auto"/>
                <w:sz w:val="24"/>
                <w:szCs w:val="24"/>
                <w:highlight w:val="none"/>
                <w:lang w:val="en-US" w:eastAsia="zh-CN"/>
              </w:rPr>
              <w:t>5</w:t>
            </w:r>
            <w:r>
              <w:rPr>
                <w:rFonts w:hint="default" w:ascii="宋体" w:hAnsi="宋体" w:cs="仿宋"/>
                <w:color w:val="auto"/>
                <w:sz w:val="24"/>
                <w:szCs w:val="24"/>
                <w:highlight w:val="none"/>
                <w:lang w:val="en-US" w:eastAsia="zh-CN"/>
              </w:rPr>
              <w:t>分；具有承试业绩的得</w:t>
            </w:r>
            <w:r>
              <w:rPr>
                <w:rFonts w:hint="eastAsia" w:ascii="宋体" w:hAnsi="宋体" w:cs="仿宋"/>
                <w:color w:val="auto"/>
                <w:sz w:val="24"/>
                <w:szCs w:val="24"/>
                <w:highlight w:val="none"/>
                <w:lang w:val="en-US" w:eastAsia="zh-CN"/>
              </w:rPr>
              <w:t>2</w:t>
            </w:r>
            <w:r>
              <w:rPr>
                <w:rFonts w:hint="default" w:ascii="宋体" w:hAnsi="宋体" w:cs="仿宋"/>
                <w:color w:val="auto"/>
                <w:sz w:val="24"/>
                <w:szCs w:val="24"/>
                <w:highlight w:val="none"/>
                <w:lang w:val="en-US" w:eastAsia="zh-CN"/>
              </w:rPr>
              <w:t>分</w:t>
            </w:r>
            <w:r>
              <w:rPr>
                <w:rFonts w:hint="eastAsia" w:ascii="宋体" w:hAnsi="宋体" w:cs="仿宋"/>
                <w:color w:val="auto"/>
                <w:sz w:val="24"/>
                <w:szCs w:val="24"/>
                <w:highlight w:val="none"/>
                <w:lang w:val="en-US" w:eastAsia="zh-CN"/>
              </w:rPr>
              <w:t>；此项最多得7分</w:t>
            </w:r>
            <w:r>
              <w:rPr>
                <w:rFonts w:hint="default" w:ascii="宋体" w:hAnsi="宋体" w:cs="仿宋"/>
                <w:color w:val="auto"/>
                <w:sz w:val="24"/>
                <w:szCs w:val="24"/>
                <w:highlight w:val="none"/>
                <w:lang w:val="en-US" w:eastAsia="zh-CN"/>
              </w:rPr>
              <w:t>。</w:t>
            </w:r>
          </w:p>
        </w:tc>
        <w:tc>
          <w:tcPr>
            <w:tcW w:w="1644" w:type="dxa"/>
            <w:vAlign w:val="center"/>
          </w:tcPr>
          <w:p w14:paraId="2DD60DBF">
            <w:pPr>
              <w:shd w:val="clear"/>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提供合同（协议）复印件，加盖供应商公章。</w:t>
            </w:r>
          </w:p>
        </w:tc>
      </w:tr>
    </w:tbl>
    <w:p w14:paraId="4D546A76">
      <w:pPr>
        <w:shd w:val="clea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说明：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508BCE95">
      <w:pPr>
        <w:pStyle w:val="4"/>
        <w:numPr>
          <w:ilvl w:val="1"/>
          <w:numId w:val="0"/>
        </w:numPr>
        <w:shd w:val="clear"/>
        <w:adjustRightInd w:val="0"/>
        <w:snapToGrid w:val="0"/>
        <w:spacing w:line="400" w:lineRule="exact"/>
        <w:rPr>
          <w:rFonts w:ascii="宋体" w:hAnsi="宋体" w:eastAsia="宋体" w:cs="宋体"/>
          <w:b/>
          <w:bCs w:val="0"/>
          <w:color w:val="auto"/>
          <w:sz w:val="24"/>
          <w:highlight w:val="none"/>
        </w:rPr>
      </w:pPr>
      <w:bookmarkStart w:id="179" w:name="_Toc76462335"/>
      <w:bookmarkStart w:id="180" w:name="_Toc30217"/>
      <w:bookmarkStart w:id="181" w:name="_Toc106030890"/>
      <w:bookmarkStart w:id="182" w:name="_Toc27944"/>
      <w:bookmarkStart w:id="183" w:name="_Toc16319"/>
      <w:bookmarkStart w:id="184" w:name="_Toc22887"/>
      <w:bookmarkStart w:id="185" w:name="_Toc31691"/>
      <w:r>
        <w:rPr>
          <w:rFonts w:hint="eastAsia" w:ascii="宋体" w:hAnsi="宋体" w:eastAsia="宋体" w:cs="宋体"/>
          <w:b/>
          <w:bCs w:val="0"/>
          <w:color w:val="auto"/>
          <w:sz w:val="24"/>
          <w:highlight w:val="none"/>
        </w:rPr>
        <w:t>三、无效响应</w:t>
      </w:r>
      <w:bookmarkEnd w:id="179"/>
      <w:bookmarkEnd w:id="180"/>
      <w:bookmarkEnd w:id="181"/>
      <w:bookmarkEnd w:id="182"/>
      <w:bookmarkEnd w:id="183"/>
      <w:bookmarkEnd w:id="184"/>
      <w:bookmarkEnd w:id="185"/>
    </w:p>
    <w:p w14:paraId="16E51E35">
      <w:pPr>
        <w:shd w:val="clea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供应商发生以下条款情况之一者，视为无效响应，其响应文件将被拒绝：</w:t>
      </w:r>
    </w:p>
    <w:p w14:paraId="1587155C">
      <w:pPr>
        <w:shd w:val="clea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（一）供应商不符合规定的资格条件的；</w:t>
      </w:r>
    </w:p>
    <w:p w14:paraId="4918BEBB">
      <w:pPr>
        <w:shd w:val="clea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（二）供应商的法定代表人（或其授权代表）或自然人未参加磋商；</w:t>
      </w:r>
    </w:p>
    <w:p w14:paraId="32057680">
      <w:pPr>
        <w:shd w:val="clea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（三）供应商未在磋商保证金到账截止时间前足额交纳磋商保证金的；</w:t>
      </w:r>
    </w:p>
    <w:p w14:paraId="52DBAD6F">
      <w:pPr>
        <w:shd w:val="clea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（四）供应商所提交的响应文件不按“第七篇响应文件编制要求”要求签署或盖章；</w:t>
      </w:r>
    </w:p>
    <w:p w14:paraId="1EDE66DE">
      <w:pPr>
        <w:shd w:val="clea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（五）供应商的最后报价超过采购预算或最高限价的；</w:t>
      </w:r>
    </w:p>
    <w:p w14:paraId="0E02A9AC">
      <w:pPr>
        <w:shd w:val="clea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（六）法定代表人为同一个人的两个及两个以上法人，母公司、全资子公司及其控股公司，在同一包采购中同时参与磋商；</w:t>
      </w:r>
    </w:p>
    <w:p w14:paraId="688DB2D8">
      <w:pPr>
        <w:shd w:val="clea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（七）单位负责人为同一人或者存在直接控股、管理关系的不同供应商，参加同一合同项下的采购活动的；</w:t>
      </w:r>
    </w:p>
    <w:p w14:paraId="28BC6426">
      <w:pPr>
        <w:shd w:val="clea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（八）为采购项目提供整体设计、规范编制或者项目管理、监理、检测等服务的供应商，再参加该采购项目的其他采购活动；</w:t>
      </w:r>
    </w:p>
    <w:p w14:paraId="4A15AA95">
      <w:pPr>
        <w:shd w:val="clea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（九）供应商磋商有效期不满足竞争性磋商文件要求的；</w:t>
      </w:r>
    </w:p>
    <w:p w14:paraId="77CBE59E">
      <w:pPr>
        <w:shd w:val="clea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（十）供应商响应文件内容有与国家现行法律法规相违背的内容，或附有采购人无法接受的条件；</w:t>
      </w:r>
    </w:p>
    <w:p w14:paraId="19866A72">
      <w:pPr>
        <w:shd w:val="clea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（十一）法律、法规和竞争性磋商文件规定的其他无效情形。</w:t>
      </w:r>
    </w:p>
    <w:p w14:paraId="34B70374">
      <w:pPr>
        <w:pStyle w:val="4"/>
        <w:numPr>
          <w:ilvl w:val="1"/>
          <w:numId w:val="0"/>
        </w:numPr>
        <w:shd w:val="clear"/>
        <w:adjustRightInd w:val="0"/>
        <w:snapToGrid w:val="0"/>
        <w:spacing w:line="400" w:lineRule="exact"/>
        <w:rPr>
          <w:rFonts w:ascii="宋体" w:hAnsi="宋体" w:eastAsia="宋体" w:cs="宋体"/>
          <w:b/>
          <w:bCs w:val="0"/>
          <w:color w:val="auto"/>
          <w:sz w:val="24"/>
          <w:highlight w:val="none"/>
        </w:rPr>
      </w:pPr>
      <w:bookmarkStart w:id="186" w:name="_Toc3617"/>
      <w:bookmarkStart w:id="187" w:name="_Toc5552"/>
      <w:bookmarkStart w:id="188" w:name="_Toc25630"/>
      <w:bookmarkStart w:id="189" w:name="_Toc13735"/>
      <w:bookmarkStart w:id="190" w:name="_Toc106030891"/>
      <w:bookmarkStart w:id="191" w:name="_Toc76462336"/>
      <w:bookmarkStart w:id="192" w:name="_Toc13574"/>
      <w:r>
        <w:rPr>
          <w:rFonts w:hint="eastAsia" w:ascii="宋体" w:hAnsi="宋体" w:eastAsia="宋体" w:cs="宋体"/>
          <w:b/>
          <w:bCs w:val="0"/>
          <w:color w:val="auto"/>
          <w:sz w:val="24"/>
          <w:highlight w:val="none"/>
        </w:rPr>
        <w:t>四、</w:t>
      </w:r>
      <w:bookmarkEnd w:id="177"/>
      <w:bookmarkEnd w:id="178"/>
      <w:r>
        <w:rPr>
          <w:rFonts w:hint="eastAsia" w:ascii="宋体" w:hAnsi="宋体" w:eastAsia="宋体" w:cs="宋体"/>
          <w:b/>
          <w:bCs w:val="0"/>
          <w:color w:val="auto"/>
          <w:sz w:val="24"/>
          <w:highlight w:val="none"/>
        </w:rPr>
        <w:t>采购终止</w:t>
      </w:r>
      <w:bookmarkEnd w:id="186"/>
      <w:bookmarkEnd w:id="187"/>
      <w:bookmarkEnd w:id="188"/>
      <w:bookmarkEnd w:id="189"/>
      <w:bookmarkEnd w:id="190"/>
      <w:bookmarkEnd w:id="191"/>
      <w:bookmarkEnd w:id="192"/>
    </w:p>
    <w:p w14:paraId="5FF5C4B2">
      <w:pPr>
        <w:shd w:val="clea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出现下列情形之一的，采购人或者采购代理机构应当终止竞争性磋商采购活动，发布项目终止公告并说明原因，重新开展采购活动：</w:t>
      </w:r>
    </w:p>
    <w:p w14:paraId="33246819">
      <w:pPr>
        <w:shd w:val="clea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（一）因情况变化，不再符合规定的竞争性磋商采购方式适用情形的；</w:t>
      </w:r>
    </w:p>
    <w:p w14:paraId="37EE84B9">
      <w:pPr>
        <w:shd w:val="clea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（二）出现影响采购公正的违法、违规行为的；</w:t>
      </w:r>
    </w:p>
    <w:p w14:paraId="3AA12E2C">
      <w:pPr>
        <w:shd w:val="clea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（三）在采购过程中符合要求的供应商或者报价未超过采购预算的供应商不足3家的，但《政府采购竞争性磋商采购方式管理暂行办法》第二十一条第三款规定的情形除外。</w:t>
      </w:r>
    </w:p>
    <w:p w14:paraId="3215D23A">
      <w:pPr>
        <w:pStyle w:val="4"/>
        <w:pageBreakBefore/>
        <w:numPr>
          <w:ilvl w:val="1"/>
          <w:numId w:val="0"/>
        </w:numPr>
        <w:shd w:val="clear"/>
        <w:spacing w:line="360" w:lineRule="auto"/>
        <w:jc w:val="center"/>
        <w:rPr>
          <w:rFonts w:ascii="宋体" w:hAnsi="宋体" w:eastAsia="宋体" w:cs="宋体"/>
          <w:color w:val="auto"/>
          <w:sz w:val="36"/>
          <w:szCs w:val="30"/>
          <w:highlight w:val="none"/>
        </w:rPr>
      </w:pPr>
      <w:bookmarkStart w:id="193" w:name="_Toc76462337"/>
      <w:bookmarkStart w:id="194" w:name="_Toc6000"/>
      <w:bookmarkStart w:id="195" w:name="_Toc1323"/>
      <w:bookmarkStart w:id="196" w:name="_Toc15991"/>
      <w:bookmarkStart w:id="197" w:name="_Toc102227313"/>
      <w:bookmarkStart w:id="198" w:name="_Toc16007"/>
      <w:bookmarkStart w:id="199" w:name="_Toc11218"/>
      <w:bookmarkStart w:id="200" w:name="_Toc106030892"/>
      <w:r>
        <w:rPr>
          <w:rFonts w:hint="eastAsia" w:ascii="宋体" w:hAnsi="宋体" w:eastAsia="宋体" w:cs="宋体"/>
          <w:color w:val="auto"/>
          <w:sz w:val="36"/>
          <w:szCs w:val="30"/>
          <w:highlight w:val="none"/>
        </w:rPr>
        <w:t>第五篇  供应商须知</w:t>
      </w:r>
      <w:bookmarkEnd w:id="193"/>
      <w:bookmarkEnd w:id="194"/>
      <w:bookmarkEnd w:id="195"/>
      <w:bookmarkEnd w:id="196"/>
      <w:bookmarkEnd w:id="197"/>
      <w:bookmarkEnd w:id="198"/>
      <w:bookmarkEnd w:id="199"/>
      <w:bookmarkEnd w:id="200"/>
    </w:p>
    <w:p w14:paraId="641414E5">
      <w:pPr>
        <w:pStyle w:val="4"/>
        <w:numPr>
          <w:ilvl w:val="1"/>
          <w:numId w:val="0"/>
        </w:numPr>
        <w:shd w:val="clear"/>
        <w:adjustRightInd w:val="0"/>
        <w:snapToGrid w:val="0"/>
        <w:spacing w:line="400" w:lineRule="exact"/>
        <w:rPr>
          <w:rFonts w:ascii="宋体" w:hAnsi="宋体" w:eastAsia="宋体" w:cs="宋体"/>
          <w:b/>
          <w:bCs w:val="0"/>
          <w:color w:val="auto"/>
          <w:sz w:val="24"/>
          <w:highlight w:val="none"/>
        </w:rPr>
      </w:pPr>
      <w:bookmarkStart w:id="201" w:name="_Toc76462338"/>
      <w:bookmarkStart w:id="202" w:name="_Toc5729"/>
      <w:bookmarkStart w:id="203" w:name="_Toc2845"/>
      <w:bookmarkStart w:id="204" w:name="_Toc342913389"/>
      <w:bookmarkStart w:id="205" w:name="_Toc7210"/>
      <w:bookmarkStart w:id="206" w:name="_Toc30494"/>
      <w:bookmarkStart w:id="207" w:name="_Toc106030893"/>
      <w:bookmarkStart w:id="208" w:name="_Toc6124"/>
      <w:r>
        <w:rPr>
          <w:rFonts w:hint="eastAsia" w:ascii="宋体" w:hAnsi="宋体" w:eastAsia="宋体" w:cs="宋体"/>
          <w:b/>
          <w:bCs w:val="0"/>
          <w:color w:val="auto"/>
          <w:sz w:val="24"/>
          <w:highlight w:val="none"/>
        </w:rPr>
        <w:t>一、磋商费用</w:t>
      </w:r>
      <w:bookmarkEnd w:id="201"/>
      <w:bookmarkEnd w:id="202"/>
      <w:bookmarkEnd w:id="203"/>
      <w:bookmarkEnd w:id="204"/>
      <w:bookmarkEnd w:id="205"/>
      <w:bookmarkEnd w:id="206"/>
      <w:bookmarkEnd w:id="207"/>
      <w:bookmarkEnd w:id="208"/>
    </w:p>
    <w:p w14:paraId="582EC4EA">
      <w:pPr>
        <w:pStyle w:val="48"/>
        <w:shd w:val="clear"/>
        <w:spacing w:line="40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参与磋商的供应商应承担其编制响应文件与递交响应文件所涉及的一切费用，不论磋商结果如何，采购人和采购代理机构在任何情况下无义务也无责任承担这些费用。</w:t>
      </w:r>
    </w:p>
    <w:p w14:paraId="2255A959">
      <w:pPr>
        <w:pStyle w:val="4"/>
        <w:numPr>
          <w:ilvl w:val="1"/>
          <w:numId w:val="0"/>
        </w:numPr>
        <w:shd w:val="clear"/>
        <w:adjustRightInd w:val="0"/>
        <w:snapToGrid w:val="0"/>
        <w:spacing w:line="400" w:lineRule="exact"/>
        <w:rPr>
          <w:rFonts w:ascii="宋体" w:hAnsi="宋体" w:eastAsia="宋体" w:cs="宋体"/>
          <w:b/>
          <w:bCs w:val="0"/>
          <w:color w:val="auto"/>
          <w:sz w:val="24"/>
          <w:highlight w:val="none"/>
        </w:rPr>
      </w:pPr>
      <w:bookmarkStart w:id="209" w:name="_Toc106030894"/>
      <w:bookmarkStart w:id="210" w:name="_Toc3616"/>
      <w:bookmarkStart w:id="211" w:name="_Toc342913391"/>
      <w:bookmarkStart w:id="212" w:name="_Toc11583"/>
      <w:bookmarkStart w:id="213" w:name="_Toc76462339"/>
      <w:bookmarkStart w:id="214" w:name="_Toc2220"/>
      <w:bookmarkStart w:id="215" w:name="_Toc31325"/>
      <w:bookmarkStart w:id="216" w:name="_Toc26129"/>
      <w:r>
        <w:rPr>
          <w:rFonts w:hint="eastAsia" w:ascii="宋体" w:hAnsi="宋体" w:eastAsia="宋体" w:cs="宋体"/>
          <w:b/>
          <w:bCs w:val="0"/>
          <w:color w:val="auto"/>
          <w:sz w:val="24"/>
          <w:highlight w:val="none"/>
        </w:rPr>
        <w:t>二、竞争性磋商文件</w:t>
      </w:r>
      <w:bookmarkEnd w:id="209"/>
      <w:bookmarkEnd w:id="210"/>
      <w:bookmarkEnd w:id="211"/>
      <w:bookmarkEnd w:id="212"/>
      <w:bookmarkEnd w:id="213"/>
      <w:bookmarkEnd w:id="214"/>
      <w:bookmarkEnd w:id="215"/>
      <w:bookmarkEnd w:id="216"/>
    </w:p>
    <w:p w14:paraId="444CCE1B">
      <w:pPr>
        <w:shd w:val="clea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（一）竞争性磋商文件由采购邀请书、项目服务需求、项目商务需求、磋商程序及方法、评审标准、无效响应和采购终止、供应商须知</w:t>
      </w:r>
      <w:r>
        <w:rPr>
          <w:rFonts w:hint="eastAsia" w:ascii="宋体" w:hAnsi="宋体" w:cs="宋体"/>
          <w:b/>
          <w:color w:val="auto"/>
          <w:sz w:val="24"/>
          <w:szCs w:val="24"/>
          <w:highlight w:val="none"/>
        </w:rPr>
        <w:t>、</w:t>
      </w:r>
      <w:r>
        <w:rPr>
          <w:rFonts w:hint="eastAsia" w:ascii="宋体" w:hAnsi="宋体" w:cs="宋体"/>
          <w:color w:val="auto"/>
          <w:sz w:val="24"/>
          <w:szCs w:val="24"/>
          <w:highlight w:val="none"/>
        </w:rPr>
        <w:t>采购合同</w:t>
      </w:r>
      <w:r>
        <w:rPr>
          <w:rFonts w:hint="eastAsia" w:ascii="宋体" w:hAnsi="宋体" w:cs="宋体"/>
          <w:b/>
          <w:color w:val="auto"/>
          <w:sz w:val="24"/>
          <w:szCs w:val="24"/>
          <w:highlight w:val="none"/>
        </w:rPr>
        <w:t>、</w:t>
      </w:r>
      <w:r>
        <w:rPr>
          <w:rFonts w:hint="eastAsia" w:ascii="宋体" w:hAnsi="宋体" w:cs="宋体"/>
          <w:color w:val="auto"/>
          <w:sz w:val="24"/>
          <w:szCs w:val="24"/>
          <w:highlight w:val="none"/>
        </w:rPr>
        <w:t>响应文件编制要求七部分组成。</w:t>
      </w:r>
    </w:p>
    <w:p w14:paraId="162CE3BE">
      <w:pPr>
        <w:shd w:val="clea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（二）采购人（或采购代理机构）所作的一切有效的书面通知、修改及补充，都是竞争性磋商文件不可分割的部分。</w:t>
      </w:r>
    </w:p>
    <w:p w14:paraId="3AC38EF5">
      <w:pPr>
        <w:shd w:val="clea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（三）竞争性磋商文件的解释</w:t>
      </w:r>
    </w:p>
    <w:p w14:paraId="5718E936">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217" w:name="_Toc318159349"/>
      <w:bookmarkStart w:id="218" w:name="_Toc318159160"/>
      <w:bookmarkStart w:id="219" w:name="_Toc318159780"/>
      <w:bookmarkStart w:id="220" w:name="_Toc318166429"/>
    </w:p>
    <w:p w14:paraId="03531726">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（四）本竞争性磋商文件中，磋商小组根据与供应商进行磋商可能实质性变动的内容为竞争性磋商文件第二、三、六篇全部内容。</w:t>
      </w:r>
    </w:p>
    <w:p w14:paraId="1D21EAF5">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（五）评审的依据为竞争性磋商文件和响应文件（含有效的书面承诺）。磋商小组判断响应文件对竞争性磋商文件的响应，仅基于响应文件本身而不靠外部证据。</w:t>
      </w:r>
    </w:p>
    <w:bookmarkEnd w:id="217"/>
    <w:bookmarkEnd w:id="218"/>
    <w:bookmarkEnd w:id="219"/>
    <w:bookmarkEnd w:id="220"/>
    <w:p w14:paraId="55607D6C">
      <w:pPr>
        <w:pStyle w:val="4"/>
        <w:numPr>
          <w:ilvl w:val="1"/>
          <w:numId w:val="0"/>
        </w:numPr>
        <w:shd w:val="clear"/>
        <w:adjustRightInd w:val="0"/>
        <w:snapToGrid w:val="0"/>
        <w:spacing w:line="400" w:lineRule="exact"/>
        <w:rPr>
          <w:rFonts w:ascii="宋体" w:hAnsi="宋体" w:eastAsia="宋体" w:cs="宋体"/>
          <w:b/>
          <w:bCs w:val="0"/>
          <w:color w:val="auto"/>
          <w:sz w:val="24"/>
          <w:highlight w:val="none"/>
        </w:rPr>
      </w:pPr>
      <w:bookmarkStart w:id="221" w:name="_Toc29539"/>
      <w:bookmarkStart w:id="222" w:name="_Toc102227318"/>
      <w:bookmarkStart w:id="223" w:name="_Toc5211"/>
      <w:bookmarkStart w:id="224" w:name="_Toc342913392"/>
      <w:bookmarkStart w:id="225" w:name="_Toc18762"/>
      <w:bookmarkStart w:id="226" w:name="_Toc13367"/>
      <w:bookmarkStart w:id="227" w:name="_Toc18703"/>
      <w:bookmarkStart w:id="228" w:name="_Toc179714297"/>
      <w:bookmarkStart w:id="229" w:name="_Toc106030895"/>
      <w:bookmarkStart w:id="230" w:name="_Toc76462340"/>
      <w:r>
        <w:rPr>
          <w:rFonts w:hint="eastAsia" w:ascii="宋体" w:hAnsi="宋体" w:eastAsia="宋体" w:cs="宋体"/>
          <w:b/>
          <w:bCs w:val="0"/>
          <w:color w:val="auto"/>
          <w:sz w:val="24"/>
          <w:highlight w:val="none"/>
        </w:rPr>
        <w:t>三、磋商要求</w:t>
      </w:r>
      <w:bookmarkEnd w:id="221"/>
      <w:bookmarkEnd w:id="222"/>
      <w:bookmarkEnd w:id="223"/>
      <w:bookmarkEnd w:id="224"/>
      <w:bookmarkEnd w:id="225"/>
      <w:bookmarkEnd w:id="226"/>
      <w:bookmarkEnd w:id="227"/>
      <w:bookmarkEnd w:id="228"/>
      <w:bookmarkEnd w:id="229"/>
      <w:bookmarkEnd w:id="230"/>
    </w:p>
    <w:p w14:paraId="174EF35B">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（一）响应文件</w:t>
      </w:r>
    </w:p>
    <w:p w14:paraId="18607E2D">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14:paraId="686F8E46">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2.响应文件组成</w:t>
      </w:r>
    </w:p>
    <w:p w14:paraId="6E98CF23">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6EEE7702">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（二）本项目不接受联合体。</w:t>
      </w:r>
    </w:p>
    <w:p w14:paraId="337A3B0B">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（三）磋商有效期：响应文件及有关承诺文件有效期为提交响应文件截止时间起90天。</w:t>
      </w:r>
    </w:p>
    <w:p w14:paraId="2AEF2EE4">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（四）磋商保证金：</w:t>
      </w:r>
    </w:p>
    <w:p w14:paraId="73E5B231">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1.供应商提交磋商保证金金额和方式详见“第一篇  五、磋商保证金”；</w:t>
      </w:r>
    </w:p>
    <w:p w14:paraId="0707364B">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2.发生以下情况之一者，磋商保证金不予退还：</w:t>
      </w:r>
    </w:p>
    <w:p w14:paraId="23867080">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2.1供应商在提交响应文件截止时间后撤回响应文件的；</w:t>
      </w:r>
    </w:p>
    <w:p w14:paraId="50A748CB">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2.2供应商在响应文件中提供虚假材料的；</w:t>
      </w:r>
    </w:p>
    <w:p w14:paraId="6C6742A0">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2.3除因不可抗力或竞争性磋商文件认可的情形以外，成交供应商不与采购人签订合同的；</w:t>
      </w:r>
    </w:p>
    <w:p w14:paraId="703231DE">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2.4供应商与采购人、其他供应商或者采购代理机构恶意串通的。</w:t>
      </w:r>
    </w:p>
    <w:p w14:paraId="52660CEF">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（五）修正错误</w:t>
      </w:r>
    </w:p>
    <w:p w14:paraId="429F4D89">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1.若供应商所递交的响应文件或最后报价中的价格出现大写金额和小写金额不一致的错误，以大写金额修正为准。</w:t>
      </w:r>
    </w:p>
    <w:p w14:paraId="2C7BCBF3">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2.磋商小组按上述修正错误的原则及方法修正供应商的报价，供应商同意并签字确认后，修正后的报价对供应商具有约束作用。如果供应商不接受修正后的价格，将失去成为成交供应商的资格。</w:t>
      </w:r>
    </w:p>
    <w:p w14:paraId="04955906">
      <w:pPr>
        <w:shd w:val="clea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（六）提交响应文件的份数和签署</w:t>
      </w:r>
    </w:p>
    <w:p w14:paraId="1BDD0B7D">
      <w:pPr>
        <w:shd w:val="clea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75840403">
      <w:pPr>
        <w:shd w:val="clea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highlight w:val="none"/>
        </w:rPr>
        <w:t>响应文件按竞争性磋商文件“第七篇响应文件编制要求”要求签署或盖章。</w:t>
      </w:r>
    </w:p>
    <w:p w14:paraId="056E41B6">
      <w:pPr>
        <w:shd w:val="clea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（七）响应文件的递交</w:t>
      </w:r>
    </w:p>
    <w:p w14:paraId="005396AE">
      <w:pPr>
        <w:pStyle w:val="19"/>
        <w:shd w:val="clear"/>
        <w:spacing w:line="400" w:lineRule="exact"/>
        <w:ind w:firstLine="480" w:firstLineChars="200"/>
        <w:rPr>
          <w:rFonts w:hAnsi="宋体" w:cs="宋体"/>
          <w:color w:val="auto"/>
          <w:sz w:val="24"/>
          <w:highlight w:val="none"/>
        </w:rPr>
      </w:pPr>
      <w:r>
        <w:rPr>
          <w:rFonts w:hint="eastAsia" w:hAnsi="宋体" w:cs="宋体"/>
          <w:color w:val="auto"/>
          <w:sz w:val="24"/>
          <w:highlight w:val="none"/>
        </w:rPr>
        <w:t>响应文件的正本、副本以及电子文档均应密封送达磋商地点，应在封套上注明磋商项目名称、供应商名称。若正本、副本以及电子文档分别进行密封的，还应在封套上注明“正本”、“副本”、“电子文档”字样。</w:t>
      </w:r>
    </w:p>
    <w:p w14:paraId="1210E1C3">
      <w:pPr>
        <w:shd w:val="clea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（八）供应商参与人员</w:t>
      </w:r>
    </w:p>
    <w:p w14:paraId="1B052B9E">
      <w:pPr>
        <w:shd w:val="clea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各个供应商应当派1-2名代表参与磋商，至少1人应为法定代表人（或其授权代表）或自然人（供应商为自然人）。</w:t>
      </w:r>
    </w:p>
    <w:p w14:paraId="3615A57A">
      <w:pPr>
        <w:pStyle w:val="4"/>
        <w:numPr>
          <w:ilvl w:val="1"/>
          <w:numId w:val="0"/>
        </w:numPr>
        <w:shd w:val="clear"/>
        <w:adjustRightInd w:val="0"/>
        <w:snapToGrid w:val="0"/>
        <w:spacing w:line="400" w:lineRule="exact"/>
        <w:rPr>
          <w:rFonts w:ascii="宋体" w:hAnsi="宋体" w:eastAsia="宋体" w:cs="宋体"/>
          <w:b/>
          <w:bCs w:val="0"/>
          <w:color w:val="auto"/>
          <w:sz w:val="24"/>
          <w:highlight w:val="none"/>
        </w:rPr>
      </w:pPr>
      <w:bookmarkStart w:id="231" w:name="_Toc28720"/>
      <w:bookmarkStart w:id="232" w:name="_Toc106030896"/>
      <w:bookmarkStart w:id="233" w:name="_Toc31879"/>
      <w:bookmarkStart w:id="234" w:name="_Toc76462341"/>
      <w:bookmarkStart w:id="235" w:name="_Toc528"/>
      <w:bookmarkStart w:id="236" w:name="_Toc4494"/>
      <w:bookmarkStart w:id="237" w:name="_Toc3865"/>
      <w:r>
        <w:rPr>
          <w:rFonts w:hint="eastAsia" w:ascii="宋体" w:hAnsi="宋体" w:eastAsia="宋体" w:cs="宋体"/>
          <w:b/>
          <w:bCs w:val="0"/>
          <w:color w:val="auto"/>
          <w:sz w:val="24"/>
          <w:highlight w:val="none"/>
        </w:rPr>
        <w:t>四、成交供应商的确认和变更</w:t>
      </w:r>
      <w:bookmarkEnd w:id="231"/>
      <w:bookmarkEnd w:id="232"/>
      <w:bookmarkEnd w:id="233"/>
      <w:bookmarkEnd w:id="234"/>
      <w:bookmarkEnd w:id="235"/>
      <w:bookmarkEnd w:id="236"/>
      <w:bookmarkEnd w:id="237"/>
    </w:p>
    <w:p w14:paraId="1717A604">
      <w:pPr>
        <w:shd w:val="clear"/>
        <w:snapToGrid w:val="0"/>
        <w:spacing w:line="400" w:lineRule="exact"/>
        <w:ind w:firstLine="480" w:firstLineChars="200"/>
        <w:outlineLvl w:val="2"/>
        <w:rPr>
          <w:rFonts w:ascii="宋体" w:hAnsi="宋体" w:cs="宋体"/>
          <w:color w:val="auto"/>
          <w:sz w:val="24"/>
          <w:szCs w:val="24"/>
          <w:highlight w:val="none"/>
        </w:rPr>
      </w:pPr>
      <w:bookmarkStart w:id="238" w:name="_Toc8871"/>
      <w:r>
        <w:rPr>
          <w:rFonts w:hint="eastAsia" w:ascii="宋体" w:hAnsi="宋体" w:cs="宋体"/>
          <w:color w:val="auto"/>
          <w:sz w:val="24"/>
          <w:szCs w:val="24"/>
          <w:highlight w:val="none"/>
        </w:rPr>
        <w:t>（一）成交供应商的确认</w:t>
      </w:r>
      <w:bookmarkEnd w:id="238"/>
    </w:p>
    <w:p w14:paraId="6F50665B">
      <w:pPr>
        <w:shd w:val="clea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采购代理机构应当在评审结束后2个工作日内将评审报告送采购人确认。采购人应当在收到评审报告后5个工作日内，从评审报告提出的成交候选供应商中，按照评审得分排序由高到低的原则确定成交供应商，也可以书面授权磋商小组直接确定成交供应商。采购人逾期未确定成交供应商且不提出异议的，视为确定评审报告提出的排序第一的供应商为成交供应商。</w:t>
      </w:r>
    </w:p>
    <w:p w14:paraId="255A18A0">
      <w:pPr>
        <w:shd w:val="clear"/>
        <w:snapToGrid w:val="0"/>
        <w:spacing w:line="400" w:lineRule="exact"/>
        <w:ind w:firstLine="480" w:firstLineChars="200"/>
        <w:outlineLvl w:val="2"/>
        <w:rPr>
          <w:rFonts w:ascii="宋体" w:hAnsi="宋体" w:cs="宋体"/>
          <w:color w:val="auto"/>
          <w:sz w:val="24"/>
          <w:szCs w:val="24"/>
          <w:highlight w:val="none"/>
        </w:rPr>
      </w:pPr>
      <w:bookmarkStart w:id="239" w:name="_Toc19256"/>
      <w:r>
        <w:rPr>
          <w:rFonts w:hint="eastAsia" w:ascii="宋体" w:hAnsi="宋体" w:cs="宋体"/>
          <w:color w:val="auto"/>
          <w:sz w:val="24"/>
          <w:szCs w:val="24"/>
          <w:highlight w:val="none"/>
        </w:rPr>
        <w:t>（二）成交供应商的变更</w:t>
      </w:r>
      <w:bookmarkEnd w:id="239"/>
    </w:p>
    <w:p w14:paraId="3AF78FE3">
      <w:pPr>
        <w:shd w:val="clea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rPr>
        <w:t>成交供应商拒绝与采购人签订合同的，采购人可以按照评标报告推荐的成交候选供应商顺序，确定排名下一位的候选人为成交供应商，也可以重新开展采购活动。</w:t>
      </w:r>
    </w:p>
    <w:p w14:paraId="1F09B929">
      <w:pPr>
        <w:pStyle w:val="4"/>
        <w:numPr>
          <w:ilvl w:val="1"/>
          <w:numId w:val="0"/>
        </w:numPr>
        <w:shd w:val="clear"/>
        <w:adjustRightInd w:val="0"/>
        <w:snapToGrid w:val="0"/>
        <w:spacing w:line="400" w:lineRule="exact"/>
        <w:rPr>
          <w:rFonts w:ascii="宋体" w:hAnsi="宋体" w:eastAsia="宋体" w:cs="宋体"/>
          <w:b/>
          <w:bCs w:val="0"/>
          <w:color w:val="auto"/>
          <w:sz w:val="24"/>
          <w:highlight w:val="none"/>
        </w:rPr>
      </w:pPr>
      <w:bookmarkStart w:id="240" w:name="_Toc5724"/>
      <w:bookmarkStart w:id="241" w:name="_Toc8696"/>
      <w:bookmarkStart w:id="242" w:name="_Toc4011"/>
      <w:bookmarkStart w:id="243" w:name="_Toc106030897"/>
      <w:bookmarkStart w:id="244" w:name="_Toc102227321"/>
      <w:bookmarkStart w:id="245" w:name="_Toc76462342"/>
      <w:bookmarkStart w:id="246" w:name="_Toc342913395"/>
      <w:bookmarkStart w:id="247" w:name="_Toc23535"/>
      <w:bookmarkStart w:id="248" w:name="_Toc13561"/>
      <w:r>
        <w:rPr>
          <w:rFonts w:hint="eastAsia" w:ascii="宋体" w:hAnsi="宋体" w:eastAsia="宋体" w:cs="宋体"/>
          <w:b/>
          <w:bCs w:val="0"/>
          <w:color w:val="auto"/>
          <w:sz w:val="24"/>
          <w:highlight w:val="none"/>
        </w:rPr>
        <w:t>五、成交通知</w:t>
      </w:r>
      <w:bookmarkEnd w:id="240"/>
      <w:bookmarkEnd w:id="241"/>
      <w:bookmarkEnd w:id="242"/>
      <w:bookmarkEnd w:id="243"/>
      <w:bookmarkEnd w:id="244"/>
      <w:bookmarkEnd w:id="245"/>
      <w:bookmarkEnd w:id="246"/>
      <w:bookmarkEnd w:id="247"/>
      <w:bookmarkEnd w:id="248"/>
    </w:p>
    <w:p w14:paraId="32E6B16A">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（一）成交供应商确定后，采购代理机构将在“行采家”（ https://www.gec123.com/）上发布成交结果公告。</w:t>
      </w:r>
    </w:p>
    <w:p w14:paraId="6514EA25">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（二）结果公告发出同时，采购代理机构将以书面形式发出《成交通知书》。《成交通知书》一经发出即发生法律效力。</w:t>
      </w:r>
    </w:p>
    <w:p w14:paraId="4D9C046C">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（三）《成交通知书》将作为签订合同的依据。</w:t>
      </w:r>
    </w:p>
    <w:p w14:paraId="7436B858">
      <w:pPr>
        <w:pStyle w:val="4"/>
        <w:numPr>
          <w:ilvl w:val="1"/>
          <w:numId w:val="0"/>
        </w:numPr>
        <w:shd w:val="clear"/>
        <w:adjustRightInd w:val="0"/>
        <w:snapToGrid w:val="0"/>
        <w:spacing w:line="400" w:lineRule="exact"/>
        <w:rPr>
          <w:rFonts w:ascii="宋体" w:hAnsi="宋体" w:eastAsia="宋体" w:cs="宋体"/>
          <w:b/>
          <w:bCs w:val="0"/>
          <w:color w:val="auto"/>
          <w:sz w:val="24"/>
          <w:highlight w:val="none"/>
        </w:rPr>
      </w:pPr>
      <w:bookmarkStart w:id="249" w:name="_Toc76462343"/>
      <w:bookmarkStart w:id="250" w:name="_Toc18788"/>
      <w:bookmarkStart w:id="251" w:name="_Toc1763"/>
      <w:bookmarkStart w:id="252" w:name="_Toc7701"/>
      <w:bookmarkStart w:id="253" w:name="_Toc106030898"/>
      <w:bookmarkStart w:id="254" w:name="_Toc19518"/>
      <w:bookmarkStart w:id="255" w:name="_Toc20100"/>
      <w:r>
        <w:rPr>
          <w:rFonts w:hint="eastAsia" w:ascii="宋体" w:hAnsi="宋体" w:eastAsia="宋体" w:cs="宋体"/>
          <w:b/>
          <w:bCs w:val="0"/>
          <w:color w:val="auto"/>
          <w:sz w:val="24"/>
          <w:highlight w:val="none"/>
        </w:rPr>
        <w:t>六、关于质疑和投诉</w:t>
      </w:r>
      <w:bookmarkEnd w:id="249"/>
      <w:bookmarkEnd w:id="250"/>
      <w:bookmarkEnd w:id="251"/>
      <w:bookmarkEnd w:id="252"/>
      <w:bookmarkEnd w:id="253"/>
      <w:bookmarkEnd w:id="254"/>
      <w:bookmarkEnd w:id="255"/>
    </w:p>
    <w:p w14:paraId="5086B754">
      <w:pPr>
        <w:shd w:val="clear"/>
        <w:spacing w:line="400" w:lineRule="exact"/>
        <w:ind w:firstLine="480" w:firstLineChars="200"/>
        <w:outlineLvl w:val="2"/>
        <w:rPr>
          <w:rFonts w:ascii="宋体" w:hAnsi="宋体" w:cs="宋体"/>
          <w:color w:val="auto"/>
          <w:sz w:val="24"/>
          <w:szCs w:val="24"/>
          <w:highlight w:val="none"/>
        </w:rPr>
      </w:pPr>
      <w:bookmarkStart w:id="256" w:name="_Toc5011"/>
      <w:r>
        <w:rPr>
          <w:rFonts w:hint="eastAsia" w:ascii="宋体" w:hAnsi="宋体" w:cs="宋体"/>
          <w:color w:val="auto"/>
          <w:sz w:val="24"/>
          <w:szCs w:val="24"/>
          <w:highlight w:val="none"/>
        </w:rPr>
        <w:t>（一）质疑</w:t>
      </w:r>
      <w:bookmarkEnd w:id="256"/>
    </w:p>
    <w:p w14:paraId="69CE57C4">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供应商认为采购文件、采购过程和成交结果使自己的权益受到伤害的，可向采购人或采购代理机构以书面形式提出质疑。</w:t>
      </w:r>
    </w:p>
    <w:p w14:paraId="5711E452">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提出质疑的应当是参与所质疑项目采购活动的供应商。 </w:t>
      </w:r>
    </w:p>
    <w:p w14:paraId="6BB252C2">
      <w:pPr>
        <w:shd w:val="clear"/>
        <w:spacing w:line="400" w:lineRule="exact"/>
        <w:ind w:right="12" w:firstLine="480"/>
        <w:outlineLvl w:val="2"/>
        <w:rPr>
          <w:rFonts w:ascii="宋体" w:hAnsi="宋体" w:cs="宋体"/>
          <w:color w:val="auto"/>
          <w:sz w:val="24"/>
          <w:highlight w:val="none"/>
        </w:rPr>
      </w:pPr>
      <w:bookmarkStart w:id="257" w:name="_Toc29896"/>
      <w:r>
        <w:rPr>
          <w:rFonts w:hint="eastAsia" w:ascii="宋体" w:hAnsi="宋体" w:cs="宋体"/>
          <w:color w:val="auto"/>
          <w:sz w:val="24"/>
          <w:highlight w:val="none"/>
        </w:rPr>
        <w:t>1.质疑时限、内容</w:t>
      </w:r>
      <w:bookmarkEnd w:id="257"/>
    </w:p>
    <w:p w14:paraId="29A3236D">
      <w:pPr>
        <w:shd w:val="clea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供应商认为采购文件、采购过程、成交结果使自己的权益受到损害的，可以在知道或者应知其权益受到损害之日起7个工作日内，以书面形式向采购人、采购代理机构提出质疑。</w:t>
      </w:r>
    </w:p>
    <w:p w14:paraId="4F9D9811">
      <w:pPr>
        <w:shd w:val="clea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1.2供应商提出质疑应当提交质疑函和必要的证明材料，质疑函应当包括下列内容：</w:t>
      </w:r>
    </w:p>
    <w:p w14:paraId="6C91E15B">
      <w:pPr>
        <w:shd w:val="clea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1.2.1供应商的姓名或者名称、地址、邮编、联系人及联系电话；</w:t>
      </w:r>
    </w:p>
    <w:p w14:paraId="4D72F2AC">
      <w:pPr>
        <w:shd w:val="clea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1.2.2质疑项目的名称、项目号以及采购执行编号；</w:t>
      </w:r>
    </w:p>
    <w:p w14:paraId="36F1C146">
      <w:pPr>
        <w:shd w:val="clea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1.2.3具体、明确的质疑事项和与质疑事项相关的请求；</w:t>
      </w:r>
    </w:p>
    <w:p w14:paraId="679FCA00">
      <w:pPr>
        <w:shd w:val="clea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1.2.4事实依据；</w:t>
      </w:r>
    </w:p>
    <w:p w14:paraId="4EB0AB69">
      <w:pPr>
        <w:shd w:val="clea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1.2.5必要的法律依据；</w:t>
      </w:r>
    </w:p>
    <w:p w14:paraId="60F679AB">
      <w:pPr>
        <w:shd w:val="clea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1.2.6提出质疑的日期；</w:t>
      </w:r>
    </w:p>
    <w:p w14:paraId="34AA5975">
      <w:pPr>
        <w:shd w:val="clea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1.2.7营业执照（或事业单位法人证书，或个体工商户营业执照或有效的自然人身份证明）复印件；</w:t>
      </w:r>
    </w:p>
    <w:p w14:paraId="03F66587">
      <w:pPr>
        <w:shd w:val="clea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1.2.8法定代表人授权委托书原件、法定代表人身份证复印件和其授权代表的身份证复印件（供应商为自然人的提供自然人身份证复印件）；</w:t>
      </w:r>
    </w:p>
    <w:p w14:paraId="5FE9402D">
      <w:pPr>
        <w:shd w:val="clea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1.3供应商为自然人的，质疑函应当由本人签字；供应商为法人或者其他组织的，质疑函应当由法定代表人、主要负责人，或者其授权代表签字或者盖章，并加盖公章。</w:t>
      </w:r>
    </w:p>
    <w:p w14:paraId="37FEF7B0">
      <w:pPr>
        <w:shd w:val="clear"/>
        <w:spacing w:line="400" w:lineRule="exact"/>
        <w:ind w:right="12" w:firstLine="480"/>
        <w:outlineLvl w:val="2"/>
        <w:rPr>
          <w:rFonts w:ascii="宋体" w:hAnsi="宋体" w:cs="宋体"/>
          <w:color w:val="auto"/>
          <w:sz w:val="24"/>
          <w:highlight w:val="none"/>
        </w:rPr>
      </w:pPr>
      <w:bookmarkStart w:id="258" w:name="_Toc20110"/>
      <w:r>
        <w:rPr>
          <w:rFonts w:hint="eastAsia" w:ascii="宋体" w:hAnsi="宋体" w:cs="宋体"/>
          <w:color w:val="auto"/>
          <w:sz w:val="24"/>
          <w:highlight w:val="none"/>
        </w:rPr>
        <w:t>2.质疑答复</w:t>
      </w:r>
      <w:bookmarkEnd w:id="258"/>
    </w:p>
    <w:p w14:paraId="0D9D49C2">
      <w:pPr>
        <w:shd w:val="clea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采购人、采购代理机构应当在收到供应商的书面质疑后七个工作日内作出答复，并以书面形式通知质疑供应商和其他有关供应商。</w:t>
      </w:r>
    </w:p>
    <w:p w14:paraId="5286EB69">
      <w:pPr>
        <w:shd w:val="clear"/>
        <w:spacing w:line="400" w:lineRule="exact"/>
        <w:ind w:right="12" w:firstLine="480"/>
        <w:outlineLvl w:val="2"/>
        <w:rPr>
          <w:rFonts w:ascii="宋体" w:hAnsi="宋体" w:cs="宋体"/>
          <w:color w:val="auto"/>
          <w:sz w:val="24"/>
          <w:highlight w:val="none"/>
        </w:rPr>
      </w:pPr>
      <w:bookmarkStart w:id="259" w:name="_Toc16825"/>
      <w:r>
        <w:rPr>
          <w:rFonts w:hint="eastAsia" w:ascii="宋体" w:hAnsi="宋体" w:cs="宋体"/>
          <w:color w:val="auto"/>
          <w:sz w:val="24"/>
          <w:highlight w:val="none"/>
        </w:rPr>
        <w:t>3.其他</w:t>
      </w:r>
      <w:bookmarkEnd w:id="259"/>
    </w:p>
    <w:p w14:paraId="3EA6440C">
      <w:pPr>
        <w:shd w:val="clea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3.1供应商应按照《政府采购质疑和投诉办法》（财政部令第94号）及相关法律法规要求，在法定质疑期内一次性提出针对同一采购程序环节的质疑。</w:t>
      </w:r>
    </w:p>
    <w:p w14:paraId="6291443D">
      <w:pPr>
        <w:shd w:val="clea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3.2质疑函范本可在财政部门户网站和中国政府采购网下载。</w:t>
      </w:r>
    </w:p>
    <w:p w14:paraId="60193BF8">
      <w:pPr>
        <w:shd w:val="clear"/>
        <w:spacing w:line="400" w:lineRule="exact"/>
        <w:ind w:right="12" w:firstLine="480"/>
        <w:outlineLvl w:val="2"/>
        <w:rPr>
          <w:rFonts w:ascii="宋体" w:hAnsi="宋体" w:cs="宋体"/>
          <w:color w:val="auto"/>
          <w:sz w:val="24"/>
          <w:highlight w:val="none"/>
        </w:rPr>
      </w:pPr>
      <w:bookmarkStart w:id="260" w:name="_Toc15539"/>
      <w:r>
        <w:rPr>
          <w:rFonts w:hint="eastAsia" w:ascii="宋体" w:hAnsi="宋体" w:cs="宋体"/>
          <w:color w:val="auto"/>
          <w:sz w:val="24"/>
          <w:highlight w:val="none"/>
        </w:rPr>
        <w:t>（二）投诉</w:t>
      </w:r>
      <w:bookmarkEnd w:id="260"/>
    </w:p>
    <w:p w14:paraId="34D1CA77">
      <w:pPr>
        <w:shd w:val="clea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1.供应商对采购人、采购代理机构的答复不满意，或者采购人、采购代理机构未在规定时间内作出答复的，可以在答复期满后15个工作日内按照相关法律法规向采购人监督部门提起投诉。</w:t>
      </w:r>
    </w:p>
    <w:p w14:paraId="04FFEB3A">
      <w:pPr>
        <w:shd w:val="clea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2.供应商应按照《政府采购质疑和投诉办法》（财政部令第94号）及相关法律法规要求递交投诉书和必要的证明材料。投诉书范本可在财政部门户网站和中国政府采购网下载。</w:t>
      </w:r>
    </w:p>
    <w:p w14:paraId="13EC3816">
      <w:pPr>
        <w:shd w:val="clea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3.投诉书应当使用中文，相关当事人提供外文书证或者外国语视听资料的，应当附有中文译本，由翻译机构盖章或者翻译人员签名；相关当事人向采购人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48A0B276">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rPr>
        <w:t>4.在确定受理投诉后，采购人监督部门自受理投诉之日起30个工作日内（需要检验、检测、鉴定、专家评审以及需要投诉人补正材料的，所需时间不计算在投诉处理期限内）对投诉事项做出处理决定。</w:t>
      </w:r>
    </w:p>
    <w:p w14:paraId="24EB8DFD">
      <w:pPr>
        <w:pStyle w:val="4"/>
        <w:numPr>
          <w:ilvl w:val="1"/>
          <w:numId w:val="0"/>
        </w:numPr>
        <w:shd w:val="clear"/>
        <w:adjustRightInd w:val="0"/>
        <w:snapToGrid w:val="0"/>
        <w:spacing w:line="400" w:lineRule="exact"/>
        <w:rPr>
          <w:rFonts w:ascii="宋体" w:hAnsi="宋体" w:eastAsia="宋体" w:cs="宋体"/>
          <w:b/>
          <w:bCs w:val="0"/>
          <w:color w:val="auto"/>
          <w:sz w:val="24"/>
          <w:highlight w:val="none"/>
        </w:rPr>
      </w:pPr>
      <w:bookmarkStart w:id="261" w:name="_Toc3206"/>
      <w:bookmarkStart w:id="262" w:name="_Toc18992"/>
      <w:bookmarkStart w:id="263" w:name="_Toc5107"/>
      <w:bookmarkStart w:id="264" w:name="_Toc106030899"/>
      <w:bookmarkStart w:id="265" w:name="_Toc16017"/>
      <w:bookmarkStart w:id="266" w:name="_Toc28162"/>
      <w:bookmarkStart w:id="267" w:name="_Toc76462344"/>
      <w:r>
        <w:rPr>
          <w:rFonts w:hint="eastAsia" w:ascii="宋体" w:hAnsi="宋体" w:eastAsia="宋体" w:cs="宋体"/>
          <w:b/>
          <w:bCs w:val="0"/>
          <w:color w:val="auto"/>
          <w:sz w:val="24"/>
          <w:highlight w:val="none"/>
        </w:rPr>
        <w:t>七、采购代理服务费</w:t>
      </w:r>
      <w:bookmarkEnd w:id="261"/>
      <w:bookmarkEnd w:id="262"/>
      <w:bookmarkEnd w:id="263"/>
      <w:bookmarkEnd w:id="264"/>
      <w:bookmarkEnd w:id="265"/>
      <w:bookmarkEnd w:id="266"/>
      <w:bookmarkEnd w:id="267"/>
    </w:p>
    <w:p w14:paraId="158B672E">
      <w:pPr>
        <w:shd w:val="clear"/>
        <w:spacing w:line="400" w:lineRule="exact"/>
        <w:ind w:firstLine="360" w:firstLineChars="150"/>
        <w:rPr>
          <w:rFonts w:hint="eastAsia" w:ascii="宋体" w:hAnsi="宋体" w:eastAsia="宋体" w:cs="宋体"/>
          <w:color w:val="auto"/>
          <w:sz w:val="24"/>
          <w:highlight w:val="none"/>
        </w:rPr>
      </w:pPr>
      <w:bookmarkStart w:id="268" w:name="_Toc76462345"/>
      <w:bookmarkStart w:id="269" w:name="_Toc106030900"/>
      <w:r>
        <w:rPr>
          <w:rFonts w:hint="eastAsia" w:ascii="宋体" w:hAnsi="宋体" w:eastAsia="宋体" w:cs="宋体"/>
          <w:color w:val="auto"/>
          <w:sz w:val="24"/>
          <w:highlight w:val="none"/>
        </w:rPr>
        <w:t>（一）供应商成交后，由成交供应商向采购代理机构缴纳采购代理服务费，采购代理服务费按照以下</w:t>
      </w:r>
      <w:r>
        <w:rPr>
          <w:rFonts w:hint="eastAsia" w:ascii="宋体" w:hAnsi="宋体" w:eastAsia="宋体" w:cs="宋体"/>
          <w:color w:val="auto"/>
          <w:sz w:val="24"/>
          <w:highlight w:val="none"/>
          <w:lang w:eastAsia="zh-CN"/>
        </w:rPr>
        <w:t>工程</w:t>
      </w:r>
      <w:r>
        <w:rPr>
          <w:rFonts w:hint="eastAsia" w:ascii="宋体" w:hAnsi="宋体" w:eastAsia="宋体" w:cs="宋体"/>
          <w:color w:val="auto"/>
          <w:sz w:val="24"/>
          <w:highlight w:val="none"/>
        </w:rPr>
        <w:t>采购类型执行</w:t>
      </w:r>
      <w:r>
        <w:rPr>
          <w:rFonts w:hint="eastAsia" w:ascii="宋体" w:hAnsi="宋体" w:eastAsia="宋体" w:cs="宋体"/>
          <w:color w:val="auto"/>
          <w:sz w:val="24"/>
          <w:highlight w:val="none"/>
          <w:lang w:eastAsia="zh-CN"/>
        </w:rPr>
        <w:t>（若按以下标准计算后不足叁仟元，则按定额叁仟元整收取）</w:t>
      </w:r>
      <w:r>
        <w:rPr>
          <w:rFonts w:hint="eastAsia" w:ascii="宋体" w:hAnsi="宋体" w:eastAsia="宋体" w:cs="宋体"/>
          <w:color w:val="auto"/>
          <w:sz w:val="24"/>
          <w:highlight w:val="none"/>
        </w:rPr>
        <w:t>。</w:t>
      </w:r>
    </w:p>
    <w:tbl>
      <w:tblPr>
        <w:tblStyle w:val="3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273"/>
        <w:gridCol w:w="2273"/>
        <w:gridCol w:w="2272"/>
      </w:tblGrid>
      <w:tr w14:paraId="60C04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810"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14:paraId="62213BDF">
            <w:pPr>
              <w:shd w:val="clear"/>
              <w:spacing w:line="240" w:lineRule="atLeast"/>
              <w:jc w:val="right"/>
              <w:rPr>
                <w:rFonts w:ascii="宋体" w:hAnsi="宋体" w:cs="宋体"/>
                <w:color w:val="auto"/>
                <w:sz w:val="24"/>
                <w:szCs w:val="24"/>
                <w:highlight w:val="none"/>
              </w:rPr>
            </w:pPr>
            <w:r>
              <w:rPr>
                <w:rFonts w:hint="eastAsia" w:ascii="宋体" w:hAnsi="宋体" w:cs="宋体"/>
                <w:color w:val="auto"/>
                <w:sz w:val="24"/>
                <w:szCs w:val="24"/>
                <w:highlight w:val="none"/>
              </w:rPr>
              <w:t>采购</w:t>
            </w:r>
            <w:r>
              <w:rPr>
                <w:rFonts w:hint="eastAsia" w:ascii="宋体" w:hAnsi="宋体" w:cs="宋体"/>
                <w:color w:val="auto"/>
                <w:sz w:val="24"/>
                <w:szCs w:val="24"/>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fPvmD1gAA&#10;AAgBAAAPAAAAAAAAAAEAIAAAACIAAABkcnMvZG93bnJldi54bWxQSwECFAAUAAAACACHTuJAnBYN&#10;IecBAAC2AwAADgAAAAAAAAABACAAAAAlAQAAZHJzL2Uyb0RvYy54bWxQSwUGAAAAAAYABgBZAQAA&#10;fgUAAAAA&#10;">
                      <v:fill on="f" focussize="0,0"/>
                      <v:stroke color="#000000" joinstyle="round"/>
                      <v:imagedata o:title=""/>
                      <o:lock v:ext="edit" aspectratio="f"/>
                    </v:line>
                  </w:pict>
                </mc:Fallback>
              </mc:AlternateContent>
            </w:r>
            <w:r>
              <w:rPr>
                <w:rFonts w:hint="eastAsia" w:ascii="宋体" w:hAnsi="宋体" w:cs="宋体"/>
                <w:color w:val="auto"/>
                <w:sz w:val="24"/>
                <w:szCs w:val="24"/>
                <w:highlight w:val="none"/>
              </w:rPr>
              <w:t>类型</w:t>
            </w:r>
          </w:p>
          <w:p w14:paraId="3825C576">
            <w:pPr>
              <w:shd w:val="clea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金额（万元）</w:t>
            </w:r>
          </w:p>
        </w:tc>
        <w:tc>
          <w:tcPr>
            <w:tcW w:w="2273" w:type="dxa"/>
            <w:tcBorders>
              <w:top w:val="single" w:color="auto" w:sz="4" w:space="0"/>
              <w:left w:val="single" w:color="auto" w:sz="4" w:space="0"/>
              <w:bottom w:val="single" w:color="auto" w:sz="4" w:space="0"/>
              <w:right w:val="single" w:color="auto" w:sz="4" w:space="0"/>
            </w:tcBorders>
            <w:noWrap w:val="0"/>
            <w:vAlign w:val="center"/>
          </w:tcPr>
          <w:p w14:paraId="5D10E580">
            <w:pPr>
              <w:shd w:val="clea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货物采购</w:t>
            </w:r>
          </w:p>
        </w:tc>
        <w:tc>
          <w:tcPr>
            <w:tcW w:w="2273" w:type="dxa"/>
            <w:tcBorders>
              <w:top w:val="single" w:color="auto" w:sz="4" w:space="0"/>
              <w:left w:val="single" w:color="auto" w:sz="4" w:space="0"/>
              <w:bottom w:val="single" w:color="auto" w:sz="4" w:space="0"/>
              <w:right w:val="single" w:color="auto" w:sz="4" w:space="0"/>
            </w:tcBorders>
            <w:noWrap w:val="0"/>
            <w:vAlign w:val="center"/>
          </w:tcPr>
          <w:p w14:paraId="6AD829AD">
            <w:pPr>
              <w:shd w:val="clea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服务采购</w:t>
            </w:r>
          </w:p>
        </w:tc>
        <w:tc>
          <w:tcPr>
            <w:tcW w:w="2272" w:type="dxa"/>
            <w:tcBorders>
              <w:top w:val="single" w:color="auto" w:sz="4" w:space="0"/>
              <w:left w:val="single" w:color="auto" w:sz="4" w:space="0"/>
              <w:bottom w:val="single" w:color="auto" w:sz="4" w:space="0"/>
              <w:right w:val="single" w:color="auto" w:sz="4" w:space="0"/>
            </w:tcBorders>
            <w:noWrap w:val="0"/>
            <w:vAlign w:val="center"/>
          </w:tcPr>
          <w:p w14:paraId="363CDB85">
            <w:pPr>
              <w:pStyle w:val="51"/>
              <w:widowControl w:val="0"/>
              <w:pBdr>
                <w:left w:val="none" w:color="auto" w:sz="0" w:space="0"/>
                <w:right w:val="none" w:color="auto" w:sz="0" w:space="0"/>
              </w:pBdr>
              <w:shd w:val="clear"/>
              <w:spacing w:before="120" w:beforeAutospacing="0" w:after="0" w:afterAutospacing="0" w:line="240" w:lineRule="atLeast"/>
              <w:rPr>
                <w:rFonts w:cs="宋体"/>
                <w:color w:val="auto"/>
                <w:kern w:val="2"/>
                <w:szCs w:val="24"/>
                <w:highlight w:val="none"/>
              </w:rPr>
            </w:pPr>
            <w:r>
              <w:rPr>
                <w:rFonts w:hint="eastAsia" w:cs="宋体"/>
                <w:color w:val="auto"/>
                <w:kern w:val="2"/>
                <w:szCs w:val="24"/>
                <w:highlight w:val="none"/>
              </w:rPr>
              <w:t>工程</w:t>
            </w:r>
            <w:r>
              <w:rPr>
                <w:rFonts w:hint="eastAsia" w:cs="宋体"/>
                <w:color w:val="auto"/>
                <w:szCs w:val="24"/>
                <w:highlight w:val="none"/>
              </w:rPr>
              <w:t>采购</w:t>
            </w:r>
          </w:p>
        </w:tc>
      </w:tr>
      <w:tr w14:paraId="4C4FA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tcBorders>
              <w:top w:val="single" w:color="auto" w:sz="4" w:space="0"/>
              <w:left w:val="single" w:color="auto" w:sz="4" w:space="0"/>
              <w:bottom w:val="single" w:color="auto" w:sz="4" w:space="0"/>
              <w:right w:val="single" w:color="auto" w:sz="4" w:space="0"/>
            </w:tcBorders>
            <w:noWrap w:val="0"/>
            <w:vAlign w:val="center"/>
          </w:tcPr>
          <w:p w14:paraId="219B4EFB">
            <w:pPr>
              <w:shd w:val="clea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100以下</w:t>
            </w:r>
          </w:p>
        </w:tc>
        <w:tc>
          <w:tcPr>
            <w:tcW w:w="2273" w:type="dxa"/>
            <w:tcBorders>
              <w:top w:val="single" w:color="auto" w:sz="4" w:space="0"/>
              <w:left w:val="single" w:color="auto" w:sz="4" w:space="0"/>
              <w:bottom w:val="single" w:color="auto" w:sz="4" w:space="0"/>
              <w:right w:val="single" w:color="auto" w:sz="4" w:space="0"/>
            </w:tcBorders>
            <w:noWrap w:val="0"/>
            <w:vAlign w:val="center"/>
          </w:tcPr>
          <w:p w14:paraId="411B2CF1">
            <w:pPr>
              <w:shd w:val="clea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1.5%</w:t>
            </w:r>
          </w:p>
        </w:tc>
        <w:tc>
          <w:tcPr>
            <w:tcW w:w="2273" w:type="dxa"/>
            <w:tcBorders>
              <w:top w:val="single" w:color="auto" w:sz="4" w:space="0"/>
              <w:left w:val="single" w:color="auto" w:sz="4" w:space="0"/>
              <w:bottom w:val="single" w:color="auto" w:sz="4" w:space="0"/>
              <w:right w:val="single" w:color="auto" w:sz="4" w:space="0"/>
            </w:tcBorders>
            <w:noWrap w:val="0"/>
            <w:vAlign w:val="center"/>
          </w:tcPr>
          <w:p w14:paraId="1A5DCBFB">
            <w:pPr>
              <w:shd w:val="clea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1.5%</w:t>
            </w:r>
          </w:p>
        </w:tc>
        <w:tc>
          <w:tcPr>
            <w:tcW w:w="2272" w:type="dxa"/>
            <w:tcBorders>
              <w:top w:val="single" w:color="auto" w:sz="4" w:space="0"/>
              <w:left w:val="single" w:color="auto" w:sz="4" w:space="0"/>
              <w:bottom w:val="single" w:color="auto" w:sz="4" w:space="0"/>
              <w:right w:val="single" w:color="auto" w:sz="4" w:space="0"/>
            </w:tcBorders>
            <w:noWrap w:val="0"/>
            <w:vAlign w:val="center"/>
          </w:tcPr>
          <w:p w14:paraId="39E3E3DB">
            <w:pPr>
              <w:shd w:val="clea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1.0%</w:t>
            </w:r>
          </w:p>
        </w:tc>
      </w:tr>
      <w:tr w14:paraId="0EC37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tcBorders>
              <w:top w:val="single" w:color="auto" w:sz="4" w:space="0"/>
              <w:left w:val="single" w:color="auto" w:sz="4" w:space="0"/>
              <w:bottom w:val="single" w:color="auto" w:sz="4" w:space="0"/>
              <w:right w:val="single" w:color="auto" w:sz="4" w:space="0"/>
            </w:tcBorders>
            <w:noWrap w:val="0"/>
            <w:vAlign w:val="center"/>
          </w:tcPr>
          <w:p w14:paraId="46F6C71C">
            <w:pPr>
              <w:shd w:val="clea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100-200</w:t>
            </w:r>
          </w:p>
        </w:tc>
        <w:tc>
          <w:tcPr>
            <w:tcW w:w="2273" w:type="dxa"/>
            <w:tcBorders>
              <w:top w:val="single" w:color="auto" w:sz="4" w:space="0"/>
              <w:left w:val="single" w:color="auto" w:sz="4" w:space="0"/>
              <w:bottom w:val="single" w:color="auto" w:sz="4" w:space="0"/>
              <w:right w:val="single" w:color="auto" w:sz="4" w:space="0"/>
            </w:tcBorders>
            <w:noWrap w:val="0"/>
            <w:vAlign w:val="center"/>
          </w:tcPr>
          <w:p w14:paraId="3297083A">
            <w:pPr>
              <w:shd w:val="clea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1.1%</w:t>
            </w:r>
          </w:p>
        </w:tc>
        <w:tc>
          <w:tcPr>
            <w:tcW w:w="2273" w:type="dxa"/>
            <w:tcBorders>
              <w:top w:val="single" w:color="auto" w:sz="4" w:space="0"/>
              <w:left w:val="single" w:color="auto" w:sz="4" w:space="0"/>
              <w:bottom w:val="single" w:color="auto" w:sz="4" w:space="0"/>
              <w:right w:val="single" w:color="auto" w:sz="4" w:space="0"/>
            </w:tcBorders>
            <w:noWrap w:val="0"/>
            <w:vAlign w:val="center"/>
          </w:tcPr>
          <w:p w14:paraId="2202EA64">
            <w:pPr>
              <w:shd w:val="clea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0.8%</w:t>
            </w:r>
          </w:p>
        </w:tc>
        <w:tc>
          <w:tcPr>
            <w:tcW w:w="2272" w:type="dxa"/>
            <w:tcBorders>
              <w:top w:val="single" w:color="auto" w:sz="4" w:space="0"/>
              <w:left w:val="single" w:color="auto" w:sz="4" w:space="0"/>
              <w:bottom w:val="single" w:color="auto" w:sz="4" w:space="0"/>
              <w:right w:val="single" w:color="auto" w:sz="4" w:space="0"/>
            </w:tcBorders>
            <w:noWrap w:val="0"/>
            <w:vAlign w:val="center"/>
          </w:tcPr>
          <w:p w14:paraId="344977CB">
            <w:pPr>
              <w:shd w:val="clea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0.7%</w:t>
            </w:r>
          </w:p>
        </w:tc>
      </w:tr>
      <w:tr w14:paraId="395DA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tcBorders>
              <w:top w:val="single" w:color="auto" w:sz="4" w:space="0"/>
              <w:left w:val="single" w:color="auto" w:sz="4" w:space="0"/>
              <w:bottom w:val="single" w:color="auto" w:sz="4" w:space="0"/>
              <w:right w:val="single" w:color="auto" w:sz="4" w:space="0"/>
            </w:tcBorders>
            <w:noWrap w:val="0"/>
            <w:vAlign w:val="center"/>
          </w:tcPr>
          <w:p w14:paraId="7BC8AE72">
            <w:pPr>
              <w:shd w:val="clea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200-500</w:t>
            </w:r>
          </w:p>
        </w:tc>
        <w:tc>
          <w:tcPr>
            <w:tcW w:w="2273" w:type="dxa"/>
            <w:tcBorders>
              <w:top w:val="single" w:color="auto" w:sz="4" w:space="0"/>
              <w:left w:val="single" w:color="auto" w:sz="4" w:space="0"/>
              <w:bottom w:val="single" w:color="auto" w:sz="4" w:space="0"/>
              <w:right w:val="single" w:color="auto" w:sz="4" w:space="0"/>
            </w:tcBorders>
            <w:noWrap w:val="0"/>
            <w:vAlign w:val="center"/>
          </w:tcPr>
          <w:p w14:paraId="29378CAF">
            <w:pPr>
              <w:shd w:val="clea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1.08%</w:t>
            </w:r>
          </w:p>
        </w:tc>
        <w:tc>
          <w:tcPr>
            <w:tcW w:w="2273" w:type="dxa"/>
            <w:tcBorders>
              <w:top w:val="single" w:color="auto" w:sz="4" w:space="0"/>
              <w:left w:val="single" w:color="auto" w:sz="4" w:space="0"/>
              <w:bottom w:val="single" w:color="auto" w:sz="4" w:space="0"/>
              <w:right w:val="single" w:color="auto" w:sz="4" w:space="0"/>
            </w:tcBorders>
            <w:noWrap w:val="0"/>
            <w:vAlign w:val="center"/>
          </w:tcPr>
          <w:p w14:paraId="101ED291">
            <w:pPr>
              <w:shd w:val="clea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0.78%</w:t>
            </w:r>
          </w:p>
        </w:tc>
        <w:tc>
          <w:tcPr>
            <w:tcW w:w="2272" w:type="dxa"/>
            <w:tcBorders>
              <w:top w:val="single" w:color="auto" w:sz="4" w:space="0"/>
              <w:left w:val="single" w:color="auto" w:sz="4" w:space="0"/>
              <w:bottom w:val="single" w:color="auto" w:sz="4" w:space="0"/>
              <w:right w:val="single" w:color="auto" w:sz="4" w:space="0"/>
            </w:tcBorders>
            <w:noWrap w:val="0"/>
            <w:vAlign w:val="center"/>
          </w:tcPr>
          <w:p w14:paraId="200BE5D1">
            <w:pPr>
              <w:shd w:val="clea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0.69%</w:t>
            </w:r>
          </w:p>
        </w:tc>
      </w:tr>
      <w:tr w14:paraId="7C4C1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tcBorders>
              <w:top w:val="single" w:color="auto" w:sz="4" w:space="0"/>
              <w:left w:val="single" w:color="auto" w:sz="4" w:space="0"/>
              <w:bottom w:val="single" w:color="auto" w:sz="4" w:space="0"/>
              <w:right w:val="single" w:color="auto" w:sz="4" w:space="0"/>
            </w:tcBorders>
            <w:noWrap w:val="0"/>
            <w:vAlign w:val="center"/>
          </w:tcPr>
          <w:p w14:paraId="064720DA">
            <w:pPr>
              <w:shd w:val="clea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500-1000</w:t>
            </w:r>
          </w:p>
        </w:tc>
        <w:tc>
          <w:tcPr>
            <w:tcW w:w="2273" w:type="dxa"/>
            <w:tcBorders>
              <w:top w:val="single" w:color="auto" w:sz="4" w:space="0"/>
              <w:left w:val="single" w:color="auto" w:sz="4" w:space="0"/>
              <w:bottom w:val="single" w:color="auto" w:sz="4" w:space="0"/>
              <w:right w:val="single" w:color="auto" w:sz="4" w:space="0"/>
            </w:tcBorders>
            <w:noWrap w:val="0"/>
            <w:vAlign w:val="center"/>
          </w:tcPr>
          <w:p w14:paraId="4924B2E5">
            <w:pPr>
              <w:shd w:val="clea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0.76%</w:t>
            </w:r>
          </w:p>
        </w:tc>
        <w:tc>
          <w:tcPr>
            <w:tcW w:w="2273" w:type="dxa"/>
            <w:tcBorders>
              <w:top w:val="single" w:color="auto" w:sz="4" w:space="0"/>
              <w:left w:val="single" w:color="auto" w:sz="4" w:space="0"/>
              <w:bottom w:val="single" w:color="auto" w:sz="4" w:space="0"/>
              <w:right w:val="single" w:color="auto" w:sz="4" w:space="0"/>
            </w:tcBorders>
            <w:noWrap w:val="0"/>
            <w:vAlign w:val="center"/>
          </w:tcPr>
          <w:p w14:paraId="49BF8F69">
            <w:pPr>
              <w:shd w:val="clea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0.43%</w:t>
            </w:r>
          </w:p>
        </w:tc>
        <w:tc>
          <w:tcPr>
            <w:tcW w:w="2272" w:type="dxa"/>
            <w:tcBorders>
              <w:top w:val="single" w:color="auto" w:sz="4" w:space="0"/>
              <w:left w:val="single" w:color="auto" w:sz="4" w:space="0"/>
              <w:bottom w:val="single" w:color="auto" w:sz="4" w:space="0"/>
              <w:right w:val="single" w:color="auto" w:sz="4" w:space="0"/>
            </w:tcBorders>
            <w:noWrap w:val="0"/>
            <w:vAlign w:val="center"/>
          </w:tcPr>
          <w:p w14:paraId="05A05155">
            <w:pPr>
              <w:shd w:val="clea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0.52%</w:t>
            </w:r>
          </w:p>
        </w:tc>
      </w:tr>
      <w:tr w14:paraId="0B84F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tcBorders>
              <w:top w:val="single" w:color="auto" w:sz="4" w:space="0"/>
              <w:left w:val="single" w:color="auto" w:sz="4" w:space="0"/>
              <w:bottom w:val="single" w:color="auto" w:sz="4" w:space="0"/>
              <w:right w:val="single" w:color="auto" w:sz="4" w:space="0"/>
            </w:tcBorders>
            <w:noWrap w:val="0"/>
            <w:vAlign w:val="center"/>
          </w:tcPr>
          <w:p w14:paraId="45800593">
            <w:pPr>
              <w:shd w:val="clea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1000-5000</w:t>
            </w:r>
          </w:p>
        </w:tc>
        <w:tc>
          <w:tcPr>
            <w:tcW w:w="2273" w:type="dxa"/>
            <w:tcBorders>
              <w:top w:val="single" w:color="auto" w:sz="4" w:space="0"/>
              <w:left w:val="single" w:color="auto" w:sz="4" w:space="0"/>
              <w:bottom w:val="single" w:color="auto" w:sz="4" w:space="0"/>
              <w:right w:val="single" w:color="auto" w:sz="4" w:space="0"/>
            </w:tcBorders>
            <w:noWrap w:val="0"/>
            <w:vAlign w:val="center"/>
          </w:tcPr>
          <w:p w14:paraId="25AEBBAD">
            <w:pPr>
              <w:shd w:val="clea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0.45%</w:t>
            </w:r>
          </w:p>
        </w:tc>
        <w:tc>
          <w:tcPr>
            <w:tcW w:w="2273" w:type="dxa"/>
            <w:tcBorders>
              <w:top w:val="single" w:color="auto" w:sz="4" w:space="0"/>
              <w:left w:val="single" w:color="auto" w:sz="4" w:space="0"/>
              <w:bottom w:val="single" w:color="auto" w:sz="4" w:space="0"/>
              <w:right w:val="single" w:color="auto" w:sz="4" w:space="0"/>
            </w:tcBorders>
            <w:noWrap w:val="0"/>
            <w:vAlign w:val="center"/>
          </w:tcPr>
          <w:p w14:paraId="29748993">
            <w:pPr>
              <w:shd w:val="clea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0.23%</w:t>
            </w:r>
          </w:p>
        </w:tc>
        <w:tc>
          <w:tcPr>
            <w:tcW w:w="2272" w:type="dxa"/>
            <w:tcBorders>
              <w:top w:val="single" w:color="auto" w:sz="4" w:space="0"/>
              <w:left w:val="single" w:color="auto" w:sz="4" w:space="0"/>
              <w:bottom w:val="single" w:color="auto" w:sz="4" w:space="0"/>
              <w:right w:val="single" w:color="auto" w:sz="4" w:space="0"/>
            </w:tcBorders>
            <w:noWrap w:val="0"/>
            <w:vAlign w:val="center"/>
          </w:tcPr>
          <w:p w14:paraId="3A1F412C">
            <w:pPr>
              <w:shd w:val="clea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0.32%</w:t>
            </w:r>
          </w:p>
        </w:tc>
      </w:tr>
      <w:tr w14:paraId="527BE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tcBorders>
              <w:top w:val="single" w:color="auto" w:sz="4" w:space="0"/>
              <w:left w:val="single" w:color="auto" w:sz="4" w:space="0"/>
              <w:bottom w:val="single" w:color="auto" w:sz="4" w:space="0"/>
              <w:right w:val="single" w:color="auto" w:sz="4" w:space="0"/>
            </w:tcBorders>
            <w:noWrap w:val="0"/>
            <w:vAlign w:val="center"/>
          </w:tcPr>
          <w:p w14:paraId="0C36FD7C">
            <w:pPr>
              <w:shd w:val="clea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5000-10000</w:t>
            </w:r>
          </w:p>
        </w:tc>
        <w:tc>
          <w:tcPr>
            <w:tcW w:w="2273" w:type="dxa"/>
            <w:tcBorders>
              <w:top w:val="single" w:color="auto" w:sz="4" w:space="0"/>
              <w:left w:val="single" w:color="auto" w:sz="4" w:space="0"/>
              <w:bottom w:val="single" w:color="auto" w:sz="4" w:space="0"/>
              <w:right w:val="single" w:color="auto" w:sz="4" w:space="0"/>
            </w:tcBorders>
            <w:noWrap w:val="0"/>
            <w:vAlign w:val="center"/>
          </w:tcPr>
          <w:p w14:paraId="50544C6B">
            <w:pPr>
              <w:shd w:val="clea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0.23%</w:t>
            </w:r>
          </w:p>
        </w:tc>
        <w:tc>
          <w:tcPr>
            <w:tcW w:w="2273" w:type="dxa"/>
            <w:tcBorders>
              <w:top w:val="single" w:color="auto" w:sz="4" w:space="0"/>
              <w:left w:val="single" w:color="auto" w:sz="4" w:space="0"/>
              <w:bottom w:val="single" w:color="auto" w:sz="4" w:space="0"/>
              <w:right w:val="single" w:color="auto" w:sz="4" w:space="0"/>
            </w:tcBorders>
            <w:noWrap w:val="0"/>
            <w:vAlign w:val="center"/>
          </w:tcPr>
          <w:p w14:paraId="357DF238">
            <w:pPr>
              <w:shd w:val="clea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0.09%</w:t>
            </w:r>
          </w:p>
        </w:tc>
        <w:tc>
          <w:tcPr>
            <w:tcW w:w="2272" w:type="dxa"/>
            <w:tcBorders>
              <w:top w:val="single" w:color="auto" w:sz="4" w:space="0"/>
              <w:left w:val="single" w:color="auto" w:sz="4" w:space="0"/>
              <w:bottom w:val="single" w:color="auto" w:sz="4" w:space="0"/>
              <w:right w:val="single" w:color="auto" w:sz="4" w:space="0"/>
            </w:tcBorders>
            <w:noWrap w:val="0"/>
            <w:vAlign w:val="center"/>
          </w:tcPr>
          <w:p w14:paraId="7B81EFA5">
            <w:pPr>
              <w:shd w:val="clea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0.18%</w:t>
            </w:r>
          </w:p>
        </w:tc>
      </w:tr>
      <w:tr w14:paraId="7B840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tcBorders>
              <w:top w:val="single" w:color="auto" w:sz="4" w:space="0"/>
              <w:left w:val="single" w:color="auto" w:sz="4" w:space="0"/>
              <w:bottom w:val="single" w:color="auto" w:sz="4" w:space="0"/>
              <w:right w:val="single" w:color="auto" w:sz="4" w:space="0"/>
            </w:tcBorders>
            <w:noWrap w:val="0"/>
            <w:vAlign w:val="center"/>
          </w:tcPr>
          <w:p w14:paraId="1451E926">
            <w:pPr>
              <w:shd w:val="clea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10000-100000</w:t>
            </w:r>
          </w:p>
        </w:tc>
        <w:tc>
          <w:tcPr>
            <w:tcW w:w="2273" w:type="dxa"/>
            <w:tcBorders>
              <w:top w:val="single" w:color="auto" w:sz="4" w:space="0"/>
              <w:left w:val="single" w:color="auto" w:sz="4" w:space="0"/>
              <w:bottom w:val="single" w:color="auto" w:sz="4" w:space="0"/>
              <w:right w:val="single" w:color="auto" w:sz="4" w:space="0"/>
            </w:tcBorders>
            <w:noWrap w:val="0"/>
            <w:vAlign w:val="center"/>
          </w:tcPr>
          <w:p w14:paraId="3E833CBD">
            <w:pPr>
              <w:shd w:val="clea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0.045%</w:t>
            </w:r>
          </w:p>
        </w:tc>
        <w:tc>
          <w:tcPr>
            <w:tcW w:w="2273" w:type="dxa"/>
            <w:tcBorders>
              <w:top w:val="single" w:color="auto" w:sz="4" w:space="0"/>
              <w:left w:val="single" w:color="auto" w:sz="4" w:space="0"/>
              <w:bottom w:val="single" w:color="auto" w:sz="4" w:space="0"/>
              <w:right w:val="single" w:color="auto" w:sz="4" w:space="0"/>
            </w:tcBorders>
            <w:noWrap w:val="0"/>
            <w:vAlign w:val="center"/>
          </w:tcPr>
          <w:p w14:paraId="0F371284">
            <w:pPr>
              <w:shd w:val="clea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0.045%</w:t>
            </w:r>
          </w:p>
        </w:tc>
        <w:tc>
          <w:tcPr>
            <w:tcW w:w="2272" w:type="dxa"/>
            <w:tcBorders>
              <w:top w:val="single" w:color="auto" w:sz="4" w:space="0"/>
              <w:left w:val="single" w:color="auto" w:sz="4" w:space="0"/>
              <w:bottom w:val="single" w:color="auto" w:sz="4" w:space="0"/>
              <w:right w:val="single" w:color="auto" w:sz="4" w:space="0"/>
            </w:tcBorders>
            <w:noWrap w:val="0"/>
            <w:vAlign w:val="center"/>
          </w:tcPr>
          <w:p w14:paraId="06B425E4">
            <w:pPr>
              <w:shd w:val="clea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0.045%</w:t>
            </w:r>
          </w:p>
        </w:tc>
      </w:tr>
      <w:tr w14:paraId="43673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tcBorders>
              <w:top w:val="single" w:color="auto" w:sz="4" w:space="0"/>
              <w:left w:val="single" w:color="auto" w:sz="4" w:space="0"/>
              <w:bottom w:val="single" w:color="auto" w:sz="4" w:space="0"/>
              <w:right w:val="single" w:color="auto" w:sz="4" w:space="0"/>
            </w:tcBorders>
            <w:noWrap w:val="0"/>
            <w:vAlign w:val="center"/>
          </w:tcPr>
          <w:p w14:paraId="43FFFFDD">
            <w:pPr>
              <w:shd w:val="clea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1000000以上</w:t>
            </w:r>
          </w:p>
        </w:tc>
        <w:tc>
          <w:tcPr>
            <w:tcW w:w="2273" w:type="dxa"/>
            <w:tcBorders>
              <w:top w:val="single" w:color="auto" w:sz="4" w:space="0"/>
              <w:left w:val="single" w:color="auto" w:sz="4" w:space="0"/>
              <w:bottom w:val="single" w:color="auto" w:sz="4" w:space="0"/>
              <w:right w:val="single" w:color="auto" w:sz="4" w:space="0"/>
            </w:tcBorders>
            <w:noWrap w:val="0"/>
            <w:vAlign w:val="center"/>
          </w:tcPr>
          <w:p w14:paraId="3AF2D63A">
            <w:pPr>
              <w:shd w:val="clea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0.009%</w:t>
            </w:r>
          </w:p>
        </w:tc>
        <w:tc>
          <w:tcPr>
            <w:tcW w:w="2273" w:type="dxa"/>
            <w:tcBorders>
              <w:top w:val="single" w:color="auto" w:sz="4" w:space="0"/>
              <w:left w:val="single" w:color="auto" w:sz="4" w:space="0"/>
              <w:bottom w:val="single" w:color="auto" w:sz="4" w:space="0"/>
              <w:right w:val="single" w:color="auto" w:sz="4" w:space="0"/>
            </w:tcBorders>
            <w:noWrap w:val="0"/>
            <w:vAlign w:val="center"/>
          </w:tcPr>
          <w:p w14:paraId="50FF1A59">
            <w:pPr>
              <w:shd w:val="clea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0.009%</w:t>
            </w:r>
          </w:p>
        </w:tc>
        <w:tc>
          <w:tcPr>
            <w:tcW w:w="2272" w:type="dxa"/>
            <w:tcBorders>
              <w:top w:val="single" w:color="auto" w:sz="4" w:space="0"/>
              <w:left w:val="single" w:color="auto" w:sz="4" w:space="0"/>
              <w:bottom w:val="single" w:color="auto" w:sz="4" w:space="0"/>
              <w:right w:val="single" w:color="auto" w:sz="4" w:space="0"/>
            </w:tcBorders>
            <w:noWrap w:val="0"/>
            <w:vAlign w:val="center"/>
          </w:tcPr>
          <w:p w14:paraId="755FA854">
            <w:pPr>
              <w:shd w:val="clea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0.009%</w:t>
            </w:r>
          </w:p>
        </w:tc>
      </w:tr>
    </w:tbl>
    <w:p w14:paraId="2D7579E6">
      <w:pPr>
        <w:shd w:val="clear"/>
        <w:spacing w:line="400" w:lineRule="exact"/>
        <w:ind w:right="12" w:firstLine="480"/>
        <w:rPr>
          <w:rFonts w:ascii="宋体" w:hAnsi="宋体" w:cs="宋体"/>
          <w:color w:val="auto"/>
          <w:sz w:val="24"/>
          <w:highlight w:val="none"/>
        </w:rPr>
      </w:pPr>
      <w:r>
        <w:rPr>
          <w:rFonts w:hint="eastAsia" w:ascii="宋体" w:hAnsi="宋体" w:eastAsia="宋体" w:cs="宋体"/>
          <w:color w:val="auto"/>
          <w:sz w:val="24"/>
          <w:szCs w:val="24"/>
          <w:highlight w:val="none"/>
        </w:rPr>
        <w:t>注：代理服务收费按差额定率累进法计算</w:t>
      </w:r>
      <w:r>
        <w:rPr>
          <w:rFonts w:hint="eastAsia" w:ascii="宋体" w:hAnsi="宋体" w:eastAsia="宋体" w:cs="宋体"/>
          <w:color w:val="auto"/>
          <w:sz w:val="24"/>
          <w:szCs w:val="24"/>
          <w:highlight w:val="none"/>
          <w:lang w:val="en-US" w:eastAsia="zh-CN"/>
        </w:rPr>
        <w:t>。</w:t>
      </w:r>
    </w:p>
    <w:p w14:paraId="2F36662F">
      <w:pPr>
        <w:shd w:val="clea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（二）采购代理服务费缴纳账号：</w:t>
      </w:r>
    </w:p>
    <w:p w14:paraId="272F50DD">
      <w:pPr>
        <w:shd w:val="clea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户  名：重庆千策招标代理有限公司</w:t>
      </w:r>
    </w:p>
    <w:p w14:paraId="5FFE5036">
      <w:pPr>
        <w:shd w:val="clea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开户行：中国建设银行重庆杨家坪支行</w:t>
      </w:r>
    </w:p>
    <w:p w14:paraId="772E690B">
      <w:pPr>
        <w:shd w:val="clea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账  号：50050103360000000623</w:t>
      </w:r>
    </w:p>
    <w:bookmarkEnd w:id="268"/>
    <w:bookmarkEnd w:id="269"/>
    <w:p w14:paraId="0C88FE3B">
      <w:pPr>
        <w:pStyle w:val="4"/>
        <w:numPr>
          <w:ilvl w:val="1"/>
          <w:numId w:val="0"/>
        </w:numPr>
        <w:shd w:val="clear"/>
        <w:adjustRightInd w:val="0"/>
        <w:snapToGrid w:val="0"/>
        <w:spacing w:line="400" w:lineRule="exact"/>
        <w:rPr>
          <w:rFonts w:ascii="宋体" w:hAnsi="宋体" w:eastAsia="宋体" w:cs="宋体"/>
          <w:b/>
          <w:bCs w:val="0"/>
          <w:color w:val="auto"/>
          <w:sz w:val="24"/>
          <w:highlight w:val="none"/>
        </w:rPr>
      </w:pPr>
      <w:bookmarkStart w:id="270" w:name="_Toc102227322"/>
      <w:bookmarkStart w:id="271" w:name="_Toc24631"/>
      <w:bookmarkStart w:id="272" w:name="_Toc106030901"/>
      <w:bookmarkStart w:id="273" w:name="_Toc18091"/>
      <w:bookmarkStart w:id="274" w:name="_Toc27661"/>
      <w:bookmarkStart w:id="275" w:name="_Toc9365"/>
      <w:bookmarkStart w:id="276" w:name="_Toc76462346"/>
      <w:bookmarkStart w:id="277" w:name="_Toc20655"/>
      <w:bookmarkStart w:id="278" w:name="_Toc342913396"/>
      <w:bookmarkStart w:id="279" w:name="_Toc11641055"/>
      <w:bookmarkStart w:id="280" w:name="_Toc12789059"/>
      <w:r>
        <w:rPr>
          <w:rFonts w:hint="eastAsia" w:ascii="宋体" w:hAnsi="宋体" w:eastAsia="宋体" w:cs="宋体"/>
          <w:b/>
          <w:bCs w:val="0"/>
          <w:color w:val="auto"/>
          <w:sz w:val="24"/>
          <w:highlight w:val="none"/>
        </w:rPr>
        <w:t>八、签订</w:t>
      </w:r>
      <w:bookmarkEnd w:id="270"/>
      <w:r>
        <w:rPr>
          <w:rFonts w:hint="eastAsia" w:ascii="宋体" w:hAnsi="宋体" w:eastAsia="宋体" w:cs="宋体"/>
          <w:b/>
          <w:bCs w:val="0"/>
          <w:color w:val="auto"/>
          <w:sz w:val="24"/>
          <w:highlight w:val="none"/>
        </w:rPr>
        <w:t>合同</w:t>
      </w:r>
      <w:bookmarkEnd w:id="271"/>
      <w:bookmarkEnd w:id="272"/>
      <w:bookmarkEnd w:id="273"/>
      <w:bookmarkEnd w:id="274"/>
      <w:bookmarkEnd w:id="275"/>
      <w:bookmarkEnd w:id="276"/>
      <w:bookmarkEnd w:id="277"/>
      <w:bookmarkEnd w:id="278"/>
    </w:p>
    <w:p w14:paraId="2A7FE74B">
      <w:pPr>
        <w:shd w:val="clea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（一）</w:t>
      </w:r>
      <w:r>
        <w:rPr>
          <w:rFonts w:hint="eastAsia" w:ascii="宋体" w:hAnsi="宋体" w:cs="宋体"/>
          <w:color w:val="auto"/>
          <w:sz w:val="24"/>
          <w:highlight w:val="none"/>
        </w:rPr>
        <w:t>采购人原则上应在成交通知书发出之日起二十日内和成交供应商签订采购合同，无正当理由不得拒绝或拖延合同签订</w:t>
      </w:r>
      <w:r>
        <w:rPr>
          <w:rFonts w:hint="eastAsia" w:ascii="宋体" w:hAnsi="宋体" w:cs="宋体"/>
          <w:color w:val="auto"/>
          <w:sz w:val="24"/>
          <w:szCs w:val="24"/>
          <w:highlight w:val="none"/>
        </w:rPr>
        <w:t>。所签订的合同不得对竞争性磋商文件和供应商的响应文件作实质性修改。其他未尽事宜由采购人和成交供应商在采购合同中详细约定。</w:t>
      </w:r>
    </w:p>
    <w:p w14:paraId="7BC6FE28">
      <w:pPr>
        <w:shd w:val="clea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（二）竞争性磋商文件、供应商的响应文件及澄清文件等，均为签订采购合同的依据。</w:t>
      </w:r>
    </w:p>
    <w:p w14:paraId="41E6941A">
      <w:pPr>
        <w:shd w:val="clea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（三）合同生效条款由供需双方约定，法律、行政法规规定应当办理批准、登记等手续后生效的合同，依照其规定。</w:t>
      </w:r>
    </w:p>
    <w:p w14:paraId="624B9640">
      <w:pPr>
        <w:shd w:val="clea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（四）合同原则上应按照《采购合同》签订，相关单位要求适用合同通用格式版本的，应按其要求另行签订其他合同。</w:t>
      </w:r>
    </w:p>
    <w:p w14:paraId="6B539655">
      <w:pPr>
        <w:shd w:val="clea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（五）采购人要求成交供应商提供履约保证金的，应当在竞争性磋商文件中予以约定。成交供应商履约完毕后，采购人根据采购文件规定无息退还其履约保证金。</w:t>
      </w:r>
    </w:p>
    <w:p w14:paraId="3E4C0849">
      <w:pPr>
        <w:pStyle w:val="4"/>
        <w:numPr>
          <w:ilvl w:val="1"/>
          <w:numId w:val="0"/>
        </w:numPr>
        <w:shd w:val="clear"/>
        <w:adjustRightInd w:val="0"/>
        <w:snapToGrid w:val="0"/>
        <w:spacing w:line="400" w:lineRule="exact"/>
        <w:rPr>
          <w:rFonts w:ascii="宋体" w:hAnsi="宋体" w:eastAsia="宋体" w:cs="宋体"/>
          <w:b/>
          <w:bCs w:val="0"/>
          <w:color w:val="auto"/>
          <w:sz w:val="24"/>
          <w:highlight w:val="none"/>
        </w:rPr>
      </w:pPr>
      <w:bookmarkStart w:id="281" w:name="_Toc106030902"/>
      <w:bookmarkStart w:id="282" w:name="_Toc14061"/>
      <w:bookmarkStart w:id="283" w:name="_Toc19292"/>
      <w:bookmarkStart w:id="284" w:name="_Toc21945"/>
      <w:bookmarkStart w:id="285" w:name="_Toc15079"/>
      <w:bookmarkStart w:id="286" w:name="_Toc21793"/>
      <w:r>
        <w:rPr>
          <w:rFonts w:hint="eastAsia" w:ascii="宋体" w:hAnsi="宋体" w:eastAsia="宋体" w:cs="宋体"/>
          <w:b/>
          <w:bCs w:val="0"/>
          <w:color w:val="auto"/>
          <w:sz w:val="24"/>
          <w:highlight w:val="none"/>
        </w:rPr>
        <w:t>九、项目验收</w:t>
      </w:r>
      <w:bookmarkEnd w:id="281"/>
      <w:bookmarkEnd w:id="282"/>
      <w:bookmarkEnd w:id="283"/>
      <w:bookmarkEnd w:id="284"/>
      <w:bookmarkEnd w:id="285"/>
      <w:bookmarkEnd w:id="286"/>
    </w:p>
    <w:p w14:paraId="7C6A96B1">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rPr>
        <w:t>合同执行完毕，采购人或采购代理机构原则上应在7个工作日内组织履约情况验收，不得无故拖延或附加额外条件。</w:t>
      </w:r>
    </w:p>
    <w:p w14:paraId="17B7C4C0">
      <w:pPr>
        <w:pStyle w:val="4"/>
        <w:pageBreakBefore/>
        <w:numPr>
          <w:ilvl w:val="1"/>
          <w:numId w:val="0"/>
        </w:numPr>
        <w:shd w:val="clear"/>
        <w:spacing w:line="360" w:lineRule="auto"/>
        <w:jc w:val="center"/>
        <w:rPr>
          <w:rFonts w:ascii="宋体" w:hAnsi="宋体" w:eastAsia="宋体" w:cs="宋体"/>
          <w:color w:val="auto"/>
          <w:sz w:val="36"/>
          <w:szCs w:val="30"/>
          <w:highlight w:val="none"/>
        </w:rPr>
      </w:pPr>
      <w:bookmarkStart w:id="287" w:name="_Toc15809"/>
      <w:bookmarkStart w:id="288" w:name="_Toc7747"/>
      <w:bookmarkStart w:id="289" w:name="_Toc106030904"/>
      <w:bookmarkStart w:id="290" w:name="_Toc21533"/>
      <w:bookmarkStart w:id="291" w:name="_Toc2102"/>
      <w:bookmarkStart w:id="292" w:name="_Toc76462348"/>
      <w:bookmarkStart w:id="293" w:name="_Toc14661"/>
      <w:r>
        <w:rPr>
          <w:rFonts w:hint="eastAsia" w:ascii="宋体" w:hAnsi="宋体" w:eastAsia="宋体" w:cs="宋体"/>
          <w:color w:val="auto"/>
          <w:sz w:val="36"/>
          <w:szCs w:val="30"/>
          <w:highlight w:val="none"/>
        </w:rPr>
        <w:t xml:space="preserve">第六篇  </w:t>
      </w:r>
      <w:bookmarkEnd w:id="279"/>
      <w:bookmarkEnd w:id="280"/>
      <w:bookmarkEnd w:id="287"/>
      <w:bookmarkEnd w:id="288"/>
      <w:bookmarkEnd w:id="289"/>
      <w:bookmarkEnd w:id="290"/>
      <w:bookmarkEnd w:id="291"/>
      <w:bookmarkEnd w:id="292"/>
      <w:r>
        <w:rPr>
          <w:rFonts w:hint="eastAsia" w:ascii="宋体" w:hAnsi="宋体" w:eastAsia="宋体" w:cs="宋体"/>
          <w:color w:val="auto"/>
          <w:sz w:val="36"/>
          <w:szCs w:val="30"/>
          <w:highlight w:val="none"/>
        </w:rPr>
        <w:t>施工合同</w:t>
      </w:r>
      <w:bookmarkEnd w:id="293"/>
    </w:p>
    <w:p w14:paraId="169613CB">
      <w:pPr>
        <w:shd w:val="clear"/>
        <w:tabs>
          <w:tab w:val="left" w:pos="6300"/>
        </w:tabs>
        <w:snapToGrid w:val="0"/>
        <w:spacing w:line="312" w:lineRule="auto"/>
        <w:jc w:val="center"/>
        <w:rPr>
          <w:rFonts w:ascii="宋体" w:hAnsi="宋体" w:cs="宋体"/>
          <w:b/>
          <w:color w:val="auto"/>
          <w:sz w:val="44"/>
          <w:szCs w:val="44"/>
          <w:highlight w:val="none"/>
        </w:rPr>
      </w:pPr>
      <w:bookmarkStart w:id="294" w:name="_Toc106030905"/>
      <w:bookmarkStart w:id="295" w:name="_Toc32031"/>
      <w:bookmarkStart w:id="296" w:name="_Toc1018"/>
      <w:bookmarkStart w:id="297" w:name="_Toc17388"/>
      <w:bookmarkStart w:id="298" w:name="_Toc76462349"/>
      <w:bookmarkStart w:id="299" w:name="_Toc12987"/>
      <w:r>
        <w:rPr>
          <w:rFonts w:hint="eastAsia" w:ascii="宋体" w:hAnsi="宋体" w:cs="宋体"/>
          <w:b/>
          <w:color w:val="auto"/>
          <w:sz w:val="44"/>
          <w:szCs w:val="44"/>
          <w:highlight w:val="none"/>
        </w:rPr>
        <w:t>重庆市石桥铺殡仪馆配电室配电设备安全整改</w:t>
      </w:r>
    </w:p>
    <w:p w14:paraId="378D37DC">
      <w:pPr>
        <w:pStyle w:val="16"/>
        <w:shd w:val="clear"/>
        <w:ind w:left="0"/>
        <w:rPr>
          <w:rFonts w:ascii="宋体" w:hAnsi="宋体" w:cs="宋体"/>
          <w:b/>
          <w:color w:val="auto"/>
          <w:szCs w:val="44"/>
          <w:highlight w:val="none"/>
        </w:rPr>
      </w:pPr>
    </w:p>
    <w:p w14:paraId="25BCE527">
      <w:pPr>
        <w:pStyle w:val="16"/>
        <w:shd w:val="clear"/>
        <w:ind w:left="0"/>
        <w:rPr>
          <w:rFonts w:ascii="宋体" w:hAnsi="宋体" w:cs="宋体"/>
          <w:b/>
          <w:color w:val="auto"/>
          <w:szCs w:val="44"/>
          <w:highlight w:val="none"/>
        </w:rPr>
      </w:pPr>
    </w:p>
    <w:p w14:paraId="56C3CD62">
      <w:pPr>
        <w:pStyle w:val="16"/>
        <w:shd w:val="clear"/>
        <w:rPr>
          <w:rFonts w:ascii="宋体" w:hAnsi="宋体" w:cs="宋体"/>
          <w:b/>
          <w:color w:val="auto"/>
          <w:sz w:val="56"/>
          <w:szCs w:val="56"/>
          <w:highlight w:val="none"/>
        </w:rPr>
      </w:pPr>
    </w:p>
    <w:p w14:paraId="40EFCAB5">
      <w:pPr>
        <w:shd w:val="clear"/>
        <w:tabs>
          <w:tab w:val="left" w:pos="6300"/>
        </w:tabs>
        <w:snapToGrid w:val="0"/>
        <w:spacing w:line="312" w:lineRule="auto"/>
        <w:jc w:val="center"/>
        <w:rPr>
          <w:rFonts w:ascii="宋体" w:hAnsi="宋体" w:cs="宋体"/>
          <w:b/>
          <w:color w:val="auto"/>
          <w:sz w:val="56"/>
          <w:szCs w:val="56"/>
          <w:highlight w:val="none"/>
        </w:rPr>
      </w:pPr>
      <w:r>
        <w:rPr>
          <w:rFonts w:hint="eastAsia" w:ascii="宋体" w:hAnsi="宋体" w:cs="宋体"/>
          <w:b/>
          <w:color w:val="auto"/>
          <w:sz w:val="56"/>
          <w:szCs w:val="56"/>
          <w:highlight w:val="none"/>
        </w:rPr>
        <w:t>施</w:t>
      </w:r>
    </w:p>
    <w:p w14:paraId="1D39A901">
      <w:pPr>
        <w:pStyle w:val="15"/>
        <w:shd w:val="clear"/>
        <w:rPr>
          <w:color w:val="auto"/>
          <w:sz w:val="44"/>
          <w:szCs w:val="24"/>
          <w:highlight w:val="none"/>
        </w:rPr>
      </w:pPr>
    </w:p>
    <w:p w14:paraId="284A0365">
      <w:pPr>
        <w:shd w:val="clear"/>
        <w:tabs>
          <w:tab w:val="left" w:pos="6300"/>
        </w:tabs>
        <w:snapToGrid w:val="0"/>
        <w:spacing w:line="312" w:lineRule="auto"/>
        <w:jc w:val="center"/>
        <w:rPr>
          <w:rFonts w:ascii="宋体" w:hAnsi="宋体" w:cs="宋体"/>
          <w:b/>
          <w:color w:val="auto"/>
          <w:sz w:val="56"/>
          <w:szCs w:val="56"/>
          <w:highlight w:val="none"/>
        </w:rPr>
      </w:pPr>
      <w:r>
        <w:rPr>
          <w:rFonts w:hint="eastAsia" w:ascii="宋体" w:hAnsi="宋体" w:cs="宋体"/>
          <w:b/>
          <w:color w:val="auto"/>
          <w:sz w:val="56"/>
          <w:szCs w:val="56"/>
          <w:highlight w:val="none"/>
        </w:rPr>
        <w:t>工</w:t>
      </w:r>
    </w:p>
    <w:p w14:paraId="4689BC0F">
      <w:pPr>
        <w:pStyle w:val="15"/>
        <w:shd w:val="clear"/>
        <w:rPr>
          <w:color w:val="auto"/>
          <w:sz w:val="44"/>
          <w:szCs w:val="24"/>
          <w:highlight w:val="none"/>
        </w:rPr>
      </w:pPr>
    </w:p>
    <w:p w14:paraId="66E51A21">
      <w:pPr>
        <w:shd w:val="clear"/>
        <w:tabs>
          <w:tab w:val="left" w:pos="6300"/>
        </w:tabs>
        <w:snapToGrid w:val="0"/>
        <w:spacing w:line="312" w:lineRule="auto"/>
        <w:jc w:val="center"/>
        <w:rPr>
          <w:rFonts w:ascii="宋体" w:hAnsi="宋体" w:cs="宋体"/>
          <w:b/>
          <w:color w:val="auto"/>
          <w:sz w:val="56"/>
          <w:szCs w:val="56"/>
          <w:highlight w:val="none"/>
        </w:rPr>
      </w:pPr>
      <w:r>
        <w:rPr>
          <w:rFonts w:hint="eastAsia" w:ascii="宋体" w:hAnsi="宋体" w:cs="宋体"/>
          <w:b/>
          <w:color w:val="auto"/>
          <w:sz w:val="56"/>
          <w:szCs w:val="56"/>
          <w:highlight w:val="none"/>
        </w:rPr>
        <w:t>合</w:t>
      </w:r>
    </w:p>
    <w:p w14:paraId="48C47098">
      <w:pPr>
        <w:pStyle w:val="15"/>
        <w:shd w:val="clear"/>
        <w:rPr>
          <w:color w:val="auto"/>
          <w:sz w:val="44"/>
          <w:szCs w:val="24"/>
          <w:highlight w:val="none"/>
        </w:rPr>
      </w:pPr>
    </w:p>
    <w:p w14:paraId="757D02CC">
      <w:pPr>
        <w:shd w:val="clear"/>
        <w:tabs>
          <w:tab w:val="left" w:pos="6300"/>
        </w:tabs>
        <w:snapToGrid w:val="0"/>
        <w:spacing w:line="312" w:lineRule="auto"/>
        <w:jc w:val="center"/>
        <w:rPr>
          <w:rFonts w:ascii="宋体" w:hAnsi="宋体" w:cs="宋体"/>
          <w:b/>
          <w:color w:val="auto"/>
          <w:sz w:val="56"/>
          <w:szCs w:val="56"/>
          <w:highlight w:val="none"/>
        </w:rPr>
      </w:pPr>
      <w:r>
        <w:rPr>
          <w:rFonts w:hint="eastAsia" w:ascii="宋体" w:hAnsi="宋体" w:cs="宋体"/>
          <w:b/>
          <w:color w:val="auto"/>
          <w:sz w:val="56"/>
          <w:szCs w:val="56"/>
          <w:highlight w:val="none"/>
        </w:rPr>
        <w:t>同</w:t>
      </w:r>
    </w:p>
    <w:p w14:paraId="4D1DC168">
      <w:pPr>
        <w:shd w:val="clear"/>
        <w:tabs>
          <w:tab w:val="left" w:pos="6300"/>
        </w:tabs>
        <w:snapToGrid w:val="0"/>
        <w:spacing w:line="312" w:lineRule="auto"/>
        <w:ind w:firstLine="883" w:firstLineChars="200"/>
        <w:jc w:val="center"/>
        <w:rPr>
          <w:rFonts w:ascii="宋体" w:hAnsi="宋体" w:cs="宋体"/>
          <w:b/>
          <w:color w:val="auto"/>
          <w:sz w:val="44"/>
          <w:szCs w:val="44"/>
          <w:highlight w:val="none"/>
        </w:rPr>
      </w:pPr>
    </w:p>
    <w:p w14:paraId="6035C7C8">
      <w:pPr>
        <w:shd w:val="clear"/>
        <w:tabs>
          <w:tab w:val="left" w:pos="6300"/>
        </w:tabs>
        <w:snapToGrid w:val="0"/>
        <w:spacing w:line="312" w:lineRule="auto"/>
        <w:ind w:firstLine="883" w:firstLineChars="200"/>
        <w:jc w:val="center"/>
        <w:rPr>
          <w:rFonts w:ascii="宋体" w:hAnsi="宋体" w:cs="宋体"/>
          <w:b/>
          <w:color w:val="auto"/>
          <w:sz w:val="44"/>
          <w:szCs w:val="44"/>
          <w:highlight w:val="none"/>
        </w:rPr>
      </w:pPr>
    </w:p>
    <w:p w14:paraId="7EC658DD">
      <w:pPr>
        <w:pStyle w:val="16"/>
        <w:shd w:val="clear"/>
        <w:ind w:left="0"/>
        <w:rPr>
          <w:color w:val="auto"/>
          <w:highlight w:val="none"/>
        </w:rPr>
      </w:pPr>
    </w:p>
    <w:p w14:paraId="2C5E2971">
      <w:pPr>
        <w:shd w:val="clear"/>
        <w:tabs>
          <w:tab w:val="left" w:pos="6300"/>
        </w:tabs>
        <w:snapToGrid w:val="0"/>
        <w:spacing w:line="312" w:lineRule="auto"/>
        <w:ind w:firstLine="883" w:firstLineChars="200"/>
        <w:jc w:val="center"/>
        <w:rPr>
          <w:rFonts w:ascii="宋体" w:hAnsi="宋体" w:cs="宋体"/>
          <w:b/>
          <w:color w:val="auto"/>
          <w:sz w:val="44"/>
          <w:szCs w:val="44"/>
          <w:highlight w:val="none"/>
        </w:rPr>
      </w:pPr>
    </w:p>
    <w:p w14:paraId="6CDF6266">
      <w:pPr>
        <w:shd w:val="clear"/>
        <w:tabs>
          <w:tab w:val="left" w:pos="6300"/>
        </w:tabs>
        <w:snapToGrid w:val="0"/>
        <w:spacing w:line="312" w:lineRule="auto"/>
        <w:jc w:val="center"/>
        <w:rPr>
          <w:rFonts w:ascii="宋体" w:hAnsi="宋体" w:cs="宋体"/>
          <w:b/>
          <w:color w:val="auto"/>
          <w:sz w:val="44"/>
          <w:szCs w:val="44"/>
          <w:highlight w:val="none"/>
        </w:rPr>
      </w:pPr>
      <w:bookmarkStart w:id="300" w:name="_Toc16657"/>
      <w:bookmarkStart w:id="301" w:name="_Toc11144"/>
      <w:bookmarkStart w:id="302" w:name="_Toc504472979"/>
      <w:bookmarkStart w:id="303" w:name="_Toc2978"/>
      <w:bookmarkStart w:id="304" w:name="_Toc24099"/>
      <w:r>
        <w:rPr>
          <w:rFonts w:hint="eastAsia" w:ascii="宋体" w:hAnsi="宋体" w:cs="宋体"/>
          <w:b/>
          <w:color w:val="auto"/>
          <w:sz w:val="44"/>
          <w:szCs w:val="44"/>
          <w:highlight w:val="none"/>
        </w:rPr>
        <w:t>2025年</w:t>
      </w:r>
      <w:r>
        <w:rPr>
          <w:rFonts w:hint="eastAsia" w:ascii="宋体" w:hAnsi="宋体" w:cs="宋体"/>
          <w:b/>
          <w:color w:val="auto"/>
          <w:sz w:val="44"/>
          <w:szCs w:val="44"/>
          <w:highlight w:val="none"/>
          <w:u w:val="single"/>
        </w:rPr>
        <w:t xml:space="preserve">   </w:t>
      </w:r>
      <w:r>
        <w:rPr>
          <w:rFonts w:hint="eastAsia" w:ascii="宋体" w:hAnsi="宋体" w:cs="宋体"/>
          <w:b/>
          <w:color w:val="auto"/>
          <w:sz w:val="44"/>
          <w:szCs w:val="44"/>
          <w:highlight w:val="none"/>
        </w:rPr>
        <w:t>月</w:t>
      </w:r>
    </w:p>
    <w:p w14:paraId="2C993D9D">
      <w:pPr>
        <w:pStyle w:val="17"/>
        <w:shd w:val="clear"/>
        <w:ind w:left="1960" w:right="1960"/>
        <w:rPr>
          <w:rFonts w:ascii="宋体" w:hAnsi="宋体" w:cs="宋体"/>
          <w:b/>
          <w:color w:val="auto"/>
          <w:sz w:val="44"/>
          <w:szCs w:val="44"/>
          <w:highlight w:val="none"/>
        </w:rPr>
      </w:pPr>
    </w:p>
    <w:p w14:paraId="5517E04F">
      <w:pPr>
        <w:pStyle w:val="17"/>
        <w:shd w:val="clear"/>
        <w:ind w:left="1960" w:right="1960"/>
        <w:rPr>
          <w:rFonts w:ascii="宋体" w:hAnsi="宋体" w:cs="宋体"/>
          <w:b/>
          <w:color w:val="auto"/>
          <w:sz w:val="44"/>
          <w:szCs w:val="44"/>
          <w:highlight w:val="none"/>
        </w:rPr>
      </w:pPr>
    </w:p>
    <w:p w14:paraId="679A2D41">
      <w:pPr>
        <w:pStyle w:val="17"/>
        <w:shd w:val="clear"/>
        <w:ind w:left="1960" w:right="1960"/>
        <w:rPr>
          <w:rFonts w:ascii="宋体" w:hAnsi="宋体" w:cs="宋体"/>
          <w:b/>
          <w:color w:val="auto"/>
          <w:sz w:val="44"/>
          <w:szCs w:val="44"/>
          <w:highlight w:val="none"/>
        </w:rPr>
      </w:pPr>
    </w:p>
    <w:bookmarkEnd w:id="300"/>
    <w:bookmarkEnd w:id="301"/>
    <w:bookmarkEnd w:id="302"/>
    <w:bookmarkEnd w:id="303"/>
    <w:bookmarkEnd w:id="304"/>
    <w:p w14:paraId="4EFB8F38">
      <w:pPr>
        <w:shd w:val="clear"/>
        <w:snapToGrid w:val="0"/>
        <w:spacing w:line="400" w:lineRule="exact"/>
        <w:rPr>
          <w:rFonts w:ascii="宋体" w:hAnsi="宋体" w:cs="宋体"/>
          <w:b/>
          <w:bCs/>
          <w:color w:val="auto"/>
          <w:sz w:val="24"/>
          <w:szCs w:val="24"/>
          <w:highlight w:val="none"/>
          <w:u w:val="single"/>
        </w:rPr>
      </w:pPr>
      <w:r>
        <w:rPr>
          <w:rFonts w:hint="eastAsia" w:ascii="宋体" w:hAnsi="宋体" w:cs="宋体"/>
          <w:b/>
          <w:bCs/>
          <w:color w:val="auto"/>
          <w:sz w:val="24"/>
          <w:szCs w:val="24"/>
          <w:highlight w:val="none"/>
        </w:rPr>
        <w:t>发包单位（全称）：</w:t>
      </w:r>
      <w:r>
        <w:rPr>
          <w:rFonts w:hint="eastAsia" w:ascii="宋体" w:hAnsi="宋体" w:cs="宋体"/>
          <w:b/>
          <w:bCs/>
          <w:color w:val="auto"/>
          <w:sz w:val="24"/>
          <w:szCs w:val="24"/>
          <w:highlight w:val="none"/>
          <w:u w:val="single"/>
        </w:rPr>
        <w:t xml:space="preserve">                    </w:t>
      </w:r>
    </w:p>
    <w:p w14:paraId="6275EFD7">
      <w:pPr>
        <w:shd w:val="clear"/>
        <w:snapToGrid w:val="0"/>
        <w:spacing w:line="400" w:lineRule="exact"/>
        <w:rPr>
          <w:rFonts w:ascii="宋体" w:hAnsi="宋体" w:cs="宋体"/>
          <w:b/>
          <w:bCs/>
          <w:color w:val="auto"/>
          <w:sz w:val="24"/>
          <w:szCs w:val="24"/>
          <w:highlight w:val="none"/>
          <w:u w:val="single"/>
        </w:rPr>
      </w:pPr>
      <w:r>
        <w:rPr>
          <w:rFonts w:hint="eastAsia" w:ascii="宋体" w:hAnsi="宋体" w:cs="宋体"/>
          <w:b/>
          <w:bCs/>
          <w:color w:val="auto"/>
          <w:sz w:val="24"/>
          <w:szCs w:val="24"/>
          <w:highlight w:val="none"/>
        </w:rPr>
        <w:t>承包单位（全称）：</w:t>
      </w:r>
      <w:r>
        <w:rPr>
          <w:rFonts w:hint="eastAsia" w:ascii="宋体" w:hAnsi="宋体" w:cs="宋体"/>
          <w:b/>
          <w:bCs/>
          <w:color w:val="auto"/>
          <w:sz w:val="24"/>
          <w:szCs w:val="24"/>
          <w:highlight w:val="none"/>
          <w:u w:val="single"/>
        </w:rPr>
        <w:t xml:space="preserve">                    </w:t>
      </w:r>
    </w:p>
    <w:p w14:paraId="2F2756F2">
      <w:pPr>
        <w:shd w:val="clea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根据《中华人民共和国民法典》、《中华人民共和国建筑法》及有关法律规定，遵循平等、自愿、公平和诚实信用的原则，双方就</w:t>
      </w:r>
      <w:r>
        <w:rPr>
          <w:rFonts w:hint="eastAsia" w:ascii="宋体" w:hAnsi="宋体" w:cs="宋体"/>
          <w:color w:val="auto"/>
          <w:sz w:val="24"/>
          <w:szCs w:val="24"/>
          <w:highlight w:val="none"/>
          <w:u w:val="single"/>
        </w:rPr>
        <w:t xml:space="preserve"> 重庆市石桥铺殡仪馆配电室配电设备安全整改 </w:t>
      </w:r>
      <w:r>
        <w:rPr>
          <w:rFonts w:hint="eastAsia" w:ascii="宋体" w:hAnsi="宋体" w:cs="宋体"/>
          <w:color w:val="auto"/>
          <w:sz w:val="24"/>
          <w:szCs w:val="24"/>
          <w:highlight w:val="none"/>
        </w:rPr>
        <w:t>施工及有关事项协商一致，共同达成如下协议：</w:t>
      </w:r>
    </w:p>
    <w:p w14:paraId="7A61CF76">
      <w:pPr>
        <w:shd w:val="clear"/>
        <w:snapToGrid w:val="0"/>
        <w:spacing w:line="400" w:lineRule="exact"/>
        <w:rPr>
          <w:rFonts w:ascii="宋体" w:hAnsi="宋体" w:cs="宋体"/>
          <w:b/>
          <w:bCs/>
          <w:color w:val="auto"/>
          <w:sz w:val="24"/>
          <w:szCs w:val="24"/>
          <w:highlight w:val="none"/>
        </w:rPr>
      </w:pPr>
      <w:r>
        <w:rPr>
          <w:rFonts w:hint="eastAsia" w:ascii="宋体" w:hAnsi="宋体" w:cs="宋体"/>
          <w:b/>
          <w:bCs/>
          <w:color w:val="auto"/>
          <w:sz w:val="24"/>
          <w:szCs w:val="24"/>
          <w:highlight w:val="none"/>
        </w:rPr>
        <w:t xml:space="preserve"> 一、工程名称：</w:t>
      </w:r>
      <w:r>
        <w:rPr>
          <w:rFonts w:hint="eastAsia" w:ascii="宋体" w:hAnsi="宋体" w:cs="宋体"/>
          <w:color w:val="auto"/>
          <w:sz w:val="24"/>
          <w:szCs w:val="24"/>
          <w:highlight w:val="none"/>
          <w:u w:val="single"/>
        </w:rPr>
        <w:t>重庆市石桥铺殡仪馆配电室配电设备安全整改</w:t>
      </w:r>
    </w:p>
    <w:p w14:paraId="7CE05E80">
      <w:pPr>
        <w:shd w:val="clea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工程地点：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290A4D8B">
      <w:pPr>
        <w:shd w:val="clea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工程内容：详见《工程量清单》。</w:t>
      </w:r>
    </w:p>
    <w:p w14:paraId="6377DE13">
      <w:pPr>
        <w:shd w:val="clear"/>
        <w:snapToGrid w:val="0"/>
        <w:spacing w:line="40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计划开工日期：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08DEE1A5">
      <w:pPr>
        <w:shd w:val="clear"/>
        <w:snapToGrid w:val="0"/>
        <w:spacing w:line="40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计划竣工日期：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1EA1CF69">
      <w:pPr>
        <w:shd w:val="clea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工期总日历天数：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7765705F">
      <w:pPr>
        <w:shd w:val="clear"/>
        <w:snapToGrid w:val="0"/>
        <w:spacing w:line="400" w:lineRule="exact"/>
        <w:rPr>
          <w:rFonts w:ascii="宋体" w:hAnsi="宋体" w:cs="宋体"/>
          <w:b/>
          <w:bCs/>
          <w:color w:val="auto"/>
          <w:sz w:val="24"/>
          <w:szCs w:val="24"/>
          <w:highlight w:val="none"/>
        </w:rPr>
      </w:pPr>
      <w:r>
        <w:rPr>
          <w:rFonts w:hint="eastAsia" w:ascii="宋体" w:hAnsi="宋体" w:cs="宋体"/>
          <w:b/>
          <w:bCs/>
          <w:color w:val="auto"/>
          <w:sz w:val="24"/>
          <w:szCs w:val="24"/>
          <w:highlight w:val="none"/>
        </w:rPr>
        <w:t xml:space="preserve"> 二、质量标准</w:t>
      </w:r>
    </w:p>
    <w:p w14:paraId="2D1AAD33">
      <w:pPr>
        <w:shd w:val="clear"/>
        <w:snapToGrid w:val="0"/>
        <w:spacing w:line="400"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工程质量符合工程质量达到国家现行有关施工质量验收规范要求，并达到合格标准，符合设计和监理要求。</w:t>
      </w:r>
    </w:p>
    <w:p w14:paraId="7B49FFA1">
      <w:pPr>
        <w:shd w:val="clea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（一）签约合同价</w:t>
      </w:r>
    </w:p>
    <w:p w14:paraId="6ED72956">
      <w:pPr>
        <w:shd w:val="clea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1.签约合同价为：</w:t>
      </w:r>
    </w:p>
    <w:p w14:paraId="55095565">
      <w:pPr>
        <w:shd w:val="clear"/>
        <w:snapToGrid w:val="0"/>
        <w:spacing w:line="400" w:lineRule="exact"/>
        <w:ind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人民币（大写）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(小写：¥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w:t>
      </w:r>
    </w:p>
    <w:p w14:paraId="290C0AC0">
      <w:pPr>
        <w:shd w:val="clea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2.合同价格形式：</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2AD21A8F">
      <w:pPr>
        <w:shd w:val="clear"/>
        <w:snapToGrid w:val="0"/>
        <w:spacing w:line="40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二）履约保证金</w:t>
      </w:r>
    </w:p>
    <w:p w14:paraId="56EBD4C6">
      <w:pPr>
        <w:shd w:val="clear"/>
        <w:snapToGrid w:val="0"/>
        <w:spacing w:line="40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合同签订前承包单位向发包单位缴纳合同金额10%的履约保证金，履约保证金以支票、汇票、本票或者金融机构、担保机构出具的保函等非现金形式提交。本工程竣工验收合格后，发包单位在3个工作日内按程序办理退还手续（无息退还）。</w:t>
      </w:r>
    </w:p>
    <w:p w14:paraId="4631B16D">
      <w:pPr>
        <w:shd w:val="clea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rPr>
        <w:t>）付款</w:t>
      </w:r>
      <w:r>
        <w:rPr>
          <w:rFonts w:hint="eastAsia" w:ascii="宋体" w:hAnsi="宋体" w:cs="宋体"/>
          <w:color w:val="auto"/>
          <w:sz w:val="24"/>
          <w:szCs w:val="24"/>
          <w:highlight w:val="none"/>
          <w:lang w:val="en-US" w:eastAsia="zh-CN"/>
        </w:rPr>
        <w:t>方式</w:t>
      </w:r>
    </w:p>
    <w:p w14:paraId="5245EAE5">
      <w:pPr>
        <w:shd w:val="clear"/>
        <w:spacing w:line="440" w:lineRule="exact"/>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本项目完成并经发包单位验收合格后，发包单位向承包单位支付结算金额的80%；竣工结算审核后发包单位向承包单位支付至审定金额的100%，同时承包单位向发包单位缴纳审定金额3%的质量保证金。</w:t>
      </w:r>
    </w:p>
    <w:p w14:paraId="77D61E0A">
      <w:pPr>
        <w:shd w:val="clear"/>
        <w:spacing w:line="44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注：付款时承包单位向发包单位开具增值税专用发票。</w:t>
      </w:r>
    </w:p>
    <w:p w14:paraId="7ED2B57D">
      <w:pPr>
        <w:shd w:val="clear"/>
        <w:snapToGrid w:val="0"/>
        <w:spacing w:line="400" w:lineRule="exact"/>
        <w:rPr>
          <w:rFonts w:ascii="宋体" w:hAnsi="宋体" w:cs="宋体"/>
          <w:b/>
          <w:bCs/>
          <w:color w:val="auto"/>
          <w:sz w:val="24"/>
          <w:szCs w:val="24"/>
          <w:highlight w:val="none"/>
        </w:rPr>
      </w:pPr>
      <w:r>
        <w:rPr>
          <w:rFonts w:hint="eastAsia" w:ascii="宋体" w:hAnsi="宋体" w:cs="宋体"/>
          <w:b/>
          <w:bCs/>
          <w:color w:val="auto"/>
          <w:sz w:val="24"/>
          <w:szCs w:val="24"/>
          <w:highlight w:val="none"/>
        </w:rPr>
        <w:t>三、结算原则</w:t>
      </w:r>
    </w:p>
    <w:p w14:paraId="58500999">
      <w:pPr>
        <w:shd w:val="clea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本合同采用固定综合单价合同，综合单价不因工程量的增减（工程量的变化、施工方式的变化）而调整。除非合同另有约定，磋商报价的工程量清单中的综合单价均已包含但不限于供应商为实施和完成合同工程量清单项目所需的人工费、材料费、机械费、企业管理费、利润、风险费用。</w:t>
      </w:r>
    </w:p>
    <w:p w14:paraId="6ACB3340">
      <w:pPr>
        <w:shd w:val="clea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（二）各部分的结算原则如下：</w:t>
      </w:r>
    </w:p>
    <w:p w14:paraId="57F18AA9">
      <w:pPr>
        <w:shd w:val="clea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1.分部分项工程量清单结算总价：</w:t>
      </w:r>
    </w:p>
    <w:p w14:paraId="70F91437">
      <w:pPr>
        <w:shd w:val="clea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分部分项工程结算价=综合单价×子项工程量</w:t>
      </w:r>
    </w:p>
    <w:p w14:paraId="2E8EA13B">
      <w:pPr>
        <w:shd w:val="clea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综合单价=供应商初始报价中分部分项清单中的综合单价×下浮比例</w:t>
      </w:r>
    </w:p>
    <w:p w14:paraId="65EF686D">
      <w:pPr>
        <w:shd w:val="clea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下浮比例={供应商最后总报价-[安全文明施工费+暂估价（如果有）+暂列金额（如果有）}/{供应商初始总报价-[安全文明施工费+暂估价（如果有）+暂定金额（如果有）]×100%。</w:t>
      </w:r>
    </w:p>
    <w:p w14:paraId="54F79C86">
      <w:pPr>
        <w:shd w:val="clea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子项工程量：工程量计算以施工图、设计变更、有效签证资料（签字且盖章）及竣工图作为计算依据，按《重庆市建设工程工程量计算规则》（CQJLGZ-2013）、《建设工程工程量清单计价规范》（GB50500-2013）、《重庆市建设工程工程量清单计价规则》（CQQDGZ-2013）、《重庆市建设工程工程量清单计价指南》（2013）；定额执行《重庆市装饰装修工程计价定额》（CQZSDE-2018）、《重庆市房屋修缮工程计价定额》（CQFWXSDE-2018）、《重庆市安装工程计价定额》（CQAZDE-2018）、《重庆市建筑工程计价定额》（CQJZDE-2018）、《重庆市建设工程费用定额》（CQFYDE-2018）及其配套文件规定的计量规则计算的合格工程量作为结算依据。</w:t>
      </w:r>
    </w:p>
    <w:p w14:paraId="14DE241C">
      <w:pPr>
        <w:shd w:val="clea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2.设计变更费、新增项目</w:t>
      </w:r>
    </w:p>
    <w:p w14:paraId="47FF9AA8">
      <w:pPr>
        <w:shd w:val="clea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当发生设计变更或新增项目，发包</w:t>
      </w:r>
      <w:r>
        <w:rPr>
          <w:rFonts w:hint="eastAsia" w:ascii="宋体" w:hAnsi="宋体" w:cs="宋体"/>
          <w:color w:val="auto"/>
          <w:sz w:val="24"/>
          <w:szCs w:val="24"/>
          <w:highlight w:val="none"/>
          <w:lang w:val="en-US" w:eastAsia="zh-CN"/>
        </w:rPr>
        <w:t>单位</w:t>
      </w:r>
      <w:r>
        <w:rPr>
          <w:rFonts w:hint="eastAsia" w:ascii="宋体" w:hAnsi="宋体" w:cs="宋体"/>
          <w:color w:val="auto"/>
          <w:sz w:val="24"/>
          <w:szCs w:val="24"/>
          <w:highlight w:val="none"/>
        </w:rPr>
        <w:t>及监理工程师按照下列计价原则结算：</w:t>
      </w:r>
    </w:p>
    <w:p w14:paraId="28DCD7AC">
      <w:pPr>
        <w:shd w:val="clea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①已标价工程量清单中有适用于变更工作的子目，采用该子目的综合单价。</w:t>
      </w:r>
    </w:p>
    <w:p w14:paraId="4601BC4B">
      <w:pPr>
        <w:shd w:val="clea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②已标价工程量清单中无适用于变更工程的子目，但有类似子目的，可在合理范围内参照类似子目的综合单价，对该子目主材的价格进行调整。主材调整原则：投标时有的材料，调入时取投标价与投标当期重庆市建设工程造价总站主办的《重庆工程造价信息》的低值；投标时没有的材料，按发包人充分结合施工期市场核定的价格执行，并不高于施工同期《重庆工程造价信息》，调整后的综合单价作为类似子项目的综合单价（类似项目由采购人确定，投标的人工、材料单价表作为合同附件）。</w:t>
      </w:r>
    </w:p>
    <w:p w14:paraId="4D3E791C">
      <w:pPr>
        <w:shd w:val="clea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③已标价工程量清单中无适用或类似子目的综合单价，按国家技术和经济规范及标准、《重庆市建设工程工程量计算规则》（CQJLGZ－2013）、《建设工程工程量清单计价规范》（GB50500-2013）、《重庆市建设工程工程量清单计价规则》（CQQDGZ-2013）、《重庆市建设工程工程量清单计价指南》（2013）；定额执行《重庆市装饰装修工程计价定额》（CQZSDE-2018）、《重庆市房屋修缮工程计价定额》（CQFWXSDE-2018）、《重庆市安装工程计价定额》（CQAZDE-2018）、《重庆市建筑工程计价定额》（CQJZDE-2018）、《重庆市建设工程费用定额》（CQFYDE-2018）及其配套文件等（配套文件只执行合同签定之日前重庆市建委颁发的文件，合同签定之日后颁发的有关政策文件不予执行。）编制，再按成交总价与总价最高限价同比例进行下浮（其中人工价差、材料价差、未计价材料、不下浮）。其中人工工日、材料单价的确定原则：人工费按投标时有的投标价执行，若</w:t>
      </w:r>
      <w:r>
        <w:rPr>
          <w:rFonts w:hint="eastAsia" w:ascii="宋体" w:hAnsi="宋体" w:cs="宋体"/>
          <w:color w:val="auto"/>
          <w:sz w:val="24"/>
          <w:szCs w:val="24"/>
          <w:highlight w:val="none"/>
          <w:lang w:val="en-US" w:eastAsia="zh-CN"/>
        </w:rPr>
        <w:t>承包单位</w:t>
      </w:r>
      <w:r>
        <w:rPr>
          <w:rFonts w:hint="eastAsia" w:ascii="宋体" w:hAnsi="宋体" w:cs="宋体"/>
          <w:color w:val="auto"/>
          <w:sz w:val="24"/>
          <w:szCs w:val="24"/>
          <w:highlight w:val="none"/>
        </w:rPr>
        <w:t xml:space="preserve">磋商报价高于施工实施期《重庆工程造价信息》中对应的人工工日单价平均值（若发布的某一类别人工工日单价是区间值的，则按其算术平均值执行），则按施工实施期《重庆工程造价信息》中对应的人工工日单价平均值执行；材料结算价格：清单报价中已有的按响应文件中清单报价执行；清单报价中没有的按该项目施工期间的《重庆工程造价信息》信息价的算术平均价执行；磋商时没有的，发包人结合市场进行核定价格，且不高于施工同期《重庆工程造价信息》的价格。  </w:t>
      </w:r>
    </w:p>
    <w:p w14:paraId="6CE3CA8A">
      <w:pPr>
        <w:shd w:val="clea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3.安全文明施工费: 根据渝建发〔2014〕25号、《重庆市建设工程费用定额（2018）》文并结合渝建〔2019〕143号文按“合格”标准计取。</w:t>
      </w:r>
    </w:p>
    <w:p w14:paraId="620F96D0">
      <w:pPr>
        <w:shd w:val="clea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（四）最终结算原则</w:t>
      </w:r>
    </w:p>
    <w:p w14:paraId="6AB2B19F">
      <w:pPr>
        <w:shd w:val="clea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竣工结算价=Σ分部分项工程结算价+Σ措施项目结算价+Σ其他项目结算价±Σ价格调整（如有）±Σ变更、索赔与现场签证结算价±Σ奖励、罚金、违约金及其他费用+Σ规费+Σ税金。</w:t>
      </w:r>
    </w:p>
    <w:p w14:paraId="1C5747E9">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（五）本工程结算价最终以第三方机构审定金额为准。</w:t>
      </w:r>
    </w:p>
    <w:p w14:paraId="52849BBC">
      <w:pPr>
        <w:shd w:val="clear"/>
        <w:snapToGrid w:val="0"/>
        <w:spacing w:line="400" w:lineRule="exact"/>
        <w:rPr>
          <w:rFonts w:ascii="宋体" w:hAnsi="宋体" w:cs="宋体"/>
          <w:b/>
          <w:bCs/>
          <w:color w:val="auto"/>
          <w:sz w:val="24"/>
          <w:szCs w:val="24"/>
          <w:highlight w:val="none"/>
        </w:rPr>
      </w:pPr>
      <w:r>
        <w:rPr>
          <w:rFonts w:hint="eastAsia" w:ascii="宋体" w:hAnsi="宋体" w:cs="宋体"/>
          <w:b/>
          <w:bCs/>
          <w:color w:val="auto"/>
          <w:sz w:val="24"/>
          <w:szCs w:val="24"/>
          <w:highlight w:val="none"/>
        </w:rPr>
        <w:t>四、双方一般权利和义务</w:t>
      </w:r>
    </w:p>
    <w:p w14:paraId="1D7531A4">
      <w:pPr>
        <w:shd w:val="clea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（一）发包单位派驻</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对施工现场进行管理，协调施工单位、设计单位和监理单位的相关工作。</w:t>
      </w:r>
    </w:p>
    <w:p w14:paraId="0B84EA2F">
      <w:pPr>
        <w:shd w:val="clea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（二）发包单位应按约定的时间完成施工现场的开工前的准备工作，并按合同要求组织施工，保质保量地按期完成施工任务。</w:t>
      </w:r>
    </w:p>
    <w:p w14:paraId="64F1D471">
      <w:pPr>
        <w:shd w:val="clea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（三）施工场地与公共道路的通道保持</w:t>
      </w:r>
      <w:r>
        <w:rPr>
          <w:rFonts w:hint="eastAsia" w:ascii="宋体" w:hAnsi="宋体" w:cs="宋体"/>
          <w:color w:val="auto"/>
          <w:sz w:val="24"/>
          <w:szCs w:val="24"/>
          <w:highlight w:val="none"/>
          <w:lang w:eastAsia="zh-CN"/>
        </w:rPr>
        <w:t>畅通</w:t>
      </w:r>
      <w:r>
        <w:rPr>
          <w:rFonts w:hint="eastAsia" w:ascii="宋体" w:hAnsi="宋体" w:cs="宋体"/>
          <w:color w:val="auto"/>
          <w:sz w:val="24"/>
          <w:szCs w:val="24"/>
          <w:highlight w:val="none"/>
        </w:rPr>
        <w:t>。</w:t>
      </w:r>
    </w:p>
    <w:p w14:paraId="454E3907">
      <w:pPr>
        <w:shd w:val="clea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（四）承包单位应做好成品保护工作，保持施工现场清洁要求，竣工清理达到国家规定要求，同时满足发包单位有关规定。</w:t>
      </w:r>
    </w:p>
    <w:p w14:paraId="145AF5E8">
      <w:pPr>
        <w:shd w:val="clea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五）承包单位为了保证工程质量，必须建立合格的自检系统，配备足够的材料、设备和人员，并提交发包单位认可；以及在施工过程中，如果发现工程量清单本身或与现场有不符、错误之处，应以书面形式提交到发包单位，由发包单位会商后予以澄清。 </w:t>
      </w:r>
    </w:p>
    <w:p w14:paraId="3FFDE332">
      <w:pPr>
        <w:shd w:val="clea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（六）在施工有效期内，如因设计发生重大变更或发包单位同意的其他因素造成的工期延误，经发包单位签证确认盖章，工期可相应顺延。</w:t>
      </w:r>
    </w:p>
    <w:p w14:paraId="44A18756">
      <w:pPr>
        <w:pStyle w:val="17"/>
        <w:shd w:val="clear"/>
        <w:spacing w:line="400" w:lineRule="exact"/>
        <w:ind w:left="0" w:leftChars="0" w:right="1960"/>
        <w:rPr>
          <w:rFonts w:ascii="宋体" w:hAnsi="宋体" w:cs="宋体"/>
          <w:b/>
          <w:bCs/>
          <w:color w:val="auto"/>
          <w:sz w:val="24"/>
          <w:szCs w:val="24"/>
          <w:highlight w:val="none"/>
        </w:rPr>
      </w:pPr>
      <w:r>
        <w:rPr>
          <w:rFonts w:hint="eastAsia" w:ascii="宋体" w:hAnsi="宋体" w:cs="宋体"/>
          <w:b/>
          <w:bCs/>
          <w:color w:val="auto"/>
          <w:sz w:val="24"/>
          <w:szCs w:val="24"/>
          <w:highlight w:val="none"/>
        </w:rPr>
        <w:t>五、安全施工</w:t>
      </w:r>
    </w:p>
    <w:p w14:paraId="3D954201">
      <w:pPr>
        <w:shd w:val="clear"/>
        <w:snapToGrid w:val="0"/>
        <w:spacing w:line="400"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（一）承包单位应落实安全生产，对各种作业机械设备、用电、高空作业，按照安全生产作业规范，作出详细的措施安排和提出相应的防护措施，经工程监理认可后实施，防护措施费用由承包单位承担。</w:t>
      </w:r>
    </w:p>
    <w:p w14:paraId="5E29685D">
      <w:pPr>
        <w:shd w:val="clear"/>
        <w:snapToGrid w:val="0"/>
        <w:spacing w:line="400"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（二）工程施工过程中的一切安全责任由承包单位承担。</w:t>
      </w:r>
    </w:p>
    <w:p w14:paraId="715AC84B">
      <w:pPr>
        <w:shd w:val="clear"/>
        <w:snapToGrid w:val="0"/>
        <w:spacing w:line="400"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（三）发包单位或监理在施工过程中对承包单位的安全文明施工进行检查时，如发现某处达不到安全文明施工合格标准或存在安全隐患，发包单位可对承包单位处以违约处罚金1000元/次。</w:t>
      </w:r>
    </w:p>
    <w:p w14:paraId="0C95B1EB">
      <w:pPr>
        <w:shd w:val="clear"/>
        <w:snapToGrid w:val="0"/>
        <w:spacing w:line="400" w:lineRule="exact"/>
        <w:ind w:firstLine="420"/>
        <w:rPr>
          <w:rFonts w:ascii="宋体" w:hAnsi="宋体" w:cs="宋体"/>
          <w:color w:val="auto"/>
          <w:sz w:val="24"/>
          <w:szCs w:val="24"/>
          <w:highlight w:val="none"/>
        </w:rPr>
      </w:pPr>
      <w:bookmarkStart w:id="305" w:name="_Toc532375669"/>
      <w:bookmarkStart w:id="306" w:name="_Toc532377408"/>
      <w:bookmarkStart w:id="307" w:name="_Toc351203650"/>
      <w:r>
        <w:rPr>
          <w:rFonts w:hint="eastAsia" w:ascii="宋体" w:hAnsi="宋体" w:cs="宋体"/>
          <w:color w:val="auto"/>
          <w:sz w:val="24"/>
          <w:szCs w:val="24"/>
          <w:highlight w:val="none"/>
        </w:rPr>
        <w:t>（四）如本工程因承包单位的自身原因造成了安全事故（或致第三人损害的），其赔偿责任、安全事故责任和经济损失等由承包单位承担，与发包单位无关。</w:t>
      </w:r>
    </w:p>
    <w:p w14:paraId="0CC29B87">
      <w:pPr>
        <w:shd w:val="clear"/>
        <w:snapToGrid w:val="0"/>
        <w:spacing w:line="400"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（五）承包单位根据发包单位监管要求做好安全教育和管理，并自觉接受发包单位的指导和监督，承包单位负责对其施工人员的管理，并承担一切后果。</w:t>
      </w:r>
    </w:p>
    <w:p w14:paraId="6A70EDAF">
      <w:pPr>
        <w:pStyle w:val="17"/>
        <w:shd w:val="clear"/>
        <w:spacing w:line="400" w:lineRule="exact"/>
        <w:ind w:left="0" w:leftChars="0" w:right="1960"/>
        <w:rPr>
          <w:rFonts w:ascii="宋体" w:hAnsi="宋体" w:cs="宋体"/>
          <w:b/>
          <w:bCs/>
          <w:color w:val="auto"/>
          <w:sz w:val="24"/>
          <w:szCs w:val="24"/>
          <w:highlight w:val="none"/>
        </w:rPr>
      </w:pPr>
      <w:r>
        <w:rPr>
          <w:rFonts w:hint="eastAsia" w:ascii="宋体" w:hAnsi="宋体" w:cs="宋体"/>
          <w:b/>
          <w:bCs/>
          <w:color w:val="auto"/>
          <w:sz w:val="24"/>
          <w:szCs w:val="24"/>
          <w:highlight w:val="none"/>
        </w:rPr>
        <w:t>六、保险</w:t>
      </w:r>
      <w:bookmarkEnd w:id="305"/>
      <w:bookmarkEnd w:id="306"/>
      <w:bookmarkEnd w:id="307"/>
    </w:p>
    <w:p w14:paraId="33EFA409">
      <w:pPr>
        <w:pStyle w:val="15"/>
        <w:shd w:val="clear"/>
        <w:spacing w:line="400" w:lineRule="exact"/>
        <w:ind w:firstLine="480" w:firstLineChars="200"/>
        <w:rPr>
          <w:rFonts w:ascii="宋体" w:hAnsi="宋体" w:eastAsia="宋体" w:cs="宋体"/>
          <w:color w:val="auto"/>
          <w:sz w:val="24"/>
          <w:szCs w:val="24"/>
          <w:highlight w:val="none"/>
        </w:rPr>
      </w:pPr>
      <w:bookmarkStart w:id="308" w:name="_Toc532377409"/>
      <w:bookmarkStart w:id="309" w:name="_Toc532375670"/>
      <w:r>
        <w:rPr>
          <w:rFonts w:hint="eastAsia" w:ascii="宋体" w:hAnsi="宋体" w:eastAsia="宋体" w:cs="宋体"/>
          <w:color w:val="auto"/>
          <w:sz w:val="24"/>
          <w:szCs w:val="24"/>
          <w:highlight w:val="none"/>
        </w:rPr>
        <w:t>（一）承包单位按法律规定和合同约定采取施工安全和环境保护措施，在工程开工前，办理工伤保险，确保工程及人员、材料、设备和设施的安全。因投保产生的保险费和其他相关费用由承包单位承担。</w:t>
      </w:r>
    </w:p>
    <w:bookmarkEnd w:id="308"/>
    <w:bookmarkEnd w:id="309"/>
    <w:p w14:paraId="69C3296E">
      <w:pPr>
        <w:shd w:val="clear"/>
        <w:spacing w:line="400" w:lineRule="exact"/>
        <w:ind w:firstLine="480" w:firstLineChars="200"/>
        <w:rPr>
          <w:rFonts w:ascii="宋体" w:hAnsi="宋体" w:cs="宋体"/>
          <w:color w:val="auto"/>
          <w:sz w:val="24"/>
          <w:szCs w:val="24"/>
          <w:highlight w:val="none"/>
        </w:rPr>
      </w:pPr>
      <w:bookmarkStart w:id="310" w:name="_Toc532375671"/>
      <w:bookmarkStart w:id="311" w:name="_Toc532377410"/>
      <w:r>
        <w:rPr>
          <w:rFonts w:hint="eastAsia" w:ascii="宋体" w:hAnsi="宋体" w:cs="宋体"/>
          <w:color w:val="auto"/>
          <w:sz w:val="24"/>
          <w:szCs w:val="24"/>
          <w:highlight w:val="none"/>
        </w:rPr>
        <w:t>（二）关于工程保险的特别约定：该工程一切险或安装工程一切险应在工程开工前投保完成，投保产生的保险费由承包单位承担。</w:t>
      </w:r>
    </w:p>
    <w:p w14:paraId="1510D7F1">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（三）其他保险</w:t>
      </w:r>
      <w:bookmarkEnd w:id="310"/>
      <w:bookmarkEnd w:id="311"/>
    </w:p>
    <w:p w14:paraId="341FD18B">
      <w:pPr>
        <w:shd w:val="clea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安全生产责任险：承包单位应按《重庆市人民政府办公厅关于在高危行业领域强制推行安全生产责任保险的实施意见》（渝府办法〔2017〕182号）的要求办理安全生产责任保险。</w:t>
      </w:r>
    </w:p>
    <w:p w14:paraId="43F00088">
      <w:pPr>
        <w:pStyle w:val="17"/>
        <w:shd w:val="clear"/>
        <w:spacing w:line="400" w:lineRule="exact"/>
        <w:ind w:left="0" w:leftChars="0" w:right="1960"/>
        <w:rPr>
          <w:rFonts w:ascii="宋体" w:hAnsi="宋体" w:cs="宋体"/>
          <w:b/>
          <w:bCs/>
          <w:color w:val="auto"/>
          <w:sz w:val="24"/>
          <w:szCs w:val="24"/>
          <w:highlight w:val="none"/>
        </w:rPr>
      </w:pPr>
      <w:r>
        <w:rPr>
          <w:rFonts w:hint="eastAsia" w:ascii="宋体" w:hAnsi="宋体" w:cs="宋体"/>
          <w:b/>
          <w:bCs/>
          <w:color w:val="auto"/>
          <w:sz w:val="24"/>
          <w:szCs w:val="24"/>
          <w:highlight w:val="none"/>
        </w:rPr>
        <w:t>七、争议</w:t>
      </w:r>
    </w:p>
    <w:p w14:paraId="65AA13CA">
      <w:pPr>
        <w:shd w:val="clear"/>
        <w:snapToGrid w:val="0"/>
        <w:spacing w:line="400"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双方约定，在履行合同过程中产生争议时由双方负责人协商解决，协商不成的可依法向发包方所在人民法院提起诉讼。</w:t>
      </w:r>
    </w:p>
    <w:p w14:paraId="59B83045">
      <w:pPr>
        <w:shd w:val="clear"/>
        <w:snapToGrid w:val="0"/>
        <w:spacing w:line="400" w:lineRule="exact"/>
        <w:rPr>
          <w:rFonts w:ascii="宋体" w:hAnsi="宋体" w:cs="宋体"/>
          <w:b/>
          <w:bCs/>
          <w:color w:val="auto"/>
          <w:sz w:val="24"/>
          <w:szCs w:val="24"/>
          <w:highlight w:val="none"/>
        </w:rPr>
      </w:pPr>
      <w:r>
        <w:rPr>
          <w:rFonts w:hint="eastAsia" w:ascii="宋体" w:hAnsi="宋体" w:cs="宋体"/>
          <w:b/>
          <w:bCs/>
          <w:color w:val="auto"/>
          <w:sz w:val="24"/>
          <w:szCs w:val="24"/>
          <w:highlight w:val="none"/>
        </w:rPr>
        <w:t>八、承诺</w:t>
      </w:r>
    </w:p>
    <w:p w14:paraId="3DA39E9D">
      <w:pPr>
        <w:shd w:val="clea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（一）发包单位承诺按照法律规定履行项目审批手续、筹集工程建设资金并按照合同约定的期限和方式支付合同价款。</w:t>
      </w:r>
    </w:p>
    <w:p w14:paraId="1858A6BE">
      <w:pPr>
        <w:shd w:val="clea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（二）承包单位承诺按照法律规定及合同约定组织完成工程施工，确保工程质量和安全，不进行转包及违法分包，并在缺陷责任期及保修期内承担相应的工程维修责任。</w:t>
      </w:r>
    </w:p>
    <w:p w14:paraId="71B2BDD1">
      <w:pPr>
        <w:shd w:val="clea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（三）发包单位和承包单位通过招投标形式签订合同的，双方理解并承诺不再就同一工程另行签订与合同实质性内容相背离的协议。</w:t>
      </w:r>
    </w:p>
    <w:p w14:paraId="2FA2B11D">
      <w:pPr>
        <w:shd w:val="clear"/>
        <w:snapToGrid w:val="0"/>
        <w:spacing w:line="400" w:lineRule="exact"/>
        <w:rPr>
          <w:rFonts w:ascii="宋体" w:hAnsi="宋体" w:cs="宋体"/>
          <w:b/>
          <w:bCs/>
          <w:color w:val="auto"/>
          <w:sz w:val="24"/>
          <w:szCs w:val="24"/>
          <w:highlight w:val="none"/>
        </w:rPr>
      </w:pPr>
      <w:r>
        <w:rPr>
          <w:rFonts w:hint="eastAsia" w:ascii="宋体" w:hAnsi="宋体" w:cs="宋体"/>
          <w:b/>
          <w:bCs/>
          <w:color w:val="auto"/>
          <w:sz w:val="24"/>
          <w:szCs w:val="24"/>
          <w:highlight w:val="none"/>
        </w:rPr>
        <w:t xml:space="preserve"> 九、签订时间</w:t>
      </w:r>
    </w:p>
    <w:p w14:paraId="213314E1">
      <w:pPr>
        <w:shd w:val="clea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本合同于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日签订。</w:t>
      </w:r>
    </w:p>
    <w:p w14:paraId="642D2D30">
      <w:pPr>
        <w:shd w:val="clear"/>
        <w:snapToGrid w:val="0"/>
        <w:spacing w:line="400" w:lineRule="exact"/>
        <w:rPr>
          <w:rFonts w:ascii="宋体" w:hAnsi="宋体" w:cs="宋体"/>
          <w:b/>
          <w:bCs/>
          <w:color w:val="auto"/>
          <w:sz w:val="24"/>
          <w:szCs w:val="24"/>
          <w:highlight w:val="none"/>
        </w:rPr>
      </w:pPr>
      <w:r>
        <w:rPr>
          <w:rFonts w:hint="eastAsia" w:ascii="宋体" w:hAnsi="宋体" w:cs="宋体"/>
          <w:b/>
          <w:bCs/>
          <w:color w:val="auto"/>
          <w:sz w:val="24"/>
          <w:szCs w:val="24"/>
          <w:highlight w:val="none"/>
        </w:rPr>
        <w:t xml:space="preserve"> 十、签订地点</w:t>
      </w:r>
    </w:p>
    <w:p w14:paraId="73B5CBFB">
      <w:pPr>
        <w:shd w:val="clea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本合同在</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签订。</w:t>
      </w:r>
    </w:p>
    <w:p w14:paraId="1D162C82">
      <w:pPr>
        <w:shd w:val="clear"/>
        <w:snapToGrid w:val="0"/>
        <w:spacing w:line="400" w:lineRule="exact"/>
        <w:rPr>
          <w:rFonts w:ascii="宋体" w:hAnsi="宋体" w:cs="宋体"/>
          <w:b/>
          <w:bCs/>
          <w:color w:val="auto"/>
          <w:sz w:val="24"/>
          <w:szCs w:val="24"/>
          <w:highlight w:val="none"/>
        </w:rPr>
      </w:pPr>
      <w:r>
        <w:rPr>
          <w:rFonts w:hint="eastAsia" w:ascii="宋体" w:hAnsi="宋体" w:cs="宋体"/>
          <w:b/>
          <w:bCs/>
          <w:color w:val="auto"/>
          <w:sz w:val="24"/>
          <w:szCs w:val="24"/>
          <w:highlight w:val="none"/>
        </w:rPr>
        <w:t xml:space="preserve"> 十一、补充协议</w:t>
      </w:r>
    </w:p>
    <w:p w14:paraId="3F6F6765">
      <w:pPr>
        <w:shd w:val="clear"/>
        <w:snapToGrid w:val="0"/>
        <w:spacing w:line="400" w:lineRule="exact"/>
        <w:ind w:firstLine="480" w:firstLineChars="200"/>
        <w:rPr>
          <w:rFonts w:ascii="宋体" w:hAnsi="宋体" w:cs="宋体"/>
          <w:b/>
          <w:bCs/>
          <w:color w:val="auto"/>
          <w:sz w:val="24"/>
          <w:szCs w:val="24"/>
          <w:highlight w:val="none"/>
        </w:rPr>
      </w:pPr>
      <w:r>
        <w:rPr>
          <w:rFonts w:hint="eastAsia" w:ascii="宋体" w:hAnsi="宋体" w:cs="宋体"/>
          <w:color w:val="auto"/>
          <w:sz w:val="24"/>
          <w:szCs w:val="24"/>
          <w:highlight w:val="none"/>
        </w:rPr>
        <w:t>合同未尽事宜，合同当事人另行签订补充协议，补充协议是合同的组成部分。</w:t>
      </w:r>
    </w:p>
    <w:p w14:paraId="49714524">
      <w:pPr>
        <w:shd w:val="clear"/>
        <w:snapToGrid w:val="0"/>
        <w:spacing w:line="400" w:lineRule="exact"/>
        <w:rPr>
          <w:rFonts w:ascii="宋体" w:hAnsi="宋体" w:cs="宋体"/>
          <w:b/>
          <w:bCs/>
          <w:color w:val="auto"/>
          <w:sz w:val="24"/>
          <w:szCs w:val="24"/>
          <w:highlight w:val="none"/>
        </w:rPr>
      </w:pPr>
      <w:r>
        <w:rPr>
          <w:rFonts w:hint="eastAsia" w:ascii="宋体" w:hAnsi="宋体" w:cs="宋体"/>
          <w:b/>
          <w:bCs/>
          <w:color w:val="auto"/>
          <w:sz w:val="24"/>
          <w:szCs w:val="24"/>
          <w:highlight w:val="none"/>
        </w:rPr>
        <w:t xml:space="preserve"> 十二、合同生效</w:t>
      </w:r>
    </w:p>
    <w:p w14:paraId="1BD8E185">
      <w:pPr>
        <w:shd w:val="clea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本合同自双方签字盖章后生效。</w:t>
      </w:r>
    </w:p>
    <w:p w14:paraId="2B248A5C">
      <w:pPr>
        <w:shd w:val="clear"/>
        <w:snapToGrid w:val="0"/>
        <w:spacing w:line="400" w:lineRule="exact"/>
        <w:rPr>
          <w:rFonts w:ascii="宋体" w:hAnsi="宋体" w:cs="宋体"/>
          <w:b/>
          <w:bCs/>
          <w:color w:val="auto"/>
          <w:sz w:val="24"/>
          <w:szCs w:val="24"/>
          <w:highlight w:val="none"/>
        </w:rPr>
      </w:pPr>
      <w:r>
        <w:rPr>
          <w:rFonts w:hint="eastAsia" w:ascii="宋体" w:hAnsi="宋体" w:cs="宋体"/>
          <w:b/>
          <w:bCs/>
          <w:color w:val="auto"/>
          <w:sz w:val="24"/>
          <w:szCs w:val="24"/>
          <w:highlight w:val="none"/>
        </w:rPr>
        <w:t xml:space="preserve"> 十三、合同份数</w:t>
      </w:r>
    </w:p>
    <w:p w14:paraId="6AC71200">
      <w:pPr>
        <w:shd w:val="clea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本合同一式</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份，均具有同等法律效力，发包单位执</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份，承包单位执</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w:t>
      </w:r>
    </w:p>
    <w:p w14:paraId="3531D09A">
      <w:pPr>
        <w:pStyle w:val="17"/>
        <w:shd w:val="clear"/>
        <w:spacing w:line="400" w:lineRule="exact"/>
        <w:ind w:left="0" w:leftChars="0" w:right="1960"/>
        <w:rPr>
          <w:rFonts w:ascii="宋体" w:hAnsi="宋体" w:cs="宋体"/>
          <w:color w:val="auto"/>
          <w:sz w:val="24"/>
          <w:szCs w:val="24"/>
          <w:highlight w:val="none"/>
        </w:rPr>
      </w:pPr>
      <w:r>
        <w:rPr>
          <w:rFonts w:hint="eastAsia" w:ascii="宋体" w:hAnsi="宋体" w:cs="宋体"/>
          <w:b/>
          <w:bCs/>
          <w:color w:val="auto"/>
          <w:sz w:val="24"/>
          <w:szCs w:val="24"/>
          <w:highlight w:val="none"/>
        </w:rPr>
        <w:t xml:space="preserve"> 十四、其他</w:t>
      </w:r>
    </w:p>
    <w:p w14:paraId="25540911">
      <w:pPr>
        <w:shd w:val="clear"/>
        <w:snapToGrid w:val="0"/>
        <w:spacing w:line="400" w:lineRule="exact"/>
        <w:ind w:firstLine="470" w:firstLineChars="196"/>
        <w:rPr>
          <w:rFonts w:ascii="宋体" w:hAnsi="宋体" w:cs="宋体"/>
          <w:color w:val="auto"/>
          <w:sz w:val="24"/>
          <w:szCs w:val="24"/>
          <w:highlight w:val="none"/>
        </w:rPr>
      </w:pPr>
      <w:r>
        <w:rPr>
          <w:rFonts w:hint="eastAsia" w:ascii="宋体" w:hAnsi="宋体" w:cs="宋体"/>
          <w:color w:val="auto"/>
          <w:sz w:val="24"/>
          <w:szCs w:val="24"/>
          <w:highlight w:val="none"/>
        </w:rPr>
        <w:t>合同附件须包含《工程安全文明施工承诺书》、《民工工资承诺书》、《廉政承诺书》。</w:t>
      </w:r>
    </w:p>
    <w:p w14:paraId="742EC1A8">
      <w:pPr>
        <w:pStyle w:val="17"/>
        <w:shd w:val="clear"/>
        <w:spacing w:line="400" w:lineRule="exact"/>
        <w:ind w:left="1960" w:right="1960"/>
        <w:rPr>
          <w:rFonts w:ascii="宋体" w:hAnsi="宋体" w:cs="宋体"/>
          <w:color w:val="auto"/>
          <w:sz w:val="24"/>
          <w:szCs w:val="24"/>
          <w:highlight w:val="none"/>
        </w:rPr>
      </w:pPr>
    </w:p>
    <w:p w14:paraId="093ECCAA">
      <w:pPr>
        <w:shd w:val="clear"/>
        <w:snapToGrid w:val="0"/>
        <w:spacing w:line="400" w:lineRule="exact"/>
        <w:rPr>
          <w:rFonts w:ascii="宋体" w:hAnsi="宋体" w:cs="宋体"/>
          <w:color w:val="auto"/>
          <w:sz w:val="24"/>
          <w:szCs w:val="24"/>
          <w:highlight w:val="none"/>
        </w:rPr>
      </w:pPr>
    </w:p>
    <w:p w14:paraId="1453AB07">
      <w:pPr>
        <w:shd w:val="clear"/>
        <w:snapToGrid w:val="0"/>
        <w:spacing w:line="400" w:lineRule="exact"/>
        <w:rPr>
          <w:rFonts w:ascii="宋体" w:hAnsi="宋体" w:cs="宋体"/>
          <w:color w:val="auto"/>
          <w:sz w:val="24"/>
          <w:szCs w:val="24"/>
          <w:highlight w:val="none"/>
        </w:rPr>
      </w:pPr>
    </w:p>
    <w:p w14:paraId="5CAF3C4A">
      <w:pPr>
        <w:shd w:val="clea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发包单位 (公章) ：                       承包单位 (公章)： </w:t>
      </w:r>
    </w:p>
    <w:p w14:paraId="765FF7E7">
      <w:pPr>
        <w:shd w:val="clear"/>
        <w:snapToGrid w:val="0"/>
        <w:spacing w:line="40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w:t>
      </w:r>
    </w:p>
    <w:p w14:paraId="3B7C4D12">
      <w:pPr>
        <w:shd w:val="clea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授权代表：                               法定代表人或其委托代理人：</w:t>
      </w:r>
    </w:p>
    <w:p w14:paraId="2D24B8C0">
      <w:pPr>
        <w:shd w:val="clear"/>
        <w:snapToGrid w:val="0"/>
        <w:spacing w:line="40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w:t>
      </w:r>
    </w:p>
    <w:p w14:paraId="245C4DC4">
      <w:pPr>
        <w:pStyle w:val="17"/>
        <w:shd w:val="clear"/>
        <w:spacing w:line="400" w:lineRule="exact"/>
        <w:ind w:left="0" w:leftChars="0" w:right="0" w:rightChars="0" w:firstLine="480" w:firstLineChars="200"/>
        <w:rPr>
          <w:rFonts w:ascii="宋体" w:hAnsi="宋体" w:cs="宋体"/>
          <w:color w:val="auto"/>
          <w:sz w:val="24"/>
          <w:szCs w:val="24"/>
          <w:highlight w:val="none"/>
        </w:rPr>
      </w:pPr>
    </w:p>
    <w:p w14:paraId="45C11C1A">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签约时间：        年    月    日</w:t>
      </w:r>
    </w:p>
    <w:p w14:paraId="68F29337">
      <w:pPr>
        <w:shd w:val="clear"/>
        <w:spacing w:line="360" w:lineRule="exact"/>
        <w:ind w:firstLine="880" w:firstLineChars="200"/>
        <w:jc w:val="center"/>
        <w:rPr>
          <w:rFonts w:ascii="宋体" w:hAnsi="宋体" w:cs="宋体"/>
          <w:color w:val="auto"/>
          <w:sz w:val="44"/>
          <w:szCs w:val="44"/>
          <w:highlight w:val="none"/>
        </w:rPr>
      </w:pPr>
    </w:p>
    <w:p w14:paraId="23CF509C">
      <w:pPr>
        <w:shd w:val="clear"/>
        <w:spacing w:line="360" w:lineRule="exact"/>
        <w:jc w:val="center"/>
        <w:rPr>
          <w:rFonts w:ascii="宋体" w:hAnsi="宋体" w:cs="宋体"/>
          <w:color w:val="auto"/>
          <w:sz w:val="44"/>
          <w:szCs w:val="44"/>
          <w:highlight w:val="none"/>
        </w:rPr>
      </w:pPr>
    </w:p>
    <w:p w14:paraId="143D8DD2">
      <w:pPr>
        <w:shd w:val="clear"/>
        <w:spacing w:line="360" w:lineRule="exact"/>
        <w:rPr>
          <w:rFonts w:ascii="宋体" w:hAnsi="宋体" w:cs="宋体"/>
          <w:color w:val="auto"/>
          <w:sz w:val="44"/>
          <w:szCs w:val="44"/>
          <w:highlight w:val="none"/>
        </w:rPr>
      </w:pPr>
    </w:p>
    <w:p w14:paraId="7A194EA1">
      <w:pPr>
        <w:shd w:val="clear"/>
        <w:spacing w:line="40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b/>
          <w:color w:val="auto"/>
          <w:sz w:val="36"/>
          <w:szCs w:val="36"/>
          <w:highlight w:val="none"/>
        </w:rPr>
        <w:t>工程安全文明施工承诺书</w:t>
      </w:r>
    </w:p>
    <w:p w14:paraId="1F40B165">
      <w:pPr>
        <w:shd w:val="clear"/>
        <w:spacing w:line="400" w:lineRule="exact"/>
        <w:rPr>
          <w:rFonts w:ascii="宋体" w:hAnsi="宋体" w:cs="宋体"/>
          <w:color w:val="auto"/>
          <w:szCs w:val="28"/>
          <w:highlight w:val="none"/>
        </w:rPr>
      </w:pPr>
    </w:p>
    <w:p w14:paraId="43C01667">
      <w:pPr>
        <w:shd w:val="clear"/>
        <w:spacing w:line="40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发包单位：</w:t>
      </w:r>
      <w:r>
        <w:rPr>
          <w:rFonts w:hint="eastAsia" w:ascii="宋体" w:hAnsi="宋体" w:cs="宋体"/>
          <w:color w:val="auto"/>
          <w:sz w:val="24"/>
          <w:szCs w:val="24"/>
          <w:highlight w:val="none"/>
          <w:u w:val="single"/>
        </w:rPr>
        <w:t xml:space="preserve">                        </w:t>
      </w:r>
    </w:p>
    <w:p w14:paraId="61379E44">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承包单位：</w:t>
      </w:r>
      <w:r>
        <w:rPr>
          <w:rFonts w:hint="eastAsia" w:ascii="宋体" w:hAnsi="宋体" w:cs="宋体"/>
          <w:color w:val="auto"/>
          <w:sz w:val="24"/>
          <w:szCs w:val="24"/>
          <w:highlight w:val="none"/>
          <w:u w:val="single"/>
        </w:rPr>
        <w:t xml:space="preserve">                        </w:t>
      </w:r>
    </w:p>
    <w:p w14:paraId="03F2488E">
      <w:pPr>
        <w:numPr>
          <w:ilvl w:val="0"/>
          <w:numId w:val="3"/>
        </w:num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目的：为维护双方的共同利益，保证施工质量和安全生产，保持良好的工作秩序和施工场所的安全、卫生环境，经双方平等协商，签订本施工协议。</w:t>
      </w:r>
    </w:p>
    <w:p w14:paraId="22F49D5D">
      <w:pPr>
        <w:numPr>
          <w:ilvl w:val="0"/>
          <w:numId w:val="3"/>
        </w:numPr>
        <w:shd w:val="clear"/>
        <w:spacing w:line="40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施工项目：</w:t>
      </w:r>
      <w:r>
        <w:rPr>
          <w:rFonts w:hint="eastAsia" w:ascii="宋体" w:hAnsi="宋体" w:cs="宋体"/>
          <w:color w:val="auto"/>
          <w:sz w:val="24"/>
          <w:szCs w:val="24"/>
          <w:highlight w:val="none"/>
          <w:u w:val="single"/>
        </w:rPr>
        <w:t xml:space="preserve">                        </w:t>
      </w:r>
    </w:p>
    <w:p w14:paraId="558116A7">
      <w:pPr>
        <w:numPr>
          <w:ilvl w:val="0"/>
          <w:numId w:val="3"/>
        </w:num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施工地点：</w:t>
      </w:r>
      <w:r>
        <w:rPr>
          <w:rFonts w:hint="eastAsia" w:ascii="宋体" w:hAnsi="宋体" w:cs="宋体"/>
          <w:color w:val="auto"/>
          <w:sz w:val="24"/>
          <w:szCs w:val="24"/>
          <w:highlight w:val="none"/>
          <w:u w:val="single"/>
        </w:rPr>
        <w:t xml:space="preserve">                        </w:t>
      </w:r>
    </w:p>
    <w:p w14:paraId="35DD384D">
      <w:pPr>
        <w:numPr>
          <w:ilvl w:val="0"/>
          <w:numId w:val="3"/>
        </w:num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施工工期：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天</w:t>
      </w:r>
    </w:p>
    <w:p w14:paraId="0BAC0C12">
      <w:pPr>
        <w:numPr>
          <w:ilvl w:val="0"/>
          <w:numId w:val="3"/>
        </w:num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协议内容：</w:t>
      </w:r>
    </w:p>
    <w:p w14:paraId="260F190D">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承包单位进场施工，须经发包单位同意，并指定施工负责人，施工现场设立安全监督人员，便于施工过程中的协调，联系。同时，在不影响发包单位安全生产运行的前提下，发包单位为承包单位提供施工便利条件和服务。</w:t>
      </w:r>
    </w:p>
    <w:p w14:paraId="47050F49">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（二）承包单位施工前，必须对施工人员进行安全教育，并与发包单位公司签订《施工安全协议书》，发包单位不承担对承包单位进行安全教育内容。</w:t>
      </w:r>
    </w:p>
    <w:p w14:paraId="69219703">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（三）承包单位施工人员必须穿戴劳保用品如安全帽、安全带等，特种作业人员还必须持有特种作业操作证。</w:t>
      </w:r>
    </w:p>
    <w:p w14:paraId="0BCB8248">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（四）承包单位应在施工区域设置明显标志，对于时间较长的集中性施工项目要做好封闭处理，施工人员应在施工区域内活动，不得随意进入非施工区域，发包单位人员有权随时检查。</w:t>
      </w:r>
    </w:p>
    <w:p w14:paraId="2FDF55CE">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（五）施工队伍的安全防护器材必须配置到位，切实落实安全措施，否则将不得开工作业；施工中因违章操作等原因造成意外的人身伤害或事故损失应由承包单位负责。</w:t>
      </w:r>
    </w:p>
    <w:p w14:paraId="5B11AE87">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（六）施工过程中使用到发包单位的水、电等，所需费用由发包单位承担。</w:t>
      </w:r>
    </w:p>
    <w:p w14:paraId="76C8BC22">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（七）施工完成后，承包单位向发包单位提供相应施工资料。</w:t>
      </w:r>
    </w:p>
    <w:p w14:paraId="7B19B3EF">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（八）其它未尽事宜由甲乙双方协商解决。</w:t>
      </w:r>
    </w:p>
    <w:p w14:paraId="109BD4E3">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（九）本协议书作为合同附件，双方签字盖章之日起生效，至承包单位负责施工之上述施工项目办完工程验收后，即告终止。</w:t>
      </w:r>
    </w:p>
    <w:p w14:paraId="2D2BEE6C">
      <w:pPr>
        <w:shd w:val="clear"/>
        <w:spacing w:line="400" w:lineRule="exact"/>
        <w:rPr>
          <w:rFonts w:ascii="宋体" w:hAnsi="宋体" w:cs="宋体"/>
          <w:color w:val="auto"/>
          <w:sz w:val="24"/>
          <w:szCs w:val="24"/>
          <w:highlight w:val="none"/>
        </w:rPr>
      </w:pPr>
    </w:p>
    <w:p w14:paraId="12B377EA">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发包单位（签字）：                       承包单位（签字）：</w:t>
      </w:r>
    </w:p>
    <w:p w14:paraId="7FA4A906">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盖章                                     盖章</w:t>
      </w:r>
    </w:p>
    <w:p w14:paraId="7FB9816F">
      <w:pPr>
        <w:shd w:val="clear"/>
        <w:spacing w:line="400" w:lineRule="exact"/>
        <w:ind w:firstLine="480" w:firstLineChars="200"/>
        <w:rPr>
          <w:rFonts w:ascii="宋体" w:hAnsi="宋体" w:cs="宋体"/>
          <w:color w:val="auto"/>
          <w:sz w:val="24"/>
          <w:szCs w:val="24"/>
          <w:highlight w:val="none"/>
        </w:rPr>
      </w:pPr>
    </w:p>
    <w:p w14:paraId="71B1F915">
      <w:pPr>
        <w:shd w:val="clear"/>
        <w:spacing w:line="400" w:lineRule="exact"/>
        <w:ind w:firstLine="480" w:firstLineChars="200"/>
        <w:rPr>
          <w:rFonts w:ascii="宋体" w:hAnsi="宋体" w:cs="宋体"/>
          <w:color w:val="auto"/>
          <w:highlight w:val="none"/>
        </w:rPr>
      </w:pPr>
      <w:r>
        <w:rPr>
          <w:rFonts w:hint="eastAsia" w:ascii="宋体" w:hAnsi="宋体" w:cs="宋体"/>
          <w:color w:val="auto"/>
          <w:sz w:val="24"/>
          <w:szCs w:val="24"/>
          <w:highlight w:val="none"/>
        </w:rPr>
        <w:t xml:space="preserve">        年   月    日                            年    月    日</w:t>
      </w:r>
    </w:p>
    <w:p w14:paraId="02EB4B29">
      <w:pPr>
        <w:shd w:val="clear"/>
        <w:spacing w:line="360" w:lineRule="exact"/>
        <w:rPr>
          <w:rFonts w:ascii="宋体" w:hAnsi="宋体" w:cs="宋体"/>
          <w:color w:val="auto"/>
          <w:highlight w:val="none"/>
        </w:rPr>
      </w:pPr>
    </w:p>
    <w:p w14:paraId="2C140EC3">
      <w:pPr>
        <w:shd w:val="clear"/>
        <w:spacing w:line="400" w:lineRule="exact"/>
        <w:jc w:val="center"/>
        <w:rPr>
          <w:rFonts w:ascii="宋体" w:hAnsi="宋体" w:cs="宋体"/>
          <w:b/>
          <w:bCs/>
          <w:snapToGrid w:val="0"/>
          <w:color w:val="auto"/>
          <w:sz w:val="44"/>
          <w:szCs w:val="44"/>
          <w:highlight w:val="none"/>
        </w:rPr>
      </w:pPr>
      <w:r>
        <w:rPr>
          <w:rFonts w:hint="eastAsia" w:ascii="宋体" w:hAnsi="宋体" w:cs="宋体"/>
          <w:b/>
          <w:bCs/>
          <w:snapToGrid w:val="0"/>
          <w:color w:val="auto"/>
          <w:sz w:val="44"/>
          <w:szCs w:val="44"/>
          <w:highlight w:val="none"/>
        </w:rPr>
        <w:br w:type="page"/>
      </w:r>
      <w:r>
        <w:rPr>
          <w:rFonts w:hint="eastAsia" w:ascii="宋体" w:hAnsi="宋体" w:cs="宋体"/>
          <w:b/>
          <w:color w:val="auto"/>
          <w:sz w:val="36"/>
          <w:szCs w:val="36"/>
          <w:highlight w:val="none"/>
        </w:rPr>
        <w:t>民工工资承诺书</w:t>
      </w:r>
    </w:p>
    <w:p w14:paraId="7F2E24BB">
      <w:pPr>
        <w:pStyle w:val="15"/>
        <w:shd w:val="clear"/>
        <w:spacing w:line="400" w:lineRule="exact"/>
        <w:rPr>
          <w:rFonts w:ascii="宋体" w:hAnsi="宋体" w:eastAsia="宋体" w:cs="宋体"/>
          <w:color w:val="auto"/>
          <w:highlight w:val="none"/>
        </w:rPr>
      </w:pPr>
    </w:p>
    <w:p w14:paraId="638E9DD3">
      <w:pPr>
        <w:shd w:val="clea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w:t>
      </w:r>
    </w:p>
    <w:p w14:paraId="55692950">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为贯彻国务院关于杜绝拖欠工资的指示精神，保证工程施工的顺利进行，确保工程建设质量和进度，我公司承诺：贵单位支付的工程款我公司保证按时足额优先支付民工工资、材料款、机械租赁费用等，并接受贵单位的监督和检查。一经发现我公司存在拖欠民工工资、材料款的行为或出现民工闹事现象，我公司保证将无条件筹集资金立即足额发放农民工工资、材料款等，并愿意接受贵单位的任何针对性的惩罚措施。</w:t>
      </w:r>
    </w:p>
    <w:p w14:paraId="17828CC7">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我公司承诺一旦发生拖欠民工工资及材料款的情况，我公司将无条件接受贵单位代扣工程款直接支付给农民工工资及材料供应商的权力，并对由此造成的一切后果承担全部责任。</w:t>
      </w:r>
    </w:p>
    <w:p w14:paraId="3C0BFFE8">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本承诺书作为合同附件。</w:t>
      </w:r>
    </w:p>
    <w:p w14:paraId="235BDF84">
      <w:pPr>
        <w:shd w:val="clear"/>
        <w:spacing w:line="400" w:lineRule="exact"/>
        <w:ind w:firstLine="480" w:firstLineChars="200"/>
        <w:rPr>
          <w:rFonts w:ascii="宋体" w:hAnsi="宋体" w:cs="宋体"/>
          <w:color w:val="auto"/>
          <w:sz w:val="24"/>
          <w:szCs w:val="24"/>
          <w:highlight w:val="none"/>
        </w:rPr>
      </w:pPr>
    </w:p>
    <w:p w14:paraId="2E6EAC9F">
      <w:pPr>
        <w:shd w:val="clear"/>
        <w:spacing w:line="400" w:lineRule="exact"/>
        <w:ind w:firstLine="480" w:firstLineChars="200"/>
        <w:jc w:val="left"/>
        <w:rPr>
          <w:rFonts w:ascii="宋体" w:hAnsi="宋体" w:cs="宋体"/>
          <w:snapToGrid w:val="0"/>
          <w:color w:val="auto"/>
          <w:sz w:val="24"/>
          <w:szCs w:val="24"/>
          <w:highlight w:val="none"/>
        </w:rPr>
      </w:pPr>
    </w:p>
    <w:p w14:paraId="41E57F6B">
      <w:pPr>
        <w:shd w:val="clear"/>
        <w:spacing w:afterLines="50" w:line="400" w:lineRule="exact"/>
        <w:ind w:firstLine="5760" w:firstLineChars="2400"/>
        <w:jc w:val="left"/>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保证单位（加盖公章）：</w:t>
      </w:r>
    </w:p>
    <w:p w14:paraId="02098C73">
      <w:pPr>
        <w:shd w:val="clear"/>
        <w:spacing w:afterLines="50" w:line="400" w:lineRule="exact"/>
        <w:ind w:firstLine="5760" w:firstLineChars="2400"/>
        <w:jc w:val="left"/>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经办人（签字）：</w:t>
      </w:r>
    </w:p>
    <w:p w14:paraId="1E31144B">
      <w:pPr>
        <w:shd w:val="clear"/>
        <w:spacing w:afterLines="50" w:line="400" w:lineRule="exact"/>
        <w:ind w:firstLine="5760" w:firstLineChars="2400"/>
        <w:jc w:val="left"/>
        <w:rPr>
          <w:rFonts w:ascii="宋体" w:hAnsi="宋体" w:cs="宋体"/>
          <w:snapToGrid w:val="0"/>
          <w:color w:val="auto"/>
          <w:szCs w:val="28"/>
          <w:highlight w:val="none"/>
        </w:rPr>
      </w:pPr>
      <w:r>
        <w:rPr>
          <w:rFonts w:hint="eastAsia" w:ascii="宋体" w:hAnsi="宋体" w:cs="宋体"/>
          <w:snapToGrid w:val="0"/>
          <w:color w:val="auto"/>
          <w:sz w:val="24"/>
          <w:szCs w:val="24"/>
          <w:highlight w:val="none"/>
        </w:rPr>
        <w:t xml:space="preserve">日期： </w:t>
      </w:r>
      <w:r>
        <w:rPr>
          <w:rFonts w:hint="eastAsia" w:ascii="宋体" w:hAnsi="宋体" w:cs="宋体"/>
          <w:snapToGrid w:val="0"/>
          <w:color w:val="auto"/>
          <w:szCs w:val="28"/>
          <w:highlight w:val="none"/>
        </w:rPr>
        <w:t xml:space="preserve">  </w:t>
      </w:r>
    </w:p>
    <w:p w14:paraId="1BC3AAC1">
      <w:pPr>
        <w:pStyle w:val="17"/>
        <w:shd w:val="clear"/>
        <w:ind w:left="1960" w:right="1960"/>
        <w:rPr>
          <w:rFonts w:ascii="宋体" w:hAnsi="宋体" w:cs="宋体"/>
          <w:snapToGrid w:val="0"/>
          <w:color w:val="auto"/>
          <w:szCs w:val="28"/>
          <w:highlight w:val="none"/>
        </w:rPr>
      </w:pPr>
    </w:p>
    <w:p w14:paraId="36A73D13">
      <w:pPr>
        <w:pStyle w:val="17"/>
        <w:shd w:val="clear"/>
        <w:ind w:left="1960" w:right="1960"/>
        <w:rPr>
          <w:rFonts w:ascii="宋体" w:hAnsi="宋体" w:cs="宋体"/>
          <w:snapToGrid w:val="0"/>
          <w:color w:val="auto"/>
          <w:szCs w:val="28"/>
          <w:highlight w:val="none"/>
        </w:rPr>
      </w:pPr>
    </w:p>
    <w:p w14:paraId="76036905">
      <w:pPr>
        <w:pStyle w:val="17"/>
        <w:shd w:val="clear"/>
        <w:ind w:left="1960" w:right="1960"/>
        <w:rPr>
          <w:rFonts w:ascii="宋体" w:hAnsi="宋体" w:cs="宋体"/>
          <w:snapToGrid w:val="0"/>
          <w:color w:val="auto"/>
          <w:szCs w:val="28"/>
          <w:highlight w:val="none"/>
        </w:rPr>
      </w:pPr>
    </w:p>
    <w:p w14:paraId="0C8D37BA">
      <w:pPr>
        <w:pStyle w:val="17"/>
        <w:shd w:val="clear"/>
        <w:ind w:left="1960" w:right="1960"/>
        <w:rPr>
          <w:rFonts w:ascii="宋体" w:hAnsi="宋体" w:cs="宋体"/>
          <w:snapToGrid w:val="0"/>
          <w:color w:val="auto"/>
          <w:szCs w:val="28"/>
          <w:highlight w:val="none"/>
        </w:rPr>
      </w:pPr>
    </w:p>
    <w:p w14:paraId="01BBC644">
      <w:pPr>
        <w:pStyle w:val="17"/>
        <w:shd w:val="clear"/>
        <w:ind w:left="1960" w:right="1960"/>
        <w:rPr>
          <w:rFonts w:ascii="宋体" w:hAnsi="宋体" w:cs="宋体"/>
          <w:snapToGrid w:val="0"/>
          <w:color w:val="auto"/>
          <w:szCs w:val="28"/>
          <w:highlight w:val="none"/>
        </w:rPr>
      </w:pPr>
    </w:p>
    <w:p w14:paraId="2A558D3E">
      <w:pPr>
        <w:pStyle w:val="17"/>
        <w:shd w:val="clear"/>
        <w:ind w:left="1960" w:right="1960"/>
        <w:rPr>
          <w:rFonts w:ascii="宋体" w:hAnsi="宋体" w:cs="宋体"/>
          <w:snapToGrid w:val="0"/>
          <w:color w:val="auto"/>
          <w:szCs w:val="28"/>
          <w:highlight w:val="none"/>
        </w:rPr>
      </w:pPr>
    </w:p>
    <w:p w14:paraId="505FAA4D">
      <w:pPr>
        <w:pStyle w:val="17"/>
        <w:shd w:val="clear"/>
        <w:ind w:left="1960" w:right="1960"/>
        <w:rPr>
          <w:rFonts w:ascii="宋体" w:hAnsi="宋体" w:cs="宋体"/>
          <w:snapToGrid w:val="0"/>
          <w:color w:val="auto"/>
          <w:szCs w:val="28"/>
          <w:highlight w:val="none"/>
        </w:rPr>
      </w:pPr>
    </w:p>
    <w:p w14:paraId="10F9C5D0">
      <w:pPr>
        <w:pStyle w:val="17"/>
        <w:shd w:val="clear"/>
        <w:ind w:left="1960" w:right="1960"/>
        <w:rPr>
          <w:rFonts w:ascii="宋体" w:hAnsi="宋体" w:cs="宋体"/>
          <w:snapToGrid w:val="0"/>
          <w:color w:val="auto"/>
          <w:szCs w:val="28"/>
          <w:highlight w:val="none"/>
        </w:rPr>
      </w:pPr>
    </w:p>
    <w:p w14:paraId="469475CA">
      <w:pPr>
        <w:pStyle w:val="17"/>
        <w:shd w:val="clear"/>
        <w:ind w:left="1960" w:right="1960"/>
        <w:rPr>
          <w:rFonts w:ascii="宋体" w:hAnsi="宋体" w:cs="宋体"/>
          <w:snapToGrid w:val="0"/>
          <w:color w:val="auto"/>
          <w:szCs w:val="28"/>
          <w:highlight w:val="none"/>
        </w:rPr>
      </w:pPr>
    </w:p>
    <w:p w14:paraId="076CB392">
      <w:pPr>
        <w:pStyle w:val="17"/>
        <w:shd w:val="clear"/>
        <w:ind w:left="1960" w:right="1960"/>
        <w:rPr>
          <w:rFonts w:ascii="宋体" w:hAnsi="宋体" w:cs="宋体"/>
          <w:snapToGrid w:val="0"/>
          <w:color w:val="auto"/>
          <w:szCs w:val="28"/>
          <w:highlight w:val="none"/>
        </w:rPr>
      </w:pPr>
    </w:p>
    <w:p w14:paraId="6F2750E7">
      <w:pPr>
        <w:pStyle w:val="17"/>
        <w:shd w:val="clear"/>
        <w:ind w:left="1960" w:right="1960"/>
        <w:rPr>
          <w:rFonts w:ascii="宋体" w:hAnsi="宋体" w:cs="宋体"/>
          <w:snapToGrid w:val="0"/>
          <w:color w:val="auto"/>
          <w:szCs w:val="28"/>
          <w:highlight w:val="none"/>
        </w:rPr>
      </w:pPr>
    </w:p>
    <w:p w14:paraId="47C47850">
      <w:pPr>
        <w:pStyle w:val="17"/>
        <w:shd w:val="clear"/>
        <w:ind w:left="1960" w:right="1960"/>
        <w:rPr>
          <w:rFonts w:ascii="宋体" w:hAnsi="宋体" w:cs="宋体"/>
          <w:snapToGrid w:val="0"/>
          <w:color w:val="auto"/>
          <w:szCs w:val="28"/>
          <w:highlight w:val="none"/>
        </w:rPr>
      </w:pPr>
    </w:p>
    <w:p w14:paraId="3FC97A91">
      <w:pPr>
        <w:pStyle w:val="17"/>
        <w:shd w:val="clear"/>
        <w:ind w:left="1960" w:right="1960"/>
        <w:rPr>
          <w:rFonts w:ascii="宋体" w:hAnsi="宋体" w:cs="宋体"/>
          <w:snapToGrid w:val="0"/>
          <w:color w:val="auto"/>
          <w:szCs w:val="28"/>
          <w:highlight w:val="none"/>
        </w:rPr>
      </w:pPr>
    </w:p>
    <w:p w14:paraId="0C306B4C">
      <w:pPr>
        <w:pStyle w:val="17"/>
        <w:shd w:val="clear"/>
        <w:ind w:left="1960" w:right="1960"/>
        <w:rPr>
          <w:rFonts w:ascii="宋体" w:hAnsi="宋体" w:cs="宋体"/>
          <w:snapToGrid w:val="0"/>
          <w:color w:val="auto"/>
          <w:szCs w:val="28"/>
          <w:highlight w:val="none"/>
        </w:rPr>
      </w:pPr>
    </w:p>
    <w:p w14:paraId="40D28163">
      <w:pPr>
        <w:pStyle w:val="17"/>
        <w:shd w:val="clear"/>
        <w:ind w:left="1960" w:right="1960"/>
        <w:rPr>
          <w:rFonts w:ascii="宋体" w:hAnsi="宋体" w:cs="宋体"/>
          <w:snapToGrid w:val="0"/>
          <w:color w:val="auto"/>
          <w:szCs w:val="28"/>
          <w:highlight w:val="none"/>
        </w:rPr>
      </w:pPr>
    </w:p>
    <w:p w14:paraId="4F039E43">
      <w:pPr>
        <w:pStyle w:val="17"/>
        <w:shd w:val="clear"/>
        <w:ind w:left="1960" w:right="1960"/>
        <w:rPr>
          <w:rFonts w:ascii="宋体" w:hAnsi="宋体" w:cs="宋体"/>
          <w:snapToGrid w:val="0"/>
          <w:color w:val="auto"/>
          <w:szCs w:val="28"/>
          <w:highlight w:val="none"/>
        </w:rPr>
      </w:pPr>
    </w:p>
    <w:p w14:paraId="35ADA01E">
      <w:pPr>
        <w:pStyle w:val="17"/>
        <w:shd w:val="clear"/>
        <w:ind w:left="1960" w:right="1960"/>
        <w:rPr>
          <w:rFonts w:ascii="宋体" w:hAnsi="宋体" w:cs="宋体"/>
          <w:snapToGrid w:val="0"/>
          <w:color w:val="auto"/>
          <w:szCs w:val="28"/>
          <w:highlight w:val="none"/>
        </w:rPr>
      </w:pPr>
    </w:p>
    <w:p w14:paraId="5D1412AD">
      <w:pPr>
        <w:pStyle w:val="17"/>
        <w:shd w:val="clear"/>
        <w:ind w:left="1960" w:right="1960"/>
        <w:rPr>
          <w:rFonts w:ascii="宋体" w:hAnsi="宋体" w:cs="宋体"/>
          <w:snapToGrid w:val="0"/>
          <w:color w:val="auto"/>
          <w:szCs w:val="28"/>
          <w:highlight w:val="none"/>
        </w:rPr>
      </w:pPr>
    </w:p>
    <w:p w14:paraId="151C64ED">
      <w:pPr>
        <w:pStyle w:val="4"/>
        <w:numPr>
          <w:ilvl w:val="1"/>
          <w:numId w:val="0"/>
        </w:numPr>
        <w:shd w:val="clear"/>
        <w:spacing w:line="360" w:lineRule="auto"/>
        <w:jc w:val="center"/>
        <w:rPr>
          <w:rFonts w:ascii="宋体" w:hAnsi="宋体" w:eastAsia="宋体" w:cs="宋体"/>
          <w:color w:val="auto"/>
          <w:sz w:val="36"/>
          <w:szCs w:val="30"/>
          <w:highlight w:val="none"/>
        </w:rPr>
      </w:pPr>
      <w:bookmarkStart w:id="312" w:name="_Toc12933"/>
      <w:r>
        <w:rPr>
          <w:rFonts w:hint="eastAsia" w:ascii="宋体" w:hAnsi="宋体" w:eastAsia="宋体" w:cs="宋体"/>
          <w:color w:val="auto"/>
          <w:sz w:val="36"/>
          <w:szCs w:val="30"/>
          <w:highlight w:val="none"/>
        </w:rPr>
        <w:t>第七篇  响应文件编制要求</w:t>
      </w:r>
      <w:bookmarkEnd w:id="294"/>
      <w:bookmarkEnd w:id="295"/>
      <w:bookmarkEnd w:id="296"/>
      <w:bookmarkEnd w:id="297"/>
      <w:bookmarkEnd w:id="298"/>
      <w:bookmarkEnd w:id="299"/>
      <w:bookmarkEnd w:id="312"/>
    </w:p>
    <w:p w14:paraId="5CF0D1F4">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一、经济部分</w:t>
      </w:r>
    </w:p>
    <w:p w14:paraId="0CAD1332">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（一）竞争性磋商报价函</w:t>
      </w:r>
    </w:p>
    <w:p w14:paraId="46F0896D">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（二）分项报价明细表</w:t>
      </w:r>
    </w:p>
    <w:p w14:paraId="7887C526">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二、服务部分</w:t>
      </w:r>
    </w:p>
    <w:p w14:paraId="000B99A1">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（一）服务响应偏离表</w:t>
      </w:r>
    </w:p>
    <w:p w14:paraId="4FCFD309">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（二）其他资料（格式自定）</w:t>
      </w:r>
    </w:p>
    <w:p w14:paraId="3AC00710">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三、商务部分</w:t>
      </w:r>
    </w:p>
    <w:p w14:paraId="0FCC3AAA">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（一）商务响应偏离表</w:t>
      </w:r>
    </w:p>
    <w:p w14:paraId="16605AAB">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（二）其它优惠服务承诺（格式自定）</w:t>
      </w:r>
    </w:p>
    <w:p w14:paraId="7044CA7C">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四、资格条件及其他</w:t>
      </w:r>
    </w:p>
    <w:p w14:paraId="6F535EC5">
      <w:pPr>
        <w:shd w:val="clea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14:paraId="28E08374">
      <w:pPr>
        <w:shd w:val="clea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（二）法定代表人身份证明书（格式）</w:t>
      </w:r>
    </w:p>
    <w:p w14:paraId="5D84530C">
      <w:pPr>
        <w:shd w:val="clea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（三）法定代表人授权委托书（格式）</w:t>
      </w:r>
    </w:p>
    <w:p w14:paraId="686E054D">
      <w:pPr>
        <w:shd w:val="clea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（四）基本资格条件承诺函（格式）</w:t>
      </w:r>
    </w:p>
    <w:p w14:paraId="4CD2F91A">
      <w:pPr>
        <w:shd w:val="clea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（五）特定资格条件证书或证明文件</w:t>
      </w:r>
    </w:p>
    <w:p w14:paraId="3EB54653">
      <w:pPr>
        <w:shd w:val="clear"/>
        <w:spacing w:line="400" w:lineRule="exact"/>
        <w:ind w:firstLine="480" w:firstLineChars="200"/>
        <w:rPr>
          <w:rFonts w:ascii="宋体" w:hAnsi="宋体" w:cs="宋体"/>
          <w:b/>
          <w:color w:val="auto"/>
          <w:sz w:val="24"/>
          <w:szCs w:val="24"/>
          <w:highlight w:val="none"/>
        </w:rPr>
      </w:pPr>
      <w:r>
        <w:rPr>
          <w:rFonts w:hint="eastAsia" w:ascii="宋体" w:hAnsi="宋体" w:cs="宋体"/>
          <w:color w:val="auto"/>
          <w:sz w:val="24"/>
          <w:szCs w:val="24"/>
          <w:highlight w:val="none"/>
        </w:rPr>
        <w:t>五、其他资料</w:t>
      </w:r>
    </w:p>
    <w:p w14:paraId="5771A5F2">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（一）其他与项目有关的资料</w:t>
      </w:r>
    </w:p>
    <w:p w14:paraId="429BF33A">
      <w:pPr>
        <w:shd w:val="clear"/>
        <w:spacing w:line="400" w:lineRule="exact"/>
        <w:ind w:left="476" w:leftChars="170"/>
        <w:rPr>
          <w:rFonts w:ascii="宋体" w:hAnsi="宋体" w:cs="宋体"/>
          <w:color w:val="auto"/>
          <w:sz w:val="24"/>
          <w:szCs w:val="24"/>
          <w:highlight w:val="none"/>
        </w:rPr>
        <w:sectPr>
          <w:footerReference r:id="rId11" w:type="default"/>
          <w:pgSz w:w="11907" w:h="16840"/>
          <w:pgMar w:top="1134" w:right="1191" w:bottom="1134" w:left="1304" w:header="624" w:footer="992" w:gutter="0"/>
          <w:pgNumType w:fmt="numberInDash"/>
          <w:cols w:space="720" w:num="1"/>
          <w:docGrid w:linePitch="380" w:charSpace="-5735"/>
        </w:sectPr>
      </w:pPr>
      <w:r>
        <w:rPr>
          <w:rFonts w:hint="eastAsia" w:ascii="宋体" w:hAnsi="宋体" w:cs="宋体"/>
          <w:color w:val="auto"/>
          <w:sz w:val="24"/>
          <w:szCs w:val="24"/>
          <w:highlight w:val="none"/>
        </w:rPr>
        <w:br w:type="textWrapping"/>
      </w:r>
    </w:p>
    <w:p w14:paraId="6B22A446">
      <w:pPr>
        <w:pStyle w:val="4"/>
        <w:numPr>
          <w:ilvl w:val="1"/>
          <w:numId w:val="0"/>
        </w:numPr>
        <w:shd w:val="clear"/>
        <w:adjustRightInd w:val="0"/>
        <w:snapToGrid w:val="0"/>
        <w:spacing w:line="400" w:lineRule="exact"/>
        <w:rPr>
          <w:rFonts w:ascii="宋体" w:hAnsi="宋体" w:eastAsia="宋体" w:cs="宋体"/>
          <w:b/>
          <w:bCs w:val="0"/>
          <w:color w:val="auto"/>
          <w:sz w:val="24"/>
          <w:highlight w:val="none"/>
        </w:rPr>
      </w:pPr>
      <w:bookmarkStart w:id="313" w:name="_Toc313888360"/>
      <w:bookmarkStart w:id="314" w:name="_Toc2656"/>
      <w:bookmarkStart w:id="315" w:name="_Toc106030906"/>
      <w:bookmarkStart w:id="316" w:name="_Toc23464"/>
      <w:bookmarkStart w:id="317" w:name="_Toc12836"/>
      <w:bookmarkStart w:id="318" w:name="_Toc313008356"/>
      <w:bookmarkStart w:id="319" w:name="_Toc342913419"/>
      <w:bookmarkStart w:id="320" w:name="_Toc31217"/>
      <w:bookmarkStart w:id="321" w:name="_Toc76462350"/>
      <w:bookmarkStart w:id="322" w:name="_Toc13360"/>
      <w:bookmarkStart w:id="323" w:name="_Toc283382454"/>
      <w:bookmarkStart w:id="324" w:name="_Toc12789073"/>
      <w:r>
        <w:rPr>
          <w:rFonts w:hint="eastAsia" w:ascii="宋体" w:hAnsi="宋体" w:eastAsia="宋体" w:cs="宋体"/>
          <w:b/>
          <w:bCs w:val="0"/>
          <w:color w:val="auto"/>
          <w:sz w:val="24"/>
          <w:highlight w:val="none"/>
        </w:rPr>
        <w:t>一、经济部分</w:t>
      </w:r>
      <w:bookmarkEnd w:id="313"/>
      <w:bookmarkEnd w:id="314"/>
      <w:bookmarkEnd w:id="315"/>
      <w:bookmarkEnd w:id="316"/>
      <w:bookmarkEnd w:id="317"/>
      <w:bookmarkEnd w:id="318"/>
      <w:bookmarkEnd w:id="319"/>
      <w:bookmarkEnd w:id="320"/>
      <w:bookmarkEnd w:id="321"/>
      <w:bookmarkEnd w:id="322"/>
    </w:p>
    <w:bookmarkEnd w:id="323"/>
    <w:bookmarkEnd w:id="324"/>
    <w:p w14:paraId="2B2DE8AD">
      <w:pPr>
        <w:shd w:val="clea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（一）竞争性磋商报价函</w:t>
      </w:r>
    </w:p>
    <w:p w14:paraId="301707FF">
      <w:pPr>
        <w:shd w:val="clear"/>
        <w:jc w:val="center"/>
        <w:rPr>
          <w:rFonts w:ascii="宋体" w:hAnsi="宋体" w:cs="宋体"/>
          <w:b/>
          <w:color w:val="auto"/>
          <w:szCs w:val="28"/>
          <w:highlight w:val="none"/>
        </w:rPr>
      </w:pPr>
      <w:r>
        <w:rPr>
          <w:rFonts w:hint="eastAsia" w:ascii="宋体" w:hAnsi="宋体" w:cs="宋体"/>
          <w:b/>
          <w:color w:val="auto"/>
          <w:szCs w:val="28"/>
          <w:highlight w:val="none"/>
        </w:rPr>
        <w:t>竞争性磋商报价函</w:t>
      </w:r>
    </w:p>
    <w:p w14:paraId="44C1CC18">
      <w:pPr>
        <w:shd w:val="clear"/>
        <w:tabs>
          <w:tab w:val="left" w:pos="6300"/>
        </w:tabs>
        <w:snapToGrid w:val="0"/>
        <w:spacing w:line="312" w:lineRule="auto"/>
        <w:rPr>
          <w:rFonts w:ascii="宋体" w:hAnsi="宋体" w:cs="宋体"/>
          <w:color w:val="auto"/>
          <w:sz w:val="24"/>
          <w:szCs w:val="24"/>
          <w:highlight w:val="none"/>
        </w:rPr>
      </w:pPr>
      <w:r>
        <w:rPr>
          <w:rFonts w:hint="eastAsia" w:ascii="宋体" w:hAnsi="宋体" w:cs="宋体"/>
          <w:color w:val="auto"/>
          <w:sz w:val="24"/>
          <w:szCs w:val="24"/>
          <w:highlight w:val="none"/>
          <w:u w:val="single"/>
        </w:rPr>
        <w:t>（采购代理机构名称）</w:t>
      </w:r>
      <w:r>
        <w:rPr>
          <w:rFonts w:hint="eastAsia" w:ascii="宋体" w:hAnsi="宋体" w:cs="宋体"/>
          <w:color w:val="auto"/>
          <w:sz w:val="24"/>
          <w:szCs w:val="24"/>
          <w:highlight w:val="none"/>
        </w:rPr>
        <w:t>：</w:t>
      </w:r>
    </w:p>
    <w:p w14:paraId="76136C20">
      <w:pPr>
        <w:shd w:val="clea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我方收到____________________________（磋商项目名称）的竞争性磋商文件，经详细研究，决定参加该项目的磋商。</w:t>
      </w:r>
    </w:p>
    <w:p w14:paraId="504DDD04">
      <w:pPr>
        <w:shd w:val="clea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1.愿意按照竞争性磋商文件中的一切要求，提供本项目的服务，初始报价为人民币大写：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元整，人民币小写：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元（其中安全文明施工费：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元）。以我公司最后报价为准。</w:t>
      </w:r>
    </w:p>
    <w:p w14:paraId="5D78F8C8">
      <w:pPr>
        <w:shd w:val="clea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2.我方现提交的响应文件为：响应文件正本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份，副本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份，电子文档</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w:t>
      </w:r>
    </w:p>
    <w:p w14:paraId="14637633">
      <w:pPr>
        <w:shd w:val="clea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3.我方承诺：本次磋商的有效期为提交响应文件截止时间起90天。</w:t>
      </w:r>
    </w:p>
    <w:p w14:paraId="63027D68">
      <w:pPr>
        <w:shd w:val="clea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4.我方完全理解和接受贵方竞争性磋商文件的一切规定和要求及评审办法。</w:t>
      </w:r>
    </w:p>
    <w:p w14:paraId="2016E3CE">
      <w:pPr>
        <w:shd w:val="clea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5.在整个竞争性磋商过程中，我方若有违规行为，接受按照《中华人民共和国政府采购法》和《竞争性磋商文件》之规定给予惩罚。</w:t>
      </w:r>
    </w:p>
    <w:p w14:paraId="50CFF9DB">
      <w:pPr>
        <w:shd w:val="clea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6.我方若成为成交供应商，将按照最终磋商结果签订合同，并且严格履行合同义务。本承诺函将成为合同不可分割的一部分，与合同具有同等的法律效力。</w:t>
      </w:r>
    </w:p>
    <w:p w14:paraId="0C475487">
      <w:pPr>
        <w:shd w:val="clea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7.如果我方成为成交供应商，保证在接到成交通知书后，向采购代理机构</w:t>
      </w:r>
      <w:r>
        <w:rPr>
          <w:rFonts w:hint="eastAsia" w:ascii="宋体" w:hAnsi="宋体" w:cs="宋体"/>
          <w:color w:val="auto"/>
          <w:sz w:val="24"/>
          <w:highlight w:val="none"/>
        </w:rPr>
        <w:t>缴纳</w:t>
      </w:r>
      <w:r>
        <w:rPr>
          <w:rFonts w:hint="eastAsia" w:ascii="宋体" w:hAnsi="宋体" w:cs="宋体"/>
          <w:color w:val="auto"/>
          <w:sz w:val="24"/>
          <w:szCs w:val="24"/>
          <w:highlight w:val="none"/>
        </w:rPr>
        <w:t>竞争性磋商文件规定的采购代理服务费。</w:t>
      </w:r>
    </w:p>
    <w:p w14:paraId="04C9D798">
      <w:pPr>
        <w:shd w:val="clea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w:t>
      </w:r>
      <w:r>
        <w:rPr>
          <w:rFonts w:hint="eastAsia" w:ascii="宋体" w:hAnsi="宋体" w:cs="宋体"/>
          <w:color w:val="auto"/>
          <w:sz w:val="24"/>
          <w:szCs w:val="28"/>
          <w:highlight w:val="none"/>
        </w:rPr>
        <w:t>我方未</w:t>
      </w:r>
      <w:r>
        <w:rPr>
          <w:rFonts w:hint="eastAsia" w:ascii="宋体" w:hAnsi="宋体" w:cs="宋体"/>
          <w:color w:val="auto"/>
          <w:sz w:val="24"/>
          <w:szCs w:val="24"/>
          <w:highlight w:val="none"/>
        </w:rPr>
        <w:t>为采购项目提供整体设计、规范编制或者项目管理、监理、检测等服务。</w:t>
      </w:r>
    </w:p>
    <w:p w14:paraId="157E5235">
      <w:pPr>
        <w:shd w:val="clea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供应商（公章）或自然人签署：</w:t>
      </w:r>
    </w:p>
    <w:p w14:paraId="2C6F3CBD">
      <w:pPr>
        <w:shd w:val="clea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地址：  </w:t>
      </w:r>
    </w:p>
    <w:p w14:paraId="380CC85D">
      <w:pPr>
        <w:shd w:val="clea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电话：                                             传真：</w:t>
      </w:r>
    </w:p>
    <w:p w14:paraId="08F291D0">
      <w:pPr>
        <w:shd w:val="clea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网址：                                             邮编：</w:t>
      </w:r>
    </w:p>
    <w:p w14:paraId="4E6DFD47">
      <w:pPr>
        <w:shd w:val="clea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联系人：</w:t>
      </w:r>
    </w:p>
    <w:p w14:paraId="1EC431E3">
      <w:pPr>
        <w:shd w:val="clear"/>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7F498266">
      <w:pPr>
        <w:pStyle w:val="25"/>
        <w:shd w:val="clear"/>
        <w:rPr>
          <w:rFonts w:ascii="宋体" w:hAnsi="宋体" w:cs="宋体"/>
          <w:color w:val="auto"/>
          <w:sz w:val="24"/>
          <w:szCs w:val="24"/>
          <w:highlight w:val="none"/>
        </w:rPr>
      </w:pPr>
    </w:p>
    <w:p w14:paraId="3A7E03EC">
      <w:pPr>
        <w:shd w:val="clear"/>
        <w:rPr>
          <w:rFonts w:ascii="宋体" w:hAnsi="宋体" w:cs="宋体"/>
          <w:color w:val="auto"/>
          <w:sz w:val="24"/>
          <w:szCs w:val="24"/>
          <w:highlight w:val="none"/>
        </w:rPr>
      </w:pPr>
    </w:p>
    <w:p w14:paraId="26FE7553">
      <w:pPr>
        <w:pStyle w:val="25"/>
        <w:shd w:val="clear"/>
        <w:rPr>
          <w:rFonts w:ascii="宋体" w:hAnsi="宋体" w:cs="宋体"/>
          <w:color w:val="auto"/>
          <w:sz w:val="24"/>
          <w:szCs w:val="24"/>
          <w:highlight w:val="none"/>
        </w:rPr>
      </w:pPr>
    </w:p>
    <w:p w14:paraId="04A82F54">
      <w:pPr>
        <w:shd w:val="clear"/>
        <w:rPr>
          <w:rFonts w:ascii="宋体" w:hAnsi="宋体" w:cs="宋体"/>
          <w:color w:val="auto"/>
          <w:highlight w:val="none"/>
        </w:rPr>
      </w:pPr>
    </w:p>
    <w:p w14:paraId="559AAA2C">
      <w:pPr>
        <w:shd w:val="clear"/>
        <w:rPr>
          <w:rFonts w:ascii="宋体" w:hAnsi="宋体" w:cs="宋体"/>
          <w:color w:val="auto"/>
          <w:highlight w:val="none"/>
        </w:rPr>
      </w:pPr>
    </w:p>
    <w:p w14:paraId="293D8B42">
      <w:pPr>
        <w:shd w:val="clear"/>
        <w:rPr>
          <w:rFonts w:ascii="宋体" w:hAnsi="宋体" w:cs="宋体"/>
          <w:color w:val="auto"/>
          <w:highlight w:val="none"/>
        </w:rPr>
      </w:pPr>
    </w:p>
    <w:p w14:paraId="234D2AD3">
      <w:pPr>
        <w:shd w:val="clear"/>
        <w:rPr>
          <w:rFonts w:ascii="宋体" w:hAnsi="宋体" w:cs="宋体"/>
          <w:color w:val="auto"/>
          <w:highlight w:val="none"/>
        </w:rPr>
      </w:pPr>
    </w:p>
    <w:p w14:paraId="3209DB46">
      <w:pPr>
        <w:shd w:val="clear"/>
        <w:rPr>
          <w:rFonts w:ascii="宋体" w:hAnsi="宋体" w:cs="宋体"/>
          <w:color w:val="auto"/>
          <w:highlight w:val="none"/>
        </w:rPr>
      </w:pPr>
    </w:p>
    <w:p w14:paraId="4A45470A">
      <w:pPr>
        <w:shd w:val="clear"/>
        <w:rPr>
          <w:rFonts w:ascii="宋体" w:hAnsi="宋体" w:cs="宋体"/>
          <w:color w:val="auto"/>
          <w:highlight w:val="none"/>
        </w:rPr>
      </w:pPr>
    </w:p>
    <w:p w14:paraId="6F783E79">
      <w:pPr>
        <w:shd w:val="clear"/>
        <w:rPr>
          <w:rFonts w:ascii="宋体" w:hAnsi="宋体" w:cs="宋体"/>
          <w:color w:val="auto"/>
          <w:highlight w:val="none"/>
        </w:rPr>
      </w:pPr>
    </w:p>
    <w:p w14:paraId="4018983A">
      <w:pPr>
        <w:shd w:val="clear"/>
        <w:rPr>
          <w:rFonts w:ascii="宋体" w:hAnsi="宋体" w:cs="宋体"/>
          <w:color w:val="auto"/>
          <w:highlight w:val="none"/>
        </w:rPr>
      </w:pPr>
    </w:p>
    <w:p w14:paraId="474AACA9">
      <w:pPr>
        <w:shd w:val="clear"/>
        <w:rPr>
          <w:rFonts w:ascii="宋体" w:hAnsi="宋体" w:cs="宋体"/>
          <w:color w:val="auto"/>
          <w:highlight w:val="none"/>
        </w:rPr>
      </w:pPr>
    </w:p>
    <w:p w14:paraId="1AD46A7E">
      <w:pPr>
        <w:shd w:val="clear"/>
        <w:snapToGrid w:val="0"/>
        <w:spacing w:line="4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（二）分项报价明细表</w:t>
      </w:r>
    </w:p>
    <w:p w14:paraId="1D6A56BB">
      <w:pPr>
        <w:shd w:val="clear"/>
        <w:tabs>
          <w:tab w:val="left" w:pos="6300"/>
        </w:tabs>
        <w:snapToGrid w:val="0"/>
        <w:spacing w:line="312" w:lineRule="auto"/>
        <w:ind w:firstLine="480" w:firstLineChars="200"/>
        <w:rPr>
          <w:rFonts w:ascii="宋体" w:hAnsi="宋体" w:cs="宋体"/>
          <w:color w:val="auto"/>
          <w:sz w:val="24"/>
          <w:szCs w:val="24"/>
          <w:highlight w:val="none"/>
        </w:rPr>
      </w:pPr>
    </w:p>
    <w:p w14:paraId="20D2861D">
      <w:pPr>
        <w:shd w:val="clear"/>
        <w:tabs>
          <w:tab w:val="left" w:pos="6300"/>
        </w:tabs>
        <w:snapToGrid w:val="0"/>
        <w:spacing w:line="312" w:lineRule="auto"/>
        <w:ind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根据提供的工程量清单进行报价。</w:t>
      </w:r>
    </w:p>
    <w:p w14:paraId="4C572621">
      <w:pPr>
        <w:shd w:val="clear"/>
        <w:snapToGrid w:val="0"/>
        <w:spacing w:line="500" w:lineRule="exact"/>
        <w:ind w:firstLine="480" w:firstLineChars="200"/>
        <w:rPr>
          <w:rFonts w:ascii="宋体" w:hAnsi="宋体" w:cs="宋体"/>
          <w:color w:val="auto"/>
          <w:sz w:val="24"/>
          <w:szCs w:val="28"/>
          <w:highlight w:val="none"/>
        </w:rPr>
      </w:pPr>
    </w:p>
    <w:p w14:paraId="141F6110">
      <w:pPr>
        <w:shd w:val="clear"/>
        <w:rPr>
          <w:rFonts w:ascii="宋体" w:hAnsi="宋体" w:cs="宋体"/>
          <w:color w:val="auto"/>
          <w:highlight w:val="none"/>
        </w:rPr>
        <w:sectPr>
          <w:pgSz w:w="11907" w:h="16840"/>
          <w:pgMar w:top="1134" w:right="1191" w:bottom="1134" w:left="1304" w:header="624" w:footer="992" w:gutter="0"/>
          <w:pgNumType w:fmt="numberInDash"/>
          <w:cols w:space="720" w:num="1"/>
          <w:docGrid w:linePitch="380" w:charSpace="-5735"/>
        </w:sectPr>
      </w:pPr>
    </w:p>
    <w:p w14:paraId="396D4AD0">
      <w:pPr>
        <w:pStyle w:val="4"/>
        <w:numPr>
          <w:ilvl w:val="1"/>
          <w:numId w:val="0"/>
        </w:numPr>
        <w:shd w:val="clear"/>
        <w:adjustRightInd w:val="0"/>
        <w:snapToGrid w:val="0"/>
        <w:spacing w:line="400" w:lineRule="exact"/>
        <w:rPr>
          <w:rFonts w:ascii="宋体" w:hAnsi="宋体" w:eastAsia="宋体" w:cs="宋体"/>
          <w:b/>
          <w:bCs w:val="0"/>
          <w:color w:val="auto"/>
          <w:sz w:val="24"/>
          <w:highlight w:val="none"/>
        </w:rPr>
      </w:pPr>
      <w:bookmarkStart w:id="325" w:name="_Toc313008357"/>
      <w:bookmarkStart w:id="326" w:name="_Toc23030"/>
      <w:bookmarkStart w:id="327" w:name="_Toc10920"/>
      <w:bookmarkStart w:id="328" w:name="_Toc76462351"/>
      <w:bookmarkStart w:id="329" w:name="_Toc6100"/>
      <w:bookmarkStart w:id="330" w:name="_Toc106030907"/>
      <w:bookmarkStart w:id="331" w:name="_Toc10029"/>
      <w:bookmarkStart w:id="332" w:name="_Toc21115"/>
      <w:bookmarkStart w:id="333" w:name="_Toc313888361"/>
      <w:bookmarkStart w:id="334" w:name="_Toc342913420"/>
      <w:r>
        <w:rPr>
          <w:rFonts w:hint="eastAsia" w:ascii="宋体" w:hAnsi="宋体" w:eastAsia="宋体" w:cs="宋体"/>
          <w:b/>
          <w:bCs w:val="0"/>
          <w:color w:val="auto"/>
          <w:sz w:val="24"/>
          <w:highlight w:val="none"/>
        </w:rPr>
        <w:t>二、服务部分</w:t>
      </w:r>
      <w:bookmarkEnd w:id="325"/>
      <w:bookmarkEnd w:id="326"/>
      <w:bookmarkEnd w:id="327"/>
      <w:bookmarkEnd w:id="328"/>
      <w:bookmarkEnd w:id="329"/>
      <w:bookmarkEnd w:id="330"/>
      <w:bookmarkEnd w:id="331"/>
      <w:bookmarkEnd w:id="332"/>
      <w:bookmarkEnd w:id="333"/>
      <w:bookmarkEnd w:id="334"/>
    </w:p>
    <w:p w14:paraId="49ECB9BE">
      <w:pPr>
        <w:shd w:val="clear"/>
        <w:tabs>
          <w:tab w:val="left" w:pos="6300"/>
        </w:tabs>
        <w:snapToGrid w:val="0"/>
        <w:spacing w:line="400" w:lineRule="exact"/>
        <w:ind w:firstLine="480" w:firstLineChars="200"/>
        <w:rPr>
          <w:rFonts w:ascii="宋体" w:hAnsi="宋体" w:cs="宋体"/>
          <w:color w:val="auto"/>
          <w:szCs w:val="24"/>
          <w:highlight w:val="none"/>
        </w:rPr>
      </w:pPr>
      <w:r>
        <w:rPr>
          <w:rFonts w:hint="eastAsia" w:ascii="宋体" w:hAnsi="宋体" w:cs="宋体"/>
          <w:color w:val="auto"/>
          <w:sz w:val="24"/>
          <w:szCs w:val="24"/>
          <w:highlight w:val="none"/>
        </w:rPr>
        <w:t>（一）服务响应偏离表</w:t>
      </w:r>
    </w:p>
    <w:p w14:paraId="2A76423A">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项目号：                                </w:t>
      </w:r>
    </w:p>
    <w:p w14:paraId="05303985">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磋商项目名称：</w:t>
      </w:r>
    </w:p>
    <w:tbl>
      <w:tblPr>
        <w:tblStyle w:val="32"/>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7"/>
        <w:gridCol w:w="3081"/>
        <w:gridCol w:w="2309"/>
      </w:tblGrid>
      <w:tr w14:paraId="2AE8A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vAlign w:val="center"/>
          </w:tcPr>
          <w:p w14:paraId="3B86D83A">
            <w:pPr>
              <w:shd w:val="clear"/>
              <w:tabs>
                <w:tab w:val="left" w:pos="6300"/>
              </w:tabs>
              <w:snapToGrid w:val="0"/>
              <w:spacing w:line="500" w:lineRule="exact"/>
              <w:jc w:val="center"/>
              <w:outlineLvl w:val="0"/>
              <w:rPr>
                <w:rFonts w:ascii="宋体" w:hAnsi="宋体" w:cs="宋体"/>
                <w:color w:val="auto"/>
                <w:sz w:val="24"/>
                <w:szCs w:val="24"/>
                <w:highlight w:val="none"/>
              </w:rPr>
            </w:pPr>
            <w:bookmarkStart w:id="335" w:name="_Toc18309"/>
            <w:r>
              <w:rPr>
                <w:rFonts w:hint="eastAsia" w:ascii="宋体" w:hAnsi="宋体" w:cs="宋体"/>
                <w:color w:val="auto"/>
                <w:sz w:val="24"/>
                <w:szCs w:val="24"/>
                <w:highlight w:val="none"/>
              </w:rPr>
              <w:t>序号</w:t>
            </w:r>
            <w:bookmarkEnd w:id="335"/>
          </w:p>
        </w:tc>
        <w:tc>
          <w:tcPr>
            <w:tcW w:w="2967" w:type="dxa"/>
            <w:vAlign w:val="center"/>
          </w:tcPr>
          <w:p w14:paraId="56E2BC4A">
            <w:pPr>
              <w:shd w:val="clear"/>
              <w:tabs>
                <w:tab w:val="left" w:pos="6300"/>
              </w:tabs>
              <w:snapToGrid w:val="0"/>
              <w:spacing w:line="500" w:lineRule="exact"/>
              <w:jc w:val="center"/>
              <w:outlineLvl w:val="0"/>
              <w:rPr>
                <w:rFonts w:ascii="宋体" w:hAnsi="宋体" w:cs="宋体"/>
                <w:color w:val="auto"/>
                <w:sz w:val="24"/>
                <w:szCs w:val="24"/>
                <w:highlight w:val="none"/>
              </w:rPr>
            </w:pPr>
            <w:bookmarkStart w:id="336" w:name="_Toc7159"/>
            <w:r>
              <w:rPr>
                <w:rFonts w:hint="eastAsia" w:ascii="宋体" w:hAnsi="宋体" w:cs="宋体"/>
                <w:color w:val="auto"/>
                <w:sz w:val="24"/>
                <w:szCs w:val="24"/>
                <w:highlight w:val="none"/>
              </w:rPr>
              <w:t>采购需求</w:t>
            </w:r>
            <w:bookmarkEnd w:id="336"/>
          </w:p>
        </w:tc>
        <w:tc>
          <w:tcPr>
            <w:tcW w:w="3081" w:type="dxa"/>
            <w:vAlign w:val="center"/>
          </w:tcPr>
          <w:p w14:paraId="3A699E21">
            <w:pPr>
              <w:shd w:val="clear"/>
              <w:tabs>
                <w:tab w:val="left" w:pos="6300"/>
              </w:tabs>
              <w:snapToGrid w:val="0"/>
              <w:spacing w:line="500" w:lineRule="exact"/>
              <w:jc w:val="center"/>
              <w:outlineLvl w:val="0"/>
              <w:rPr>
                <w:rFonts w:ascii="宋体" w:hAnsi="宋体" w:cs="宋体"/>
                <w:color w:val="auto"/>
                <w:sz w:val="24"/>
                <w:szCs w:val="24"/>
                <w:highlight w:val="none"/>
              </w:rPr>
            </w:pPr>
            <w:bookmarkStart w:id="337" w:name="_Toc8879"/>
            <w:r>
              <w:rPr>
                <w:rFonts w:hint="eastAsia" w:ascii="宋体" w:hAnsi="宋体" w:cs="宋体"/>
                <w:color w:val="auto"/>
                <w:sz w:val="24"/>
                <w:szCs w:val="24"/>
                <w:highlight w:val="none"/>
              </w:rPr>
              <w:t>响应情况</w:t>
            </w:r>
            <w:bookmarkEnd w:id="337"/>
          </w:p>
        </w:tc>
        <w:tc>
          <w:tcPr>
            <w:tcW w:w="2309" w:type="dxa"/>
            <w:vAlign w:val="center"/>
          </w:tcPr>
          <w:p w14:paraId="429B4AC0">
            <w:pPr>
              <w:shd w:val="clear"/>
              <w:tabs>
                <w:tab w:val="left" w:pos="6300"/>
              </w:tabs>
              <w:snapToGrid w:val="0"/>
              <w:spacing w:line="500" w:lineRule="exact"/>
              <w:jc w:val="center"/>
              <w:outlineLvl w:val="0"/>
              <w:rPr>
                <w:rFonts w:ascii="宋体" w:hAnsi="宋体" w:cs="宋体"/>
                <w:color w:val="auto"/>
                <w:sz w:val="24"/>
                <w:szCs w:val="24"/>
                <w:highlight w:val="none"/>
              </w:rPr>
            </w:pPr>
            <w:bookmarkStart w:id="338" w:name="_Toc12296"/>
            <w:r>
              <w:rPr>
                <w:rFonts w:hint="eastAsia" w:ascii="宋体" w:hAnsi="宋体" w:cs="宋体"/>
                <w:color w:val="auto"/>
                <w:sz w:val="24"/>
                <w:szCs w:val="24"/>
                <w:highlight w:val="none"/>
              </w:rPr>
              <w:t>差异说明</w:t>
            </w:r>
            <w:bookmarkEnd w:id="338"/>
          </w:p>
        </w:tc>
      </w:tr>
      <w:tr w14:paraId="33E82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4D249217">
            <w:pPr>
              <w:shd w:val="clear"/>
              <w:tabs>
                <w:tab w:val="left" w:pos="6300"/>
              </w:tabs>
              <w:snapToGrid w:val="0"/>
              <w:spacing w:line="500" w:lineRule="exact"/>
              <w:jc w:val="center"/>
              <w:outlineLvl w:val="0"/>
              <w:rPr>
                <w:rFonts w:ascii="宋体" w:hAnsi="宋体" w:cs="宋体"/>
                <w:color w:val="auto"/>
                <w:sz w:val="24"/>
                <w:szCs w:val="24"/>
                <w:highlight w:val="none"/>
              </w:rPr>
            </w:pPr>
          </w:p>
        </w:tc>
        <w:tc>
          <w:tcPr>
            <w:tcW w:w="2967" w:type="dxa"/>
            <w:vAlign w:val="center"/>
          </w:tcPr>
          <w:p w14:paraId="59599815">
            <w:pPr>
              <w:shd w:val="clear"/>
              <w:tabs>
                <w:tab w:val="left" w:pos="6300"/>
              </w:tabs>
              <w:snapToGrid w:val="0"/>
              <w:spacing w:line="500" w:lineRule="exact"/>
              <w:jc w:val="center"/>
              <w:outlineLvl w:val="0"/>
              <w:rPr>
                <w:rFonts w:ascii="宋体" w:hAnsi="宋体" w:cs="宋体"/>
                <w:color w:val="auto"/>
                <w:sz w:val="24"/>
                <w:szCs w:val="24"/>
                <w:highlight w:val="none"/>
              </w:rPr>
            </w:pPr>
          </w:p>
        </w:tc>
        <w:tc>
          <w:tcPr>
            <w:tcW w:w="3081" w:type="dxa"/>
            <w:vAlign w:val="center"/>
          </w:tcPr>
          <w:p w14:paraId="78B31EBB">
            <w:pPr>
              <w:shd w:val="clear"/>
              <w:tabs>
                <w:tab w:val="left" w:pos="6300"/>
              </w:tabs>
              <w:snapToGrid w:val="0"/>
              <w:spacing w:line="500" w:lineRule="exact"/>
              <w:outlineLvl w:val="0"/>
              <w:rPr>
                <w:rFonts w:ascii="宋体" w:hAnsi="宋体" w:cs="宋体"/>
                <w:color w:val="auto"/>
                <w:sz w:val="21"/>
                <w:szCs w:val="21"/>
                <w:highlight w:val="none"/>
              </w:rPr>
            </w:pPr>
            <w:r>
              <w:rPr>
                <w:rFonts w:hint="eastAsia" w:ascii="宋体" w:hAnsi="宋体" w:cs="宋体"/>
                <w:color w:val="auto"/>
                <w:sz w:val="21"/>
                <w:szCs w:val="21"/>
                <w:highlight w:val="none"/>
              </w:rPr>
              <w:t>提醒：请注明具体内容以及响应文件中具体内容的位置（页码）</w:t>
            </w:r>
          </w:p>
        </w:tc>
        <w:tc>
          <w:tcPr>
            <w:tcW w:w="2309" w:type="dxa"/>
            <w:vAlign w:val="center"/>
          </w:tcPr>
          <w:p w14:paraId="6DB122BB">
            <w:pPr>
              <w:shd w:val="clear"/>
              <w:tabs>
                <w:tab w:val="left" w:pos="6300"/>
              </w:tabs>
              <w:snapToGrid w:val="0"/>
              <w:spacing w:line="500" w:lineRule="exact"/>
              <w:jc w:val="center"/>
              <w:outlineLvl w:val="0"/>
              <w:rPr>
                <w:rFonts w:ascii="宋体" w:hAnsi="宋体" w:cs="宋体"/>
                <w:color w:val="auto"/>
                <w:sz w:val="21"/>
                <w:szCs w:val="21"/>
                <w:highlight w:val="none"/>
              </w:rPr>
            </w:pPr>
          </w:p>
        </w:tc>
      </w:tr>
      <w:tr w14:paraId="34A98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4AFCFD14">
            <w:pPr>
              <w:shd w:val="clear"/>
              <w:tabs>
                <w:tab w:val="left" w:pos="6300"/>
              </w:tabs>
              <w:snapToGrid w:val="0"/>
              <w:spacing w:line="500" w:lineRule="exact"/>
              <w:jc w:val="center"/>
              <w:outlineLvl w:val="0"/>
              <w:rPr>
                <w:rFonts w:ascii="宋体" w:hAnsi="宋体" w:cs="宋体"/>
                <w:color w:val="auto"/>
                <w:sz w:val="24"/>
                <w:szCs w:val="24"/>
                <w:highlight w:val="none"/>
              </w:rPr>
            </w:pPr>
          </w:p>
        </w:tc>
        <w:tc>
          <w:tcPr>
            <w:tcW w:w="2967" w:type="dxa"/>
            <w:vAlign w:val="center"/>
          </w:tcPr>
          <w:p w14:paraId="5CE98354">
            <w:pPr>
              <w:shd w:val="clear"/>
              <w:tabs>
                <w:tab w:val="left" w:pos="6300"/>
              </w:tabs>
              <w:snapToGrid w:val="0"/>
              <w:spacing w:line="500" w:lineRule="exact"/>
              <w:jc w:val="center"/>
              <w:outlineLvl w:val="0"/>
              <w:rPr>
                <w:rFonts w:ascii="宋体" w:hAnsi="宋体" w:cs="宋体"/>
                <w:color w:val="auto"/>
                <w:sz w:val="24"/>
                <w:szCs w:val="24"/>
                <w:highlight w:val="none"/>
              </w:rPr>
            </w:pPr>
          </w:p>
        </w:tc>
        <w:tc>
          <w:tcPr>
            <w:tcW w:w="3081" w:type="dxa"/>
            <w:vAlign w:val="center"/>
          </w:tcPr>
          <w:p w14:paraId="4DE34574">
            <w:pPr>
              <w:shd w:val="clear"/>
              <w:tabs>
                <w:tab w:val="left" w:pos="6300"/>
              </w:tabs>
              <w:snapToGrid w:val="0"/>
              <w:spacing w:line="500" w:lineRule="exact"/>
              <w:jc w:val="center"/>
              <w:outlineLvl w:val="0"/>
              <w:rPr>
                <w:rFonts w:ascii="宋体" w:hAnsi="宋体" w:cs="宋体"/>
                <w:color w:val="auto"/>
                <w:sz w:val="24"/>
                <w:szCs w:val="24"/>
                <w:highlight w:val="none"/>
              </w:rPr>
            </w:pPr>
          </w:p>
        </w:tc>
        <w:tc>
          <w:tcPr>
            <w:tcW w:w="2309" w:type="dxa"/>
            <w:vAlign w:val="center"/>
          </w:tcPr>
          <w:p w14:paraId="4BEDBB43">
            <w:pPr>
              <w:shd w:val="clear"/>
              <w:tabs>
                <w:tab w:val="left" w:pos="6300"/>
              </w:tabs>
              <w:snapToGrid w:val="0"/>
              <w:spacing w:line="500" w:lineRule="exact"/>
              <w:jc w:val="center"/>
              <w:outlineLvl w:val="0"/>
              <w:rPr>
                <w:rFonts w:ascii="宋体" w:hAnsi="宋体" w:cs="宋体"/>
                <w:color w:val="auto"/>
                <w:sz w:val="24"/>
                <w:szCs w:val="24"/>
                <w:highlight w:val="none"/>
              </w:rPr>
            </w:pPr>
          </w:p>
        </w:tc>
      </w:tr>
      <w:tr w14:paraId="2BFBF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3F718EE2">
            <w:pPr>
              <w:shd w:val="clear"/>
              <w:tabs>
                <w:tab w:val="left" w:pos="6300"/>
              </w:tabs>
              <w:snapToGrid w:val="0"/>
              <w:spacing w:line="500" w:lineRule="exact"/>
              <w:jc w:val="center"/>
              <w:outlineLvl w:val="0"/>
              <w:rPr>
                <w:rFonts w:ascii="宋体" w:hAnsi="宋体" w:cs="宋体"/>
                <w:color w:val="auto"/>
                <w:sz w:val="24"/>
                <w:szCs w:val="24"/>
                <w:highlight w:val="none"/>
              </w:rPr>
            </w:pPr>
          </w:p>
        </w:tc>
        <w:tc>
          <w:tcPr>
            <w:tcW w:w="2967" w:type="dxa"/>
            <w:vAlign w:val="center"/>
          </w:tcPr>
          <w:p w14:paraId="0DAE0545">
            <w:pPr>
              <w:shd w:val="clear"/>
              <w:tabs>
                <w:tab w:val="left" w:pos="6300"/>
              </w:tabs>
              <w:snapToGrid w:val="0"/>
              <w:spacing w:line="500" w:lineRule="exact"/>
              <w:jc w:val="center"/>
              <w:outlineLvl w:val="0"/>
              <w:rPr>
                <w:rFonts w:ascii="宋体" w:hAnsi="宋体" w:cs="宋体"/>
                <w:color w:val="auto"/>
                <w:sz w:val="24"/>
                <w:szCs w:val="24"/>
                <w:highlight w:val="none"/>
              </w:rPr>
            </w:pPr>
          </w:p>
        </w:tc>
        <w:tc>
          <w:tcPr>
            <w:tcW w:w="3081" w:type="dxa"/>
            <w:vAlign w:val="center"/>
          </w:tcPr>
          <w:p w14:paraId="2101418E">
            <w:pPr>
              <w:shd w:val="clear"/>
              <w:tabs>
                <w:tab w:val="left" w:pos="6300"/>
              </w:tabs>
              <w:snapToGrid w:val="0"/>
              <w:spacing w:line="500" w:lineRule="exact"/>
              <w:jc w:val="center"/>
              <w:outlineLvl w:val="0"/>
              <w:rPr>
                <w:rFonts w:ascii="宋体" w:hAnsi="宋体" w:cs="宋体"/>
                <w:color w:val="auto"/>
                <w:sz w:val="24"/>
                <w:szCs w:val="24"/>
                <w:highlight w:val="none"/>
              </w:rPr>
            </w:pPr>
          </w:p>
        </w:tc>
        <w:tc>
          <w:tcPr>
            <w:tcW w:w="2309" w:type="dxa"/>
            <w:vAlign w:val="center"/>
          </w:tcPr>
          <w:p w14:paraId="308FEBE7">
            <w:pPr>
              <w:shd w:val="clear"/>
              <w:tabs>
                <w:tab w:val="left" w:pos="6300"/>
              </w:tabs>
              <w:snapToGrid w:val="0"/>
              <w:spacing w:line="500" w:lineRule="exact"/>
              <w:jc w:val="center"/>
              <w:outlineLvl w:val="0"/>
              <w:rPr>
                <w:rFonts w:ascii="宋体" w:hAnsi="宋体" w:cs="宋体"/>
                <w:color w:val="auto"/>
                <w:sz w:val="24"/>
                <w:szCs w:val="24"/>
                <w:highlight w:val="none"/>
              </w:rPr>
            </w:pPr>
          </w:p>
        </w:tc>
      </w:tr>
      <w:tr w14:paraId="6F728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491E69B4">
            <w:pPr>
              <w:shd w:val="clear"/>
              <w:tabs>
                <w:tab w:val="left" w:pos="6300"/>
              </w:tabs>
              <w:snapToGrid w:val="0"/>
              <w:spacing w:line="500" w:lineRule="exact"/>
              <w:jc w:val="center"/>
              <w:outlineLvl w:val="0"/>
              <w:rPr>
                <w:rFonts w:ascii="宋体" w:hAnsi="宋体" w:cs="宋体"/>
                <w:color w:val="auto"/>
                <w:sz w:val="24"/>
                <w:szCs w:val="24"/>
                <w:highlight w:val="none"/>
              </w:rPr>
            </w:pPr>
          </w:p>
        </w:tc>
        <w:tc>
          <w:tcPr>
            <w:tcW w:w="2967" w:type="dxa"/>
            <w:vAlign w:val="center"/>
          </w:tcPr>
          <w:p w14:paraId="22F9853B">
            <w:pPr>
              <w:shd w:val="clear"/>
              <w:tabs>
                <w:tab w:val="left" w:pos="6300"/>
              </w:tabs>
              <w:snapToGrid w:val="0"/>
              <w:spacing w:line="500" w:lineRule="exact"/>
              <w:jc w:val="center"/>
              <w:outlineLvl w:val="0"/>
              <w:rPr>
                <w:rFonts w:ascii="宋体" w:hAnsi="宋体" w:cs="宋体"/>
                <w:color w:val="auto"/>
                <w:sz w:val="24"/>
                <w:szCs w:val="24"/>
                <w:highlight w:val="none"/>
              </w:rPr>
            </w:pPr>
          </w:p>
        </w:tc>
        <w:tc>
          <w:tcPr>
            <w:tcW w:w="3081" w:type="dxa"/>
            <w:vAlign w:val="center"/>
          </w:tcPr>
          <w:p w14:paraId="2B9AFABA">
            <w:pPr>
              <w:shd w:val="clear"/>
              <w:tabs>
                <w:tab w:val="left" w:pos="6300"/>
              </w:tabs>
              <w:snapToGrid w:val="0"/>
              <w:spacing w:line="500" w:lineRule="exact"/>
              <w:jc w:val="center"/>
              <w:outlineLvl w:val="0"/>
              <w:rPr>
                <w:rFonts w:ascii="宋体" w:hAnsi="宋体" w:cs="宋体"/>
                <w:color w:val="auto"/>
                <w:sz w:val="24"/>
                <w:szCs w:val="24"/>
                <w:highlight w:val="none"/>
              </w:rPr>
            </w:pPr>
          </w:p>
        </w:tc>
        <w:tc>
          <w:tcPr>
            <w:tcW w:w="2309" w:type="dxa"/>
            <w:vAlign w:val="center"/>
          </w:tcPr>
          <w:p w14:paraId="3401FF24">
            <w:pPr>
              <w:shd w:val="clear"/>
              <w:tabs>
                <w:tab w:val="left" w:pos="6300"/>
              </w:tabs>
              <w:snapToGrid w:val="0"/>
              <w:spacing w:line="500" w:lineRule="exact"/>
              <w:jc w:val="center"/>
              <w:outlineLvl w:val="0"/>
              <w:rPr>
                <w:rFonts w:ascii="宋体" w:hAnsi="宋体" w:cs="宋体"/>
                <w:color w:val="auto"/>
                <w:sz w:val="24"/>
                <w:szCs w:val="24"/>
                <w:highlight w:val="none"/>
              </w:rPr>
            </w:pPr>
          </w:p>
        </w:tc>
      </w:tr>
      <w:tr w14:paraId="23D41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0E88983F">
            <w:pPr>
              <w:shd w:val="clear"/>
              <w:tabs>
                <w:tab w:val="left" w:pos="6300"/>
              </w:tabs>
              <w:snapToGrid w:val="0"/>
              <w:spacing w:line="500" w:lineRule="exact"/>
              <w:jc w:val="center"/>
              <w:outlineLvl w:val="0"/>
              <w:rPr>
                <w:rFonts w:ascii="宋体" w:hAnsi="宋体" w:cs="宋体"/>
                <w:color w:val="auto"/>
                <w:sz w:val="24"/>
                <w:szCs w:val="24"/>
                <w:highlight w:val="none"/>
              </w:rPr>
            </w:pPr>
          </w:p>
        </w:tc>
        <w:tc>
          <w:tcPr>
            <w:tcW w:w="2967" w:type="dxa"/>
            <w:vAlign w:val="center"/>
          </w:tcPr>
          <w:p w14:paraId="07E7F61E">
            <w:pPr>
              <w:shd w:val="clear"/>
              <w:tabs>
                <w:tab w:val="left" w:pos="6300"/>
              </w:tabs>
              <w:snapToGrid w:val="0"/>
              <w:spacing w:line="500" w:lineRule="exact"/>
              <w:jc w:val="center"/>
              <w:outlineLvl w:val="0"/>
              <w:rPr>
                <w:rFonts w:ascii="宋体" w:hAnsi="宋体" w:cs="宋体"/>
                <w:color w:val="auto"/>
                <w:sz w:val="24"/>
                <w:szCs w:val="24"/>
                <w:highlight w:val="none"/>
              </w:rPr>
            </w:pPr>
          </w:p>
        </w:tc>
        <w:tc>
          <w:tcPr>
            <w:tcW w:w="3081" w:type="dxa"/>
            <w:vAlign w:val="center"/>
          </w:tcPr>
          <w:p w14:paraId="57BAF18D">
            <w:pPr>
              <w:shd w:val="clear"/>
              <w:tabs>
                <w:tab w:val="left" w:pos="6300"/>
              </w:tabs>
              <w:snapToGrid w:val="0"/>
              <w:spacing w:line="500" w:lineRule="exact"/>
              <w:jc w:val="center"/>
              <w:outlineLvl w:val="0"/>
              <w:rPr>
                <w:rFonts w:ascii="宋体" w:hAnsi="宋体" w:cs="宋体"/>
                <w:color w:val="auto"/>
                <w:sz w:val="24"/>
                <w:szCs w:val="24"/>
                <w:highlight w:val="none"/>
              </w:rPr>
            </w:pPr>
          </w:p>
        </w:tc>
        <w:tc>
          <w:tcPr>
            <w:tcW w:w="2309" w:type="dxa"/>
            <w:vAlign w:val="center"/>
          </w:tcPr>
          <w:p w14:paraId="1244DC64">
            <w:pPr>
              <w:shd w:val="clear"/>
              <w:tabs>
                <w:tab w:val="left" w:pos="6300"/>
              </w:tabs>
              <w:snapToGrid w:val="0"/>
              <w:spacing w:line="500" w:lineRule="exact"/>
              <w:jc w:val="center"/>
              <w:outlineLvl w:val="0"/>
              <w:rPr>
                <w:rFonts w:ascii="宋体" w:hAnsi="宋体" w:cs="宋体"/>
                <w:color w:val="auto"/>
                <w:sz w:val="24"/>
                <w:szCs w:val="24"/>
                <w:highlight w:val="none"/>
              </w:rPr>
            </w:pPr>
          </w:p>
        </w:tc>
      </w:tr>
      <w:tr w14:paraId="1E288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591D0867">
            <w:pPr>
              <w:shd w:val="clear"/>
              <w:tabs>
                <w:tab w:val="left" w:pos="6300"/>
              </w:tabs>
              <w:snapToGrid w:val="0"/>
              <w:spacing w:line="500" w:lineRule="exact"/>
              <w:jc w:val="center"/>
              <w:outlineLvl w:val="0"/>
              <w:rPr>
                <w:rFonts w:ascii="宋体" w:hAnsi="宋体" w:cs="宋体"/>
                <w:color w:val="auto"/>
                <w:sz w:val="24"/>
                <w:szCs w:val="24"/>
                <w:highlight w:val="none"/>
              </w:rPr>
            </w:pPr>
          </w:p>
        </w:tc>
        <w:tc>
          <w:tcPr>
            <w:tcW w:w="2967" w:type="dxa"/>
            <w:vAlign w:val="center"/>
          </w:tcPr>
          <w:p w14:paraId="2FDAE1FB">
            <w:pPr>
              <w:shd w:val="clear"/>
              <w:tabs>
                <w:tab w:val="left" w:pos="6300"/>
              </w:tabs>
              <w:snapToGrid w:val="0"/>
              <w:spacing w:line="500" w:lineRule="exact"/>
              <w:jc w:val="center"/>
              <w:outlineLvl w:val="0"/>
              <w:rPr>
                <w:rFonts w:ascii="宋体" w:hAnsi="宋体" w:cs="宋体"/>
                <w:color w:val="auto"/>
                <w:sz w:val="24"/>
                <w:szCs w:val="24"/>
                <w:highlight w:val="none"/>
              </w:rPr>
            </w:pPr>
          </w:p>
        </w:tc>
        <w:tc>
          <w:tcPr>
            <w:tcW w:w="3081" w:type="dxa"/>
            <w:vAlign w:val="center"/>
          </w:tcPr>
          <w:p w14:paraId="6D4AD482">
            <w:pPr>
              <w:shd w:val="clear"/>
              <w:tabs>
                <w:tab w:val="left" w:pos="6300"/>
              </w:tabs>
              <w:snapToGrid w:val="0"/>
              <w:spacing w:line="500" w:lineRule="exact"/>
              <w:jc w:val="center"/>
              <w:outlineLvl w:val="0"/>
              <w:rPr>
                <w:rFonts w:ascii="宋体" w:hAnsi="宋体" w:cs="宋体"/>
                <w:color w:val="auto"/>
                <w:sz w:val="24"/>
                <w:szCs w:val="24"/>
                <w:highlight w:val="none"/>
              </w:rPr>
            </w:pPr>
          </w:p>
        </w:tc>
        <w:tc>
          <w:tcPr>
            <w:tcW w:w="2309" w:type="dxa"/>
            <w:vAlign w:val="center"/>
          </w:tcPr>
          <w:p w14:paraId="3512FAA0">
            <w:pPr>
              <w:shd w:val="clear"/>
              <w:tabs>
                <w:tab w:val="left" w:pos="6300"/>
              </w:tabs>
              <w:snapToGrid w:val="0"/>
              <w:spacing w:line="500" w:lineRule="exact"/>
              <w:jc w:val="center"/>
              <w:outlineLvl w:val="0"/>
              <w:rPr>
                <w:rFonts w:ascii="宋体" w:hAnsi="宋体" w:cs="宋体"/>
                <w:color w:val="auto"/>
                <w:sz w:val="24"/>
                <w:szCs w:val="24"/>
                <w:highlight w:val="none"/>
              </w:rPr>
            </w:pPr>
          </w:p>
        </w:tc>
      </w:tr>
      <w:tr w14:paraId="3DE53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3CEFA56A">
            <w:pPr>
              <w:shd w:val="clear"/>
              <w:tabs>
                <w:tab w:val="left" w:pos="6300"/>
              </w:tabs>
              <w:snapToGrid w:val="0"/>
              <w:spacing w:line="500" w:lineRule="exact"/>
              <w:jc w:val="center"/>
              <w:outlineLvl w:val="0"/>
              <w:rPr>
                <w:rFonts w:ascii="宋体" w:hAnsi="宋体" w:cs="宋体"/>
                <w:color w:val="auto"/>
                <w:sz w:val="24"/>
                <w:szCs w:val="24"/>
                <w:highlight w:val="none"/>
              </w:rPr>
            </w:pPr>
          </w:p>
        </w:tc>
        <w:tc>
          <w:tcPr>
            <w:tcW w:w="2967" w:type="dxa"/>
            <w:vAlign w:val="center"/>
          </w:tcPr>
          <w:p w14:paraId="2C7CBBBF">
            <w:pPr>
              <w:shd w:val="clear"/>
              <w:tabs>
                <w:tab w:val="left" w:pos="6300"/>
              </w:tabs>
              <w:snapToGrid w:val="0"/>
              <w:spacing w:line="500" w:lineRule="exact"/>
              <w:jc w:val="center"/>
              <w:outlineLvl w:val="0"/>
              <w:rPr>
                <w:rFonts w:ascii="宋体" w:hAnsi="宋体" w:cs="宋体"/>
                <w:color w:val="auto"/>
                <w:sz w:val="24"/>
                <w:szCs w:val="24"/>
                <w:highlight w:val="none"/>
              </w:rPr>
            </w:pPr>
          </w:p>
        </w:tc>
        <w:tc>
          <w:tcPr>
            <w:tcW w:w="3081" w:type="dxa"/>
            <w:vAlign w:val="center"/>
          </w:tcPr>
          <w:p w14:paraId="05E42520">
            <w:pPr>
              <w:shd w:val="clear"/>
              <w:tabs>
                <w:tab w:val="left" w:pos="6300"/>
              </w:tabs>
              <w:snapToGrid w:val="0"/>
              <w:spacing w:line="500" w:lineRule="exact"/>
              <w:jc w:val="center"/>
              <w:outlineLvl w:val="0"/>
              <w:rPr>
                <w:rFonts w:ascii="宋体" w:hAnsi="宋体" w:cs="宋体"/>
                <w:color w:val="auto"/>
                <w:sz w:val="24"/>
                <w:szCs w:val="24"/>
                <w:highlight w:val="none"/>
              </w:rPr>
            </w:pPr>
          </w:p>
        </w:tc>
        <w:tc>
          <w:tcPr>
            <w:tcW w:w="2309" w:type="dxa"/>
            <w:vAlign w:val="center"/>
          </w:tcPr>
          <w:p w14:paraId="2497293E">
            <w:pPr>
              <w:shd w:val="clear"/>
              <w:tabs>
                <w:tab w:val="left" w:pos="6300"/>
              </w:tabs>
              <w:snapToGrid w:val="0"/>
              <w:spacing w:line="500" w:lineRule="exact"/>
              <w:jc w:val="center"/>
              <w:outlineLvl w:val="0"/>
              <w:rPr>
                <w:rFonts w:ascii="宋体" w:hAnsi="宋体" w:cs="宋体"/>
                <w:color w:val="auto"/>
                <w:sz w:val="24"/>
                <w:szCs w:val="24"/>
                <w:highlight w:val="none"/>
              </w:rPr>
            </w:pPr>
          </w:p>
        </w:tc>
      </w:tr>
      <w:tr w14:paraId="7C19D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09D83D03">
            <w:pPr>
              <w:shd w:val="clear"/>
              <w:tabs>
                <w:tab w:val="left" w:pos="6300"/>
              </w:tabs>
              <w:snapToGrid w:val="0"/>
              <w:spacing w:line="500" w:lineRule="exact"/>
              <w:jc w:val="center"/>
              <w:outlineLvl w:val="0"/>
              <w:rPr>
                <w:rFonts w:ascii="宋体" w:hAnsi="宋体" w:cs="宋体"/>
                <w:color w:val="auto"/>
                <w:sz w:val="24"/>
                <w:szCs w:val="24"/>
                <w:highlight w:val="none"/>
              </w:rPr>
            </w:pPr>
          </w:p>
        </w:tc>
        <w:tc>
          <w:tcPr>
            <w:tcW w:w="2967" w:type="dxa"/>
            <w:vAlign w:val="center"/>
          </w:tcPr>
          <w:p w14:paraId="1442AAA6">
            <w:pPr>
              <w:shd w:val="clear"/>
              <w:tabs>
                <w:tab w:val="left" w:pos="6300"/>
              </w:tabs>
              <w:snapToGrid w:val="0"/>
              <w:spacing w:line="500" w:lineRule="exact"/>
              <w:jc w:val="center"/>
              <w:outlineLvl w:val="0"/>
              <w:rPr>
                <w:rFonts w:ascii="宋体" w:hAnsi="宋体" w:cs="宋体"/>
                <w:color w:val="auto"/>
                <w:sz w:val="24"/>
                <w:szCs w:val="24"/>
                <w:highlight w:val="none"/>
              </w:rPr>
            </w:pPr>
          </w:p>
        </w:tc>
        <w:tc>
          <w:tcPr>
            <w:tcW w:w="3081" w:type="dxa"/>
            <w:vAlign w:val="center"/>
          </w:tcPr>
          <w:p w14:paraId="657F49F0">
            <w:pPr>
              <w:shd w:val="clear"/>
              <w:tabs>
                <w:tab w:val="left" w:pos="6300"/>
              </w:tabs>
              <w:snapToGrid w:val="0"/>
              <w:spacing w:line="500" w:lineRule="exact"/>
              <w:jc w:val="center"/>
              <w:outlineLvl w:val="0"/>
              <w:rPr>
                <w:rFonts w:ascii="宋体" w:hAnsi="宋体" w:cs="宋体"/>
                <w:color w:val="auto"/>
                <w:sz w:val="24"/>
                <w:szCs w:val="24"/>
                <w:highlight w:val="none"/>
              </w:rPr>
            </w:pPr>
          </w:p>
        </w:tc>
        <w:tc>
          <w:tcPr>
            <w:tcW w:w="2309" w:type="dxa"/>
            <w:vAlign w:val="center"/>
          </w:tcPr>
          <w:p w14:paraId="2FC37172">
            <w:pPr>
              <w:shd w:val="clear"/>
              <w:tabs>
                <w:tab w:val="left" w:pos="6300"/>
              </w:tabs>
              <w:snapToGrid w:val="0"/>
              <w:spacing w:line="500" w:lineRule="exact"/>
              <w:jc w:val="center"/>
              <w:outlineLvl w:val="0"/>
              <w:rPr>
                <w:rFonts w:ascii="宋体" w:hAnsi="宋体" w:cs="宋体"/>
                <w:color w:val="auto"/>
                <w:sz w:val="24"/>
                <w:szCs w:val="24"/>
                <w:highlight w:val="none"/>
              </w:rPr>
            </w:pPr>
          </w:p>
        </w:tc>
      </w:tr>
      <w:tr w14:paraId="44492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0D62D93F">
            <w:pPr>
              <w:shd w:val="clear"/>
              <w:tabs>
                <w:tab w:val="left" w:pos="6300"/>
              </w:tabs>
              <w:snapToGrid w:val="0"/>
              <w:spacing w:line="500" w:lineRule="exact"/>
              <w:jc w:val="center"/>
              <w:outlineLvl w:val="0"/>
              <w:rPr>
                <w:rFonts w:ascii="宋体" w:hAnsi="宋体" w:cs="宋体"/>
                <w:color w:val="auto"/>
                <w:sz w:val="24"/>
                <w:szCs w:val="24"/>
                <w:highlight w:val="none"/>
              </w:rPr>
            </w:pPr>
          </w:p>
        </w:tc>
        <w:tc>
          <w:tcPr>
            <w:tcW w:w="2967" w:type="dxa"/>
            <w:vAlign w:val="center"/>
          </w:tcPr>
          <w:p w14:paraId="07ED9D01">
            <w:pPr>
              <w:shd w:val="clear"/>
              <w:tabs>
                <w:tab w:val="left" w:pos="6300"/>
              </w:tabs>
              <w:snapToGrid w:val="0"/>
              <w:spacing w:line="500" w:lineRule="exact"/>
              <w:jc w:val="center"/>
              <w:outlineLvl w:val="0"/>
              <w:rPr>
                <w:rFonts w:ascii="宋体" w:hAnsi="宋体" w:cs="宋体"/>
                <w:color w:val="auto"/>
                <w:sz w:val="24"/>
                <w:szCs w:val="24"/>
                <w:highlight w:val="none"/>
              </w:rPr>
            </w:pPr>
          </w:p>
        </w:tc>
        <w:tc>
          <w:tcPr>
            <w:tcW w:w="3081" w:type="dxa"/>
            <w:vAlign w:val="center"/>
          </w:tcPr>
          <w:p w14:paraId="55F35871">
            <w:pPr>
              <w:shd w:val="clear"/>
              <w:tabs>
                <w:tab w:val="left" w:pos="6300"/>
              </w:tabs>
              <w:snapToGrid w:val="0"/>
              <w:spacing w:line="500" w:lineRule="exact"/>
              <w:jc w:val="center"/>
              <w:outlineLvl w:val="0"/>
              <w:rPr>
                <w:rFonts w:ascii="宋体" w:hAnsi="宋体" w:cs="宋体"/>
                <w:color w:val="auto"/>
                <w:sz w:val="24"/>
                <w:szCs w:val="24"/>
                <w:highlight w:val="none"/>
              </w:rPr>
            </w:pPr>
          </w:p>
        </w:tc>
        <w:tc>
          <w:tcPr>
            <w:tcW w:w="2309" w:type="dxa"/>
            <w:vAlign w:val="center"/>
          </w:tcPr>
          <w:p w14:paraId="19733722">
            <w:pPr>
              <w:shd w:val="clear"/>
              <w:tabs>
                <w:tab w:val="left" w:pos="6300"/>
              </w:tabs>
              <w:snapToGrid w:val="0"/>
              <w:spacing w:line="500" w:lineRule="exact"/>
              <w:jc w:val="center"/>
              <w:outlineLvl w:val="0"/>
              <w:rPr>
                <w:rFonts w:ascii="宋体" w:hAnsi="宋体" w:cs="宋体"/>
                <w:color w:val="auto"/>
                <w:sz w:val="24"/>
                <w:szCs w:val="24"/>
                <w:highlight w:val="none"/>
              </w:rPr>
            </w:pPr>
          </w:p>
        </w:tc>
      </w:tr>
      <w:tr w14:paraId="3E96E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4F859DDD">
            <w:pPr>
              <w:shd w:val="clear"/>
              <w:tabs>
                <w:tab w:val="left" w:pos="6300"/>
              </w:tabs>
              <w:snapToGrid w:val="0"/>
              <w:spacing w:line="500" w:lineRule="exact"/>
              <w:jc w:val="center"/>
              <w:outlineLvl w:val="0"/>
              <w:rPr>
                <w:rFonts w:ascii="宋体" w:hAnsi="宋体" w:cs="宋体"/>
                <w:color w:val="auto"/>
                <w:sz w:val="24"/>
                <w:szCs w:val="24"/>
                <w:highlight w:val="none"/>
              </w:rPr>
            </w:pPr>
          </w:p>
        </w:tc>
        <w:tc>
          <w:tcPr>
            <w:tcW w:w="2967" w:type="dxa"/>
            <w:vAlign w:val="center"/>
          </w:tcPr>
          <w:p w14:paraId="026EFDFD">
            <w:pPr>
              <w:shd w:val="clear"/>
              <w:tabs>
                <w:tab w:val="left" w:pos="6300"/>
              </w:tabs>
              <w:snapToGrid w:val="0"/>
              <w:spacing w:line="500" w:lineRule="exact"/>
              <w:jc w:val="center"/>
              <w:outlineLvl w:val="0"/>
              <w:rPr>
                <w:rFonts w:ascii="宋体" w:hAnsi="宋体" w:cs="宋体"/>
                <w:color w:val="auto"/>
                <w:sz w:val="24"/>
                <w:szCs w:val="24"/>
                <w:highlight w:val="none"/>
              </w:rPr>
            </w:pPr>
          </w:p>
        </w:tc>
        <w:tc>
          <w:tcPr>
            <w:tcW w:w="3081" w:type="dxa"/>
            <w:vAlign w:val="center"/>
          </w:tcPr>
          <w:p w14:paraId="39E6815E">
            <w:pPr>
              <w:shd w:val="clear"/>
              <w:tabs>
                <w:tab w:val="left" w:pos="6300"/>
              </w:tabs>
              <w:snapToGrid w:val="0"/>
              <w:spacing w:line="500" w:lineRule="exact"/>
              <w:jc w:val="center"/>
              <w:outlineLvl w:val="0"/>
              <w:rPr>
                <w:rFonts w:ascii="宋体" w:hAnsi="宋体" w:cs="宋体"/>
                <w:color w:val="auto"/>
                <w:sz w:val="24"/>
                <w:szCs w:val="24"/>
                <w:highlight w:val="none"/>
              </w:rPr>
            </w:pPr>
          </w:p>
        </w:tc>
        <w:tc>
          <w:tcPr>
            <w:tcW w:w="2309" w:type="dxa"/>
            <w:vAlign w:val="center"/>
          </w:tcPr>
          <w:p w14:paraId="4FFEA82F">
            <w:pPr>
              <w:shd w:val="clear"/>
              <w:tabs>
                <w:tab w:val="left" w:pos="6300"/>
              </w:tabs>
              <w:snapToGrid w:val="0"/>
              <w:spacing w:line="500" w:lineRule="exact"/>
              <w:jc w:val="center"/>
              <w:outlineLvl w:val="0"/>
              <w:rPr>
                <w:rFonts w:ascii="宋体" w:hAnsi="宋体" w:cs="宋体"/>
                <w:color w:val="auto"/>
                <w:sz w:val="24"/>
                <w:szCs w:val="24"/>
                <w:highlight w:val="none"/>
              </w:rPr>
            </w:pPr>
          </w:p>
        </w:tc>
      </w:tr>
    </w:tbl>
    <w:p w14:paraId="57B4CD2F">
      <w:pPr>
        <w:shd w:val="clear"/>
        <w:spacing w:line="500" w:lineRule="exact"/>
        <w:ind w:firstLine="600" w:firstLineChars="250"/>
        <w:rPr>
          <w:rFonts w:ascii="宋体" w:hAnsi="宋体" w:cs="宋体"/>
          <w:color w:val="auto"/>
          <w:sz w:val="24"/>
          <w:szCs w:val="28"/>
          <w:highlight w:val="none"/>
        </w:rPr>
      </w:pPr>
      <w:r>
        <w:rPr>
          <w:rFonts w:hint="eastAsia" w:ascii="宋体" w:hAnsi="宋体" w:cs="宋体"/>
          <w:color w:val="auto"/>
          <w:sz w:val="24"/>
          <w:szCs w:val="28"/>
          <w:highlight w:val="none"/>
        </w:rPr>
        <w:t xml:space="preserve">供应商：                            </w:t>
      </w:r>
      <w:r>
        <w:rPr>
          <w:rFonts w:hint="eastAsia" w:ascii="宋体" w:hAnsi="宋体" w:cs="宋体"/>
          <w:color w:val="auto"/>
          <w:sz w:val="24"/>
          <w:szCs w:val="24"/>
          <w:highlight w:val="none"/>
        </w:rPr>
        <w:t>法定代表人（或其授权代表）或自然人：</w:t>
      </w:r>
    </w:p>
    <w:p w14:paraId="6389A0C8">
      <w:pPr>
        <w:shd w:val="clear"/>
        <w:spacing w:line="500" w:lineRule="exact"/>
        <w:rPr>
          <w:rFonts w:ascii="宋体" w:hAnsi="宋体" w:cs="宋体"/>
          <w:color w:val="auto"/>
          <w:sz w:val="24"/>
          <w:szCs w:val="28"/>
          <w:highlight w:val="none"/>
        </w:rPr>
      </w:pPr>
    </w:p>
    <w:p w14:paraId="427206D1">
      <w:pPr>
        <w:shd w:val="clear"/>
        <w:spacing w:line="500" w:lineRule="exact"/>
        <w:ind w:firstLine="720" w:firstLineChars="300"/>
        <w:rPr>
          <w:rFonts w:ascii="宋体" w:hAnsi="宋体" w:cs="宋体"/>
          <w:color w:val="auto"/>
          <w:sz w:val="24"/>
          <w:szCs w:val="28"/>
          <w:highlight w:val="none"/>
        </w:rPr>
      </w:pPr>
      <w:r>
        <w:rPr>
          <w:rFonts w:hint="eastAsia" w:ascii="宋体" w:hAnsi="宋体" w:cs="宋体"/>
          <w:color w:val="auto"/>
          <w:sz w:val="24"/>
          <w:szCs w:val="28"/>
          <w:highlight w:val="none"/>
        </w:rPr>
        <w:t>（供应商公章）                               （签署或盖章）</w:t>
      </w:r>
    </w:p>
    <w:p w14:paraId="7423A130">
      <w:pPr>
        <w:shd w:val="clea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szCs w:val="28"/>
          <w:highlight w:val="none"/>
        </w:rPr>
        <w:t xml:space="preserve">                                              年     月     日</w:t>
      </w:r>
    </w:p>
    <w:p w14:paraId="62658B60">
      <w:pPr>
        <w:shd w:val="clea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00DB7DDC">
      <w:pPr>
        <w:shd w:val="clea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szCs w:val="24"/>
          <w:highlight w:val="none"/>
        </w:rPr>
        <w:t>1</w:t>
      </w:r>
      <w:r>
        <w:rPr>
          <w:rFonts w:hint="eastAsia" w:ascii="宋体" w:hAnsi="宋体" w:cs="宋体"/>
          <w:color w:val="auto"/>
          <w:sz w:val="24"/>
          <w:highlight w:val="none"/>
        </w:rPr>
        <w:t>.</w:t>
      </w:r>
      <w:r>
        <w:rPr>
          <w:rFonts w:hint="eastAsia" w:ascii="宋体" w:hAnsi="宋体" w:cs="宋体"/>
          <w:color w:val="auto"/>
          <w:sz w:val="24"/>
          <w:szCs w:val="24"/>
          <w:highlight w:val="none"/>
        </w:rPr>
        <w:t>本表即为对本项目“第二篇  项目服务需求”中所列条款进行比较和响应；</w:t>
      </w:r>
    </w:p>
    <w:p w14:paraId="60227272">
      <w:pPr>
        <w:shd w:val="clear"/>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2.本表可扩展。</w:t>
      </w:r>
    </w:p>
    <w:p w14:paraId="4EE2BB9F">
      <w:pPr>
        <w:shd w:val="clear"/>
        <w:tabs>
          <w:tab w:val="left" w:pos="6300"/>
        </w:tabs>
        <w:snapToGrid w:val="0"/>
        <w:spacing w:line="400" w:lineRule="exact"/>
        <w:ind w:firstLine="480" w:firstLineChars="200"/>
        <w:rPr>
          <w:rFonts w:ascii="宋体" w:hAnsi="宋体" w:cs="宋体"/>
          <w:color w:val="auto"/>
          <w:sz w:val="24"/>
          <w:szCs w:val="24"/>
          <w:highlight w:val="none"/>
        </w:rPr>
      </w:pPr>
    </w:p>
    <w:p w14:paraId="41976AB8">
      <w:pPr>
        <w:shd w:val="clear"/>
        <w:tabs>
          <w:tab w:val="left" w:pos="6300"/>
        </w:tabs>
        <w:snapToGrid w:val="0"/>
        <w:spacing w:line="400" w:lineRule="exact"/>
        <w:ind w:firstLine="480" w:firstLineChars="200"/>
        <w:rPr>
          <w:rFonts w:ascii="宋体" w:hAnsi="宋体" w:cs="宋体"/>
          <w:color w:val="auto"/>
          <w:sz w:val="24"/>
          <w:szCs w:val="24"/>
          <w:highlight w:val="none"/>
        </w:rPr>
      </w:pPr>
    </w:p>
    <w:p w14:paraId="532A1AD1">
      <w:pPr>
        <w:shd w:val="clear"/>
        <w:tabs>
          <w:tab w:val="left" w:pos="6300"/>
        </w:tabs>
        <w:snapToGrid w:val="0"/>
        <w:spacing w:line="400" w:lineRule="exact"/>
        <w:ind w:firstLine="480" w:firstLineChars="200"/>
        <w:rPr>
          <w:rFonts w:ascii="宋体" w:hAnsi="宋体" w:cs="宋体"/>
          <w:color w:val="auto"/>
          <w:sz w:val="24"/>
          <w:szCs w:val="24"/>
          <w:highlight w:val="none"/>
        </w:rPr>
      </w:pPr>
    </w:p>
    <w:p w14:paraId="79213E2B">
      <w:pPr>
        <w:shd w:val="clear"/>
        <w:tabs>
          <w:tab w:val="left" w:pos="6300"/>
        </w:tabs>
        <w:snapToGrid w:val="0"/>
        <w:spacing w:line="400" w:lineRule="exact"/>
        <w:ind w:firstLine="480" w:firstLineChars="200"/>
        <w:rPr>
          <w:rFonts w:ascii="宋体" w:hAnsi="宋体" w:cs="宋体"/>
          <w:color w:val="auto"/>
          <w:sz w:val="24"/>
          <w:szCs w:val="24"/>
          <w:highlight w:val="none"/>
        </w:rPr>
      </w:pPr>
    </w:p>
    <w:p w14:paraId="16698F1B">
      <w:pPr>
        <w:pStyle w:val="13"/>
        <w:shd w:val="clear"/>
        <w:rPr>
          <w:rFonts w:ascii="宋体" w:hAnsi="宋体" w:cs="宋体"/>
          <w:color w:val="auto"/>
          <w:highlight w:val="none"/>
        </w:rPr>
      </w:pPr>
    </w:p>
    <w:p w14:paraId="487EEA1E">
      <w:pPr>
        <w:shd w:val="clear"/>
        <w:tabs>
          <w:tab w:val="left" w:pos="6300"/>
        </w:tabs>
        <w:snapToGrid w:val="0"/>
        <w:spacing w:line="400" w:lineRule="exact"/>
        <w:ind w:firstLine="480" w:firstLineChars="200"/>
        <w:rPr>
          <w:rFonts w:ascii="宋体" w:hAnsi="宋体" w:cs="宋体"/>
          <w:color w:val="auto"/>
          <w:szCs w:val="24"/>
          <w:highlight w:val="none"/>
        </w:rPr>
      </w:pPr>
      <w:r>
        <w:rPr>
          <w:rFonts w:hint="eastAsia" w:ascii="宋体" w:hAnsi="宋体" w:cs="宋体"/>
          <w:color w:val="auto"/>
          <w:sz w:val="24"/>
          <w:szCs w:val="24"/>
          <w:highlight w:val="none"/>
        </w:rPr>
        <w:t>（二）其他服务资料（格式自定）</w:t>
      </w:r>
    </w:p>
    <w:p w14:paraId="0AE0687D">
      <w:pPr>
        <w:pStyle w:val="4"/>
        <w:numPr>
          <w:ilvl w:val="1"/>
          <w:numId w:val="0"/>
        </w:numPr>
        <w:shd w:val="clear"/>
        <w:adjustRightInd w:val="0"/>
        <w:snapToGrid w:val="0"/>
        <w:spacing w:line="400" w:lineRule="exact"/>
        <w:ind w:left="560" w:leftChars="200"/>
        <w:rPr>
          <w:rFonts w:ascii="宋体" w:hAnsi="宋体" w:eastAsia="宋体" w:cs="宋体"/>
          <w:color w:val="auto"/>
          <w:sz w:val="24"/>
          <w:highlight w:val="none"/>
        </w:rPr>
      </w:pPr>
      <w:r>
        <w:rPr>
          <w:rFonts w:hint="eastAsia" w:ascii="宋体" w:hAnsi="宋体" w:eastAsia="宋体" w:cs="宋体"/>
          <w:color w:val="auto"/>
          <w:highlight w:val="none"/>
        </w:rPr>
        <w:br w:type="page"/>
      </w:r>
      <w:bookmarkStart w:id="339" w:name="_Toc27486"/>
      <w:bookmarkStart w:id="340" w:name="_Toc14902"/>
      <w:bookmarkStart w:id="341" w:name="_Toc32555"/>
      <w:bookmarkStart w:id="342" w:name="_Toc76462352"/>
      <w:bookmarkStart w:id="343" w:name="_Toc30485"/>
      <w:bookmarkStart w:id="344" w:name="_Toc313008358"/>
      <w:bookmarkStart w:id="345" w:name="_Toc313888362"/>
      <w:bookmarkStart w:id="346" w:name="_Toc106030908"/>
      <w:bookmarkStart w:id="347" w:name="_Toc13584"/>
      <w:bookmarkStart w:id="348" w:name="_Toc342913421"/>
      <w:r>
        <w:rPr>
          <w:rFonts w:hint="eastAsia" w:ascii="宋体" w:hAnsi="宋体" w:eastAsia="宋体" w:cs="宋体"/>
          <w:b/>
          <w:bCs w:val="0"/>
          <w:color w:val="auto"/>
          <w:sz w:val="24"/>
          <w:highlight w:val="none"/>
        </w:rPr>
        <w:t>三、商务部分</w:t>
      </w:r>
      <w:bookmarkEnd w:id="339"/>
      <w:bookmarkEnd w:id="340"/>
      <w:bookmarkEnd w:id="341"/>
      <w:bookmarkEnd w:id="342"/>
      <w:bookmarkEnd w:id="343"/>
      <w:bookmarkEnd w:id="344"/>
      <w:bookmarkEnd w:id="345"/>
      <w:bookmarkEnd w:id="346"/>
      <w:bookmarkEnd w:id="347"/>
      <w:bookmarkEnd w:id="348"/>
    </w:p>
    <w:p w14:paraId="45B33880">
      <w:pPr>
        <w:shd w:val="clea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（一）商务响应偏离表</w:t>
      </w:r>
    </w:p>
    <w:p w14:paraId="51AE061C">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项目号：                                </w:t>
      </w:r>
    </w:p>
    <w:p w14:paraId="7B01E502">
      <w:pPr>
        <w:shd w:val="clea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磋商项目名称： </w:t>
      </w:r>
    </w:p>
    <w:tbl>
      <w:tblPr>
        <w:tblStyle w:val="32"/>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3019"/>
        <w:gridCol w:w="3075"/>
        <w:gridCol w:w="2254"/>
      </w:tblGrid>
      <w:tr w14:paraId="66060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0" w:type="dxa"/>
            <w:vAlign w:val="center"/>
          </w:tcPr>
          <w:p w14:paraId="40341549">
            <w:pPr>
              <w:shd w:val="clear"/>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3019" w:type="dxa"/>
            <w:vAlign w:val="center"/>
          </w:tcPr>
          <w:p w14:paraId="613C8A20">
            <w:pPr>
              <w:shd w:val="clear"/>
              <w:tabs>
                <w:tab w:val="left" w:pos="6300"/>
              </w:tabs>
              <w:snapToGrid w:val="0"/>
              <w:jc w:val="center"/>
              <w:outlineLvl w:val="0"/>
              <w:rPr>
                <w:rFonts w:ascii="宋体" w:hAnsi="宋体" w:cs="宋体"/>
                <w:color w:val="auto"/>
                <w:sz w:val="24"/>
                <w:szCs w:val="24"/>
                <w:highlight w:val="none"/>
              </w:rPr>
            </w:pPr>
            <w:bookmarkStart w:id="349" w:name="_Toc5023"/>
            <w:r>
              <w:rPr>
                <w:rFonts w:hint="eastAsia" w:ascii="宋体" w:hAnsi="宋体" w:cs="宋体"/>
                <w:color w:val="auto"/>
                <w:sz w:val="24"/>
                <w:szCs w:val="24"/>
                <w:highlight w:val="none"/>
              </w:rPr>
              <w:t>磋商项目商务需求</w:t>
            </w:r>
            <w:bookmarkEnd w:id="349"/>
          </w:p>
        </w:tc>
        <w:tc>
          <w:tcPr>
            <w:tcW w:w="3075" w:type="dxa"/>
            <w:vAlign w:val="center"/>
          </w:tcPr>
          <w:p w14:paraId="4496FE02">
            <w:pPr>
              <w:shd w:val="clear"/>
              <w:tabs>
                <w:tab w:val="left" w:pos="6300"/>
              </w:tabs>
              <w:snapToGrid w:val="0"/>
              <w:jc w:val="center"/>
              <w:outlineLvl w:val="0"/>
              <w:rPr>
                <w:rFonts w:ascii="宋体" w:hAnsi="宋体" w:cs="宋体"/>
                <w:color w:val="auto"/>
                <w:sz w:val="24"/>
                <w:szCs w:val="24"/>
                <w:highlight w:val="none"/>
              </w:rPr>
            </w:pPr>
            <w:bookmarkStart w:id="350" w:name="_Toc17107"/>
            <w:r>
              <w:rPr>
                <w:rFonts w:hint="eastAsia" w:ascii="宋体" w:hAnsi="宋体" w:cs="宋体"/>
                <w:color w:val="auto"/>
                <w:sz w:val="24"/>
                <w:szCs w:val="24"/>
                <w:highlight w:val="none"/>
              </w:rPr>
              <w:t>响应情况</w:t>
            </w:r>
            <w:bookmarkEnd w:id="350"/>
          </w:p>
        </w:tc>
        <w:tc>
          <w:tcPr>
            <w:tcW w:w="2254" w:type="dxa"/>
            <w:vAlign w:val="center"/>
          </w:tcPr>
          <w:p w14:paraId="189A3004">
            <w:pPr>
              <w:shd w:val="clear"/>
              <w:tabs>
                <w:tab w:val="left" w:pos="6300"/>
              </w:tabs>
              <w:snapToGrid w:val="0"/>
              <w:jc w:val="center"/>
              <w:outlineLvl w:val="0"/>
              <w:rPr>
                <w:rFonts w:ascii="宋体" w:hAnsi="宋体" w:cs="宋体"/>
                <w:color w:val="auto"/>
                <w:sz w:val="24"/>
                <w:szCs w:val="24"/>
                <w:highlight w:val="none"/>
              </w:rPr>
            </w:pPr>
            <w:r>
              <w:rPr>
                <w:rFonts w:hint="eastAsia" w:ascii="宋体" w:hAnsi="宋体" w:cs="宋体"/>
                <w:color w:val="auto"/>
                <w:sz w:val="24"/>
                <w:szCs w:val="24"/>
                <w:highlight w:val="none"/>
              </w:rPr>
              <w:t>差异说明</w:t>
            </w:r>
          </w:p>
        </w:tc>
      </w:tr>
      <w:tr w14:paraId="3B55A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130" w:type="dxa"/>
            <w:vAlign w:val="center"/>
          </w:tcPr>
          <w:p w14:paraId="0709AE9E">
            <w:pPr>
              <w:shd w:val="clear"/>
              <w:tabs>
                <w:tab w:val="left" w:pos="6300"/>
              </w:tabs>
              <w:snapToGrid w:val="0"/>
              <w:jc w:val="center"/>
              <w:outlineLvl w:val="0"/>
              <w:rPr>
                <w:rFonts w:ascii="宋体" w:hAnsi="宋体" w:cs="宋体"/>
                <w:color w:val="auto"/>
                <w:sz w:val="24"/>
                <w:szCs w:val="24"/>
                <w:highlight w:val="none"/>
              </w:rPr>
            </w:pPr>
          </w:p>
        </w:tc>
        <w:tc>
          <w:tcPr>
            <w:tcW w:w="3019" w:type="dxa"/>
            <w:vAlign w:val="center"/>
          </w:tcPr>
          <w:p w14:paraId="421FC056">
            <w:pPr>
              <w:shd w:val="clear"/>
              <w:tabs>
                <w:tab w:val="left" w:pos="6300"/>
              </w:tabs>
              <w:snapToGrid w:val="0"/>
              <w:jc w:val="center"/>
              <w:outlineLvl w:val="0"/>
              <w:rPr>
                <w:rFonts w:ascii="宋体" w:hAnsi="宋体" w:cs="宋体"/>
                <w:color w:val="auto"/>
                <w:sz w:val="24"/>
                <w:szCs w:val="24"/>
                <w:highlight w:val="none"/>
              </w:rPr>
            </w:pPr>
          </w:p>
        </w:tc>
        <w:tc>
          <w:tcPr>
            <w:tcW w:w="3075" w:type="dxa"/>
            <w:vAlign w:val="center"/>
          </w:tcPr>
          <w:p w14:paraId="4A518580">
            <w:pPr>
              <w:shd w:val="clear"/>
              <w:tabs>
                <w:tab w:val="left" w:pos="6300"/>
              </w:tabs>
              <w:snapToGrid w:val="0"/>
              <w:spacing w:line="500" w:lineRule="exact"/>
              <w:outlineLvl w:val="0"/>
              <w:rPr>
                <w:rFonts w:ascii="宋体" w:hAnsi="宋体" w:cs="宋体"/>
                <w:color w:val="auto"/>
                <w:sz w:val="24"/>
                <w:szCs w:val="24"/>
                <w:highlight w:val="none"/>
              </w:rPr>
            </w:pPr>
            <w:r>
              <w:rPr>
                <w:rFonts w:hint="eastAsia" w:ascii="宋体" w:hAnsi="宋体" w:cs="宋体"/>
                <w:color w:val="auto"/>
                <w:sz w:val="21"/>
                <w:szCs w:val="21"/>
                <w:highlight w:val="none"/>
              </w:rPr>
              <w:t>提醒：请注明具体内容以及响应文件中具体内容的位置（页码）</w:t>
            </w:r>
          </w:p>
        </w:tc>
        <w:tc>
          <w:tcPr>
            <w:tcW w:w="2254" w:type="dxa"/>
            <w:vAlign w:val="center"/>
          </w:tcPr>
          <w:p w14:paraId="0E3EE55A">
            <w:pPr>
              <w:shd w:val="clear"/>
              <w:tabs>
                <w:tab w:val="left" w:pos="6300"/>
              </w:tabs>
              <w:snapToGrid w:val="0"/>
              <w:spacing w:line="500" w:lineRule="exact"/>
              <w:jc w:val="center"/>
              <w:outlineLvl w:val="0"/>
              <w:rPr>
                <w:rFonts w:ascii="宋体" w:hAnsi="宋体" w:cs="宋体"/>
                <w:color w:val="auto"/>
                <w:sz w:val="24"/>
                <w:szCs w:val="24"/>
                <w:highlight w:val="none"/>
              </w:rPr>
            </w:pPr>
          </w:p>
        </w:tc>
      </w:tr>
      <w:tr w14:paraId="7BE91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130" w:type="dxa"/>
            <w:vAlign w:val="center"/>
          </w:tcPr>
          <w:p w14:paraId="70F0C59F">
            <w:pPr>
              <w:shd w:val="clear"/>
              <w:tabs>
                <w:tab w:val="left" w:pos="6300"/>
              </w:tabs>
              <w:snapToGrid w:val="0"/>
              <w:jc w:val="center"/>
              <w:outlineLvl w:val="0"/>
              <w:rPr>
                <w:rFonts w:ascii="宋体" w:hAnsi="宋体" w:cs="宋体"/>
                <w:color w:val="auto"/>
                <w:sz w:val="24"/>
                <w:szCs w:val="24"/>
                <w:highlight w:val="none"/>
              </w:rPr>
            </w:pPr>
          </w:p>
        </w:tc>
        <w:tc>
          <w:tcPr>
            <w:tcW w:w="3019" w:type="dxa"/>
            <w:vAlign w:val="center"/>
          </w:tcPr>
          <w:p w14:paraId="7631625A">
            <w:pPr>
              <w:shd w:val="clear"/>
              <w:tabs>
                <w:tab w:val="left" w:pos="6300"/>
              </w:tabs>
              <w:snapToGrid w:val="0"/>
              <w:jc w:val="center"/>
              <w:outlineLvl w:val="0"/>
              <w:rPr>
                <w:rFonts w:ascii="宋体" w:hAnsi="宋体" w:cs="宋体"/>
                <w:color w:val="auto"/>
                <w:sz w:val="24"/>
                <w:szCs w:val="24"/>
                <w:highlight w:val="none"/>
              </w:rPr>
            </w:pPr>
          </w:p>
        </w:tc>
        <w:tc>
          <w:tcPr>
            <w:tcW w:w="3075" w:type="dxa"/>
            <w:vAlign w:val="center"/>
          </w:tcPr>
          <w:p w14:paraId="21573D44">
            <w:pPr>
              <w:shd w:val="clear"/>
              <w:tabs>
                <w:tab w:val="left" w:pos="6300"/>
              </w:tabs>
              <w:snapToGrid w:val="0"/>
              <w:jc w:val="center"/>
              <w:outlineLvl w:val="0"/>
              <w:rPr>
                <w:rFonts w:ascii="宋体" w:hAnsi="宋体" w:cs="宋体"/>
                <w:color w:val="auto"/>
                <w:sz w:val="24"/>
                <w:szCs w:val="24"/>
                <w:highlight w:val="none"/>
              </w:rPr>
            </w:pPr>
          </w:p>
        </w:tc>
        <w:tc>
          <w:tcPr>
            <w:tcW w:w="2254" w:type="dxa"/>
            <w:vAlign w:val="center"/>
          </w:tcPr>
          <w:p w14:paraId="384CB07C">
            <w:pPr>
              <w:shd w:val="clear"/>
              <w:tabs>
                <w:tab w:val="left" w:pos="6300"/>
              </w:tabs>
              <w:snapToGrid w:val="0"/>
              <w:jc w:val="center"/>
              <w:outlineLvl w:val="0"/>
              <w:rPr>
                <w:rFonts w:ascii="宋体" w:hAnsi="宋体" w:cs="宋体"/>
                <w:color w:val="auto"/>
                <w:sz w:val="24"/>
                <w:szCs w:val="24"/>
                <w:highlight w:val="none"/>
              </w:rPr>
            </w:pPr>
          </w:p>
        </w:tc>
      </w:tr>
      <w:tr w14:paraId="39299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130" w:type="dxa"/>
            <w:vAlign w:val="center"/>
          </w:tcPr>
          <w:p w14:paraId="6A5C3CE2">
            <w:pPr>
              <w:shd w:val="clear"/>
              <w:tabs>
                <w:tab w:val="left" w:pos="6300"/>
              </w:tabs>
              <w:snapToGrid w:val="0"/>
              <w:jc w:val="center"/>
              <w:outlineLvl w:val="0"/>
              <w:rPr>
                <w:rFonts w:ascii="宋体" w:hAnsi="宋体" w:cs="宋体"/>
                <w:color w:val="auto"/>
                <w:sz w:val="24"/>
                <w:szCs w:val="24"/>
                <w:highlight w:val="none"/>
              </w:rPr>
            </w:pPr>
          </w:p>
        </w:tc>
        <w:tc>
          <w:tcPr>
            <w:tcW w:w="3019" w:type="dxa"/>
            <w:vAlign w:val="center"/>
          </w:tcPr>
          <w:p w14:paraId="031E3480">
            <w:pPr>
              <w:shd w:val="clear"/>
              <w:tabs>
                <w:tab w:val="left" w:pos="6300"/>
              </w:tabs>
              <w:snapToGrid w:val="0"/>
              <w:jc w:val="center"/>
              <w:outlineLvl w:val="0"/>
              <w:rPr>
                <w:rFonts w:ascii="宋体" w:hAnsi="宋体" w:cs="宋体"/>
                <w:color w:val="auto"/>
                <w:sz w:val="24"/>
                <w:szCs w:val="24"/>
                <w:highlight w:val="none"/>
              </w:rPr>
            </w:pPr>
          </w:p>
        </w:tc>
        <w:tc>
          <w:tcPr>
            <w:tcW w:w="3075" w:type="dxa"/>
            <w:vAlign w:val="center"/>
          </w:tcPr>
          <w:p w14:paraId="6B63F099">
            <w:pPr>
              <w:shd w:val="clear"/>
              <w:tabs>
                <w:tab w:val="left" w:pos="6300"/>
              </w:tabs>
              <w:snapToGrid w:val="0"/>
              <w:jc w:val="center"/>
              <w:outlineLvl w:val="0"/>
              <w:rPr>
                <w:rFonts w:ascii="宋体" w:hAnsi="宋体" w:cs="宋体"/>
                <w:color w:val="auto"/>
                <w:sz w:val="24"/>
                <w:szCs w:val="24"/>
                <w:highlight w:val="none"/>
              </w:rPr>
            </w:pPr>
          </w:p>
        </w:tc>
        <w:tc>
          <w:tcPr>
            <w:tcW w:w="2254" w:type="dxa"/>
            <w:vAlign w:val="center"/>
          </w:tcPr>
          <w:p w14:paraId="2ABCDA99">
            <w:pPr>
              <w:shd w:val="clear"/>
              <w:tabs>
                <w:tab w:val="left" w:pos="6300"/>
              </w:tabs>
              <w:snapToGrid w:val="0"/>
              <w:jc w:val="center"/>
              <w:outlineLvl w:val="0"/>
              <w:rPr>
                <w:rFonts w:ascii="宋体" w:hAnsi="宋体" w:cs="宋体"/>
                <w:color w:val="auto"/>
                <w:sz w:val="24"/>
                <w:szCs w:val="24"/>
                <w:highlight w:val="none"/>
              </w:rPr>
            </w:pPr>
          </w:p>
        </w:tc>
      </w:tr>
      <w:tr w14:paraId="76044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130" w:type="dxa"/>
            <w:vAlign w:val="center"/>
          </w:tcPr>
          <w:p w14:paraId="386A9B3E">
            <w:pPr>
              <w:shd w:val="clear"/>
              <w:tabs>
                <w:tab w:val="left" w:pos="6300"/>
              </w:tabs>
              <w:snapToGrid w:val="0"/>
              <w:jc w:val="center"/>
              <w:outlineLvl w:val="0"/>
              <w:rPr>
                <w:rFonts w:ascii="宋体" w:hAnsi="宋体" w:cs="宋体"/>
                <w:color w:val="auto"/>
                <w:sz w:val="24"/>
                <w:szCs w:val="24"/>
                <w:highlight w:val="none"/>
              </w:rPr>
            </w:pPr>
          </w:p>
        </w:tc>
        <w:tc>
          <w:tcPr>
            <w:tcW w:w="3019" w:type="dxa"/>
            <w:vAlign w:val="center"/>
          </w:tcPr>
          <w:p w14:paraId="75B0704D">
            <w:pPr>
              <w:shd w:val="clear"/>
              <w:tabs>
                <w:tab w:val="left" w:pos="6300"/>
              </w:tabs>
              <w:snapToGrid w:val="0"/>
              <w:jc w:val="center"/>
              <w:outlineLvl w:val="0"/>
              <w:rPr>
                <w:rFonts w:ascii="宋体" w:hAnsi="宋体" w:cs="宋体"/>
                <w:color w:val="auto"/>
                <w:sz w:val="24"/>
                <w:szCs w:val="24"/>
                <w:highlight w:val="none"/>
              </w:rPr>
            </w:pPr>
          </w:p>
        </w:tc>
        <w:tc>
          <w:tcPr>
            <w:tcW w:w="3075" w:type="dxa"/>
            <w:vAlign w:val="center"/>
          </w:tcPr>
          <w:p w14:paraId="2B0BD453">
            <w:pPr>
              <w:shd w:val="clear"/>
              <w:tabs>
                <w:tab w:val="left" w:pos="6300"/>
              </w:tabs>
              <w:snapToGrid w:val="0"/>
              <w:jc w:val="center"/>
              <w:outlineLvl w:val="0"/>
              <w:rPr>
                <w:rFonts w:ascii="宋体" w:hAnsi="宋体" w:cs="宋体"/>
                <w:color w:val="auto"/>
                <w:sz w:val="24"/>
                <w:szCs w:val="24"/>
                <w:highlight w:val="none"/>
              </w:rPr>
            </w:pPr>
          </w:p>
        </w:tc>
        <w:tc>
          <w:tcPr>
            <w:tcW w:w="2254" w:type="dxa"/>
            <w:vAlign w:val="center"/>
          </w:tcPr>
          <w:p w14:paraId="776F9CE6">
            <w:pPr>
              <w:shd w:val="clear"/>
              <w:tabs>
                <w:tab w:val="left" w:pos="6300"/>
              </w:tabs>
              <w:snapToGrid w:val="0"/>
              <w:jc w:val="center"/>
              <w:outlineLvl w:val="0"/>
              <w:rPr>
                <w:rFonts w:ascii="宋体" w:hAnsi="宋体" w:cs="宋体"/>
                <w:color w:val="auto"/>
                <w:sz w:val="24"/>
                <w:szCs w:val="24"/>
                <w:highlight w:val="none"/>
              </w:rPr>
            </w:pPr>
          </w:p>
        </w:tc>
      </w:tr>
      <w:tr w14:paraId="55FB9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130" w:type="dxa"/>
            <w:vAlign w:val="center"/>
          </w:tcPr>
          <w:p w14:paraId="2E4E5975">
            <w:pPr>
              <w:shd w:val="clear"/>
              <w:tabs>
                <w:tab w:val="left" w:pos="6300"/>
              </w:tabs>
              <w:snapToGrid w:val="0"/>
              <w:jc w:val="center"/>
              <w:outlineLvl w:val="0"/>
              <w:rPr>
                <w:rFonts w:ascii="宋体" w:hAnsi="宋体" w:cs="宋体"/>
                <w:color w:val="auto"/>
                <w:sz w:val="24"/>
                <w:szCs w:val="24"/>
                <w:highlight w:val="none"/>
              </w:rPr>
            </w:pPr>
          </w:p>
        </w:tc>
        <w:tc>
          <w:tcPr>
            <w:tcW w:w="3019" w:type="dxa"/>
            <w:vAlign w:val="center"/>
          </w:tcPr>
          <w:p w14:paraId="5ED243C9">
            <w:pPr>
              <w:shd w:val="clear"/>
              <w:tabs>
                <w:tab w:val="left" w:pos="6300"/>
              </w:tabs>
              <w:snapToGrid w:val="0"/>
              <w:jc w:val="center"/>
              <w:outlineLvl w:val="0"/>
              <w:rPr>
                <w:rFonts w:ascii="宋体" w:hAnsi="宋体" w:cs="宋体"/>
                <w:color w:val="auto"/>
                <w:sz w:val="24"/>
                <w:szCs w:val="24"/>
                <w:highlight w:val="none"/>
              </w:rPr>
            </w:pPr>
          </w:p>
        </w:tc>
        <w:tc>
          <w:tcPr>
            <w:tcW w:w="3075" w:type="dxa"/>
            <w:vAlign w:val="center"/>
          </w:tcPr>
          <w:p w14:paraId="493EF57C">
            <w:pPr>
              <w:shd w:val="clear"/>
              <w:tabs>
                <w:tab w:val="left" w:pos="6300"/>
              </w:tabs>
              <w:snapToGrid w:val="0"/>
              <w:jc w:val="center"/>
              <w:outlineLvl w:val="0"/>
              <w:rPr>
                <w:rFonts w:ascii="宋体" w:hAnsi="宋体" w:cs="宋体"/>
                <w:color w:val="auto"/>
                <w:sz w:val="24"/>
                <w:szCs w:val="24"/>
                <w:highlight w:val="none"/>
              </w:rPr>
            </w:pPr>
          </w:p>
        </w:tc>
        <w:tc>
          <w:tcPr>
            <w:tcW w:w="2254" w:type="dxa"/>
            <w:vAlign w:val="center"/>
          </w:tcPr>
          <w:p w14:paraId="63F78386">
            <w:pPr>
              <w:shd w:val="clear"/>
              <w:tabs>
                <w:tab w:val="left" w:pos="6300"/>
              </w:tabs>
              <w:snapToGrid w:val="0"/>
              <w:jc w:val="center"/>
              <w:outlineLvl w:val="0"/>
              <w:rPr>
                <w:rFonts w:ascii="宋体" w:hAnsi="宋体" w:cs="宋体"/>
                <w:color w:val="auto"/>
                <w:sz w:val="24"/>
                <w:szCs w:val="24"/>
                <w:highlight w:val="none"/>
              </w:rPr>
            </w:pPr>
          </w:p>
        </w:tc>
      </w:tr>
      <w:tr w14:paraId="33C33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130" w:type="dxa"/>
            <w:vAlign w:val="center"/>
          </w:tcPr>
          <w:p w14:paraId="53636DE8">
            <w:pPr>
              <w:shd w:val="clear"/>
              <w:tabs>
                <w:tab w:val="left" w:pos="6300"/>
              </w:tabs>
              <w:snapToGrid w:val="0"/>
              <w:jc w:val="center"/>
              <w:outlineLvl w:val="0"/>
              <w:rPr>
                <w:rFonts w:ascii="宋体" w:hAnsi="宋体" w:cs="宋体"/>
                <w:color w:val="auto"/>
                <w:sz w:val="24"/>
                <w:szCs w:val="24"/>
                <w:highlight w:val="none"/>
              </w:rPr>
            </w:pPr>
          </w:p>
        </w:tc>
        <w:tc>
          <w:tcPr>
            <w:tcW w:w="3019" w:type="dxa"/>
            <w:vAlign w:val="center"/>
          </w:tcPr>
          <w:p w14:paraId="51DFE242">
            <w:pPr>
              <w:shd w:val="clear"/>
              <w:tabs>
                <w:tab w:val="left" w:pos="6300"/>
              </w:tabs>
              <w:snapToGrid w:val="0"/>
              <w:jc w:val="center"/>
              <w:outlineLvl w:val="0"/>
              <w:rPr>
                <w:rFonts w:ascii="宋体" w:hAnsi="宋体" w:cs="宋体"/>
                <w:color w:val="auto"/>
                <w:sz w:val="24"/>
                <w:szCs w:val="24"/>
                <w:highlight w:val="none"/>
              </w:rPr>
            </w:pPr>
          </w:p>
        </w:tc>
        <w:tc>
          <w:tcPr>
            <w:tcW w:w="3075" w:type="dxa"/>
            <w:vAlign w:val="center"/>
          </w:tcPr>
          <w:p w14:paraId="4632C66C">
            <w:pPr>
              <w:shd w:val="clear"/>
              <w:tabs>
                <w:tab w:val="left" w:pos="6300"/>
              </w:tabs>
              <w:snapToGrid w:val="0"/>
              <w:jc w:val="center"/>
              <w:outlineLvl w:val="0"/>
              <w:rPr>
                <w:rFonts w:ascii="宋体" w:hAnsi="宋体" w:cs="宋体"/>
                <w:color w:val="auto"/>
                <w:sz w:val="24"/>
                <w:szCs w:val="24"/>
                <w:highlight w:val="none"/>
              </w:rPr>
            </w:pPr>
          </w:p>
        </w:tc>
        <w:tc>
          <w:tcPr>
            <w:tcW w:w="2254" w:type="dxa"/>
            <w:vAlign w:val="center"/>
          </w:tcPr>
          <w:p w14:paraId="27CFC84C">
            <w:pPr>
              <w:shd w:val="clear"/>
              <w:tabs>
                <w:tab w:val="left" w:pos="6300"/>
              </w:tabs>
              <w:snapToGrid w:val="0"/>
              <w:jc w:val="center"/>
              <w:outlineLvl w:val="0"/>
              <w:rPr>
                <w:rFonts w:ascii="宋体" w:hAnsi="宋体" w:cs="宋体"/>
                <w:color w:val="auto"/>
                <w:sz w:val="24"/>
                <w:szCs w:val="24"/>
                <w:highlight w:val="none"/>
              </w:rPr>
            </w:pPr>
          </w:p>
        </w:tc>
      </w:tr>
    </w:tbl>
    <w:p w14:paraId="079F6035">
      <w:pPr>
        <w:shd w:val="clear"/>
        <w:snapToGrid w:val="0"/>
        <w:spacing w:line="360" w:lineRule="auto"/>
        <w:ind w:firstLine="465"/>
        <w:rPr>
          <w:rFonts w:ascii="宋体" w:hAnsi="宋体" w:cs="宋体"/>
          <w:color w:val="auto"/>
          <w:sz w:val="24"/>
          <w:szCs w:val="24"/>
          <w:highlight w:val="none"/>
        </w:rPr>
      </w:pPr>
    </w:p>
    <w:p w14:paraId="50F56873">
      <w:pPr>
        <w:shd w:val="clear"/>
        <w:spacing w:line="500" w:lineRule="exact"/>
        <w:ind w:firstLine="600" w:firstLineChars="250"/>
        <w:rPr>
          <w:rFonts w:ascii="宋体" w:hAnsi="宋体" w:cs="宋体"/>
          <w:color w:val="auto"/>
          <w:sz w:val="24"/>
          <w:szCs w:val="28"/>
          <w:highlight w:val="none"/>
        </w:rPr>
      </w:pPr>
      <w:r>
        <w:rPr>
          <w:rFonts w:hint="eastAsia" w:ascii="宋体" w:hAnsi="宋体" w:cs="宋体"/>
          <w:color w:val="auto"/>
          <w:sz w:val="24"/>
          <w:szCs w:val="28"/>
          <w:highlight w:val="none"/>
        </w:rPr>
        <w:t xml:space="preserve">供应商：                          </w:t>
      </w:r>
      <w:r>
        <w:rPr>
          <w:rFonts w:hint="eastAsia" w:ascii="宋体" w:hAnsi="宋体" w:cs="宋体"/>
          <w:color w:val="auto"/>
          <w:sz w:val="24"/>
          <w:szCs w:val="24"/>
          <w:highlight w:val="none"/>
        </w:rPr>
        <w:t>法定代表人（或其授权代表）或自然人：</w:t>
      </w:r>
    </w:p>
    <w:p w14:paraId="5E78986E">
      <w:pPr>
        <w:shd w:val="clear"/>
        <w:spacing w:line="500" w:lineRule="exact"/>
        <w:rPr>
          <w:rFonts w:ascii="宋体" w:hAnsi="宋体" w:cs="宋体"/>
          <w:color w:val="auto"/>
          <w:sz w:val="24"/>
          <w:szCs w:val="28"/>
          <w:highlight w:val="none"/>
        </w:rPr>
      </w:pPr>
    </w:p>
    <w:p w14:paraId="15254507">
      <w:pPr>
        <w:shd w:val="clear"/>
        <w:spacing w:line="500" w:lineRule="exact"/>
        <w:ind w:firstLine="360" w:firstLineChars="150"/>
        <w:rPr>
          <w:rFonts w:ascii="宋体" w:hAnsi="宋体" w:cs="宋体"/>
          <w:color w:val="auto"/>
          <w:sz w:val="24"/>
          <w:szCs w:val="28"/>
          <w:highlight w:val="none"/>
        </w:rPr>
      </w:pPr>
      <w:r>
        <w:rPr>
          <w:rFonts w:hint="eastAsia" w:ascii="宋体" w:hAnsi="宋体" w:cs="宋体"/>
          <w:color w:val="auto"/>
          <w:sz w:val="24"/>
          <w:szCs w:val="28"/>
          <w:highlight w:val="none"/>
        </w:rPr>
        <w:t>（供应商公章）                                 （签署或盖章）</w:t>
      </w:r>
    </w:p>
    <w:p w14:paraId="33AF91B9">
      <w:pPr>
        <w:shd w:val="clea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szCs w:val="28"/>
          <w:highlight w:val="none"/>
        </w:rPr>
        <w:t xml:space="preserve">                                            年     月     日</w:t>
      </w:r>
    </w:p>
    <w:p w14:paraId="6CF7F9D1">
      <w:pPr>
        <w:shd w:val="clear"/>
        <w:tabs>
          <w:tab w:val="left" w:pos="6300"/>
        </w:tabs>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42BC6CD1">
      <w:pPr>
        <w:shd w:val="clear"/>
        <w:tabs>
          <w:tab w:val="left" w:pos="6300"/>
        </w:tabs>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szCs w:val="24"/>
          <w:highlight w:val="none"/>
        </w:rPr>
        <w:t>1</w:t>
      </w:r>
      <w:r>
        <w:rPr>
          <w:rFonts w:hint="eastAsia" w:ascii="宋体" w:hAnsi="宋体" w:cs="宋体"/>
          <w:color w:val="auto"/>
          <w:sz w:val="24"/>
          <w:highlight w:val="none"/>
        </w:rPr>
        <w:t>.</w:t>
      </w:r>
      <w:r>
        <w:rPr>
          <w:rFonts w:hint="eastAsia" w:ascii="宋体" w:hAnsi="宋体" w:cs="宋体"/>
          <w:color w:val="auto"/>
          <w:sz w:val="24"/>
          <w:szCs w:val="24"/>
          <w:highlight w:val="none"/>
        </w:rPr>
        <w:t>本表即为对本项目“第三篇  项目商务需求”中所列条款进行比较和响应；</w:t>
      </w:r>
    </w:p>
    <w:p w14:paraId="654406E5">
      <w:pPr>
        <w:shd w:val="clear"/>
        <w:snapToGrid w:val="0"/>
        <w:spacing w:line="400" w:lineRule="exact"/>
        <w:ind w:firstLine="480" w:firstLineChars="200"/>
        <w:rPr>
          <w:rFonts w:ascii="宋体" w:hAnsi="宋体" w:cs="宋体"/>
          <w:b/>
          <w:color w:val="auto"/>
          <w:highlight w:val="none"/>
        </w:rPr>
        <w:sectPr>
          <w:headerReference r:id="rId12" w:type="default"/>
          <w:pgSz w:w="11907" w:h="16840"/>
          <w:pgMar w:top="1134" w:right="1191" w:bottom="1134" w:left="1304" w:header="851" w:footer="992" w:gutter="0"/>
          <w:pgNumType w:fmt="numberInDash"/>
          <w:cols w:space="720" w:num="1"/>
          <w:docGrid w:linePitch="380" w:charSpace="-5735"/>
        </w:sectPr>
      </w:pPr>
      <w:r>
        <w:rPr>
          <w:rFonts w:hint="eastAsia" w:ascii="宋体" w:hAnsi="宋体" w:cs="宋体"/>
          <w:color w:val="auto"/>
          <w:sz w:val="24"/>
          <w:highlight w:val="none"/>
        </w:rPr>
        <w:t>2.本表可扩展。</w:t>
      </w:r>
    </w:p>
    <w:p w14:paraId="0A7EF186">
      <w:pPr>
        <w:shd w:val="clear"/>
        <w:snapToGrid w:val="0"/>
        <w:spacing w:line="400" w:lineRule="exact"/>
        <w:ind w:firstLine="480" w:firstLineChars="200"/>
        <w:rPr>
          <w:rFonts w:ascii="宋体" w:hAnsi="宋体" w:cs="宋体"/>
          <w:color w:val="auto"/>
          <w:sz w:val="24"/>
          <w:szCs w:val="24"/>
          <w:highlight w:val="none"/>
        </w:rPr>
      </w:pPr>
      <w:bookmarkStart w:id="351" w:name="_Toc283382459"/>
      <w:r>
        <w:rPr>
          <w:rFonts w:hint="eastAsia" w:ascii="宋体" w:hAnsi="宋体" w:cs="宋体"/>
          <w:color w:val="auto"/>
          <w:sz w:val="24"/>
          <w:szCs w:val="24"/>
          <w:highlight w:val="none"/>
        </w:rPr>
        <w:t>（二）其它优惠服务承诺（格式自定）</w:t>
      </w:r>
    </w:p>
    <w:p w14:paraId="37E304A7">
      <w:pPr>
        <w:shd w:val="clear"/>
        <w:snapToGrid w:val="0"/>
        <w:spacing w:line="400" w:lineRule="exact"/>
        <w:ind w:firstLine="480" w:firstLineChars="200"/>
        <w:rPr>
          <w:rFonts w:ascii="宋体" w:hAnsi="宋体" w:cs="宋体"/>
          <w:color w:val="auto"/>
          <w:sz w:val="24"/>
          <w:szCs w:val="24"/>
          <w:highlight w:val="none"/>
        </w:rPr>
      </w:pPr>
    </w:p>
    <w:p w14:paraId="2F2EADD1">
      <w:pPr>
        <w:pStyle w:val="4"/>
        <w:numPr>
          <w:ilvl w:val="1"/>
          <w:numId w:val="0"/>
        </w:numPr>
        <w:shd w:val="clear"/>
        <w:adjustRightInd w:val="0"/>
        <w:snapToGrid w:val="0"/>
        <w:spacing w:line="400" w:lineRule="exact"/>
        <w:ind w:left="560" w:leftChars="200"/>
        <w:rPr>
          <w:rFonts w:ascii="宋体" w:hAnsi="宋体" w:eastAsia="宋体" w:cs="宋体"/>
          <w:color w:val="auto"/>
          <w:sz w:val="24"/>
          <w:highlight w:val="none"/>
        </w:rPr>
      </w:pPr>
      <w:r>
        <w:rPr>
          <w:rFonts w:hint="eastAsia" w:ascii="宋体" w:hAnsi="宋体" w:eastAsia="宋体" w:cs="宋体"/>
          <w:color w:val="auto"/>
          <w:sz w:val="24"/>
          <w:szCs w:val="24"/>
          <w:highlight w:val="none"/>
        </w:rPr>
        <w:br w:type="page"/>
      </w:r>
      <w:bookmarkEnd w:id="351"/>
      <w:bookmarkStart w:id="352" w:name="_Toc17038"/>
      <w:bookmarkStart w:id="353" w:name="_Toc106030909"/>
      <w:bookmarkStart w:id="354" w:name="_Toc30837"/>
      <w:bookmarkStart w:id="355" w:name="_Toc16979"/>
      <w:bookmarkStart w:id="356" w:name="_Toc342913422"/>
      <w:bookmarkStart w:id="357" w:name="_Toc76462353"/>
      <w:bookmarkStart w:id="358" w:name="_Toc313888363"/>
      <w:bookmarkStart w:id="359" w:name="_Toc16296"/>
      <w:bookmarkStart w:id="360" w:name="_Toc313008359"/>
      <w:bookmarkStart w:id="361" w:name="_Toc17489"/>
      <w:r>
        <w:rPr>
          <w:rFonts w:hint="eastAsia" w:ascii="宋体" w:hAnsi="宋体" w:eastAsia="宋体" w:cs="宋体"/>
          <w:b/>
          <w:bCs w:val="0"/>
          <w:color w:val="auto"/>
          <w:sz w:val="24"/>
          <w:highlight w:val="none"/>
        </w:rPr>
        <w:t>四、资格条件</w:t>
      </w:r>
      <w:bookmarkEnd w:id="352"/>
      <w:bookmarkEnd w:id="353"/>
      <w:bookmarkEnd w:id="354"/>
      <w:bookmarkEnd w:id="355"/>
      <w:bookmarkEnd w:id="356"/>
      <w:bookmarkEnd w:id="357"/>
      <w:bookmarkEnd w:id="358"/>
      <w:bookmarkEnd w:id="359"/>
      <w:bookmarkEnd w:id="360"/>
      <w:bookmarkEnd w:id="361"/>
    </w:p>
    <w:p w14:paraId="70B6C80A">
      <w:pPr>
        <w:shd w:val="clear"/>
        <w:tabs>
          <w:tab w:val="left" w:pos="6300"/>
        </w:tabs>
        <w:snapToGrid w:val="0"/>
        <w:spacing w:line="4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14:paraId="7366B5CE">
      <w:pPr>
        <w:shd w:val="clear"/>
        <w:tabs>
          <w:tab w:val="left" w:pos="6300"/>
        </w:tabs>
        <w:snapToGrid w:val="0"/>
        <w:spacing w:line="400" w:lineRule="exact"/>
        <w:ind w:firstLine="570"/>
        <w:rPr>
          <w:rFonts w:ascii="宋体" w:hAnsi="宋体" w:cs="宋体"/>
          <w:color w:val="auto"/>
          <w:highlight w:val="none"/>
        </w:rPr>
      </w:pPr>
    </w:p>
    <w:p w14:paraId="3870E2C5">
      <w:pPr>
        <w:shd w:val="clear"/>
        <w:tabs>
          <w:tab w:val="left" w:pos="6300"/>
        </w:tabs>
        <w:snapToGrid w:val="0"/>
        <w:spacing w:line="500" w:lineRule="exact"/>
        <w:ind w:firstLine="570"/>
        <w:rPr>
          <w:rFonts w:ascii="宋体" w:hAnsi="宋体" w:cs="宋体"/>
          <w:color w:val="auto"/>
          <w:highlight w:val="none"/>
        </w:rPr>
      </w:pPr>
    </w:p>
    <w:p w14:paraId="39BD543B">
      <w:pPr>
        <w:shd w:val="clear"/>
        <w:tabs>
          <w:tab w:val="left" w:pos="6300"/>
        </w:tabs>
        <w:snapToGrid w:val="0"/>
        <w:spacing w:line="500" w:lineRule="exact"/>
        <w:ind w:firstLine="570"/>
        <w:rPr>
          <w:rFonts w:ascii="宋体" w:hAnsi="宋体" w:cs="宋体"/>
          <w:color w:val="auto"/>
          <w:highlight w:val="none"/>
        </w:rPr>
      </w:pPr>
    </w:p>
    <w:p w14:paraId="7FA4516E">
      <w:pPr>
        <w:shd w:val="clear"/>
        <w:tabs>
          <w:tab w:val="left" w:pos="6300"/>
        </w:tabs>
        <w:snapToGrid w:val="0"/>
        <w:spacing w:line="500" w:lineRule="exact"/>
        <w:ind w:firstLine="570"/>
        <w:rPr>
          <w:rFonts w:ascii="宋体" w:hAnsi="宋体" w:cs="宋体"/>
          <w:color w:val="auto"/>
          <w:highlight w:val="none"/>
        </w:rPr>
      </w:pPr>
    </w:p>
    <w:p w14:paraId="415DA957">
      <w:pPr>
        <w:shd w:val="clear"/>
        <w:tabs>
          <w:tab w:val="left" w:pos="6300"/>
        </w:tabs>
        <w:snapToGrid w:val="0"/>
        <w:spacing w:line="500" w:lineRule="exact"/>
        <w:ind w:firstLine="570"/>
        <w:rPr>
          <w:rFonts w:ascii="宋体" w:hAnsi="宋体" w:cs="宋体"/>
          <w:color w:val="auto"/>
          <w:highlight w:val="none"/>
        </w:rPr>
      </w:pPr>
    </w:p>
    <w:p w14:paraId="71360271">
      <w:pPr>
        <w:shd w:val="clear"/>
        <w:snapToGrid w:val="0"/>
        <w:spacing w:line="400" w:lineRule="exact"/>
        <w:ind w:firstLine="560" w:firstLineChars="200"/>
        <w:rPr>
          <w:rFonts w:ascii="宋体" w:hAnsi="宋体" w:cs="宋体"/>
          <w:color w:val="auto"/>
          <w:sz w:val="24"/>
          <w:szCs w:val="24"/>
          <w:highlight w:val="none"/>
        </w:rPr>
      </w:pPr>
      <w:r>
        <w:rPr>
          <w:rFonts w:hint="eastAsia" w:ascii="宋体" w:hAnsi="宋体" w:cs="宋体"/>
          <w:color w:val="auto"/>
          <w:highlight w:val="none"/>
        </w:rPr>
        <w:br w:type="page"/>
      </w:r>
      <w:r>
        <w:rPr>
          <w:rFonts w:hint="eastAsia" w:ascii="宋体" w:hAnsi="宋体" w:cs="宋体"/>
          <w:color w:val="auto"/>
          <w:sz w:val="24"/>
          <w:szCs w:val="24"/>
          <w:highlight w:val="none"/>
        </w:rPr>
        <w:t>（二）法定代表人身份证明书（格式）</w:t>
      </w:r>
    </w:p>
    <w:p w14:paraId="21905C3C">
      <w:pPr>
        <w:shd w:val="clear"/>
        <w:tabs>
          <w:tab w:val="left" w:pos="6300"/>
        </w:tabs>
        <w:snapToGrid w:val="0"/>
        <w:spacing w:line="500" w:lineRule="exact"/>
        <w:ind w:firstLine="570"/>
        <w:rPr>
          <w:rFonts w:ascii="宋体" w:hAnsi="宋体" w:cs="宋体"/>
          <w:color w:val="auto"/>
          <w:sz w:val="24"/>
          <w:highlight w:val="none"/>
        </w:rPr>
      </w:pPr>
    </w:p>
    <w:p w14:paraId="1D241571">
      <w:pPr>
        <w:shd w:val="clear"/>
        <w:tabs>
          <w:tab w:val="left" w:pos="6300"/>
        </w:tabs>
        <w:snapToGrid w:val="0"/>
        <w:spacing w:line="500" w:lineRule="exact"/>
        <w:ind w:firstLine="570"/>
        <w:rPr>
          <w:rFonts w:ascii="宋体" w:hAnsi="宋体" w:cs="宋体"/>
          <w:color w:val="auto"/>
          <w:sz w:val="24"/>
          <w:highlight w:val="none"/>
          <w:u w:val="single"/>
        </w:rPr>
      </w:pPr>
      <w:r>
        <w:rPr>
          <w:rFonts w:hint="eastAsia" w:ascii="宋体" w:hAnsi="宋体" w:cs="宋体"/>
          <w:color w:val="auto"/>
          <w:sz w:val="24"/>
          <w:highlight w:val="none"/>
        </w:rPr>
        <w:t xml:space="preserve">磋商项目名称： </w:t>
      </w:r>
      <w:r>
        <w:rPr>
          <w:rFonts w:hint="eastAsia" w:ascii="宋体" w:hAnsi="宋体" w:cs="宋体"/>
          <w:color w:val="auto"/>
          <w:sz w:val="24"/>
          <w:highlight w:val="none"/>
          <w:u w:val="single"/>
        </w:rPr>
        <w:t xml:space="preserve">                        </w:t>
      </w:r>
    </w:p>
    <w:p w14:paraId="0FADA0F8">
      <w:pPr>
        <w:shd w:val="clear"/>
        <w:tabs>
          <w:tab w:val="left" w:pos="6300"/>
        </w:tabs>
        <w:snapToGrid w:val="0"/>
        <w:spacing w:line="500" w:lineRule="exact"/>
        <w:ind w:firstLine="570"/>
        <w:rPr>
          <w:rFonts w:ascii="宋体" w:hAnsi="宋体" w:cs="宋体"/>
          <w:color w:val="auto"/>
          <w:sz w:val="24"/>
          <w:highlight w:val="none"/>
        </w:rPr>
      </w:pPr>
    </w:p>
    <w:p w14:paraId="6B69CD47">
      <w:pPr>
        <w:shd w:val="clear"/>
        <w:tabs>
          <w:tab w:val="left" w:pos="6300"/>
        </w:tabs>
        <w:snapToGrid w:val="0"/>
        <w:spacing w:line="50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（采购代理机构名称）：</w:t>
      </w:r>
    </w:p>
    <w:p w14:paraId="39DF0341">
      <w:pPr>
        <w:shd w:val="clea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（法定代表人姓名）在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（职务名称）职务，是</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（供应商名称）的法定代表人。</w:t>
      </w:r>
    </w:p>
    <w:p w14:paraId="1A886F0B">
      <w:pPr>
        <w:shd w:val="clear"/>
        <w:tabs>
          <w:tab w:val="left" w:pos="6300"/>
        </w:tabs>
        <w:snapToGrid w:val="0"/>
        <w:spacing w:line="500" w:lineRule="exact"/>
        <w:ind w:firstLine="570"/>
        <w:rPr>
          <w:rFonts w:ascii="宋体" w:hAnsi="宋体" w:cs="宋体"/>
          <w:color w:val="auto"/>
          <w:sz w:val="24"/>
          <w:highlight w:val="none"/>
        </w:rPr>
      </w:pPr>
    </w:p>
    <w:p w14:paraId="303F310F">
      <w:pPr>
        <w:shd w:val="clea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特此证明。</w:t>
      </w:r>
    </w:p>
    <w:p w14:paraId="01570E9B">
      <w:pPr>
        <w:shd w:val="clear"/>
        <w:tabs>
          <w:tab w:val="left" w:pos="6300"/>
        </w:tabs>
        <w:snapToGrid w:val="0"/>
        <w:spacing w:line="500" w:lineRule="exact"/>
        <w:ind w:firstLine="570"/>
        <w:rPr>
          <w:rFonts w:ascii="宋体" w:hAnsi="宋体" w:cs="宋体"/>
          <w:color w:val="auto"/>
          <w:sz w:val="24"/>
          <w:highlight w:val="none"/>
        </w:rPr>
      </w:pPr>
    </w:p>
    <w:p w14:paraId="2827FF5D">
      <w:pPr>
        <w:shd w:val="clear"/>
        <w:tabs>
          <w:tab w:val="left" w:pos="6300"/>
        </w:tabs>
        <w:snapToGrid w:val="0"/>
        <w:spacing w:line="500" w:lineRule="exact"/>
        <w:ind w:firstLine="570"/>
        <w:rPr>
          <w:rFonts w:ascii="宋体" w:hAnsi="宋体" w:cs="宋体"/>
          <w:color w:val="auto"/>
          <w:sz w:val="24"/>
          <w:highlight w:val="none"/>
        </w:rPr>
      </w:pPr>
    </w:p>
    <w:p w14:paraId="15D77DCC">
      <w:pPr>
        <w:shd w:val="clear"/>
        <w:tabs>
          <w:tab w:val="left" w:pos="6300"/>
        </w:tabs>
        <w:snapToGrid w:val="0"/>
        <w:spacing w:line="500" w:lineRule="exact"/>
        <w:ind w:firstLine="570"/>
        <w:rPr>
          <w:rFonts w:ascii="宋体" w:hAnsi="宋体" w:cs="宋体"/>
          <w:color w:val="auto"/>
          <w:sz w:val="24"/>
          <w:highlight w:val="none"/>
        </w:rPr>
      </w:pPr>
    </w:p>
    <w:p w14:paraId="0C61C6DA">
      <w:pPr>
        <w:shd w:val="clea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（供应商公章）</w:t>
      </w:r>
    </w:p>
    <w:p w14:paraId="43D2F662">
      <w:pPr>
        <w:shd w:val="clear"/>
        <w:tabs>
          <w:tab w:val="left" w:pos="6300"/>
        </w:tabs>
        <w:snapToGrid w:val="0"/>
        <w:spacing w:line="500" w:lineRule="exact"/>
        <w:ind w:firstLine="570"/>
        <w:rPr>
          <w:rFonts w:ascii="宋体" w:hAnsi="宋体" w:cs="宋体"/>
          <w:color w:val="auto"/>
          <w:sz w:val="24"/>
          <w:highlight w:val="none"/>
        </w:rPr>
      </w:pPr>
    </w:p>
    <w:p w14:paraId="564F4D5B">
      <w:pPr>
        <w:shd w:val="clea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年   月   日</w:t>
      </w:r>
    </w:p>
    <w:p w14:paraId="7BA35A0E">
      <w:pPr>
        <w:shd w:val="clea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法定代表人电话：XXXXXXX      电子邮箱：XXXXXX@XXXXX（若授权他人办理并签署响应文件的可不填写）</w:t>
      </w:r>
    </w:p>
    <w:p w14:paraId="0B9FFB99">
      <w:pPr>
        <w:shd w:val="clea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（附：法定代表人身份证正反面复印件）</w:t>
      </w:r>
    </w:p>
    <w:p w14:paraId="7823B506">
      <w:pPr>
        <w:shd w:val="clear"/>
        <w:tabs>
          <w:tab w:val="left" w:pos="6300"/>
        </w:tabs>
        <w:snapToGrid w:val="0"/>
        <w:spacing w:line="500" w:lineRule="exact"/>
        <w:ind w:firstLine="570"/>
        <w:rPr>
          <w:rFonts w:ascii="宋体" w:hAnsi="宋体" w:cs="宋体"/>
          <w:color w:val="auto"/>
          <w:sz w:val="24"/>
          <w:highlight w:val="none"/>
        </w:rPr>
      </w:pPr>
    </w:p>
    <w:p w14:paraId="6B1D9E71">
      <w:pPr>
        <w:shd w:val="clear"/>
        <w:tabs>
          <w:tab w:val="left" w:pos="6300"/>
        </w:tabs>
        <w:snapToGrid w:val="0"/>
        <w:spacing w:line="500" w:lineRule="exact"/>
        <w:ind w:firstLine="570"/>
        <w:rPr>
          <w:rFonts w:ascii="宋体" w:hAnsi="宋体" w:cs="宋体"/>
          <w:color w:val="auto"/>
          <w:sz w:val="24"/>
          <w:highlight w:val="none"/>
        </w:rPr>
      </w:pPr>
    </w:p>
    <w:p w14:paraId="08C1F3BE">
      <w:pPr>
        <w:shd w:val="clear"/>
        <w:tabs>
          <w:tab w:val="left" w:pos="6300"/>
        </w:tabs>
        <w:snapToGrid w:val="0"/>
        <w:spacing w:line="500" w:lineRule="exact"/>
        <w:ind w:firstLine="570"/>
        <w:rPr>
          <w:rFonts w:ascii="宋体" w:hAnsi="宋体" w:cs="宋体"/>
          <w:color w:val="auto"/>
          <w:sz w:val="24"/>
          <w:highlight w:val="none"/>
        </w:rPr>
      </w:pPr>
    </w:p>
    <w:p w14:paraId="3E5A1657">
      <w:pPr>
        <w:shd w:val="clear"/>
        <w:tabs>
          <w:tab w:val="left" w:pos="6300"/>
        </w:tabs>
        <w:snapToGrid w:val="0"/>
        <w:spacing w:line="500" w:lineRule="exact"/>
        <w:ind w:firstLine="570"/>
        <w:rPr>
          <w:rFonts w:ascii="宋体" w:hAnsi="宋体" w:cs="宋体"/>
          <w:color w:val="auto"/>
          <w:sz w:val="24"/>
          <w:highlight w:val="none"/>
        </w:rPr>
      </w:pPr>
    </w:p>
    <w:p w14:paraId="0E096F52">
      <w:pPr>
        <w:shd w:val="clear"/>
        <w:tabs>
          <w:tab w:val="left" w:pos="6300"/>
        </w:tabs>
        <w:snapToGrid w:val="0"/>
        <w:spacing w:line="500" w:lineRule="exact"/>
        <w:ind w:firstLine="570"/>
        <w:rPr>
          <w:rFonts w:ascii="宋体" w:hAnsi="宋体" w:cs="宋体"/>
          <w:color w:val="auto"/>
          <w:sz w:val="24"/>
          <w:highlight w:val="none"/>
        </w:rPr>
      </w:pPr>
    </w:p>
    <w:p w14:paraId="0F6CCB1E">
      <w:pPr>
        <w:shd w:val="clear"/>
        <w:tabs>
          <w:tab w:val="left" w:pos="6300"/>
        </w:tabs>
        <w:snapToGrid w:val="0"/>
        <w:spacing w:line="500" w:lineRule="exact"/>
        <w:ind w:firstLine="570"/>
        <w:rPr>
          <w:rFonts w:ascii="宋体" w:hAnsi="宋体" w:cs="宋体"/>
          <w:color w:val="auto"/>
          <w:sz w:val="24"/>
          <w:highlight w:val="none"/>
        </w:rPr>
      </w:pPr>
    </w:p>
    <w:p w14:paraId="190E901F">
      <w:pPr>
        <w:shd w:val="clear"/>
        <w:snapToGrid w:val="0"/>
        <w:spacing w:line="400" w:lineRule="exact"/>
        <w:ind w:firstLine="560" w:firstLineChars="200"/>
        <w:rPr>
          <w:rFonts w:ascii="宋体" w:hAnsi="宋体" w:cs="宋体"/>
          <w:color w:val="auto"/>
          <w:sz w:val="24"/>
          <w:szCs w:val="24"/>
          <w:highlight w:val="none"/>
        </w:rPr>
      </w:pPr>
      <w:r>
        <w:rPr>
          <w:rFonts w:hint="eastAsia" w:ascii="宋体" w:hAnsi="宋体" w:cs="宋体"/>
          <w:color w:val="auto"/>
          <w:highlight w:val="none"/>
        </w:rPr>
        <w:br w:type="column"/>
      </w:r>
      <w:r>
        <w:rPr>
          <w:rFonts w:hint="eastAsia" w:ascii="宋体" w:hAnsi="宋体" w:cs="宋体"/>
          <w:color w:val="auto"/>
          <w:sz w:val="24"/>
          <w:szCs w:val="24"/>
          <w:highlight w:val="none"/>
        </w:rPr>
        <w:t>（三）法定代表人授权委托书（格式）</w:t>
      </w:r>
    </w:p>
    <w:p w14:paraId="60BD6475">
      <w:pPr>
        <w:shd w:val="clear"/>
        <w:tabs>
          <w:tab w:val="left" w:pos="6300"/>
        </w:tabs>
        <w:snapToGrid w:val="0"/>
        <w:spacing w:line="500" w:lineRule="exact"/>
        <w:ind w:firstLine="570"/>
        <w:rPr>
          <w:rFonts w:ascii="宋体" w:hAnsi="宋体" w:cs="宋体"/>
          <w:color w:val="auto"/>
          <w:sz w:val="24"/>
          <w:highlight w:val="none"/>
        </w:rPr>
      </w:pPr>
    </w:p>
    <w:p w14:paraId="0FB801EC">
      <w:pPr>
        <w:shd w:val="clea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szCs w:val="28"/>
          <w:highlight w:val="none"/>
        </w:rPr>
        <w:t>磋商项目名称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06EC9689">
      <w:pPr>
        <w:shd w:val="clear"/>
        <w:tabs>
          <w:tab w:val="left" w:pos="6300"/>
        </w:tabs>
        <w:snapToGrid w:val="0"/>
        <w:spacing w:line="500" w:lineRule="exact"/>
        <w:ind w:firstLine="570"/>
        <w:rPr>
          <w:rFonts w:ascii="宋体" w:hAnsi="宋体" w:cs="宋体"/>
          <w:color w:val="auto"/>
          <w:sz w:val="24"/>
          <w:highlight w:val="none"/>
        </w:rPr>
      </w:pPr>
    </w:p>
    <w:p w14:paraId="38CF385D">
      <w:pPr>
        <w:shd w:val="clear"/>
        <w:tabs>
          <w:tab w:val="left" w:pos="6300"/>
        </w:tabs>
        <w:snapToGrid w:val="0"/>
        <w:spacing w:line="50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（采购代理机构名称）：</w:t>
      </w:r>
    </w:p>
    <w:p w14:paraId="60FF88D9">
      <w:pPr>
        <w:shd w:val="clea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（供应商法定代表人名称）是</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（供应商名称）的法定代表人，特授权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（被授权人姓名及身份证代码）代表我单位全权办理上述项目的磋商、签约等具体工作，并签署全部有关文件、协议及合同。</w:t>
      </w:r>
    </w:p>
    <w:p w14:paraId="7DE950C0">
      <w:pPr>
        <w:shd w:val="clea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我单位对被授权人的</w:t>
      </w:r>
      <w:r>
        <w:rPr>
          <w:rFonts w:hint="eastAsia" w:ascii="宋体" w:hAnsi="宋体" w:cs="宋体"/>
          <w:color w:val="auto"/>
          <w:sz w:val="24"/>
          <w:szCs w:val="28"/>
          <w:highlight w:val="none"/>
        </w:rPr>
        <w:t>签署</w:t>
      </w:r>
      <w:r>
        <w:rPr>
          <w:rFonts w:hint="eastAsia" w:ascii="宋体" w:hAnsi="宋体" w:cs="宋体"/>
          <w:color w:val="auto"/>
          <w:sz w:val="24"/>
          <w:highlight w:val="none"/>
        </w:rPr>
        <w:t>负全部责任。</w:t>
      </w:r>
    </w:p>
    <w:p w14:paraId="757D7D16">
      <w:pPr>
        <w:shd w:val="clea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在撤销授权的书面通知以前，本授权书一直有效。被授权人在授权书有效期内签署的所有文件不因授权的撤销而失效。</w:t>
      </w:r>
    </w:p>
    <w:p w14:paraId="56C4C274">
      <w:pPr>
        <w:shd w:val="clear"/>
        <w:tabs>
          <w:tab w:val="left" w:pos="6300"/>
        </w:tabs>
        <w:snapToGrid w:val="0"/>
        <w:spacing w:line="500" w:lineRule="exact"/>
        <w:ind w:firstLine="570"/>
        <w:rPr>
          <w:rFonts w:ascii="宋体" w:hAnsi="宋体" w:cs="宋体"/>
          <w:color w:val="auto"/>
          <w:sz w:val="24"/>
          <w:highlight w:val="none"/>
        </w:rPr>
      </w:pPr>
    </w:p>
    <w:p w14:paraId="2560BFF9">
      <w:pPr>
        <w:shd w:val="clear"/>
        <w:tabs>
          <w:tab w:val="left" w:pos="6300"/>
        </w:tabs>
        <w:snapToGrid w:val="0"/>
        <w:spacing w:line="500" w:lineRule="exact"/>
        <w:ind w:firstLine="570"/>
        <w:rPr>
          <w:rFonts w:ascii="宋体" w:hAnsi="宋体" w:cs="宋体"/>
          <w:color w:val="auto"/>
          <w:sz w:val="24"/>
          <w:highlight w:val="none"/>
        </w:rPr>
      </w:pPr>
    </w:p>
    <w:p w14:paraId="5CE59EE7">
      <w:pPr>
        <w:shd w:val="clea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被授权人：                                 供应商法定代表人：</w:t>
      </w:r>
    </w:p>
    <w:p w14:paraId="0B871082">
      <w:pPr>
        <w:shd w:val="clear"/>
        <w:tabs>
          <w:tab w:val="left" w:pos="6300"/>
        </w:tabs>
        <w:snapToGrid w:val="0"/>
        <w:spacing w:line="500" w:lineRule="exact"/>
        <w:ind w:firstLine="570"/>
        <w:rPr>
          <w:rFonts w:ascii="宋体" w:hAnsi="宋体" w:cs="宋体"/>
          <w:color w:val="auto"/>
          <w:sz w:val="24"/>
          <w:szCs w:val="28"/>
          <w:highlight w:val="none"/>
        </w:rPr>
      </w:pPr>
      <w:r>
        <w:rPr>
          <w:rFonts w:hint="eastAsia" w:ascii="宋体" w:hAnsi="宋体" w:cs="宋体"/>
          <w:color w:val="auto"/>
          <w:sz w:val="24"/>
          <w:szCs w:val="28"/>
          <w:highlight w:val="none"/>
        </w:rPr>
        <w:t>（签署或盖章）                                （签署或盖章）</w:t>
      </w:r>
    </w:p>
    <w:p w14:paraId="6D270D2F">
      <w:pPr>
        <w:shd w:val="clear"/>
        <w:tabs>
          <w:tab w:val="left" w:pos="6300"/>
        </w:tabs>
        <w:snapToGrid w:val="0"/>
        <w:spacing w:line="500" w:lineRule="exact"/>
        <w:ind w:firstLine="570"/>
        <w:rPr>
          <w:rFonts w:ascii="宋体" w:hAnsi="宋体" w:cs="宋体"/>
          <w:color w:val="auto"/>
          <w:sz w:val="24"/>
          <w:szCs w:val="28"/>
          <w:highlight w:val="none"/>
        </w:rPr>
      </w:pPr>
    </w:p>
    <w:p w14:paraId="1D991D8D">
      <w:pPr>
        <w:shd w:val="clear"/>
        <w:tabs>
          <w:tab w:val="left" w:pos="6300"/>
        </w:tabs>
        <w:snapToGrid w:val="0"/>
        <w:spacing w:line="500" w:lineRule="exact"/>
        <w:ind w:firstLine="570"/>
        <w:rPr>
          <w:rFonts w:ascii="宋体" w:hAnsi="宋体" w:cs="宋体"/>
          <w:color w:val="auto"/>
          <w:sz w:val="24"/>
          <w:highlight w:val="none"/>
        </w:rPr>
      </w:pPr>
    </w:p>
    <w:p w14:paraId="678FFE7D">
      <w:pPr>
        <w:shd w:val="clea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（附：被授权人身份证正反面复印件）</w:t>
      </w:r>
    </w:p>
    <w:p w14:paraId="7370743C">
      <w:pPr>
        <w:shd w:val="clear"/>
        <w:tabs>
          <w:tab w:val="left" w:pos="6300"/>
        </w:tabs>
        <w:snapToGrid w:val="0"/>
        <w:spacing w:line="500" w:lineRule="exact"/>
        <w:ind w:firstLine="570"/>
        <w:rPr>
          <w:rFonts w:ascii="宋体" w:hAnsi="宋体" w:cs="宋体"/>
          <w:color w:val="auto"/>
          <w:sz w:val="24"/>
          <w:highlight w:val="none"/>
        </w:rPr>
      </w:pPr>
    </w:p>
    <w:p w14:paraId="76670BFD">
      <w:pPr>
        <w:shd w:val="clear"/>
        <w:tabs>
          <w:tab w:val="left" w:pos="6300"/>
        </w:tabs>
        <w:snapToGrid w:val="0"/>
        <w:spacing w:line="500" w:lineRule="exact"/>
        <w:ind w:firstLine="570"/>
        <w:rPr>
          <w:rFonts w:ascii="宋体" w:hAnsi="宋体" w:cs="宋体"/>
          <w:color w:val="auto"/>
          <w:sz w:val="24"/>
          <w:highlight w:val="none"/>
        </w:rPr>
      </w:pPr>
    </w:p>
    <w:p w14:paraId="479924DD">
      <w:pPr>
        <w:shd w:val="clear"/>
        <w:tabs>
          <w:tab w:val="left" w:pos="6300"/>
        </w:tabs>
        <w:snapToGrid w:val="0"/>
        <w:spacing w:line="500" w:lineRule="exact"/>
        <w:ind w:firstLine="570"/>
        <w:rPr>
          <w:rFonts w:ascii="宋体" w:hAnsi="宋体" w:cs="宋体"/>
          <w:color w:val="auto"/>
          <w:sz w:val="24"/>
          <w:highlight w:val="none"/>
        </w:rPr>
      </w:pPr>
    </w:p>
    <w:p w14:paraId="48D69E44">
      <w:pPr>
        <w:shd w:val="clea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（供应商公章）</w:t>
      </w:r>
    </w:p>
    <w:p w14:paraId="02BEFB41">
      <w:pPr>
        <w:shd w:val="clea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年   月   日</w:t>
      </w:r>
    </w:p>
    <w:p w14:paraId="17FEF4A6">
      <w:pPr>
        <w:shd w:val="clea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被授权人电话：XXXXXXX     电子邮箱：XXXXXX@XXXXX（若法定代表人办理并签署响应文件的可不填写）</w:t>
      </w:r>
    </w:p>
    <w:p w14:paraId="22D1A05F">
      <w:pPr>
        <w:shd w:val="clea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注：若为法定代表人办理并签署响应文件的，不提供此文件。</w:t>
      </w:r>
    </w:p>
    <w:p w14:paraId="43929365">
      <w:pPr>
        <w:shd w:val="clear"/>
        <w:tabs>
          <w:tab w:val="left" w:pos="6300"/>
        </w:tabs>
        <w:snapToGrid w:val="0"/>
        <w:spacing w:line="500" w:lineRule="exact"/>
        <w:ind w:firstLine="570"/>
        <w:rPr>
          <w:rFonts w:ascii="宋体" w:hAnsi="宋体" w:cs="宋体"/>
          <w:color w:val="auto"/>
          <w:sz w:val="24"/>
          <w:szCs w:val="24"/>
          <w:highlight w:val="none"/>
        </w:rPr>
      </w:pPr>
      <w:r>
        <w:rPr>
          <w:rFonts w:hint="eastAsia" w:ascii="宋体" w:hAnsi="宋体" w:cs="宋体"/>
          <w:color w:val="auto"/>
          <w:highlight w:val="none"/>
        </w:rPr>
        <w:br w:type="column"/>
      </w:r>
      <w:r>
        <w:rPr>
          <w:rFonts w:hint="eastAsia" w:ascii="宋体" w:hAnsi="宋体" w:cs="宋体"/>
          <w:color w:val="auto"/>
          <w:sz w:val="24"/>
          <w:szCs w:val="24"/>
          <w:highlight w:val="none"/>
        </w:rPr>
        <w:t>（四）</w:t>
      </w:r>
      <w:r>
        <w:rPr>
          <w:rFonts w:hint="eastAsia" w:ascii="宋体" w:hAnsi="宋体" w:cs="宋体"/>
          <w:color w:val="auto"/>
          <w:sz w:val="24"/>
          <w:szCs w:val="28"/>
          <w:highlight w:val="none"/>
        </w:rPr>
        <w:t>基本资格条件承诺函</w:t>
      </w:r>
    </w:p>
    <w:p w14:paraId="7FB646A6">
      <w:pPr>
        <w:shd w:val="clear"/>
        <w:tabs>
          <w:tab w:val="left" w:pos="6300"/>
        </w:tabs>
        <w:snapToGrid w:val="0"/>
        <w:spacing w:line="500" w:lineRule="exact"/>
        <w:ind w:firstLine="643" w:firstLineChars="20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基本资格条件承诺函</w:t>
      </w:r>
    </w:p>
    <w:p w14:paraId="35EDD610">
      <w:pPr>
        <w:shd w:val="clear"/>
        <w:tabs>
          <w:tab w:val="left" w:pos="6300"/>
        </w:tabs>
        <w:snapToGrid w:val="0"/>
        <w:spacing w:line="530" w:lineRule="exact"/>
        <w:rPr>
          <w:rFonts w:ascii="宋体" w:hAnsi="宋体" w:cs="宋体"/>
          <w:color w:val="auto"/>
          <w:sz w:val="24"/>
          <w:highlight w:val="none"/>
        </w:rPr>
      </w:pPr>
    </w:p>
    <w:p w14:paraId="3FF351E5">
      <w:pPr>
        <w:shd w:val="clea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（采购代理机构名称）：</w:t>
      </w:r>
    </w:p>
    <w:p w14:paraId="0A2E1733">
      <w:pPr>
        <w:shd w:val="clea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（供应商名称）郑重承诺：</w:t>
      </w:r>
    </w:p>
    <w:p w14:paraId="6061BDAD">
      <w:pPr>
        <w:shd w:val="clea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1.我方具有良好的商业信誉和健全的财务会计制度，具有履行合同所必需的设备和专业技术能力，具</w:t>
      </w:r>
      <w:r>
        <w:rPr>
          <w:rFonts w:hint="eastAsia" w:ascii="宋体" w:hAnsi="宋体" w:cs="宋体"/>
          <w:color w:val="auto"/>
          <w:sz w:val="24"/>
          <w:highlight w:val="none"/>
          <w:lang w:val="zh-CN"/>
        </w:rPr>
        <w:t>有依法缴纳税收和社会保障金的良好记录</w:t>
      </w:r>
      <w:r>
        <w:rPr>
          <w:rFonts w:hint="eastAsia" w:ascii="宋体" w:hAnsi="宋体" w:cs="宋体"/>
          <w:color w:val="auto"/>
          <w:sz w:val="24"/>
          <w:highlight w:val="none"/>
        </w:rPr>
        <w:t>，参加本项目采购活动前三年内无重大违法活动记录。</w:t>
      </w:r>
    </w:p>
    <w:p w14:paraId="55DC41FA">
      <w:pPr>
        <w:shd w:val="clea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730E4B93">
      <w:pPr>
        <w:shd w:val="clea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78782314">
      <w:pPr>
        <w:shd w:val="clea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我方对以上承诺负全部法律责任。</w:t>
      </w:r>
    </w:p>
    <w:p w14:paraId="23768B01">
      <w:pPr>
        <w:shd w:val="clea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特此承诺。</w:t>
      </w:r>
    </w:p>
    <w:p w14:paraId="5295996F">
      <w:pPr>
        <w:shd w:val="clear"/>
        <w:tabs>
          <w:tab w:val="left" w:pos="6300"/>
        </w:tabs>
        <w:snapToGrid w:val="0"/>
        <w:spacing w:line="500" w:lineRule="exact"/>
        <w:ind w:firstLine="480" w:firstLineChars="200"/>
        <w:rPr>
          <w:rFonts w:ascii="宋体" w:hAnsi="宋体" w:cs="宋体"/>
          <w:color w:val="auto"/>
          <w:sz w:val="24"/>
          <w:highlight w:val="none"/>
        </w:rPr>
      </w:pPr>
    </w:p>
    <w:p w14:paraId="16DB25C8">
      <w:pPr>
        <w:shd w:val="clear"/>
        <w:tabs>
          <w:tab w:val="left" w:pos="6300"/>
        </w:tabs>
        <w:snapToGrid w:val="0"/>
        <w:spacing w:line="500" w:lineRule="exact"/>
        <w:ind w:firstLine="480" w:firstLineChars="200"/>
        <w:jc w:val="right"/>
        <w:rPr>
          <w:rFonts w:ascii="宋体" w:hAnsi="宋体" w:cs="宋体"/>
          <w:color w:val="auto"/>
          <w:sz w:val="24"/>
          <w:highlight w:val="none"/>
        </w:rPr>
      </w:pPr>
      <w:r>
        <w:rPr>
          <w:rFonts w:hint="eastAsia" w:ascii="宋体" w:hAnsi="宋体" w:cs="宋体"/>
          <w:color w:val="auto"/>
          <w:sz w:val="24"/>
          <w:highlight w:val="none"/>
        </w:rPr>
        <w:t>（供应商公章）</w:t>
      </w:r>
    </w:p>
    <w:p w14:paraId="6F366C18">
      <w:pPr>
        <w:shd w:val="clear"/>
        <w:tabs>
          <w:tab w:val="left" w:pos="6300"/>
        </w:tabs>
        <w:snapToGrid w:val="0"/>
        <w:spacing w:line="500" w:lineRule="exact"/>
        <w:ind w:firstLine="7920" w:firstLineChars="3300"/>
        <w:rPr>
          <w:rFonts w:ascii="宋体" w:hAnsi="宋体" w:cs="宋体"/>
          <w:color w:val="auto"/>
          <w:sz w:val="24"/>
          <w:szCs w:val="24"/>
          <w:highlight w:val="none"/>
        </w:rPr>
      </w:pPr>
      <w:r>
        <w:rPr>
          <w:rFonts w:hint="eastAsia" w:ascii="宋体" w:hAnsi="宋体" w:cs="宋体"/>
          <w:color w:val="auto"/>
          <w:sz w:val="24"/>
          <w:highlight w:val="none"/>
        </w:rPr>
        <w:t>年   月   日</w:t>
      </w:r>
    </w:p>
    <w:p w14:paraId="163828B5">
      <w:pPr>
        <w:shd w:val="clear"/>
        <w:snapToGrid w:val="0"/>
        <w:spacing w:line="400" w:lineRule="exact"/>
        <w:ind w:firstLine="560" w:firstLineChars="200"/>
        <w:rPr>
          <w:rFonts w:ascii="宋体" w:hAnsi="宋体" w:cs="宋体"/>
          <w:color w:val="auto"/>
          <w:sz w:val="24"/>
          <w:szCs w:val="24"/>
          <w:highlight w:val="none"/>
        </w:rPr>
      </w:pPr>
      <w:r>
        <w:rPr>
          <w:rFonts w:hint="eastAsia" w:ascii="宋体" w:hAnsi="宋体" w:cs="宋体"/>
          <w:color w:val="auto"/>
          <w:highlight w:val="none"/>
        </w:rPr>
        <w:br w:type="page"/>
      </w:r>
      <w:r>
        <w:rPr>
          <w:rFonts w:hint="eastAsia" w:ascii="宋体" w:hAnsi="宋体" w:cs="宋体"/>
          <w:color w:val="auto"/>
          <w:sz w:val="24"/>
          <w:szCs w:val="24"/>
          <w:highlight w:val="none"/>
        </w:rPr>
        <w:t>（五）特定资格条件证书或证明文件</w:t>
      </w:r>
    </w:p>
    <w:p w14:paraId="4B3BA6F3">
      <w:pPr>
        <w:shd w:val="clear"/>
        <w:tabs>
          <w:tab w:val="left" w:pos="6300"/>
        </w:tabs>
        <w:snapToGrid w:val="0"/>
        <w:spacing w:line="400" w:lineRule="exact"/>
        <w:ind w:firstLine="480" w:firstLineChars="200"/>
        <w:rPr>
          <w:rFonts w:ascii="宋体" w:hAnsi="宋体" w:cs="宋体"/>
          <w:color w:val="auto"/>
          <w:sz w:val="24"/>
          <w:szCs w:val="24"/>
          <w:highlight w:val="none"/>
        </w:rPr>
      </w:pPr>
    </w:p>
    <w:p w14:paraId="2C8C1369">
      <w:pPr>
        <w:pStyle w:val="4"/>
        <w:numPr>
          <w:ilvl w:val="1"/>
          <w:numId w:val="0"/>
        </w:numPr>
        <w:shd w:val="clear"/>
        <w:adjustRightInd w:val="0"/>
        <w:snapToGrid w:val="0"/>
        <w:spacing w:line="400" w:lineRule="exact"/>
        <w:ind w:left="560" w:leftChars="200"/>
        <w:rPr>
          <w:rFonts w:ascii="宋体" w:hAnsi="宋体" w:eastAsia="宋体" w:cs="宋体"/>
          <w:color w:val="auto"/>
          <w:sz w:val="28"/>
          <w:highlight w:val="none"/>
        </w:rPr>
        <w:sectPr>
          <w:pgSz w:w="11907" w:h="16840"/>
          <w:pgMar w:top="1134" w:right="1191" w:bottom="1134" w:left="1304" w:header="851" w:footer="992" w:gutter="0"/>
          <w:pgNumType w:fmt="numberInDash"/>
          <w:cols w:space="720" w:num="1"/>
          <w:docGrid w:linePitch="380" w:charSpace="-5735"/>
        </w:sectPr>
      </w:pPr>
      <w:bookmarkStart w:id="362" w:name="_Toc14422"/>
      <w:r>
        <w:rPr>
          <w:rFonts w:hint="eastAsia" w:ascii="宋体" w:hAnsi="宋体" w:eastAsia="宋体" w:cs="宋体"/>
          <w:color w:val="auto"/>
          <w:sz w:val="28"/>
          <w:highlight w:val="none"/>
        </w:rPr>
        <w:br w:type="page"/>
      </w:r>
      <w:bookmarkStart w:id="363" w:name="_Toc31035"/>
      <w:bookmarkStart w:id="364" w:name="_Toc21904"/>
      <w:bookmarkStart w:id="365" w:name="_Toc18889"/>
      <w:bookmarkStart w:id="366" w:name="_Toc106030910"/>
      <w:bookmarkStart w:id="367" w:name="_Toc76462354"/>
      <w:bookmarkStart w:id="368" w:name="_Toc19332"/>
      <w:bookmarkStart w:id="369" w:name="_Toc25441"/>
    </w:p>
    <w:p w14:paraId="5E88C0E9">
      <w:pPr>
        <w:pStyle w:val="4"/>
        <w:numPr>
          <w:ilvl w:val="1"/>
          <w:numId w:val="0"/>
        </w:numPr>
        <w:shd w:val="clear"/>
        <w:adjustRightInd w:val="0"/>
        <w:snapToGrid w:val="0"/>
        <w:spacing w:line="400" w:lineRule="exact"/>
        <w:ind w:left="560" w:leftChars="200"/>
        <w:rPr>
          <w:rFonts w:ascii="宋体" w:hAnsi="宋体" w:eastAsia="宋体" w:cs="宋体"/>
          <w:color w:val="auto"/>
          <w:sz w:val="24"/>
          <w:highlight w:val="none"/>
        </w:rPr>
      </w:pPr>
      <w:bookmarkStart w:id="370" w:name="_Toc11244"/>
      <w:r>
        <w:rPr>
          <w:rFonts w:hint="eastAsia" w:ascii="宋体" w:hAnsi="宋体" w:eastAsia="宋体" w:cs="宋体"/>
          <w:b/>
          <w:bCs w:val="0"/>
          <w:color w:val="auto"/>
          <w:sz w:val="24"/>
          <w:highlight w:val="none"/>
        </w:rPr>
        <w:t>五、其他资料</w:t>
      </w:r>
      <w:bookmarkEnd w:id="362"/>
      <w:bookmarkEnd w:id="363"/>
      <w:bookmarkEnd w:id="364"/>
      <w:bookmarkEnd w:id="365"/>
      <w:bookmarkEnd w:id="366"/>
      <w:bookmarkEnd w:id="367"/>
      <w:bookmarkEnd w:id="368"/>
      <w:bookmarkEnd w:id="369"/>
      <w:bookmarkEnd w:id="370"/>
    </w:p>
    <w:p w14:paraId="746420C5">
      <w:pPr>
        <w:shd w:val="clea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（一）其他与项目有关的资料</w:t>
      </w:r>
    </w:p>
    <w:p w14:paraId="659FB1F7">
      <w:pPr>
        <w:shd w:val="clea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其他与项目有关的资料（自附）：供应商总体情况介绍、其他与本项目有关的资料等。</w:t>
      </w:r>
    </w:p>
    <w:p w14:paraId="4753B9C9">
      <w:pPr>
        <w:shd w:val="clear"/>
        <w:spacing w:line="400" w:lineRule="exact"/>
        <w:ind w:firstLine="480" w:firstLineChars="200"/>
        <w:rPr>
          <w:rFonts w:ascii="宋体" w:hAnsi="宋体" w:cs="宋体"/>
          <w:color w:val="auto"/>
          <w:sz w:val="24"/>
          <w:szCs w:val="24"/>
          <w:highlight w:val="none"/>
        </w:rPr>
      </w:pPr>
    </w:p>
    <w:p w14:paraId="356B94DA">
      <w:pPr>
        <w:shd w:val="clear"/>
        <w:rPr>
          <w:rFonts w:ascii="宋体" w:hAnsi="宋体" w:cs="宋体"/>
          <w:color w:val="auto"/>
          <w:highlight w:val="none"/>
        </w:rPr>
      </w:pPr>
    </w:p>
    <w:p w14:paraId="133E10DC">
      <w:pPr>
        <w:shd w:val="clear"/>
        <w:rPr>
          <w:rFonts w:ascii="宋体" w:hAnsi="宋体" w:cs="宋体"/>
          <w:color w:val="auto"/>
          <w:highlight w:val="none"/>
        </w:rPr>
      </w:pPr>
    </w:p>
    <w:p w14:paraId="5D493CD4">
      <w:pPr>
        <w:shd w:val="clear"/>
        <w:rPr>
          <w:rFonts w:ascii="宋体" w:hAnsi="宋体" w:cs="宋体"/>
          <w:color w:val="auto"/>
          <w:highlight w:val="none"/>
        </w:rPr>
      </w:pPr>
    </w:p>
    <w:p w14:paraId="559E66A5">
      <w:pPr>
        <w:shd w:val="clear"/>
        <w:rPr>
          <w:rFonts w:ascii="宋体" w:hAnsi="宋体" w:cs="宋体"/>
          <w:color w:val="auto"/>
          <w:highlight w:val="none"/>
        </w:rPr>
      </w:pPr>
    </w:p>
    <w:p w14:paraId="1D155B1E">
      <w:pPr>
        <w:shd w:val="clear"/>
        <w:rPr>
          <w:rFonts w:ascii="宋体" w:hAnsi="宋体" w:cs="宋体"/>
          <w:color w:val="auto"/>
          <w:highlight w:val="none"/>
        </w:rPr>
      </w:pPr>
    </w:p>
    <w:p w14:paraId="1DB82D7F">
      <w:pPr>
        <w:shd w:val="clear"/>
        <w:rPr>
          <w:rFonts w:ascii="宋体" w:hAnsi="宋体" w:cs="宋体"/>
          <w:color w:val="auto"/>
          <w:highlight w:val="none"/>
        </w:rPr>
      </w:pPr>
    </w:p>
    <w:p w14:paraId="01FA0F74">
      <w:pPr>
        <w:shd w:val="clear"/>
        <w:rPr>
          <w:rFonts w:ascii="宋体" w:hAnsi="宋体" w:cs="宋体"/>
          <w:color w:val="auto"/>
          <w:highlight w:val="none"/>
        </w:rPr>
      </w:pPr>
    </w:p>
    <w:p w14:paraId="227B0D41">
      <w:pPr>
        <w:shd w:val="clear"/>
        <w:rPr>
          <w:rFonts w:ascii="宋体" w:hAnsi="宋体" w:cs="宋体"/>
          <w:color w:val="auto"/>
          <w:highlight w:val="none"/>
        </w:rPr>
      </w:pPr>
    </w:p>
    <w:p w14:paraId="7ED16920">
      <w:pPr>
        <w:shd w:val="clear"/>
        <w:rPr>
          <w:rFonts w:ascii="宋体" w:hAnsi="宋体" w:cs="宋体"/>
          <w:color w:val="auto"/>
          <w:highlight w:val="none"/>
        </w:rPr>
      </w:pPr>
    </w:p>
    <w:p w14:paraId="2B831606">
      <w:pPr>
        <w:shd w:val="clear"/>
        <w:rPr>
          <w:rFonts w:ascii="宋体" w:hAnsi="宋体" w:cs="宋体"/>
          <w:color w:val="auto"/>
          <w:highlight w:val="none"/>
        </w:rPr>
      </w:pPr>
    </w:p>
    <w:p w14:paraId="0B570B11">
      <w:pPr>
        <w:shd w:val="clear"/>
        <w:spacing w:line="360" w:lineRule="auto"/>
        <w:ind w:firstLine="480" w:firstLineChars="200"/>
        <w:rPr>
          <w:rFonts w:ascii="宋体" w:hAnsi="宋体" w:cs="宋体"/>
          <w:color w:val="auto"/>
          <w:sz w:val="24"/>
          <w:szCs w:val="24"/>
          <w:highlight w:val="none"/>
        </w:rPr>
      </w:pPr>
    </w:p>
    <w:p w14:paraId="3FD440A7">
      <w:pPr>
        <w:shd w:val="clear"/>
        <w:spacing w:line="360" w:lineRule="auto"/>
        <w:ind w:firstLine="480" w:firstLineChars="200"/>
        <w:rPr>
          <w:rFonts w:ascii="宋体" w:hAnsi="宋体" w:cs="宋体"/>
          <w:color w:val="auto"/>
          <w:sz w:val="24"/>
          <w:szCs w:val="24"/>
          <w:highlight w:val="none"/>
        </w:rPr>
      </w:pPr>
    </w:p>
    <w:p w14:paraId="09A6A09C">
      <w:pPr>
        <w:shd w:val="clear"/>
        <w:rPr>
          <w:rFonts w:ascii="宋体" w:hAnsi="宋体" w:cs="宋体"/>
          <w:color w:val="auto"/>
          <w:highlight w:val="none"/>
        </w:rPr>
      </w:pPr>
    </w:p>
    <w:p w14:paraId="45AE774C">
      <w:pPr>
        <w:shd w:val="clear"/>
        <w:rPr>
          <w:rFonts w:ascii="宋体" w:hAnsi="宋体" w:cs="宋体"/>
          <w:color w:val="auto"/>
          <w:highlight w:val="none"/>
        </w:rPr>
      </w:pPr>
    </w:p>
    <w:p w14:paraId="735FF3F3">
      <w:pPr>
        <w:shd w:val="clear"/>
        <w:rPr>
          <w:rFonts w:ascii="宋体" w:hAnsi="宋体" w:cs="宋体"/>
          <w:color w:val="auto"/>
          <w:highlight w:val="none"/>
        </w:rPr>
      </w:pPr>
    </w:p>
    <w:p w14:paraId="273EC4DB">
      <w:pPr>
        <w:shd w:val="clear"/>
        <w:rPr>
          <w:rFonts w:ascii="宋体" w:hAnsi="宋体" w:cs="宋体"/>
          <w:color w:val="auto"/>
          <w:highlight w:val="none"/>
        </w:rPr>
      </w:pPr>
    </w:p>
    <w:p w14:paraId="3FE508C0">
      <w:pPr>
        <w:shd w:val="clear"/>
        <w:rPr>
          <w:rFonts w:ascii="宋体" w:hAnsi="宋体" w:cs="宋体"/>
          <w:color w:val="auto"/>
          <w:highlight w:val="none"/>
        </w:rPr>
      </w:pPr>
    </w:p>
    <w:p w14:paraId="12105706">
      <w:pPr>
        <w:shd w:val="clear"/>
        <w:rPr>
          <w:rFonts w:ascii="宋体" w:hAnsi="宋体" w:cs="宋体"/>
          <w:color w:val="auto"/>
          <w:highlight w:val="none"/>
        </w:rPr>
      </w:pPr>
    </w:p>
    <w:p w14:paraId="2189E4A3">
      <w:pPr>
        <w:shd w:val="clear"/>
        <w:rPr>
          <w:rFonts w:ascii="宋体" w:hAnsi="宋体" w:cs="宋体"/>
          <w:color w:val="auto"/>
          <w:highlight w:val="none"/>
        </w:rPr>
      </w:pPr>
    </w:p>
    <w:p w14:paraId="3E034C95">
      <w:pPr>
        <w:shd w:val="clear"/>
        <w:rPr>
          <w:rFonts w:ascii="宋体" w:hAnsi="宋体" w:cs="宋体"/>
          <w:color w:val="auto"/>
          <w:highlight w:val="none"/>
        </w:rPr>
      </w:pPr>
    </w:p>
    <w:p w14:paraId="27D61449">
      <w:pPr>
        <w:shd w:val="clear"/>
        <w:rPr>
          <w:rFonts w:ascii="宋体" w:hAnsi="宋体" w:cs="宋体"/>
          <w:color w:val="auto"/>
          <w:highlight w:val="none"/>
        </w:rPr>
      </w:pPr>
    </w:p>
    <w:p w14:paraId="22A34179">
      <w:pPr>
        <w:shd w:val="clear"/>
        <w:rPr>
          <w:rFonts w:ascii="宋体" w:hAnsi="宋体" w:cs="宋体"/>
          <w:color w:val="auto"/>
          <w:highlight w:val="none"/>
        </w:rPr>
      </w:pPr>
    </w:p>
    <w:p w14:paraId="1CFBFE53">
      <w:pPr>
        <w:shd w:val="clear"/>
        <w:rPr>
          <w:rFonts w:ascii="宋体" w:hAnsi="宋体" w:cs="宋体"/>
          <w:color w:val="auto"/>
          <w:highlight w:val="none"/>
        </w:rPr>
      </w:pPr>
    </w:p>
    <w:p w14:paraId="5A6429F6">
      <w:pPr>
        <w:shd w:val="clear"/>
        <w:rPr>
          <w:rFonts w:ascii="宋体" w:hAnsi="宋体" w:cs="宋体"/>
          <w:color w:val="auto"/>
          <w:highlight w:val="none"/>
        </w:rPr>
      </w:pPr>
    </w:p>
    <w:p w14:paraId="7CB68B5A">
      <w:pPr>
        <w:shd w:val="clear"/>
        <w:rPr>
          <w:rFonts w:ascii="宋体" w:hAnsi="宋体" w:cs="宋体"/>
          <w:color w:val="auto"/>
          <w:highlight w:val="none"/>
        </w:rPr>
      </w:pPr>
    </w:p>
    <w:p w14:paraId="5F1EDE4D">
      <w:pPr>
        <w:shd w:val="clear"/>
        <w:rPr>
          <w:rFonts w:ascii="宋体" w:hAnsi="宋体" w:cs="宋体"/>
          <w:color w:val="auto"/>
          <w:highlight w:val="none"/>
        </w:rPr>
      </w:pPr>
    </w:p>
    <w:p w14:paraId="73A7F0A0">
      <w:pPr>
        <w:shd w:val="clear"/>
        <w:rPr>
          <w:rFonts w:ascii="宋体" w:hAnsi="宋体" w:cs="宋体"/>
          <w:color w:val="auto"/>
          <w:highlight w:val="none"/>
        </w:rPr>
      </w:pPr>
    </w:p>
    <w:p w14:paraId="1EAB08E2">
      <w:pPr>
        <w:shd w:val="clear"/>
        <w:rPr>
          <w:rFonts w:ascii="宋体" w:hAnsi="宋体" w:cs="宋体"/>
          <w:color w:val="auto"/>
          <w:highlight w:val="none"/>
        </w:rPr>
      </w:pPr>
    </w:p>
    <w:p w14:paraId="7991C7FC">
      <w:pPr>
        <w:shd w:val="clear"/>
        <w:spacing w:line="360" w:lineRule="auto"/>
        <w:ind w:firstLine="480" w:firstLineChars="200"/>
        <w:rPr>
          <w:rFonts w:ascii="宋体" w:hAnsi="宋体" w:cs="宋体"/>
          <w:color w:val="auto"/>
          <w:sz w:val="24"/>
          <w:szCs w:val="24"/>
          <w:highlight w:val="none"/>
        </w:rPr>
      </w:pPr>
    </w:p>
    <w:p w14:paraId="086AF899">
      <w:pPr>
        <w:shd w:val="clear"/>
        <w:spacing w:line="360" w:lineRule="auto"/>
        <w:jc w:val="center"/>
        <w:outlineLvl w:val="0"/>
        <w:rPr>
          <w:rFonts w:ascii="宋体" w:hAnsi="宋体" w:cs="宋体"/>
          <w:color w:val="auto"/>
          <w:highlight w:val="none"/>
        </w:rPr>
      </w:pPr>
      <w:bookmarkStart w:id="371" w:name="_Toc4009"/>
      <w:r>
        <w:rPr>
          <w:rFonts w:hint="eastAsia" w:ascii="宋体" w:hAnsi="宋体" w:cs="宋体"/>
          <w:color w:val="auto"/>
          <w:sz w:val="24"/>
          <w:szCs w:val="24"/>
          <w:highlight w:val="none"/>
        </w:rPr>
        <w:t>（结束）</w:t>
      </w:r>
      <w:bookmarkEnd w:id="371"/>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仿宋"/>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09254B33-E433-4D35-BB45-6266F788FD52}"/>
  </w:font>
  <w:font w:name="Calibri Light">
    <w:panose1 w:val="020F0302020204030204"/>
    <w:charset w:val="00"/>
    <w:family w:val="swiss"/>
    <w:pitch w:val="default"/>
    <w:sig w:usb0="A00002EF" w:usb1="4000207B" w:usb2="00000000" w:usb3="00000000" w:csb0="2000019F" w:csb1="00000000"/>
  </w:font>
  <w:font w:name="方正仿宋_GBK">
    <w:panose1 w:val="02000000000000000000"/>
    <w:charset w:val="86"/>
    <w:family w:val="auto"/>
    <w:pitch w:val="default"/>
    <w:sig w:usb0="A00002BF" w:usb1="38CF7CFA" w:usb2="00082016" w:usb3="00000000" w:csb0="00040001" w:csb1="00000000"/>
  </w:font>
  <w:font w:name="方正楷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embedRegular r:id="rId2" w:fontKey="{2847F058-B98A-42D8-ADC9-169A24CFE3DA}"/>
  </w:font>
  <w:font w:name="仿宋_GB2312">
    <w:altName w:val="宋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等线">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7F678">
    <w:pPr>
      <w:pStyle w:val="23"/>
      <w:framePr w:wrap="around" w:vAnchor="text" w:hAnchor="margin" w:xAlign="center" w:y="1"/>
      <w:jc w:val="center"/>
      <w:rPr>
        <w:rStyle w:val="35"/>
        <w:rFonts w:ascii="宋体"/>
        <w:sz w:val="21"/>
        <w:szCs w:val="21"/>
      </w:rPr>
    </w:pPr>
    <w:r>
      <w:rPr>
        <w:rFonts w:ascii="宋体"/>
        <w:sz w:val="21"/>
        <w:szCs w:val="21"/>
      </w:rPr>
      <w:fldChar w:fldCharType="begin"/>
    </w:r>
    <w:r>
      <w:rPr>
        <w:rStyle w:val="35"/>
        <w:rFonts w:ascii="宋体"/>
        <w:sz w:val="21"/>
        <w:szCs w:val="21"/>
      </w:rPr>
      <w:instrText xml:space="preserve">PAGE  </w:instrText>
    </w:r>
    <w:r>
      <w:rPr>
        <w:rFonts w:ascii="宋体"/>
        <w:sz w:val="21"/>
        <w:szCs w:val="21"/>
      </w:rPr>
      <w:fldChar w:fldCharType="separate"/>
    </w:r>
    <w:r>
      <w:rPr>
        <w:rStyle w:val="35"/>
        <w:rFonts w:ascii="宋体"/>
        <w:sz w:val="21"/>
        <w:szCs w:val="21"/>
      </w:rPr>
      <w:t>- 5 -</w:t>
    </w:r>
    <w:r>
      <w:rPr>
        <w:rFonts w:ascii="宋体"/>
        <w:sz w:val="21"/>
        <w:szCs w:val="21"/>
      </w:rPr>
      <w:fldChar w:fldCharType="end"/>
    </w:r>
  </w:p>
  <w:p w14:paraId="069C3B25">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81F7F">
    <w:pPr>
      <w:pStyle w:val="23"/>
      <w:framePr w:wrap="around" w:vAnchor="text" w:hAnchor="margin" w:xAlign="center" w:y="1"/>
      <w:rPr>
        <w:rStyle w:val="35"/>
      </w:rPr>
    </w:pPr>
    <w:r>
      <w:fldChar w:fldCharType="begin"/>
    </w:r>
    <w:r>
      <w:rPr>
        <w:rStyle w:val="35"/>
      </w:rPr>
      <w:instrText xml:space="preserve">PAGE  </w:instrText>
    </w:r>
    <w:r>
      <w:fldChar w:fldCharType="end"/>
    </w:r>
  </w:p>
  <w:p w14:paraId="447F46FF">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F181F">
    <w:pPr>
      <w:pStyle w:val="23"/>
      <w:framePr w:wrap="around" w:vAnchor="text" w:hAnchor="margin" w:xAlign="center" w:y="1"/>
      <w:rPr>
        <w:rStyle w:val="35"/>
      </w:rPr>
    </w:pPr>
  </w:p>
  <w:p w14:paraId="7F2EB1FC">
    <w:pPr>
      <w:pStyle w:val="23"/>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36D30">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2D91B">
    <w:pPr>
      <w:pStyle w:val="2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63B47C6">
                          <w:pPr>
                            <w:pStyle w:val="23"/>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763B47C6">
                    <w:pPr>
                      <w:pStyle w:val="23"/>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06968">
    <w:pPr>
      <w:pStyle w:val="23"/>
      <w:rPr>
        <w:rFonts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D066ACF">
                          <w:pPr>
                            <w:pStyle w:val="23"/>
                          </w:pPr>
                          <w:r>
                            <w:fldChar w:fldCharType="begin"/>
                          </w:r>
                          <w:r>
                            <w:instrText xml:space="preserve"> PAGE  \* MERGEFORMAT </w:instrText>
                          </w:r>
                          <w:r>
                            <w:fldChar w:fldCharType="separate"/>
                          </w:r>
                          <w:r>
                            <w:t>- 14 -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4D066ACF">
                    <w:pPr>
                      <w:pStyle w:val="23"/>
                    </w:pPr>
                    <w:r>
                      <w:fldChar w:fldCharType="begin"/>
                    </w:r>
                    <w:r>
                      <w:instrText xml:space="preserve"> PAGE  \* MERGEFORMAT </w:instrText>
                    </w:r>
                    <w:r>
                      <w:fldChar w:fldCharType="separate"/>
                    </w:r>
                    <w:r>
                      <w:t>- 14 -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F8DC3">
    <w:pPr>
      <w:pBdr>
        <w:bottom w:val="single" w:color="auto" w:sz="4" w:space="0"/>
      </w:pBdr>
    </w:pPr>
    <w:r>
      <w:rPr>
        <w:rFonts w:hint="eastAsia" w:ascii="宋体" w:hAnsi="宋体" w:cs="宋体"/>
        <w:sz w:val="21"/>
        <w:szCs w:val="21"/>
      </w:rPr>
      <w:drawing>
        <wp:inline distT="0" distB="0" distL="114300" distR="114300">
          <wp:extent cx="1035685" cy="238760"/>
          <wp:effectExtent l="0" t="0" r="5715" b="2540"/>
          <wp:docPr id="2" name="图片 2" descr="41c27853c758a996df789047efa7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1c27853c758a996df789047efa7338"/>
                  <pic:cNvPicPr>
                    <a:picLocks noChangeAspect="1"/>
                  </pic:cNvPicPr>
                </pic:nvPicPr>
                <pic:blipFill>
                  <a:blip r:embed="rId1"/>
                  <a:stretch>
                    <a:fillRect/>
                  </a:stretch>
                </pic:blipFill>
                <pic:spPr>
                  <a:xfrm>
                    <a:off x="0" y="0"/>
                    <a:ext cx="1035685" cy="238760"/>
                  </a:xfrm>
                  <a:prstGeom prst="rect">
                    <a:avLst/>
                  </a:prstGeom>
                  <a:noFill/>
                  <a:ln>
                    <a:noFill/>
                  </a:ln>
                </pic:spPr>
              </pic:pic>
            </a:graphicData>
          </a:graphic>
        </wp:inline>
      </w:drawing>
    </w:r>
    <w:r>
      <w:rPr>
        <w:rFonts w:hint="eastAsia" w:ascii="宋体" w:hAnsi="宋体" w:cs="宋体"/>
        <w:sz w:val="21"/>
        <w:szCs w:val="21"/>
      </w:rPr>
      <w:t xml:space="preserve">                                                  </w:t>
    </w:r>
    <w:r>
      <w:rPr>
        <w:rFonts w:hint="eastAsia" w:ascii="微软雅黑" w:hAnsi="微软雅黑" w:eastAsia="微软雅黑" w:cs="微软雅黑"/>
        <w:sz w:val="24"/>
        <w:szCs w:val="24"/>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0F2E7">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57303">
    <w:pPr>
      <w:pBdr>
        <w:bottom w:val="single" w:color="auto" w:sz="4" w:space="0"/>
      </w:pBdr>
      <w:rPr>
        <w:rFonts w:ascii="仿宋" w:hAnsi="仿宋" w:eastAsia="仿宋" w:cs="仿宋"/>
        <w:sz w:val="24"/>
        <w:szCs w:val="24"/>
      </w:rPr>
    </w:pPr>
    <w:r>
      <w:rPr>
        <w:rFonts w:hint="eastAsia" w:ascii="宋体" w:hAnsi="宋体" w:cs="宋体"/>
        <w:sz w:val="21"/>
        <w:szCs w:val="21"/>
      </w:rPr>
      <w:drawing>
        <wp:inline distT="0" distB="0" distL="114300" distR="114300">
          <wp:extent cx="1035685" cy="238760"/>
          <wp:effectExtent l="0" t="0" r="5715" b="2540"/>
          <wp:docPr id="1" name="图片 1" descr="41c27853c758a996df789047efa7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1c27853c758a996df789047efa7338"/>
                  <pic:cNvPicPr>
                    <a:picLocks noChangeAspect="1"/>
                  </pic:cNvPicPr>
                </pic:nvPicPr>
                <pic:blipFill>
                  <a:blip r:embed="rId1"/>
                  <a:stretch>
                    <a:fillRect/>
                  </a:stretch>
                </pic:blipFill>
                <pic:spPr>
                  <a:xfrm>
                    <a:off x="0" y="0"/>
                    <a:ext cx="1035685" cy="238760"/>
                  </a:xfrm>
                  <a:prstGeom prst="rect">
                    <a:avLst/>
                  </a:prstGeom>
                  <a:noFill/>
                  <a:ln>
                    <a:noFill/>
                  </a:ln>
                </pic:spPr>
              </pic:pic>
            </a:graphicData>
          </a:graphic>
        </wp:inline>
      </w:drawing>
    </w:r>
    <w:r>
      <w:rPr>
        <w:rFonts w:hint="eastAsia" w:ascii="仿宋" w:hAnsi="仿宋" w:eastAsia="仿宋" w:cs="仿宋"/>
        <w:sz w:val="24"/>
        <w:szCs w:val="24"/>
      </w:rPr>
      <w:t xml:space="preserve">                                                 </w:t>
    </w:r>
    <w:r>
      <w:rPr>
        <w:rFonts w:hint="eastAsia" w:ascii="微软雅黑" w:hAnsi="微软雅黑" w:eastAsia="微软雅黑" w:cs="微软雅黑"/>
        <w:sz w:val="24"/>
        <w:szCs w:val="24"/>
      </w:rPr>
      <w:t xml:space="preserve">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C4C06">
    <w:pPr>
      <w:pBdr>
        <w:bottom w:val="single" w:color="auto" w:sz="4" w:space="0"/>
      </w:pBdr>
    </w:pPr>
    <w:r>
      <w:rPr>
        <w:rFonts w:hint="eastAsia" w:ascii="宋体" w:hAnsi="宋体" w:cs="宋体"/>
        <w:sz w:val="21"/>
        <w:szCs w:val="21"/>
      </w:rPr>
      <w:drawing>
        <wp:inline distT="0" distB="0" distL="114300" distR="114300">
          <wp:extent cx="1035685" cy="238760"/>
          <wp:effectExtent l="0" t="0" r="5715" b="2540"/>
          <wp:docPr id="3" name="图片 3" descr="41c27853c758a996df789047efa7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1c27853c758a996df789047efa7338"/>
                  <pic:cNvPicPr>
                    <a:picLocks noChangeAspect="1"/>
                  </pic:cNvPicPr>
                </pic:nvPicPr>
                <pic:blipFill>
                  <a:blip r:embed="rId1"/>
                  <a:stretch>
                    <a:fillRect/>
                  </a:stretch>
                </pic:blipFill>
                <pic:spPr>
                  <a:xfrm>
                    <a:off x="0" y="0"/>
                    <a:ext cx="1035685" cy="238760"/>
                  </a:xfrm>
                  <a:prstGeom prst="rect">
                    <a:avLst/>
                  </a:prstGeom>
                  <a:noFill/>
                  <a:ln>
                    <a:noFill/>
                  </a:ln>
                </pic:spPr>
              </pic:pic>
            </a:graphicData>
          </a:graphic>
        </wp:inline>
      </w:drawing>
    </w:r>
    <w:r>
      <w:rPr>
        <w:rFonts w:hint="eastAsia" w:ascii="宋体" w:hAnsi="宋体" w:cs="宋体"/>
        <w:sz w:val="21"/>
        <w:szCs w:val="21"/>
      </w:rPr>
      <w:t xml:space="preserve">                                                         </w:t>
    </w:r>
    <w:r>
      <w:rPr>
        <w:rFonts w:hint="eastAsia" w:ascii="微软雅黑" w:hAnsi="微软雅黑" w:eastAsia="微软雅黑" w:cs="微软雅黑"/>
        <w:sz w:val="24"/>
        <w:szCs w:val="24"/>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76ABAF"/>
    <w:multiLevelType w:val="singleLevel"/>
    <w:tmpl w:val="D776ABAF"/>
    <w:lvl w:ilvl="0" w:tentative="0">
      <w:start w:val="1"/>
      <w:numFmt w:val="chineseCounting"/>
      <w:suff w:val="nothing"/>
      <w:lvlText w:val="%1、"/>
      <w:lvlJc w:val="left"/>
      <w:rPr>
        <w:rFonts w:hint="eastAsia"/>
        <w:color w:val="auto"/>
      </w:rPr>
    </w:lvl>
  </w:abstractNum>
  <w:abstractNum w:abstractNumId="1">
    <w:nsid w:val="00C56509"/>
    <w:multiLevelType w:val="multilevel"/>
    <w:tmpl w:val="00C56509"/>
    <w:lvl w:ilvl="0" w:tentative="0">
      <w:start w:val="1"/>
      <w:numFmt w:val="chineseCounting"/>
      <w:pStyle w:val="3"/>
      <w:suff w:val="nothing"/>
      <w:lvlText w:val="第%1章 "/>
      <w:lvlJc w:val="left"/>
      <w:pPr>
        <w:ind w:left="432" w:hanging="432"/>
      </w:pPr>
      <w:rPr>
        <w:rFonts w:hint="eastAsia"/>
      </w:rPr>
    </w:lvl>
    <w:lvl w:ilvl="1" w:tentative="0">
      <w:start w:val="1"/>
      <w:numFmt w:val="decimal"/>
      <w:pStyle w:val="4"/>
      <w:isLgl/>
      <w:lvlText w:val="%1.%2."/>
      <w:lvlJc w:val="left"/>
      <w:pPr>
        <w:ind w:left="575" w:hanging="575"/>
      </w:pPr>
      <w:rPr>
        <w:rFonts w:hint="eastAsia"/>
      </w:rPr>
    </w:lvl>
    <w:lvl w:ilvl="2" w:tentative="0">
      <w:start w:val="1"/>
      <w:numFmt w:val="decimal"/>
      <w:pStyle w:val="5"/>
      <w:isLgl/>
      <w:lvlText w:val="%1.%2.%3."/>
      <w:lvlJc w:val="left"/>
      <w:pPr>
        <w:ind w:left="720" w:hanging="720"/>
      </w:pPr>
      <w:rPr>
        <w:rFonts w:hint="eastAsia"/>
      </w:rPr>
    </w:lvl>
    <w:lvl w:ilvl="3" w:tentative="0">
      <w:start w:val="1"/>
      <w:numFmt w:val="decimal"/>
      <w:pStyle w:val="6"/>
      <w:isLgl/>
      <w:lvlText w:val="%1.%2.%3.%4."/>
      <w:lvlJc w:val="left"/>
      <w:pPr>
        <w:ind w:left="864" w:hanging="864"/>
      </w:pPr>
      <w:rPr>
        <w:rFonts w:hint="eastAsia"/>
      </w:rPr>
    </w:lvl>
    <w:lvl w:ilvl="4" w:tentative="0">
      <w:start w:val="1"/>
      <w:numFmt w:val="decimal"/>
      <w:pStyle w:val="7"/>
      <w:isLgl/>
      <w:lvlText w:val="%1.%2.%3.%4.%5."/>
      <w:lvlJc w:val="left"/>
      <w:pPr>
        <w:ind w:left="1008" w:hanging="1008"/>
      </w:pPr>
      <w:rPr>
        <w:rFonts w:hint="eastAsia"/>
      </w:rPr>
    </w:lvl>
    <w:lvl w:ilvl="5" w:tentative="0">
      <w:start w:val="1"/>
      <w:numFmt w:val="decimal"/>
      <w:pStyle w:val="8"/>
      <w:isLgl/>
      <w:lvlText w:val="%1.%2.%3.%4.%5.%6."/>
      <w:lvlJc w:val="left"/>
      <w:pPr>
        <w:ind w:left="1151" w:hanging="1151"/>
      </w:pPr>
      <w:rPr>
        <w:rFonts w:hint="eastAsia"/>
      </w:rPr>
    </w:lvl>
    <w:lvl w:ilvl="6" w:tentative="0">
      <w:start w:val="1"/>
      <w:numFmt w:val="decimal"/>
      <w:pStyle w:val="9"/>
      <w:isLgl/>
      <w:lvlText w:val="%1.%2.%3.%4.%5.%6.%7."/>
      <w:lvlJc w:val="left"/>
      <w:pPr>
        <w:ind w:left="1296" w:hanging="1296"/>
      </w:pPr>
      <w:rPr>
        <w:rFonts w:hint="eastAsia"/>
      </w:rPr>
    </w:lvl>
    <w:lvl w:ilvl="7" w:tentative="0">
      <w:start w:val="1"/>
      <w:numFmt w:val="decimal"/>
      <w:pStyle w:val="10"/>
      <w:isLgl/>
      <w:lvlText w:val="%1.%2.%3.%4.%5.%6.%7.%8."/>
      <w:lvlJc w:val="left"/>
      <w:pPr>
        <w:ind w:left="1440" w:hanging="1440"/>
      </w:pPr>
      <w:rPr>
        <w:rFonts w:hint="eastAsia"/>
      </w:rPr>
    </w:lvl>
    <w:lvl w:ilvl="8" w:tentative="0">
      <w:start w:val="1"/>
      <w:numFmt w:val="decimal"/>
      <w:pStyle w:val="11"/>
      <w:isLgl/>
      <w:lvlText w:val="%1.%2.%3.%4.%5.%6.%7.%8.%9."/>
      <w:lvlJc w:val="left"/>
      <w:pPr>
        <w:ind w:left="1583" w:hanging="1583"/>
      </w:pPr>
      <w:rPr>
        <w:rFonts w:hint="eastAsia"/>
      </w:rPr>
    </w:lvl>
  </w:abstractNum>
  <w:abstractNum w:abstractNumId="2">
    <w:nsid w:val="1D7F3596"/>
    <w:multiLevelType w:val="multilevel"/>
    <w:tmpl w:val="1D7F3596"/>
    <w:lvl w:ilvl="0" w:tentative="0">
      <w:start w:val="1"/>
      <w:numFmt w:val="decimal"/>
      <w:pStyle w:val="56"/>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2"/>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xZGYxY2IyNzMzY2RmZTNiZWJiNjEzZDdkZjdiNTcifQ=="/>
  </w:docVars>
  <w:rsids>
    <w:rsidRoot w:val="00172A27"/>
    <w:rsid w:val="00017C56"/>
    <w:rsid w:val="00050588"/>
    <w:rsid w:val="000D3604"/>
    <w:rsid w:val="00167988"/>
    <w:rsid w:val="00172A27"/>
    <w:rsid w:val="00191800"/>
    <w:rsid w:val="001C53E5"/>
    <w:rsid w:val="001C7358"/>
    <w:rsid w:val="001D1EEA"/>
    <w:rsid w:val="002730CC"/>
    <w:rsid w:val="002C6DA8"/>
    <w:rsid w:val="002D269B"/>
    <w:rsid w:val="002D5271"/>
    <w:rsid w:val="00327CB1"/>
    <w:rsid w:val="0036524A"/>
    <w:rsid w:val="003B7625"/>
    <w:rsid w:val="00422F9E"/>
    <w:rsid w:val="00451057"/>
    <w:rsid w:val="004A5238"/>
    <w:rsid w:val="00515917"/>
    <w:rsid w:val="005244CB"/>
    <w:rsid w:val="00562D76"/>
    <w:rsid w:val="0057268B"/>
    <w:rsid w:val="0058523E"/>
    <w:rsid w:val="005E393E"/>
    <w:rsid w:val="005F5FE1"/>
    <w:rsid w:val="00651E47"/>
    <w:rsid w:val="00657739"/>
    <w:rsid w:val="006B35AD"/>
    <w:rsid w:val="006D6F3B"/>
    <w:rsid w:val="006F606B"/>
    <w:rsid w:val="007265F7"/>
    <w:rsid w:val="007727BE"/>
    <w:rsid w:val="007E39A0"/>
    <w:rsid w:val="008444A8"/>
    <w:rsid w:val="008A7879"/>
    <w:rsid w:val="00924D24"/>
    <w:rsid w:val="009933B6"/>
    <w:rsid w:val="009B3F6E"/>
    <w:rsid w:val="00A7403C"/>
    <w:rsid w:val="00AA7F72"/>
    <w:rsid w:val="00AB5930"/>
    <w:rsid w:val="00AC49D0"/>
    <w:rsid w:val="00B653A6"/>
    <w:rsid w:val="00B76052"/>
    <w:rsid w:val="00B76409"/>
    <w:rsid w:val="00BA18F9"/>
    <w:rsid w:val="00BF4BFC"/>
    <w:rsid w:val="00C10A2E"/>
    <w:rsid w:val="00C328C9"/>
    <w:rsid w:val="00C518CE"/>
    <w:rsid w:val="00C73306"/>
    <w:rsid w:val="00C97D31"/>
    <w:rsid w:val="00CB0FCC"/>
    <w:rsid w:val="00CB4CB2"/>
    <w:rsid w:val="00CC0FC8"/>
    <w:rsid w:val="00CE742E"/>
    <w:rsid w:val="00D13EBD"/>
    <w:rsid w:val="00D93D2E"/>
    <w:rsid w:val="00DD1090"/>
    <w:rsid w:val="00E07CEE"/>
    <w:rsid w:val="00E15234"/>
    <w:rsid w:val="00EF368D"/>
    <w:rsid w:val="00F31EFB"/>
    <w:rsid w:val="00F4626F"/>
    <w:rsid w:val="00F6003B"/>
    <w:rsid w:val="00F7412C"/>
    <w:rsid w:val="00F97D15"/>
    <w:rsid w:val="01145609"/>
    <w:rsid w:val="016F6068"/>
    <w:rsid w:val="017F1D14"/>
    <w:rsid w:val="01A0313A"/>
    <w:rsid w:val="01D442DC"/>
    <w:rsid w:val="01F43073"/>
    <w:rsid w:val="020F1E93"/>
    <w:rsid w:val="021F06C0"/>
    <w:rsid w:val="02757A66"/>
    <w:rsid w:val="029A48D9"/>
    <w:rsid w:val="032A1114"/>
    <w:rsid w:val="034F5A2A"/>
    <w:rsid w:val="036A59B4"/>
    <w:rsid w:val="0374238F"/>
    <w:rsid w:val="037A60D6"/>
    <w:rsid w:val="039C3694"/>
    <w:rsid w:val="03C36BA6"/>
    <w:rsid w:val="04093993"/>
    <w:rsid w:val="04340E81"/>
    <w:rsid w:val="04440D70"/>
    <w:rsid w:val="04792C91"/>
    <w:rsid w:val="0482288A"/>
    <w:rsid w:val="04937D91"/>
    <w:rsid w:val="04A31AD1"/>
    <w:rsid w:val="04DA0EA4"/>
    <w:rsid w:val="04DE7A42"/>
    <w:rsid w:val="04ED7685"/>
    <w:rsid w:val="051A773B"/>
    <w:rsid w:val="052F2A11"/>
    <w:rsid w:val="05393890"/>
    <w:rsid w:val="058B170D"/>
    <w:rsid w:val="05B64EE1"/>
    <w:rsid w:val="05DF0E99"/>
    <w:rsid w:val="05FA3A43"/>
    <w:rsid w:val="06620BC5"/>
    <w:rsid w:val="06B1334E"/>
    <w:rsid w:val="06B50A71"/>
    <w:rsid w:val="06B65CE0"/>
    <w:rsid w:val="06E710CA"/>
    <w:rsid w:val="06F921CE"/>
    <w:rsid w:val="07862691"/>
    <w:rsid w:val="07D1439F"/>
    <w:rsid w:val="07FB307F"/>
    <w:rsid w:val="08341A2A"/>
    <w:rsid w:val="085831B1"/>
    <w:rsid w:val="086E1AA3"/>
    <w:rsid w:val="089D6010"/>
    <w:rsid w:val="08EB4EA1"/>
    <w:rsid w:val="090072C8"/>
    <w:rsid w:val="093E57A8"/>
    <w:rsid w:val="094A2565"/>
    <w:rsid w:val="095333E0"/>
    <w:rsid w:val="095D4648"/>
    <w:rsid w:val="098A6F7A"/>
    <w:rsid w:val="09E35B78"/>
    <w:rsid w:val="09E65669"/>
    <w:rsid w:val="0A014251"/>
    <w:rsid w:val="0A35625E"/>
    <w:rsid w:val="0A751338"/>
    <w:rsid w:val="0A7B014E"/>
    <w:rsid w:val="0B1649B4"/>
    <w:rsid w:val="0B553D58"/>
    <w:rsid w:val="0B616C99"/>
    <w:rsid w:val="0BBC48D3"/>
    <w:rsid w:val="0BD240F7"/>
    <w:rsid w:val="0BEC3432"/>
    <w:rsid w:val="0C364685"/>
    <w:rsid w:val="0C590374"/>
    <w:rsid w:val="0C676F35"/>
    <w:rsid w:val="0C7451AE"/>
    <w:rsid w:val="0C9B2E03"/>
    <w:rsid w:val="0CC9374C"/>
    <w:rsid w:val="0D5B49CD"/>
    <w:rsid w:val="0D8E3EAD"/>
    <w:rsid w:val="0DA112D5"/>
    <w:rsid w:val="0DA47D15"/>
    <w:rsid w:val="0DA90E87"/>
    <w:rsid w:val="0DF30354"/>
    <w:rsid w:val="0E2F12B5"/>
    <w:rsid w:val="0E2F5830"/>
    <w:rsid w:val="0EA819F6"/>
    <w:rsid w:val="0EC31D58"/>
    <w:rsid w:val="0ED40186"/>
    <w:rsid w:val="0EE71CB8"/>
    <w:rsid w:val="0EEE7499"/>
    <w:rsid w:val="0EF72689"/>
    <w:rsid w:val="0F095EF3"/>
    <w:rsid w:val="0F167A9F"/>
    <w:rsid w:val="0F1D6E95"/>
    <w:rsid w:val="0F2A5FF8"/>
    <w:rsid w:val="0F71204C"/>
    <w:rsid w:val="0F7C2CF7"/>
    <w:rsid w:val="0FA3628F"/>
    <w:rsid w:val="108C51BC"/>
    <w:rsid w:val="10AB148B"/>
    <w:rsid w:val="11717F0E"/>
    <w:rsid w:val="11B0574F"/>
    <w:rsid w:val="11BE1A34"/>
    <w:rsid w:val="11CD31BE"/>
    <w:rsid w:val="11E60178"/>
    <w:rsid w:val="121F6669"/>
    <w:rsid w:val="12226D0D"/>
    <w:rsid w:val="12252310"/>
    <w:rsid w:val="122D02D9"/>
    <w:rsid w:val="128A74D9"/>
    <w:rsid w:val="12900868"/>
    <w:rsid w:val="130410D3"/>
    <w:rsid w:val="13547F36"/>
    <w:rsid w:val="138B1C06"/>
    <w:rsid w:val="13954C4F"/>
    <w:rsid w:val="13955417"/>
    <w:rsid w:val="13AE085B"/>
    <w:rsid w:val="13D757E0"/>
    <w:rsid w:val="13DD640C"/>
    <w:rsid w:val="13DF5603"/>
    <w:rsid w:val="140908D1"/>
    <w:rsid w:val="142179C9"/>
    <w:rsid w:val="143771ED"/>
    <w:rsid w:val="14A10B0A"/>
    <w:rsid w:val="14BF20C8"/>
    <w:rsid w:val="14C96327"/>
    <w:rsid w:val="14D00297"/>
    <w:rsid w:val="152A0AFF"/>
    <w:rsid w:val="15342AB5"/>
    <w:rsid w:val="156E702A"/>
    <w:rsid w:val="158349C9"/>
    <w:rsid w:val="158521DA"/>
    <w:rsid w:val="15A00DC2"/>
    <w:rsid w:val="15A21529"/>
    <w:rsid w:val="161D0664"/>
    <w:rsid w:val="163E4C2A"/>
    <w:rsid w:val="167A1994"/>
    <w:rsid w:val="168D27FF"/>
    <w:rsid w:val="16EB4178"/>
    <w:rsid w:val="16FB6BF7"/>
    <w:rsid w:val="170A5DE4"/>
    <w:rsid w:val="17175058"/>
    <w:rsid w:val="174437BC"/>
    <w:rsid w:val="178D5376"/>
    <w:rsid w:val="17967527"/>
    <w:rsid w:val="17C302A9"/>
    <w:rsid w:val="17D91E17"/>
    <w:rsid w:val="17EA27C8"/>
    <w:rsid w:val="17F325E9"/>
    <w:rsid w:val="182F0130"/>
    <w:rsid w:val="184620F4"/>
    <w:rsid w:val="18721A3A"/>
    <w:rsid w:val="187A7324"/>
    <w:rsid w:val="189015C1"/>
    <w:rsid w:val="18B23D75"/>
    <w:rsid w:val="18B63C84"/>
    <w:rsid w:val="18B74DA0"/>
    <w:rsid w:val="18C62E6C"/>
    <w:rsid w:val="18F753A4"/>
    <w:rsid w:val="193A1CDB"/>
    <w:rsid w:val="19573E8D"/>
    <w:rsid w:val="198253AE"/>
    <w:rsid w:val="198D5379"/>
    <w:rsid w:val="19A60971"/>
    <w:rsid w:val="19C37774"/>
    <w:rsid w:val="19E80F89"/>
    <w:rsid w:val="19F416DC"/>
    <w:rsid w:val="1A095231"/>
    <w:rsid w:val="1A18186E"/>
    <w:rsid w:val="1A200723"/>
    <w:rsid w:val="1A4157D3"/>
    <w:rsid w:val="1A4B621C"/>
    <w:rsid w:val="1A4E703E"/>
    <w:rsid w:val="1AA80E44"/>
    <w:rsid w:val="1ADF05DE"/>
    <w:rsid w:val="1ADF24D1"/>
    <w:rsid w:val="1AF1038D"/>
    <w:rsid w:val="1B0E67CD"/>
    <w:rsid w:val="1B397CEE"/>
    <w:rsid w:val="1B610933"/>
    <w:rsid w:val="1B96095E"/>
    <w:rsid w:val="1BB82AD4"/>
    <w:rsid w:val="1BEF2AE3"/>
    <w:rsid w:val="1C71170A"/>
    <w:rsid w:val="1CAA584A"/>
    <w:rsid w:val="1CBB0AD9"/>
    <w:rsid w:val="1CF8755F"/>
    <w:rsid w:val="1CFD4D4B"/>
    <w:rsid w:val="1D7C1F07"/>
    <w:rsid w:val="1E4D585F"/>
    <w:rsid w:val="1E6432D4"/>
    <w:rsid w:val="1E85324A"/>
    <w:rsid w:val="1EA96F39"/>
    <w:rsid w:val="1EC46B1A"/>
    <w:rsid w:val="1F4B2A70"/>
    <w:rsid w:val="1F5F1CED"/>
    <w:rsid w:val="1F637B3C"/>
    <w:rsid w:val="1F841754"/>
    <w:rsid w:val="1FBCA0E7"/>
    <w:rsid w:val="1FE17F3F"/>
    <w:rsid w:val="1FE23785"/>
    <w:rsid w:val="1FE64151"/>
    <w:rsid w:val="20126D60"/>
    <w:rsid w:val="20270A5D"/>
    <w:rsid w:val="202B14FE"/>
    <w:rsid w:val="2034561D"/>
    <w:rsid w:val="208F03B0"/>
    <w:rsid w:val="2103718B"/>
    <w:rsid w:val="214271D1"/>
    <w:rsid w:val="214E4024"/>
    <w:rsid w:val="21507B40"/>
    <w:rsid w:val="21A06C8A"/>
    <w:rsid w:val="21DB7773"/>
    <w:rsid w:val="21F7620D"/>
    <w:rsid w:val="222039B6"/>
    <w:rsid w:val="226807CF"/>
    <w:rsid w:val="22CA019D"/>
    <w:rsid w:val="22F97D63"/>
    <w:rsid w:val="23D649DA"/>
    <w:rsid w:val="24101808"/>
    <w:rsid w:val="24611807"/>
    <w:rsid w:val="247B1377"/>
    <w:rsid w:val="24861ACA"/>
    <w:rsid w:val="24877D1C"/>
    <w:rsid w:val="2492569B"/>
    <w:rsid w:val="253A5E11"/>
    <w:rsid w:val="253B28B5"/>
    <w:rsid w:val="2547125A"/>
    <w:rsid w:val="258424AE"/>
    <w:rsid w:val="25943CEA"/>
    <w:rsid w:val="25E666AB"/>
    <w:rsid w:val="25EB6089"/>
    <w:rsid w:val="25F20AD9"/>
    <w:rsid w:val="260770CA"/>
    <w:rsid w:val="26121868"/>
    <w:rsid w:val="264B50B3"/>
    <w:rsid w:val="267A11BB"/>
    <w:rsid w:val="26972B0E"/>
    <w:rsid w:val="26A94D1C"/>
    <w:rsid w:val="26BB39A8"/>
    <w:rsid w:val="26D7077D"/>
    <w:rsid w:val="26E45600"/>
    <w:rsid w:val="27A01F78"/>
    <w:rsid w:val="27BC01D7"/>
    <w:rsid w:val="27FF406E"/>
    <w:rsid w:val="2816219C"/>
    <w:rsid w:val="28650375"/>
    <w:rsid w:val="287B5AA5"/>
    <w:rsid w:val="28844573"/>
    <w:rsid w:val="288F719F"/>
    <w:rsid w:val="28BE1833"/>
    <w:rsid w:val="28DD172C"/>
    <w:rsid w:val="2A0508FD"/>
    <w:rsid w:val="2A306760"/>
    <w:rsid w:val="2A612DBE"/>
    <w:rsid w:val="2A6C4511"/>
    <w:rsid w:val="2A6E6792"/>
    <w:rsid w:val="2AB70C30"/>
    <w:rsid w:val="2AE005DE"/>
    <w:rsid w:val="2B0F45C8"/>
    <w:rsid w:val="2B2E4693"/>
    <w:rsid w:val="2B674404"/>
    <w:rsid w:val="2B8013BB"/>
    <w:rsid w:val="2B896186"/>
    <w:rsid w:val="2B8A6CC9"/>
    <w:rsid w:val="2BDB06E9"/>
    <w:rsid w:val="2BF40509"/>
    <w:rsid w:val="2C2C53D1"/>
    <w:rsid w:val="2C6C3308"/>
    <w:rsid w:val="2C8D7E9A"/>
    <w:rsid w:val="2CD86C3B"/>
    <w:rsid w:val="2CE675AA"/>
    <w:rsid w:val="2CFA3055"/>
    <w:rsid w:val="2D035D18"/>
    <w:rsid w:val="2D113C66"/>
    <w:rsid w:val="2D2A393B"/>
    <w:rsid w:val="2D460049"/>
    <w:rsid w:val="2D8F7C42"/>
    <w:rsid w:val="2DC07DFB"/>
    <w:rsid w:val="2DC31B9F"/>
    <w:rsid w:val="2DE97352"/>
    <w:rsid w:val="2DFB7085"/>
    <w:rsid w:val="2E0F2B31"/>
    <w:rsid w:val="2E2C36E3"/>
    <w:rsid w:val="2E4E5407"/>
    <w:rsid w:val="2E8E720E"/>
    <w:rsid w:val="2E996435"/>
    <w:rsid w:val="2EBF00B3"/>
    <w:rsid w:val="2ECF7828"/>
    <w:rsid w:val="2F511653"/>
    <w:rsid w:val="2F6F1AD9"/>
    <w:rsid w:val="2F8D1F5F"/>
    <w:rsid w:val="302032A1"/>
    <w:rsid w:val="307F28A2"/>
    <w:rsid w:val="30986E0D"/>
    <w:rsid w:val="309A2B85"/>
    <w:rsid w:val="30B86263"/>
    <w:rsid w:val="30C300FB"/>
    <w:rsid w:val="30F71D86"/>
    <w:rsid w:val="30FC5797"/>
    <w:rsid w:val="31395673"/>
    <w:rsid w:val="31457DBA"/>
    <w:rsid w:val="31865912"/>
    <w:rsid w:val="318A10D1"/>
    <w:rsid w:val="31983894"/>
    <w:rsid w:val="31C73C21"/>
    <w:rsid w:val="31CF761B"/>
    <w:rsid w:val="31D219B6"/>
    <w:rsid w:val="31DB32DE"/>
    <w:rsid w:val="31F84007"/>
    <w:rsid w:val="31FA51BC"/>
    <w:rsid w:val="324E076E"/>
    <w:rsid w:val="32580F24"/>
    <w:rsid w:val="326D7CE5"/>
    <w:rsid w:val="32B54CE3"/>
    <w:rsid w:val="32D0294E"/>
    <w:rsid w:val="32D57EA5"/>
    <w:rsid w:val="32F56799"/>
    <w:rsid w:val="33105381"/>
    <w:rsid w:val="334119DE"/>
    <w:rsid w:val="33713887"/>
    <w:rsid w:val="33995376"/>
    <w:rsid w:val="33B10912"/>
    <w:rsid w:val="3437693D"/>
    <w:rsid w:val="3442764E"/>
    <w:rsid w:val="346A0A60"/>
    <w:rsid w:val="34775FD7"/>
    <w:rsid w:val="3489363D"/>
    <w:rsid w:val="34A71D15"/>
    <w:rsid w:val="34B47F8E"/>
    <w:rsid w:val="35262C3A"/>
    <w:rsid w:val="355435F3"/>
    <w:rsid w:val="359F29EC"/>
    <w:rsid w:val="35D703D8"/>
    <w:rsid w:val="35F9034E"/>
    <w:rsid w:val="362720CB"/>
    <w:rsid w:val="364F4412"/>
    <w:rsid w:val="3652180C"/>
    <w:rsid w:val="36660DCA"/>
    <w:rsid w:val="36BA5D2F"/>
    <w:rsid w:val="36C96AFA"/>
    <w:rsid w:val="36DA1C3D"/>
    <w:rsid w:val="36DC48EB"/>
    <w:rsid w:val="36EC7EB3"/>
    <w:rsid w:val="37192794"/>
    <w:rsid w:val="375A4D0E"/>
    <w:rsid w:val="37EE37B7"/>
    <w:rsid w:val="381256F7"/>
    <w:rsid w:val="381D66D7"/>
    <w:rsid w:val="38237904"/>
    <w:rsid w:val="386121DB"/>
    <w:rsid w:val="38993243"/>
    <w:rsid w:val="38B51723"/>
    <w:rsid w:val="38F1355F"/>
    <w:rsid w:val="38F17A02"/>
    <w:rsid w:val="3905700A"/>
    <w:rsid w:val="39AC69D2"/>
    <w:rsid w:val="39BA604C"/>
    <w:rsid w:val="39BE7D79"/>
    <w:rsid w:val="39D25301"/>
    <w:rsid w:val="39F40089"/>
    <w:rsid w:val="3A3F6FD4"/>
    <w:rsid w:val="3A54334A"/>
    <w:rsid w:val="3A894EAA"/>
    <w:rsid w:val="3A9C74FA"/>
    <w:rsid w:val="3AA36D3C"/>
    <w:rsid w:val="3B082DE1"/>
    <w:rsid w:val="3B091E1E"/>
    <w:rsid w:val="3B313787"/>
    <w:rsid w:val="3B471B5C"/>
    <w:rsid w:val="3B4C2CCE"/>
    <w:rsid w:val="3B61407E"/>
    <w:rsid w:val="3BA174BE"/>
    <w:rsid w:val="3BAC751F"/>
    <w:rsid w:val="3BAD416B"/>
    <w:rsid w:val="3BAE7613"/>
    <w:rsid w:val="3BCB22B5"/>
    <w:rsid w:val="3BD3168B"/>
    <w:rsid w:val="3BD35C44"/>
    <w:rsid w:val="3BE17EE6"/>
    <w:rsid w:val="3BF96D09"/>
    <w:rsid w:val="3C27410D"/>
    <w:rsid w:val="3C7563FB"/>
    <w:rsid w:val="3C972E5F"/>
    <w:rsid w:val="3CA12CE1"/>
    <w:rsid w:val="3CAD2038"/>
    <w:rsid w:val="3CAD7649"/>
    <w:rsid w:val="3CD820DC"/>
    <w:rsid w:val="3CED6733"/>
    <w:rsid w:val="3D0A38B4"/>
    <w:rsid w:val="3D453243"/>
    <w:rsid w:val="3D88504D"/>
    <w:rsid w:val="3DC7508C"/>
    <w:rsid w:val="3DE05B98"/>
    <w:rsid w:val="3E04082E"/>
    <w:rsid w:val="3E135D25"/>
    <w:rsid w:val="3EBD52C2"/>
    <w:rsid w:val="3EBFD778"/>
    <w:rsid w:val="3EE057E6"/>
    <w:rsid w:val="3F0538C0"/>
    <w:rsid w:val="3F1A1CC2"/>
    <w:rsid w:val="3F2E6D37"/>
    <w:rsid w:val="3F454604"/>
    <w:rsid w:val="3F855EF6"/>
    <w:rsid w:val="3FC01EDD"/>
    <w:rsid w:val="3FC92B3F"/>
    <w:rsid w:val="3FCB3A93"/>
    <w:rsid w:val="401E41AC"/>
    <w:rsid w:val="403B3CF3"/>
    <w:rsid w:val="40457327"/>
    <w:rsid w:val="406805AA"/>
    <w:rsid w:val="4070030D"/>
    <w:rsid w:val="4077259B"/>
    <w:rsid w:val="4093253B"/>
    <w:rsid w:val="40F32BF1"/>
    <w:rsid w:val="4157061F"/>
    <w:rsid w:val="41591156"/>
    <w:rsid w:val="419137C3"/>
    <w:rsid w:val="419B675D"/>
    <w:rsid w:val="41C23CEA"/>
    <w:rsid w:val="41D103D1"/>
    <w:rsid w:val="42156510"/>
    <w:rsid w:val="428471F1"/>
    <w:rsid w:val="42B85710"/>
    <w:rsid w:val="42D71A17"/>
    <w:rsid w:val="43284021"/>
    <w:rsid w:val="435F79D0"/>
    <w:rsid w:val="43670644"/>
    <w:rsid w:val="437E00E5"/>
    <w:rsid w:val="43846D49"/>
    <w:rsid w:val="43AE02ED"/>
    <w:rsid w:val="442347E8"/>
    <w:rsid w:val="44550A5E"/>
    <w:rsid w:val="4455558E"/>
    <w:rsid w:val="449C0E15"/>
    <w:rsid w:val="44C132C3"/>
    <w:rsid w:val="456C0A77"/>
    <w:rsid w:val="4585761A"/>
    <w:rsid w:val="45AC1B90"/>
    <w:rsid w:val="45C1250B"/>
    <w:rsid w:val="460335E7"/>
    <w:rsid w:val="466B2BA2"/>
    <w:rsid w:val="468A0B4E"/>
    <w:rsid w:val="46C86568"/>
    <w:rsid w:val="46CE5658"/>
    <w:rsid w:val="46FF153C"/>
    <w:rsid w:val="470B6133"/>
    <w:rsid w:val="4759345D"/>
    <w:rsid w:val="4776192F"/>
    <w:rsid w:val="47AE731A"/>
    <w:rsid w:val="47B90762"/>
    <w:rsid w:val="47E07D19"/>
    <w:rsid w:val="48171F00"/>
    <w:rsid w:val="486908CB"/>
    <w:rsid w:val="48785ECD"/>
    <w:rsid w:val="487D3670"/>
    <w:rsid w:val="4887291B"/>
    <w:rsid w:val="489B72C1"/>
    <w:rsid w:val="48AD79E8"/>
    <w:rsid w:val="48E81F6C"/>
    <w:rsid w:val="491F33FC"/>
    <w:rsid w:val="49EC3FFA"/>
    <w:rsid w:val="49F92273"/>
    <w:rsid w:val="4A9D52F4"/>
    <w:rsid w:val="4AB16FF2"/>
    <w:rsid w:val="4AC76815"/>
    <w:rsid w:val="4AEF3676"/>
    <w:rsid w:val="4AF155E5"/>
    <w:rsid w:val="4AF84C20"/>
    <w:rsid w:val="4B0B04B0"/>
    <w:rsid w:val="4B1E40FF"/>
    <w:rsid w:val="4B2B2277"/>
    <w:rsid w:val="4B3774F7"/>
    <w:rsid w:val="4B721961"/>
    <w:rsid w:val="4B85213F"/>
    <w:rsid w:val="4B865D88"/>
    <w:rsid w:val="4BF44CFB"/>
    <w:rsid w:val="4C2C5AF7"/>
    <w:rsid w:val="4C35155C"/>
    <w:rsid w:val="4C5E0AB3"/>
    <w:rsid w:val="4CC201AF"/>
    <w:rsid w:val="4CD55219"/>
    <w:rsid w:val="4CD55E51"/>
    <w:rsid w:val="4D162706"/>
    <w:rsid w:val="4D217CAC"/>
    <w:rsid w:val="4D671BE9"/>
    <w:rsid w:val="4DE45D18"/>
    <w:rsid w:val="4E171D5C"/>
    <w:rsid w:val="4E5A30AF"/>
    <w:rsid w:val="4E734FA6"/>
    <w:rsid w:val="4EA02117"/>
    <w:rsid w:val="4EBB043F"/>
    <w:rsid w:val="4EC76DE4"/>
    <w:rsid w:val="4F143097"/>
    <w:rsid w:val="4F4F0B87"/>
    <w:rsid w:val="4F6636A0"/>
    <w:rsid w:val="4FC86FE7"/>
    <w:rsid w:val="500F31B8"/>
    <w:rsid w:val="504B6903"/>
    <w:rsid w:val="50A2441A"/>
    <w:rsid w:val="50D52FD1"/>
    <w:rsid w:val="50F934A0"/>
    <w:rsid w:val="514B7ECE"/>
    <w:rsid w:val="51B50D1A"/>
    <w:rsid w:val="521A4397"/>
    <w:rsid w:val="525B5F6E"/>
    <w:rsid w:val="52660AB8"/>
    <w:rsid w:val="526E1AD5"/>
    <w:rsid w:val="528A5B5F"/>
    <w:rsid w:val="52E30F1A"/>
    <w:rsid w:val="52E87329"/>
    <w:rsid w:val="53757455"/>
    <w:rsid w:val="5385656B"/>
    <w:rsid w:val="539F20DD"/>
    <w:rsid w:val="53C9747A"/>
    <w:rsid w:val="53EB13F5"/>
    <w:rsid w:val="541F5563"/>
    <w:rsid w:val="54212AF2"/>
    <w:rsid w:val="5462174E"/>
    <w:rsid w:val="54B54296"/>
    <w:rsid w:val="55083CB2"/>
    <w:rsid w:val="550906FB"/>
    <w:rsid w:val="55220FA9"/>
    <w:rsid w:val="55222FC6"/>
    <w:rsid w:val="552705DC"/>
    <w:rsid w:val="552F3F2D"/>
    <w:rsid w:val="553140A7"/>
    <w:rsid w:val="55AA6B17"/>
    <w:rsid w:val="55AA7162"/>
    <w:rsid w:val="565934AB"/>
    <w:rsid w:val="565F7902"/>
    <w:rsid w:val="566D6A2E"/>
    <w:rsid w:val="56E02754"/>
    <w:rsid w:val="56FE78F9"/>
    <w:rsid w:val="571E6A72"/>
    <w:rsid w:val="573C40E7"/>
    <w:rsid w:val="57776ECD"/>
    <w:rsid w:val="57A361C4"/>
    <w:rsid w:val="57A71560"/>
    <w:rsid w:val="57F81DBC"/>
    <w:rsid w:val="58136BF6"/>
    <w:rsid w:val="582E3A30"/>
    <w:rsid w:val="58544F61"/>
    <w:rsid w:val="588200C8"/>
    <w:rsid w:val="58D345D7"/>
    <w:rsid w:val="58D86225"/>
    <w:rsid w:val="58F509F1"/>
    <w:rsid w:val="58F93587"/>
    <w:rsid w:val="58FF66D3"/>
    <w:rsid w:val="591071A1"/>
    <w:rsid w:val="5A003FF0"/>
    <w:rsid w:val="5A344EA3"/>
    <w:rsid w:val="5A7476F4"/>
    <w:rsid w:val="5AB1307D"/>
    <w:rsid w:val="5AED5634"/>
    <w:rsid w:val="5AF01470"/>
    <w:rsid w:val="5AF30F60"/>
    <w:rsid w:val="5AF679F7"/>
    <w:rsid w:val="5B557CC7"/>
    <w:rsid w:val="5B7C2D04"/>
    <w:rsid w:val="5B8E6917"/>
    <w:rsid w:val="5BB57D8D"/>
    <w:rsid w:val="5BD4669C"/>
    <w:rsid w:val="5C140702"/>
    <w:rsid w:val="5C5305D9"/>
    <w:rsid w:val="5C593045"/>
    <w:rsid w:val="5C5B6DBD"/>
    <w:rsid w:val="5C5D2B35"/>
    <w:rsid w:val="5C735109"/>
    <w:rsid w:val="5C7B745F"/>
    <w:rsid w:val="5C855D83"/>
    <w:rsid w:val="5C9C0C23"/>
    <w:rsid w:val="5D885990"/>
    <w:rsid w:val="5DE660A8"/>
    <w:rsid w:val="5E0E1336"/>
    <w:rsid w:val="5E2C1E3D"/>
    <w:rsid w:val="5E4D0C66"/>
    <w:rsid w:val="5E6F4DA2"/>
    <w:rsid w:val="5E9E28DD"/>
    <w:rsid w:val="5ED75095"/>
    <w:rsid w:val="5EE44E48"/>
    <w:rsid w:val="5EEA1B36"/>
    <w:rsid w:val="5EEB095D"/>
    <w:rsid w:val="5F2B6F1B"/>
    <w:rsid w:val="5F753C3E"/>
    <w:rsid w:val="5FC609F2"/>
    <w:rsid w:val="5FD56E87"/>
    <w:rsid w:val="6000183D"/>
    <w:rsid w:val="600616A9"/>
    <w:rsid w:val="60140DD3"/>
    <w:rsid w:val="614D0390"/>
    <w:rsid w:val="614D317E"/>
    <w:rsid w:val="6155027F"/>
    <w:rsid w:val="616950D0"/>
    <w:rsid w:val="617213B6"/>
    <w:rsid w:val="61785D1C"/>
    <w:rsid w:val="61813275"/>
    <w:rsid w:val="61A34B19"/>
    <w:rsid w:val="61D218D0"/>
    <w:rsid w:val="61F873D8"/>
    <w:rsid w:val="61FC06FB"/>
    <w:rsid w:val="62105334"/>
    <w:rsid w:val="622F73A6"/>
    <w:rsid w:val="623E1776"/>
    <w:rsid w:val="624F3E45"/>
    <w:rsid w:val="62A828CD"/>
    <w:rsid w:val="62BC7202"/>
    <w:rsid w:val="62D443A2"/>
    <w:rsid w:val="62D545FB"/>
    <w:rsid w:val="635822A8"/>
    <w:rsid w:val="63796526"/>
    <w:rsid w:val="63B868A3"/>
    <w:rsid w:val="63F95ED8"/>
    <w:rsid w:val="64155AA4"/>
    <w:rsid w:val="645273BE"/>
    <w:rsid w:val="646539AE"/>
    <w:rsid w:val="64656A2B"/>
    <w:rsid w:val="648C4EA5"/>
    <w:rsid w:val="64B90B25"/>
    <w:rsid w:val="64C51278"/>
    <w:rsid w:val="64D21BE7"/>
    <w:rsid w:val="64F90B96"/>
    <w:rsid w:val="65230D92"/>
    <w:rsid w:val="65266F4D"/>
    <w:rsid w:val="65340DFB"/>
    <w:rsid w:val="65476131"/>
    <w:rsid w:val="657C227E"/>
    <w:rsid w:val="659F70A3"/>
    <w:rsid w:val="65CB2057"/>
    <w:rsid w:val="663331F8"/>
    <w:rsid w:val="66671FCF"/>
    <w:rsid w:val="669D3C0F"/>
    <w:rsid w:val="66DC18E2"/>
    <w:rsid w:val="66E13A2D"/>
    <w:rsid w:val="670803D4"/>
    <w:rsid w:val="673E53C9"/>
    <w:rsid w:val="679A7A06"/>
    <w:rsid w:val="67A3795F"/>
    <w:rsid w:val="67EC539B"/>
    <w:rsid w:val="68077DF9"/>
    <w:rsid w:val="68223C9F"/>
    <w:rsid w:val="68232E85"/>
    <w:rsid w:val="68306EC7"/>
    <w:rsid w:val="687234C5"/>
    <w:rsid w:val="68880F3A"/>
    <w:rsid w:val="68D50FDC"/>
    <w:rsid w:val="69006D22"/>
    <w:rsid w:val="69804FFD"/>
    <w:rsid w:val="698704B9"/>
    <w:rsid w:val="69981531"/>
    <w:rsid w:val="699C33DB"/>
    <w:rsid w:val="699F478D"/>
    <w:rsid w:val="69D13495"/>
    <w:rsid w:val="69DA57C5"/>
    <w:rsid w:val="6A077302"/>
    <w:rsid w:val="6A1D4F98"/>
    <w:rsid w:val="6A64787C"/>
    <w:rsid w:val="6A8F61F9"/>
    <w:rsid w:val="6AC975E8"/>
    <w:rsid w:val="6B054AC4"/>
    <w:rsid w:val="6B1C1B7A"/>
    <w:rsid w:val="6B2B3DFF"/>
    <w:rsid w:val="6B841E8D"/>
    <w:rsid w:val="6BA1602F"/>
    <w:rsid w:val="6BE97F42"/>
    <w:rsid w:val="6BEC45A2"/>
    <w:rsid w:val="6C007039"/>
    <w:rsid w:val="6C1B3E73"/>
    <w:rsid w:val="6C1E2A54"/>
    <w:rsid w:val="6C3A66BC"/>
    <w:rsid w:val="6C532EC3"/>
    <w:rsid w:val="6C5C23DC"/>
    <w:rsid w:val="6C933558"/>
    <w:rsid w:val="6D282CEC"/>
    <w:rsid w:val="6D355976"/>
    <w:rsid w:val="6D604233"/>
    <w:rsid w:val="6D6D6025"/>
    <w:rsid w:val="6D772419"/>
    <w:rsid w:val="6D9819BD"/>
    <w:rsid w:val="6DA2484C"/>
    <w:rsid w:val="6DA67E51"/>
    <w:rsid w:val="6DB86AA0"/>
    <w:rsid w:val="6E2C22B2"/>
    <w:rsid w:val="6E331948"/>
    <w:rsid w:val="6E373490"/>
    <w:rsid w:val="6E407957"/>
    <w:rsid w:val="6E7345A1"/>
    <w:rsid w:val="6EAC061C"/>
    <w:rsid w:val="6EB13EC8"/>
    <w:rsid w:val="6EB23BCF"/>
    <w:rsid w:val="6ED924EF"/>
    <w:rsid w:val="6F14452F"/>
    <w:rsid w:val="6F7E3097"/>
    <w:rsid w:val="6F822D6C"/>
    <w:rsid w:val="6FA26D85"/>
    <w:rsid w:val="6FAA0A86"/>
    <w:rsid w:val="6FBC771B"/>
    <w:rsid w:val="6FD76303"/>
    <w:rsid w:val="70221C74"/>
    <w:rsid w:val="703A3E53"/>
    <w:rsid w:val="703D085C"/>
    <w:rsid w:val="707278BB"/>
    <w:rsid w:val="70A375D4"/>
    <w:rsid w:val="70B4451E"/>
    <w:rsid w:val="70F058CE"/>
    <w:rsid w:val="710D46D2"/>
    <w:rsid w:val="715D3148"/>
    <w:rsid w:val="71A768D5"/>
    <w:rsid w:val="71C11019"/>
    <w:rsid w:val="71C12DE7"/>
    <w:rsid w:val="71D62D16"/>
    <w:rsid w:val="71E573FD"/>
    <w:rsid w:val="720535D4"/>
    <w:rsid w:val="720F1A1F"/>
    <w:rsid w:val="72145678"/>
    <w:rsid w:val="722D43E1"/>
    <w:rsid w:val="72406245"/>
    <w:rsid w:val="728F1117"/>
    <w:rsid w:val="72D66A87"/>
    <w:rsid w:val="72DD4071"/>
    <w:rsid w:val="72E96A79"/>
    <w:rsid w:val="73243F55"/>
    <w:rsid w:val="73612AB3"/>
    <w:rsid w:val="73DC213A"/>
    <w:rsid w:val="73E9412A"/>
    <w:rsid w:val="743326A2"/>
    <w:rsid w:val="74343D24"/>
    <w:rsid w:val="746A7CA4"/>
    <w:rsid w:val="74A810B1"/>
    <w:rsid w:val="74BA5BB7"/>
    <w:rsid w:val="74BC516D"/>
    <w:rsid w:val="74CB0B2C"/>
    <w:rsid w:val="751106B5"/>
    <w:rsid w:val="751A7979"/>
    <w:rsid w:val="75226272"/>
    <w:rsid w:val="75530934"/>
    <w:rsid w:val="759B6440"/>
    <w:rsid w:val="75AE7D7D"/>
    <w:rsid w:val="75C5557C"/>
    <w:rsid w:val="761638DC"/>
    <w:rsid w:val="761A1135"/>
    <w:rsid w:val="766F54E7"/>
    <w:rsid w:val="76A72ED3"/>
    <w:rsid w:val="770420D4"/>
    <w:rsid w:val="772340B3"/>
    <w:rsid w:val="77315B09"/>
    <w:rsid w:val="777032C5"/>
    <w:rsid w:val="77DD0636"/>
    <w:rsid w:val="77FA34D6"/>
    <w:rsid w:val="784A1D68"/>
    <w:rsid w:val="786E67AC"/>
    <w:rsid w:val="78700B0A"/>
    <w:rsid w:val="78B57D49"/>
    <w:rsid w:val="79021C2A"/>
    <w:rsid w:val="79187C23"/>
    <w:rsid w:val="79703A50"/>
    <w:rsid w:val="79CE0777"/>
    <w:rsid w:val="79E91001"/>
    <w:rsid w:val="79ED32F3"/>
    <w:rsid w:val="79EE0700"/>
    <w:rsid w:val="7A24483B"/>
    <w:rsid w:val="7A9674E6"/>
    <w:rsid w:val="7AD24297"/>
    <w:rsid w:val="7B42766E"/>
    <w:rsid w:val="7B7A0FC8"/>
    <w:rsid w:val="7BB816DF"/>
    <w:rsid w:val="7BC311C4"/>
    <w:rsid w:val="7BC31D0C"/>
    <w:rsid w:val="7C0B7D3A"/>
    <w:rsid w:val="7C1D7794"/>
    <w:rsid w:val="7C510CD6"/>
    <w:rsid w:val="7D5176F5"/>
    <w:rsid w:val="7D6A3FD0"/>
    <w:rsid w:val="7D7938EB"/>
    <w:rsid w:val="7D7F0706"/>
    <w:rsid w:val="7DA146F0"/>
    <w:rsid w:val="7DDF0BC9"/>
    <w:rsid w:val="7DE44A0D"/>
    <w:rsid w:val="7E176B90"/>
    <w:rsid w:val="7E325778"/>
    <w:rsid w:val="7E8A5D41"/>
    <w:rsid w:val="7EA0257D"/>
    <w:rsid w:val="7ECB34D7"/>
    <w:rsid w:val="7EFA7D03"/>
    <w:rsid w:val="7F3AE8EB"/>
    <w:rsid w:val="7F4812A7"/>
    <w:rsid w:val="7F720F5D"/>
    <w:rsid w:val="7FB71F64"/>
    <w:rsid w:val="7FD665D7"/>
    <w:rsid w:val="AD5FB381"/>
    <w:rsid w:val="BC7DCF04"/>
    <w:rsid w:val="F2FAEB7F"/>
    <w:rsid w:val="F9B72DB8"/>
    <w:rsid w:val="FDFB408F"/>
    <w:rsid w:val="FEFD93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link w:val="44"/>
    <w:autoRedefine/>
    <w:qFormat/>
    <w:uiPriority w:val="0"/>
    <w:pPr>
      <w:widowControl/>
      <w:numPr>
        <w:ilvl w:val="0"/>
        <w:numId w:val="1"/>
      </w:numPr>
      <w:spacing w:beforeAutospacing="1" w:afterAutospacing="1" w:line="560" w:lineRule="exact"/>
      <w:jc w:val="center"/>
      <w:outlineLvl w:val="0"/>
    </w:pPr>
    <w:rPr>
      <w:rFonts w:ascii="方正小标宋_GBK" w:hAnsi="方正小标宋_GBK" w:eastAsia="仿宋" w:cs="方正小标宋_GBK"/>
      <w:kern w:val="36"/>
      <w:sz w:val="36"/>
      <w:szCs w:val="32"/>
    </w:rPr>
  </w:style>
  <w:style w:type="paragraph" w:styleId="4">
    <w:name w:val="heading 2"/>
    <w:basedOn w:val="1"/>
    <w:next w:val="1"/>
    <w:link w:val="43"/>
    <w:autoRedefine/>
    <w:unhideWhenUsed/>
    <w:qFormat/>
    <w:uiPriority w:val="0"/>
    <w:pPr>
      <w:keepNext/>
      <w:keepLines/>
      <w:numPr>
        <w:ilvl w:val="1"/>
        <w:numId w:val="1"/>
      </w:numPr>
      <w:spacing w:line="560" w:lineRule="exact"/>
      <w:jc w:val="left"/>
      <w:outlineLvl w:val="1"/>
    </w:pPr>
    <w:rPr>
      <w:rFonts w:eastAsia="方正小标宋_GBK" w:asciiTheme="majorHAnsi" w:hAnsiTheme="majorHAnsi" w:cstheme="majorBidi"/>
      <w:bCs/>
      <w:sz w:val="32"/>
      <w:szCs w:val="32"/>
    </w:rPr>
  </w:style>
  <w:style w:type="paragraph" w:styleId="5">
    <w:name w:val="heading 3"/>
    <w:basedOn w:val="1"/>
    <w:next w:val="1"/>
    <w:link w:val="45"/>
    <w:autoRedefine/>
    <w:unhideWhenUsed/>
    <w:qFormat/>
    <w:uiPriority w:val="0"/>
    <w:pPr>
      <w:keepNext/>
      <w:keepLines/>
      <w:numPr>
        <w:ilvl w:val="2"/>
        <w:numId w:val="1"/>
      </w:numPr>
      <w:spacing w:line="560" w:lineRule="exact"/>
      <w:ind w:left="680" w:firstLine="0"/>
      <w:jc w:val="left"/>
      <w:outlineLvl w:val="2"/>
    </w:pPr>
    <w:rPr>
      <w:rFonts w:ascii="方正小标宋_GBK" w:hAnsi="方正小标宋_GBK" w:eastAsia="方正小标宋_GBK" w:cs="方正小标宋_GBK"/>
      <w:sz w:val="32"/>
      <w:szCs w:val="32"/>
    </w:rPr>
  </w:style>
  <w:style w:type="paragraph" w:styleId="6">
    <w:name w:val="heading 4"/>
    <w:basedOn w:val="1"/>
    <w:next w:val="1"/>
    <w:link w:val="46"/>
    <w:autoRedefine/>
    <w:unhideWhenUsed/>
    <w:qFormat/>
    <w:uiPriority w:val="0"/>
    <w:pPr>
      <w:keepNext/>
      <w:keepLines/>
      <w:numPr>
        <w:ilvl w:val="3"/>
        <w:numId w:val="1"/>
      </w:numPr>
      <w:spacing w:before="280" w:after="290" w:line="560" w:lineRule="exact"/>
      <w:jc w:val="left"/>
      <w:outlineLvl w:val="3"/>
    </w:pPr>
    <w:rPr>
      <w:rFonts w:ascii="方正小标宋_GBK" w:hAnsi="方正小标宋_GBK" w:eastAsia="方正小标宋_GBK" w:cs="方正仿宋_GBK"/>
      <w:sz w:val="32"/>
      <w:szCs w:val="28"/>
    </w:rPr>
  </w:style>
  <w:style w:type="paragraph" w:styleId="7">
    <w:name w:val="heading 5"/>
    <w:basedOn w:val="1"/>
    <w:next w:val="1"/>
    <w:autoRedefine/>
    <w:unhideWhenUsed/>
    <w:qFormat/>
    <w:uiPriority w:val="0"/>
    <w:pPr>
      <w:keepNext/>
      <w:keepLines/>
      <w:numPr>
        <w:ilvl w:val="4"/>
        <w:numId w:val="1"/>
      </w:numPr>
      <w:spacing w:line="372" w:lineRule="auto"/>
      <w:outlineLvl w:val="4"/>
    </w:pPr>
    <w:rPr>
      <w:b/>
    </w:rPr>
  </w:style>
  <w:style w:type="paragraph" w:styleId="8">
    <w:name w:val="heading 6"/>
    <w:basedOn w:val="1"/>
    <w:next w:val="1"/>
    <w:autoRedefine/>
    <w:unhideWhenUsed/>
    <w:qFormat/>
    <w:uiPriority w:val="0"/>
    <w:pPr>
      <w:keepNext/>
      <w:keepLines/>
      <w:numPr>
        <w:ilvl w:val="5"/>
        <w:numId w:val="1"/>
      </w:numPr>
      <w:spacing w:line="317" w:lineRule="auto"/>
      <w:outlineLvl w:val="5"/>
    </w:pPr>
    <w:rPr>
      <w:rFonts w:ascii="Arial" w:hAnsi="Arial" w:eastAsia="黑体"/>
      <w:b/>
      <w:sz w:val="24"/>
    </w:rPr>
  </w:style>
  <w:style w:type="paragraph" w:styleId="9">
    <w:name w:val="heading 7"/>
    <w:basedOn w:val="1"/>
    <w:next w:val="1"/>
    <w:autoRedefine/>
    <w:unhideWhenUsed/>
    <w:qFormat/>
    <w:uiPriority w:val="0"/>
    <w:pPr>
      <w:keepNext/>
      <w:keepLines/>
      <w:numPr>
        <w:ilvl w:val="6"/>
        <w:numId w:val="1"/>
      </w:numPr>
      <w:spacing w:line="317" w:lineRule="auto"/>
      <w:outlineLvl w:val="6"/>
    </w:pPr>
    <w:rPr>
      <w:b/>
      <w:sz w:val="24"/>
    </w:rPr>
  </w:style>
  <w:style w:type="paragraph" w:styleId="10">
    <w:name w:val="heading 8"/>
    <w:basedOn w:val="1"/>
    <w:next w:val="1"/>
    <w:autoRedefine/>
    <w:unhideWhenUsed/>
    <w:qFormat/>
    <w:uiPriority w:val="0"/>
    <w:pPr>
      <w:keepNext/>
      <w:keepLines/>
      <w:numPr>
        <w:ilvl w:val="7"/>
        <w:numId w:val="1"/>
      </w:numPr>
      <w:spacing w:line="317" w:lineRule="auto"/>
      <w:outlineLvl w:val="7"/>
    </w:pPr>
    <w:rPr>
      <w:rFonts w:ascii="Arial" w:hAnsi="Arial" w:eastAsia="黑体"/>
      <w:sz w:val="24"/>
    </w:rPr>
  </w:style>
  <w:style w:type="paragraph" w:styleId="11">
    <w:name w:val="heading 9"/>
    <w:basedOn w:val="1"/>
    <w:next w:val="1"/>
    <w:autoRedefine/>
    <w:unhideWhenUsed/>
    <w:qFormat/>
    <w:uiPriority w:val="0"/>
    <w:pPr>
      <w:keepNext/>
      <w:keepLines/>
      <w:numPr>
        <w:ilvl w:val="8"/>
        <w:numId w:val="1"/>
      </w:numPr>
      <w:spacing w:line="317" w:lineRule="auto"/>
      <w:outlineLvl w:val="8"/>
    </w:pPr>
    <w:rPr>
      <w:rFonts w:ascii="Arial" w:hAnsi="Arial" w:eastAsia="黑体"/>
      <w:sz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西研院正文"/>
    <w:basedOn w:val="1"/>
    <w:unhideWhenUsed/>
    <w:qFormat/>
    <w:uiPriority w:val="0"/>
    <w:pPr>
      <w:spacing w:line="560" w:lineRule="exact"/>
      <w:ind w:firstLine="643" w:firstLineChars="200"/>
    </w:pPr>
    <w:rPr>
      <w:rFonts w:eastAsia="方正楷体_GBK"/>
      <w:sz w:val="32"/>
      <w:szCs w:val="24"/>
    </w:rPr>
  </w:style>
  <w:style w:type="paragraph" w:styleId="12">
    <w:name w:val="table of authorities"/>
    <w:basedOn w:val="1"/>
    <w:next w:val="1"/>
    <w:autoRedefine/>
    <w:qFormat/>
    <w:uiPriority w:val="0"/>
    <w:pPr>
      <w:ind w:left="420" w:leftChars="200"/>
    </w:pPr>
  </w:style>
  <w:style w:type="paragraph" w:styleId="13">
    <w:name w:val="Normal Indent"/>
    <w:basedOn w:val="1"/>
    <w:autoRedefine/>
    <w:qFormat/>
    <w:uiPriority w:val="0"/>
    <w:pPr>
      <w:adjustRightInd w:val="0"/>
      <w:snapToGrid w:val="0"/>
      <w:spacing w:line="360" w:lineRule="auto"/>
      <w:ind w:firstLine="420"/>
    </w:pPr>
    <w:rPr>
      <w:sz w:val="24"/>
    </w:rPr>
  </w:style>
  <w:style w:type="paragraph" w:styleId="14">
    <w:name w:val="annotation text"/>
    <w:basedOn w:val="1"/>
    <w:autoRedefine/>
    <w:qFormat/>
    <w:uiPriority w:val="0"/>
    <w:pPr>
      <w:adjustRightInd w:val="0"/>
      <w:spacing w:line="360" w:lineRule="atLeast"/>
      <w:jc w:val="left"/>
      <w:textAlignment w:val="baseline"/>
    </w:pPr>
    <w:rPr>
      <w:kern w:val="0"/>
      <w:sz w:val="24"/>
    </w:rPr>
  </w:style>
  <w:style w:type="paragraph" w:styleId="15">
    <w:name w:val="Body Text"/>
    <w:basedOn w:val="1"/>
    <w:next w:val="16"/>
    <w:autoRedefine/>
    <w:qFormat/>
    <w:uiPriority w:val="0"/>
    <w:rPr>
      <w:rFonts w:ascii="仿宋_GB2312" w:eastAsia="仿宋_GB2312"/>
      <w:sz w:val="32"/>
    </w:rPr>
  </w:style>
  <w:style w:type="paragraph" w:styleId="16">
    <w:name w:val="Body Text Indent"/>
    <w:basedOn w:val="1"/>
    <w:autoRedefine/>
    <w:qFormat/>
    <w:uiPriority w:val="0"/>
    <w:pPr>
      <w:spacing w:line="700" w:lineRule="exact"/>
      <w:ind w:left="960"/>
    </w:pPr>
    <w:rPr>
      <w:sz w:val="44"/>
    </w:rPr>
  </w:style>
  <w:style w:type="paragraph" w:styleId="17">
    <w:name w:val="Block Text"/>
    <w:basedOn w:val="1"/>
    <w:qFormat/>
    <w:uiPriority w:val="99"/>
    <w:pPr>
      <w:ind w:left="1440" w:leftChars="700" w:right="700" w:rightChars="700"/>
    </w:pPr>
  </w:style>
  <w:style w:type="paragraph" w:styleId="18">
    <w:name w:val="toc 3"/>
    <w:basedOn w:val="1"/>
    <w:next w:val="1"/>
    <w:autoRedefine/>
    <w:qFormat/>
    <w:uiPriority w:val="0"/>
    <w:pPr>
      <w:ind w:left="840" w:leftChars="400"/>
    </w:pPr>
  </w:style>
  <w:style w:type="paragraph" w:styleId="19">
    <w:name w:val="Plain Text"/>
    <w:basedOn w:val="1"/>
    <w:autoRedefine/>
    <w:qFormat/>
    <w:uiPriority w:val="0"/>
    <w:rPr>
      <w:rFonts w:ascii="宋体" w:hAnsi="Courier New"/>
      <w:sz w:val="21"/>
    </w:rPr>
  </w:style>
  <w:style w:type="paragraph" w:styleId="20">
    <w:name w:val="Date"/>
    <w:basedOn w:val="1"/>
    <w:next w:val="1"/>
    <w:autoRedefine/>
    <w:qFormat/>
    <w:uiPriority w:val="0"/>
  </w:style>
  <w:style w:type="paragraph" w:styleId="21">
    <w:name w:val="Body Text Indent 2"/>
    <w:basedOn w:val="1"/>
    <w:autoRedefine/>
    <w:qFormat/>
    <w:uiPriority w:val="0"/>
    <w:pPr>
      <w:snapToGrid w:val="0"/>
      <w:spacing w:line="560" w:lineRule="atLeast"/>
      <w:ind w:firstLine="540"/>
    </w:pPr>
  </w:style>
  <w:style w:type="paragraph" w:styleId="22">
    <w:name w:val="Balloon Text"/>
    <w:basedOn w:val="1"/>
    <w:link w:val="55"/>
    <w:autoRedefine/>
    <w:qFormat/>
    <w:uiPriority w:val="0"/>
    <w:rPr>
      <w:sz w:val="18"/>
      <w:szCs w:val="18"/>
    </w:rPr>
  </w:style>
  <w:style w:type="paragraph" w:styleId="23">
    <w:name w:val="footer"/>
    <w:basedOn w:val="1"/>
    <w:autoRedefine/>
    <w:qFormat/>
    <w:uiPriority w:val="0"/>
    <w:pPr>
      <w:tabs>
        <w:tab w:val="center" w:pos="4153"/>
        <w:tab w:val="right" w:pos="8306"/>
      </w:tabs>
      <w:snapToGrid w:val="0"/>
      <w:jc w:val="left"/>
    </w:pPr>
    <w:rPr>
      <w:sz w:val="18"/>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25">
    <w:name w:val="toc 1"/>
    <w:basedOn w:val="1"/>
    <w:next w:val="1"/>
    <w:autoRedefine/>
    <w:qFormat/>
    <w:uiPriority w:val="0"/>
    <w:pPr>
      <w:spacing w:line="180" w:lineRule="auto"/>
      <w:jc w:val="center"/>
    </w:pPr>
    <w:rPr>
      <w:sz w:val="30"/>
    </w:rPr>
  </w:style>
  <w:style w:type="paragraph" w:styleId="26">
    <w:name w:val="toc 2"/>
    <w:basedOn w:val="1"/>
    <w:next w:val="1"/>
    <w:autoRedefine/>
    <w:qFormat/>
    <w:uiPriority w:val="39"/>
    <w:pPr>
      <w:ind w:left="420" w:leftChars="200"/>
    </w:pPr>
  </w:style>
  <w:style w:type="paragraph" w:styleId="2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28">
    <w:name w:val="Normal (Web)"/>
    <w:basedOn w:val="1"/>
    <w:autoRedefine/>
    <w:qFormat/>
    <w:uiPriority w:val="0"/>
    <w:pPr>
      <w:spacing w:beforeAutospacing="1" w:afterAutospacing="1"/>
      <w:jc w:val="left"/>
    </w:pPr>
    <w:rPr>
      <w:kern w:val="0"/>
      <w:sz w:val="24"/>
    </w:rPr>
  </w:style>
  <w:style w:type="paragraph" w:styleId="29">
    <w:name w:val="Title"/>
    <w:basedOn w:val="1"/>
    <w:autoRedefine/>
    <w:qFormat/>
    <w:uiPriority w:val="0"/>
    <w:pPr>
      <w:widowControl/>
      <w:spacing w:line="360" w:lineRule="auto"/>
      <w:jc w:val="center"/>
    </w:pPr>
    <w:rPr>
      <w:rFonts w:ascii="Arial" w:hAnsi="Arial"/>
      <w:b/>
      <w:smallCaps/>
      <w:kern w:val="28"/>
      <w:sz w:val="36"/>
      <w:lang w:eastAsia="en-US"/>
    </w:rPr>
  </w:style>
  <w:style w:type="paragraph" w:styleId="30">
    <w:name w:val="Body Text First Indent"/>
    <w:basedOn w:val="15"/>
    <w:next w:val="31"/>
    <w:autoRedefine/>
    <w:qFormat/>
    <w:uiPriority w:val="0"/>
    <w:pPr>
      <w:spacing w:line="360" w:lineRule="auto"/>
      <w:ind w:firstLine="420"/>
    </w:pPr>
    <w:rPr>
      <w:rFonts w:ascii="宋体" w:hAnsi="宋体"/>
      <w:sz w:val="24"/>
    </w:rPr>
  </w:style>
  <w:style w:type="paragraph" w:styleId="31">
    <w:name w:val="Body Text First Indent 2"/>
    <w:basedOn w:val="16"/>
    <w:next w:val="1"/>
    <w:autoRedefine/>
    <w:qFormat/>
    <w:uiPriority w:val="0"/>
    <w:pPr>
      <w:spacing w:after="120" w:line="240" w:lineRule="auto"/>
      <w:ind w:left="420" w:leftChars="200" w:firstLine="420" w:firstLineChars="200"/>
    </w:pPr>
  </w:style>
  <w:style w:type="table" w:styleId="33">
    <w:name w:val="Table Grid"/>
    <w:basedOn w:val="3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page number"/>
    <w:autoRedefine/>
    <w:qFormat/>
    <w:uiPriority w:val="0"/>
  </w:style>
  <w:style w:type="character" w:styleId="36">
    <w:name w:val="Hyperlink"/>
    <w:basedOn w:val="34"/>
    <w:autoRedefine/>
    <w:unhideWhenUsed/>
    <w:qFormat/>
    <w:uiPriority w:val="99"/>
    <w:rPr>
      <w:color w:val="0563C1" w:themeColor="hyperlink"/>
      <w:u w:val="single"/>
      <w14:textFill>
        <w14:solidFill>
          <w14:schemeClr w14:val="hlink"/>
        </w14:solidFill>
      </w14:textFill>
    </w:rPr>
  </w:style>
  <w:style w:type="character" w:styleId="37">
    <w:name w:val="annotation reference"/>
    <w:basedOn w:val="34"/>
    <w:autoRedefine/>
    <w:qFormat/>
    <w:uiPriority w:val="0"/>
    <w:rPr>
      <w:sz w:val="21"/>
      <w:szCs w:val="21"/>
    </w:rPr>
  </w:style>
  <w:style w:type="paragraph" w:customStyle="1" w:styleId="38">
    <w:name w:val="目录 83"/>
    <w:next w:val="1"/>
    <w:autoRedefine/>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39">
    <w:name w:val="标题 31"/>
    <w:basedOn w:val="1"/>
    <w:next w:val="1"/>
    <w:autoRedefine/>
    <w:qFormat/>
    <w:uiPriority w:val="0"/>
    <w:pPr>
      <w:keepNext/>
      <w:keepLines/>
      <w:spacing w:before="260" w:after="260" w:line="413" w:lineRule="auto"/>
      <w:outlineLvl w:val="2"/>
    </w:pPr>
    <w:rPr>
      <w:b/>
      <w:sz w:val="32"/>
    </w:rPr>
  </w:style>
  <w:style w:type="paragraph" w:styleId="40">
    <w:name w:val="Quote"/>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Char Char Char Char1"/>
    <w:basedOn w:val="1"/>
    <w:next w:val="1"/>
    <w:autoRedefine/>
    <w:qFormat/>
    <w:uiPriority w:val="0"/>
    <w:pPr>
      <w:tabs>
        <w:tab w:val="left" w:pos="0"/>
      </w:tabs>
      <w:spacing w:after="160" w:line="240" w:lineRule="exact"/>
      <w:textAlignment w:val="baseline"/>
    </w:pPr>
    <w:rPr>
      <w:rFonts w:ascii="Arial" w:hAnsi="Arial" w:eastAsia="Times New Roman" w:cs="Verdana"/>
      <w:b/>
      <w:lang w:eastAsia="en-US"/>
    </w:rPr>
  </w:style>
  <w:style w:type="paragraph" w:customStyle="1" w:styleId="42">
    <w:name w:val="无间隔1"/>
    <w:autoRedefine/>
    <w:qFormat/>
    <w:uiPriority w:val="1"/>
    <w:pPr>
      <w:jc w:val="both"/>
    </w:pPr>
    <w:rPr>
      <w:rFonts w:ascii="Calibri" w:hAnsi="Calibri" w:eastAsia="Times New Roman" w:cs="Times New Roman"/>
      <w:lang w:val="en-US" w:eastAsia="zh-CN" w:bidi="ar-SA"/>
    </w:rPr>
  </w:style>
  <w:style w:type="character" w:customStyle="1" w:styleId="43">
    <w:name w:val="标题 2 Char"/>
    <w:link w:val="4"/>
    <w:autoRedefine/>
    <w:qFormat/>
    <w:locked/>
    <w:uiPriority w:val="0"/>
    <w:rPr>
      <w:rFonts w:eastAsia="方正小标宋_GBK" w:asciiTheme="majorHAnsi" w:hAnsiTheme="majorHAnsi" w:cstheme="majorBidi"/>
      <w:bCs/>
      <w:kern w:val="2"/>
      <w:sz w:val="32"/>
      <w:szCs w:val="32"/>
    </w:rPr>
  </w:style>
  <w:style w:type="character" w:customStyle="1" w:styleId="44">
    <w:name w:val="标题 1 Char"/>
    <w:basedOn w:val="34"/>
    <w:link w:val="3"/>
    <w:autoRedefine/>
    <w:qFormat/>
    <w:uiPriority w:val="0"/>
    <w:rPr>
      <w:rFonts w:ascii="方正小标宋_GBK" w:hAnsi="方正小标宋_GBK" w:eastAsia="仿宋" w:cs="方正小标宋_GBK"/>
      <w:kern w:val="36"/>
      <w:sz w:val="36"/>
      <w:szCs w:val="32"/>
    </w:rPr>
  </w:style>
  <w:style w:type="character" w:customStyle="1" w:styleId="45">
    <w:name w:val="标题 3 Char"/>
    <w:link w:val="5"/>
    <w:autoRedefine/>
    <w:qFormat/>
    <w:locked/>
    <w:uiPriority w:val="0"/>
    <w:rPr>
      <w:rFonts w:ascii="方正小标宋_GBK" w:hAnsi="方正小标宋_GBK" w:eastAsia="方正小标宋_GBK" w:cs="方正小标宋_GBK"/>
      <w:kern w:val="2"/>
      <w:sz w:val="32"/>
      <w:szCs w:val="32"/>
    </w:rPr>
  </w:style>
  <w:style w:type="character" w:customStyle="1" w:styleId="46">
    <w:name w:val="标题 4 Char"/>
    <w:link w:val="6"/>
    <w:autoRedefine/>
    <w:qFormat/>
    <w:locked/>
    <w:uiPriority w:val="0"/>
    <w:rPr>
      <w:rFonts w:ascii="方正小标宋_GBK" w:hAnsi="方正小标宋_GBK" w:eastAsia="方正小标宋_GBK" w:cs="方正仿宋_GBK"/>
      <w:kern w:val="2"/>
      <w:sz w:val="32"/>
      <w:szCs w:val="28"/>
    </w:rPr>
  </w:style>
  <w:style w:type="paragraph" w:customStyle="1" w:styleId="47">
    <w:name w:val="图例"/>
    <w:basedOn w:val="1"/>
    <w:autoRedefine/>
    <w:qFormat/>
    <w:uiPriority w:val="0"/>
    <w:pPr>
      <w:spacing w:line="360" w:lineRule="auto"/>
      <w:jc w:val="center"/>
    </w:pPr>
    <w:rPr>
      <w:rFonts w:eastAsia="仿宋_GB2312"/>
      <w:b/>
      <w:sz w:val="24"/>
    </w:rPr>
  </w:style>
  <w:style w:type="paragraph" w:customStyle="1" w:styleId="48">
    <w:name w:val="1"/>
    <w:basedOn w:val="1"/>
    <w:next w:val="19"/>
    <w:autoRedefine/>
    <w:qFormat/>
    <w:uiPriority w:val="0"/>
    <w:rPr>
      <w:rFonts w:ascii="宋体" w:hAnsi="Courier New"/>
      <w:sz w:val="21"/>
    </w:rPr>
  </w:style>
  <w:style w:type="paragraph" w:customStyle="1" w:styleId="49">
    <w:name w:val="摘要"/>
    <w:basedOn w:val="1"/>
    <w:next w:val="4"/>
    <w:autoRedefine/>
    <w:qFormat/>
    <w:uiPriority w:val="0"/>
    <w:pPr>
      <w:spacing w:line="360" w:lineRule="auto"/>
    </w:pPr>
    <w:rPr>
      <w:rFonts w:eastAsia="黑体"/>
      <w:sz w:val="20"/>
    </w:rPr>
  </w:style>
  <w:style w:type="paragraph" w:customStyle="1" w:styleId="50">
    <w:name w:val="Default"/>
    <w:autoRedefine/>
    <w:qFormat/>
    <w:uiPriority w:val="0"/>
    <w:pPr>
      <w:widowControl w:val="0"/>
      <w:autoSpaceDE w:val="0"/>
      <w:autoSpaceDN w:val="0"/>
      <w:adjustRightInd w:val="0"/>
    </w:pPr>
    <w:rPr>
      <w:rFonts w:ascii="宋体" w:hAnsi="Calibri" w:eastAsia="微软雅黑" w:cs="Times New Roman"/>
      <w:color w:val="000000"/>
      <w:sz w:val="24"/>
      <w:lang w:val="en-US" w:eastAsia="zh-CN" w:bidi="ar-SA"/>
    </w:rPr>
  </w:style>
  <w:style w:type="paragraph" w:customStyle="1" w:styleId="51">
    <w:name w:val="xl4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52">
    <w:name w:val="正文1"/>
    <w:basedOn w:val="1"/>
    <w:next w:val="53"/>
    <w:autoRedefine/>
    <w:qFormat/>
    <w:uiPriority w:val="0"/>
    <w:pPr>
      <w:spacing w:line="300" w:lineRule="auto"/>
      <w:ind w:firstLine="200" w:firstLineChars="200"/>
    </w:pPr>
    <w:rPr>
      <w:sz w:val="24"/>
    </w:rPr>
  </w:style>
  <w:style w:type="paragraph" w:customStyle="1" w:styleId="53">
    <w:name w:val="正文文本1"/>
    <w:basedOn w:val="52"/>
    <w:next w:val="54"/>
    <w:autoRedefine/>
    <w:qFormat/>
    <w:uiPriority w:val="0"/>
    <w:rPr>
      <w:rFonts w:ascii="??_GB2312;??" w:hAnsi="??_GB2312;??" w:eastAsia="Times New Roman"/>
      <w:sz w:val="32"/>
    </w:rPr>
  </w:style>
  <w:style w:type="paragraph" w:customStyle="1" w:styleId="54">
    <w:name w:val="目录 53"/>
    <w:next w:val="1"/>
    <w:autoRedefine/>
    <w:qFormat/>
    <w:uiPriority w:val="0"/>
    <w:pPr>
      <w:ind w:left="1275"/>
      <w:jc w:val="both"/>
    </w:pPr>
    <w:rPr>
      <w:rFonts w:ascii="Calibri" w:hAnsi="Calibri" w:eastAsia="宋体" w:cs="Calibri"/>
      <w:sz w:val="21"/>
      <w:lang w:val="en-US" w:eastAsia="zh-CN" w:bidi="ar-SA"/>
    </w:rPr>
  </w:style>
  <w:style w:type="character" w:customStyle="1" w:styleId="55">
    <w:name w:val="批注框文本 Char"/>
    <w:basedOn w:val="34"/>
    <w:link w:val="22"/>
    <w:autoRedefine/>
    <w:qFormat/>
    <w:uiPriority w:val="0"/>
    <w:rPr>
      <w:kern w:val="2"/>
      <w:sz w:val="18"/>
      <w:szCs w:val="18"/>
    </w:rPr>
  </w:style>
  <w:style w:type="paragraph" w:customStyle="1" w:styleId="56">
    <w:name w:val="首行缩进"/>
    <w:basedOn w:val="1"/>
    <w:autoRedefine/>
    <w:qFormat/>
    <w:uiPriority w:val="0"/>
    <w:pPr>
      <w:numPr>
        <w:ilvl w:val="0"/>
        <w:numId w:val="2"/>
      </w:numPr>
      <w:tabs>
        <w:tab w:val="left" w:pos="540"/>
      </w:tabs>
      <w:spacing w:line="360" w:lineRule="auto"/>
    </w:pPr>
    <w:rPr>
      <w:rFonts w:eastAsia="仿宋_GB2312"/>
    </w:rPr>
  </w:style>
  <w:style w:type="paragraph" w:customStyle="1" w:styleId="57">
    <w:name w:val="_Style 2"/>
    <w:basedOn w:val="1"/>
    <w:autoRedefine/>
    <w:qFormat/>
    <w:uiPriority w:val="34"/>
    <w:pPr>
      <w:ind w:firstLine="420" w:firstLineChars="200"/>
    </w:pPr>
  </w:style>
  <w:style w:type="paragraph" w:customStyle="1" w:styleId="58">
    <w:name w:val="正文（缩进）"/>
    <w:autoRedefine/>
    <w:qFormat/>
    <w:uiPriority w:val="0"/>
    <w:pPr>
      <w:widowControl w:val="0"/>
      <w:spacing w:before="156" w:after="156" w:line="600" w:lineRule="exact"/>
      <w:ind w:firstLine="480" w:firstLineChars="200"/>
      <w:jc w:val="both"/>
    </w:pPr>
    <w:rPr>
      <w:rFonts w:ascii="Times New Roman" w:hAnsi="Times New Roman" w:eastAsia="方正仿宋_GBK" w:cs="Times New Roman"/>
      <w:kern w:val="2"/>
      <w:sz w:val="32"/>
      <w:szCs w:val="24"/>
      <w:lang w:val="en-US" w:eastAsia="zh-CN" w:bidi="ar-SA"/>
    </w:rPr>
  </w:style>
  <w:style w:type="table" w:customStyle="1" w:styleId="59">
    <w:name w:val="Table Normal"/>
    <w:autoRedefine/>
    <w:semiHidden/>
    <w:unhideWhenUsed/>
    <w:qFormat/>
    <w:uiPriority w:val="0"/>
    <w:tblPr>
      <w:tblCellMar>
        <w:top w:w="0" w:type="dxa"/>
        <w:left w:w="0" w:type="dxa"/>
        <w:bottom w:w="0" w:type="dxa"/>
        <w:right w:w="0" w:type="dxa"/>
      </w:tblCellMar>
    </w:tblPr>
  </w:style>
  <w:style w:type="paragraph" w:customStyle="1" w:styleId="60">
    <w:name w:val="Table Text"/>
    <w:basedOn w:val="1"/>
    <w:autoRedefine/>
    <w:semiHidden/>
    <w:qFormat/>
    <w:uiPriority w:val="0"/>
    <w:rPr>
      <w:rFonts w:ascii="Arial" w:hAnsi="Arial" w:eastAsia="Arial" w:cs="Arial"/>
      <w:sz w:val="21"/>
      <w:szCs w:val="21"/>
      <w:lang w:eastAsia="en-US"/>
    </w:rPr>
  </w:style>
  <w:style w:type="paragraph" w:customStyle="1" w:styleId="61">
    <w:name w:val="正文-奇安信"/>
    <w:basedOn w:val="1"/>
    <w:autoRedefine/>
    <w:qFormat/>
    <w:uiPriority w:val="0"/>
    <w:pPr>
      <w:spacing w:line="360" w:lineRule="auto"/>
      <w:ind w:firstLine="420"/>
    </w:pPr>
  </w:style>
  <w:style w:type="paragraph" w:customStyle="1" w:styleId="62">
    <w:name w:val="列表段落1"/>
    <w:basedOn w:val="1"/>
    <w:autoRedefine/>
    <w:qFormat/>
    <w:uiPriority w:val="0"/>
    <w:pPr>
      <w:ind w:firstLine="420" w:firstLineChars="200"/>
    </w:pPr>
    <w:rPr>
      <w:rFonts w:ascii="等线" w:hAnsi="等线" w:eastAsia="等线"/>
      <w:szCs w:val="21"/>
    </w:rPr>
  </w:style>
  <w:style w:type="character" w:customStyle="1" w:styleId="63">
    <w:name w:val="15"/>
    <w:basedOn w:val="34"/>
    <w:autoRedefine/>
    <w:qFormat/>
    <w:uiPriority w:val="0"/>
    <w:rPr>
      <w:rFonts w:hint="eastAsia" w:ascii="宋体" w:hAnsi="宋体" w:eastAsia="宋体" w:cs="宋体"/>
      <w:spacing w:val="0"/>
      <w:kern w:val="2"/>
      <w:sz w:val="28"/>
      <w:szCs w:val="28"/>
      <w:shd w:val="clear" w:color="auto" w:fill="FFFFFF"/>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7529EB-4ABE-4554-9F95-11D61356124E}">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47</Pages>
  <Words>16377</Words>
  <Characters>17317</Characters>
  <Lines>188</Lines>
  <Paragraphs>52</Paragraphs>
  <TotalTime>1</TotalTime>
  <ScaleCrop>false</ScaleCrop>
  <LinksUpToDate>false</LinksUpToDate>
  <CharactersWithSpaces>17520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2022-12-07T03:38:00Z</dcterms:created>
  <dc:creator>Lenovo</dc:creator>
  <cp:lastModifiedBy>张欢</cp:lastModifiedBy>
  <cp:lastPrinted>2023-03-06T22:20:00Z</cp:lastPrinted>
  <dcterms:modified xsi:type="dcterms:W3CDTF">2025-10-22T05:19:17Z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9D608B95B96D4C60BCAE228ECAAE389E_13</vt:lpwstr>
  </property>
  <property fmtid="{D5CDD505-2E9C-101B-9397-08002B2CF9AE}" pid="4" name="KSOTemplateDocerSaveRecord">
    <vt:lpwstr>eyJoZGlkIjoiMDMxZGYxY2IyNzMzY2RmZTNiZWJiNjEzZDdkZjdiNTciLCJ1c2VySWQiOiIyMDk3Njc4NTMifQ==</vt:lpwstr>
  </property>
</Properties>
</file>