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9E357">
      <w:pPr>
        <w:autoSpaceDE w:val="0"/>
        <w:autoSpaceDN w:val="0"/>
        <w:adjustRightInd w:val="0"/>
        <w:snapToGrid w:val="0"/>
        <w:spacing w:line="360" w:lineRule="auto"/>
        <w:ind w:left="1606" w:hanging="1606" w:hangingChars="500"/>
        <w:rPr>
          <w:rFonts w:ascii="宋体" w:hAnsi="宋体"/>
          <w:b/>
          <w:color w:val="auto"/>
          <w:kern w:val="0"/>
          <w:sz w:val="32"/>
          <w:szCs w:val="32"/>
          <w:highlight w:val="none"/>
        </w:rPr>
      </w:pPr>
      <w:bookmarkStart w:id="0" w:name="_Toc31730"/>
      <w:bookmarkStart w:id="1" w:name="_Toc287620665"/>
      <w:bookmarkStart w:id="2" w:name="_Toc9785"/>
    </w:p>
    <w:p w14:paraId="6630056E">
      <w:pPr>
        <w:autoSpaceDE w:val="0"/>
        <w:autoSpaceDN w:val="0"/>
        <w:adjustRightInd w:val="0"/>
        <w:snapToGrid w:val="0"/>
        <w:spacing w:line="360" w:lineRule="auto"/>
        <w:ind w:left="1606" w:hanging="1606" w:hangingChars="500"/>
        <w:jc w:val="center"/>
        <w:outlineLvl w:val="0"/>
        <w:rPr>
          <w:rFonts w:hint="eastAsia" w:ascii="宋体" w:hAnsi="宋体" w:eastAsia="宋体"/>
          <w:b/>
          <w:color w:val="auto"/>
          <w:kern w:val="0"/>
          <w:sz w:val="32"/>
          <w:szCs w:val="32"/>
          <w:highlight w:val="none"/>
          <w:lang w:eastAsia="zh-CN"/>
        </w:rPr>
      </w:pPr>
      <w:r>
        <w:rPr>
          <w:rFonts w:hint="eastAsia" w:ascii="宋体" w:hAnsi="宋体"/>
          <w:b/>
          <w:color w:val="auto"/>
          <w:kern w:val="0"/>
          <w:sz w:val="32"/>
          <w:szCs w:val="32"/>
          <w:highlight w:val="none"/>
        </w:rPr>
        <w:t>项目名称：</w:t>
      </w:r>
      <w:bookmarkStart w:id="3" w:name="OLE_LINK3"/>
      <w:bookmarkStart w:id="4" w:name="OLE_LINK20"/>
      <w:r>
        <w:rPr>
          <w:rFonts w:hint="eastAsia" w:ascii="宋体" w:hAnsi="宋体"/>
          <w:b/>
          <w:color w:val="auto"/>
          <w:kern w:val="0"/>
          <w:sz w:val="32"/>
          <w:szCs w:val="32"/>
          <w:highlight w:val="none"/>
          <w:lang w:eastAsia="zh-CN"/>
        </w:rPr>
        <w:t>南岸区南坪片区、弹子石片区瓶改管燃气管道及设施建设</w:t>
      </w:r>
      <w:r>
        <w:rPr>
          <w:rFonts w:hint="eastAsia" w:ascii="宋体" w:hAnsi="宋体"/>
          <w:b/>
          <w:color w:val="auto"/>
          <w:kern w:val="0"/>
          <w:sz w:val="32"/>
          <w:szCs w:val="32"/>
          <w:highlight w:val="none"/>
        </w:rPr>
        <w:t>工程量清单编制及组价项目</w:t>
      </w:r>
      <w:bookmarkEnd w:id="3"/>
      <w:r>
        <w:rPr>
          <w:rFonts w:hint="eastAsia" w:ascii="宋体" w:hAnsi="宋体"/>
          <w:b/>
          <w:color w:val="auto"/>
          <w:kern w:val="0"/>
          <w:sz w:val="32"/>
          <w:szCs w:val="32"/>
          <w:highlight w:val="none"/>
          <w:lang w:eastAsia="zh-CN"/>
        </w:rPr>
        <w:t>（</w:t>
      </w:r>
      <w:r>
        <w:rPr>
          <w:rFonts w:hint="eastAsia" w:ascii="宋体" w:hAnsi="宋体"/>
          <w:b/>
          <w:color w:val="auto"/>
          <w:kern w:val="0"/>
          <w:sz w:val="32"/>
          <w:szCs w:val="32"/>
          <w:highlight w:val="none"/>
          <w:lang w:val="en-US" w:eastAsia="zh-CN"/>
        </w:rPr>
        <w:t>第二次</w:t>
      </w:r>
      <w:r>
        <w:rPr>
          <w:rFonts w:hint="eastAsia" w:ascii="宋体" w:hAnsi="宋体"/>
          <w:b/>
          <w:color w:val="auto"/>
          <w:kern w:val="0"/>
          <w:sz w:val="32"/>
          <w:szCs w:val="32"/>
          <w:highlight w:val="none"/>
          <w:lang w:eastAsia="zh-CN"/>
        </w:rPr>
        <w:t>）</w:t>
      </w:r>
    </w:p>
    <w:bookmarkEnd w:id="4"/>
    <w:p w14:paraId="2D21542E">
      <w:pPr>
        <w:pStyle w:val="10"/>
        <w:snapToGrid w:val="0"/>
        <w:spacing w:line="360" w:lineRule="auto"/>
        <w:ind w:left="0" w:right="0" w:firstLine="0" w:firstLineChars="0"/>
        <w:rPr>
          <w:rFonts w:ascii="宋体" w:hAnsi="宋体" w:eastAsia="宋体"/>
          <w:b/>
          <w:color w:val="auto"/>
          <w:sz w:val="56"/>
          <w:szCs w:val="56"/>
          <w:highlight w:val="none"/>
        </w:rPr>
      </w:pPr>
    </w:p>
    <w:p w14:paraId="02B75745">
      <w:pPr>
        <w:pStyle w:val="10"/>
        <w:snapToGrid w:val="0"/>
        <w:spacing w:line="360" w:lineRule="auto"/>
        <w:ind w:left="0" w:right="0" w:firstLine="0" w:firstLineChars="0"/>
        <w:jc w:val="center"/>
        <w:rPr>
          <w:rFonts w:ascii="宋体" w:hAnsi="宋体" w:eastAsia="宋体"/>
          <w:b/>
          <w:color w:val="auto"/>
          <w:sz w:val="84"/>
          <w:szCs w:val="84"/>
          <w:highlight w:val="none"/>
        </w:rPr>
      </w:pPr>
    </w:p>
    <w:p w14:paraId="755CF396">
      <w:pPr>
        <w:pStyle w:val="10"/>
        <w:snapToGrid w:val="0"/>
        <w:spacing w:line="360" w:lineRule="auto"/>
        <w:ind w:left="0" w:right="0" w:firstLine="0" w:firstLineChars="0"/>
        <w:jc w:val="center"/>
        <w:rPr>
          <w:rFonts w:ascii="宋体" w:hAnsi="宋体" w:eastAsia="宋体"/>
          <w:b/>
          <w:color w:val="auto"/>
          <w:sz w:val="84"/>
          <w:szCs w:val="84"/>
          <w:highlight w:val="none"/>
        </w:rPr>
      </w:pPr>
    </w:p>
    <w:p w14:paraId="79D907A4">
      <w:pPr>
        <w:autoSpaceDE w:val="0"/>
        <w:autoSpaceDN w:val="0"/>
        <w:adjustRightInd w:val="0"/>
        <w:snapToGrid w:val="0"/>
        <w:spacing w:line="360" w:lineRule="auto"/>
        <w:jc w:val="center"/>
        <w:rPr>
          <w:rFonts w:ascii="宋体" w:hAnsi="宋体"/>
          <w:b/>
          <w:color w:val="auto"/>
          <w:kern w:val="0"/>
          <w:sz w:val="72"/>
          <w:szCs w:val="72"/>
          <w:highlight w:val="none"/>
        </w:rPr>
      </w:pPr>
      <w:r>
        <w:rPr>
          <w:rFonts w:hint="eastAsia" w:ascii="宋体" w:hAnsi="宋体"/>
          <w:b/>
          <w:color w:val="auto"/>
          <w:kern w:val="0"/>
          <w:sz w:val="72"/>
          <w:szCs w:val="72"/>
          <w:highlight w:val="none"/>
        </w:rPr>
        <w:t>竞争性比选文件</w:t>
      </w:r>
    </w:p>
    <w:p w14:paraId="10E3CE86">
      <w:pPr>
        <w:pStyle w:val="8"/>
        <w:rPr>
          <w:rFonts w:ascii="宋体" w:hAnsi="宋体"/>
          <w:color w:val="auto"/>
          <w:highlight w:val="none"/>
        </w:rPr>
      </w:pPr>
    </w:p>
    <w:p w14:paraId="46048178">
      <w:pPr>
        <w:pStyle w:val="4"/>
        <w:rPr>
          <w:rFonts w:ascii="宋体" w:hAnsi="宋体"/>
          <w:color w:val="auto"/>
          <w:highlight w:val="none"/>
        </w:rPr>
      </w:pPr>
    </w:p>
    <w:p w14:paraId="3E5CBF65">
      <w:pPr>
        <w:autoSpaceDE w:val="0"/>
        <w:autoSpaceDN w:val="0"/>
        <w:adjustRightInd w:val="0"/>
        <w:snapToGrid w:val="0"/>
        <w:spacing w:line="360" w:lineRule="auto"/>
        <w:jc w:val="center"/>
        <w:rPr>
          <w:rFonts w:ascii="宋体" w:hAnsi="宋体"/>
          <w:b/>
          <w:color w:val="auto"/>
          <w:kern w:val="0"/>
          <w:position w:val="-5"/>
          <w:sz w:val="32"/>
          <w:szCs w:val="48"/>
          <w:highlight w:val="none"/>
        </w:rPr>
      </w:pPr>
    </w:p>
    <w:p w14:paraId="13B4FC12">
      <w:pPr>
        <w:spacing w:line="520" w:lineRule="exact"/>
        <w:ind w:firstLine="1205" w:firstLineChars="400"/>
        <w:outlineLvl w:val="0"/>
        <w:rPr>
          <w:rFonts w:hint="eastAsia" w:ascii="宋体" w:hAnsi="宋体" w:eastAsia="宋体" w:cs="宋体"/>
          <w:b/>
          <w:color w:val="auto"/>
          <w:sz w:val="30"/>
          <w:szCs w:val="30"/>
          <w:highlight w:val="none"/>
          <w:lang w:eastAsia="zh-CN"/>
        </w:rPr>
      </w:pPr>
      <w:bookmarkStart w:id="5" w:name="OLE_LINK24"/>
      <w:r>
        <w:rPr>
          <w:rFonts w:hint="eastAsia" w:ascii="宋体" w:hAnsi="宋体" w:cs="宋体"/>
          <w:b/>
          <w:color w:val="auto"/>
          <w:sz w:val="30"/>
          <w:szCs w:val="30"/>
          <w:highlight w:val="none"/>
        </w:rPr>
        <w:t>比 选 人：</w:t>
      </w:r>
      <w:r>
        <w:rPr>
          <w:rFonts w:hint="eastAsia" w:ascii="宋体" w:hAnsi="宋体" w:cs="宋体"/>
          <w:b/>
          <w:color w:val="auto"/>
          <w:sz w:val="30"/>
          <w:szCs w:val="30"/>
          <w:highlight w:val="none"/>
          <w:lang w:eastAsia="zh-CN"/>
        </w:rPr>
        <w:t>重庆市南岸城市更新建设发展有限公司</w:t>
      </w:r>
    </w:p>
    <w:p w14:paraId="1ADA1659">
      <w:pPr>
        <w:spacing w:line="520" w:lineRule="exact"/>
        <w:ind w:firstLine="1205" w:firstLineChars="400"/>
        <w:outlineLvl w:val="0"/>
        <w:rPr>
          <w:rFonts w:ascii="宋体" w:hAnsi="宋体" w:cs="宋体"/>
          <w:b/>
          <w:color w:val="auto"/>
          <w:sz w:val="30"/>
          <w:szCs w:val="30"/>
          <w:highlight w:val="none"/>
        </w:rPr>
      </w:pPr>
    </w:p>
    <w:p w14:paraId="4E2957B6">
      <w:pPr>
        <w:spacing w:line="520" w:lineRule="exact"/>
        <w:ind w:firstLine="1205" w:firstLineChars="400"/>
        <w:outlineLvl w:val="0"/>
        <w:rPr>
          <w:rFonts w:ascii="宋体" w:hAnsi="宋体" w:cs="宋体"/>
          <w:b/>
          <w:color w:val="auto"/>
          <w:sz w:val="30"/>
          <w:szCs w:val="30"/>
          <w:highlight w:val="none"/>
        </w:rPr>
      </w:pPr>
      <w:r>
        <w:rPr>
          <w:rFonts w:hint="eastAsia" w:ascii="宋体" w:hAnsi="宋体" w:cs="宋体"/>
          <w:b/>
          <w:color w:val="auto"/>
          <w:sz w:val="30"/>
          <w:szCs w:val="30"/>
          <w:highlight w:val="none"/>
        </w:rPr>
        <w:t>比选代理机构：</w:t>
      </w:r>
      <w:r>
        <w:rPr>
          <w:rFonts w:ascii="宋体" w:hAnsi="宋体" w:cs="宋体"/>
          <w:b/>
          <w:color w:val="auto"/>
          <w:sz w:val="30"/>
          <w:szCs w:val="30"/>
          <w:highlight w:val="none"/>
        </w:rPr>
        <w:t>重庆昱炀工程咨询有限公司</w:t>
      </w:r>
    </w:p>
    <w:p w14:paraId="5FA1189F">
      <w:pPr>
        <w:pStyle w:val="52"/>
        <w:jc w:val="center"/>
        <w:rPr>
          <w:rFonts w:ascii="宋体" w:hAnsi="宋体" w:cs="宋体"/>
          <w:b/>
          <w:color w:val="auto"/>
          <w:sz w:val="30"/>
          <w:szCs w:val="30"/>
          <w:highlight w:val="none"/>
        </w:rPr>
      </w:pPr>
    </w:p>
    <w:p w14:paraId="1B6A6540">
      <w:pPr>
        <w:pStyle w:val="52"/>
        <w:jc w:val="center"/>
        <w:rPr>
          <w:rFonts w:ascii="宋体" w:hAnsi="宋体" w:cs="宋体"/>
          <w:b/>
          <w:color w:val="auto"/>
          <w:sz w:val="30"/>
          <w:szCs w:val="30"/>
          <w:highlight w:val="none"/>
        </w:rPr>
      </w:pPr>
    </w:p>
    <w:p w14:paraId="6DF4930F">
      <w:pPr>
        <w:pStyle w:val="52"/>
        <w:jc w:val="center"/>
        <w:rPr>
          <w:rFonts w:ascii="宋体" w:hAnsi="宋体" w:cs="宋体"/>
          <w:b/>
          <w:color w:val="auto"/>
          <w:sz w:val="30"/>
          <w:szCs w:val="30"/>
          <w:highlight w:val="none"/>
        </w:rPr>
      </w:pPr>
    </w:p>
    <w:p w14:paraId="025CA617">
      <w:pPr>
        <w:autoSpaceDE w:val="0"/>
        <w:autoSpaceDN w:val="0"/>
        <w:adjustRightInd w:val="0"/>
        <w:snapToGrid w:val="0"/>
        <w:spacing w:line="360" w:lineRule="auto"/>
        <w:jc w:val="center"/>
        <w:outlineLvl w:val="0"/>
        <w:rPr>
          <w:rFonts w:ascii="宋体" w:hAnsi="宋体"/>
          <w:b/>
          <w:color w:val="auto"/>
          <w:spacing w:val="8"/>
          <w:kern w:val="0"/>
          <w:sz w:val="28"/>
          <w:szCs w:val="28"/>
          <w:highlight w:val="none"/>
        </w:rPr>
      </w:pPr>
      <w:r>
        <w:rPr>
          <w:rFonts w:hint="eastAsia" w:ascii="宋体" w:hAnsi="宋体"/>
          <w:b/>
          <w:color w:val="auto"/>
          <w:spacing w:val="8"/>
          <w:kern w:val="0"/>
          <w:sz w:val="28"/>
          <w:szCs w:val="28"/>
          <w:highlight w:val="none"/>
        </w:rPr>
        <w:t>202</w:t>
      </w:r>
      <w:r>
        <w:rPr>
          <w:rFonts w:hint="eastAsia" w:ascii="宋体" w:hAnsi="宋体"/>
          <w:b/>
          <w:color w:val="auto"/>
          <w:spacing w:val="8"/>
          <w:kern w:val="0"/>
          <w:sz w:val="28"/>
          <w:szCs w:val="28"/>
          <w:highlight w:val="none"/>
          <w:lang w:val="en-US" w:eastAsia="zh-CN"/>
        </w:rPr>
        <w:t>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lang w:val="en-US" w:eastAsia="zh-CN"/>
        </w:rPr>
        <w:t>6</w:t>
      </w:r>
      <w:r>
        <w:rPr>
          <w:rFonts w:ascii="宋体" w:hAnsi="宋体"/>
          <w:b/>
          <w:color w:val="auto"/>
          <w:spacing w:val="8"/>
          <w:kern w:val="0"/>
          <w:sz w:val="28"/>
          <w:szCs w:val="28"/>
          <w:highlight w:val="none"/>
        </w:rPr>
        <w:t>月</w:t>
      </w:r>
      <w:bookmarkEnd w:id="5"/>
    </w:p>
    <w:p w14:paraId="793AA46E">
      <w:pPr>
        <w:rPr>
          <w:rFonts w:ascii="宋体" w:hAnsi="宋体"/>
          <w:b/>
          <w:color w:val="auto"/>
          <w:spacing w:val="8"/>
          <w:kern w:val="0"/>
          <w:sz w:val="28"/>
          <w:szCs w:val="28"/>
          <w:highlight w:val="none"/>
        </w:rPr>
      </w:pPr>
    </w:p>
    <w:p w14:paraId="7DDF5E59">
      <w:pPr>
        <w:pStyle w:val="4"/>
        <w:jc w:val="center"/>
        <w:rPr>
          <w:rFonts w:ascii="宋体" w:hAnsi="宋体"/>
          <w:color w:val="auto"/>
          <w:highlight w:val="none"/>
        </w:rPr>
      </w:pPr>
      <w:r>
        <w:rPr>
          <w:rFonts w:hint="eastAsia" w:ascii="宋体" w:hAnsi="宋体"/>
          <w:color w:val="auto"/>
          <w:highlight w:val="none"/>
        </w:rPr>
        <w:t>目  录</w:t>
      </w:r>
    </w:p>
    <w:p w14:paraId="4B48DF75">
      <w:pPr>
        <w:rPr>
          <w:rFonts w:ascii="宋体" w:hAnsi="宋体"/>
          <w:color w:val="auto"/>
          <w:highlight w:val="none"/>
        </w:rPr>
      </w:pPr>
    </w:p>
    <w:p w14:paraId="402B6925">
      <w:pPr>
        <w:rPr>
          <w:rFonts w:ascii="宋体" w:hAnsi="宋体"/>
          <w:color w:val="auto"/>
          <w:sz w:val="28"/>
          <w:szCs w:val="28"/>
          <w:highlight w:val="none"/>
        </w:rPr>
      </w:pPr>
      <w:r>
        <w:rPr>
          <w:rFonts w:hint="eastAsia" w:ascii="宋体" w:hAnsi="宋体"/>
          <w:color w:val="auto"/>
          <w:sz w:val="28"/>
          <w:szCs w:val="28"/>
          <w:highlight w:val="none"/>
        </w:rPr>
        <w:t>第一章 比选公告</w:t>
      </w:r>
    </w:p>
    <w:p w14:paraId="572B1714">
      <w:pPr>
        <w:rPr>
          <w:rFonts w:ascii="宋体" w:hAnsi="宋体"/>
          <w:color w:val="auto"/>
          <w:sz w:val="28"/>
          <w:szCs w:val="28"/>
          <w:highlight w:val="none"/>
        </w:rPr>
      </w:pPr>
      <w:r>
        <w:rPr>
          <w:rFonts w:hint="eastAsia" w:ascii="宋体" w:hAnsi="宋体"/>
          <w:color w:val="auto"/>
          <w:sz w:val="28"/>
          <w:szCs w:val="28"/>
          <w:highlight w:val="none"/>
        </w:rPr>
        <w:t>第二章 竞选人须知</w:t>
      </w:r>
    </w:p>
    <w:p w14:paraId="22204967">
      <w:pPr>
        <w:rPr>
          <w:rFonts w:ascii="宋体" w:hAnsi="宋体"/>
          <w:color w:val="auto"/>
          <w:sz w:val="28"/>
          <w:szCs w:val="28"/>
          <w:highlight w:val="none"/>
        </w:rPr>
      </w:pPr>
      <w:r>
        <w:rPr>
          <w:rFonts w:hint="eastAsia" w:ascii="宋体" w:hAnsi="宋体"/>
          <w:color w:val="auto"/>
          <w:sz w:val="28"/>
          <w:szCs w:val="28"/>
          <w:highlight w:val="none"/>
        </w:rPr>
        <w:t>第三章 评选办法</w:t>
      </w:r>
    </w:p>
    <w:p w14:paraId="12450991">
      <w:pPr>
        <w:rPr>
          <w:rFonts w:ascii="宋体" w:hAnsi="宋体"/>
          <w:color w:val="auto"/>
          <w:sz w:val="28"/>
          <w:szCs w:val="28"/>
          <w:highlight w:val="none"/>
        </w:rPr>
      </w:pPr>
      <w:r>
        <w:rPr>
          <w:rFonts w:hint="eastAsia" w:ascii="宋体" w:hAnsi="宋体"/>
          <w:color w:val="auto"/>
          <w:sz w:val="28"/>
          <w:szCs w:val="28"/>
          <w:highlight w:val="none"/>
        </w:rPr>
        <w:t>第四章 合同条款及格式</w:t>
      </w:r>
    </w:p>
    <w:p w14:paraId="3ACCD317">
      <w:pPr>
        <w:rPr>
          <w:rFonts w:ascii="宋体" w:hAnsi="宋体"/>
          <w:color w:val="auto"/>
          <w:sz w:val="28"/>
          <w:szCs w:val="28"/>
          <w:highlight w:val="none"/>
        </w:rPr>
      </w:pPr>
      <w:r>
        <w:rPr>
          <w:rFonts w:hint="eastAsia" w:ascii="宋体" w:hAnsi="宋体"/>
          <w:color w:val="auto"/>
          <w:sz w:val="28"/>
          <w:szCs w:val="28"/>
          <w:highlight w:val="none"/>
        </w:rPr>
        <w:t>第五章 发包人要求</w:t>
      </w:r>
    </w:p>
    <w:p w14:paraId="5237292A">
      <w:pPr>
        <w:rPr>
          <w:rFonts w:ascii="宋体" w:hAnsi="宋体"/>
          <w:color w:val="auto"/>
          <w:sz w:val="28"/>
          <w:szCs w:val="28"/>
          <w:highlight w:val="none"/>
        </w:rPr>
      </w:pPr>
      <w:r>
        <w:rPr>
          <w:rFonts w:hint="eastAsia" w:ascii="宋体" w:hAnsi="宋体"/>
          <w:color w:val="auto"/>
          <w:sz w:val="28"/>
          <w:szCs w:val="28"/>
          <w:highlight w:val="none"/>
        </w:rPr>
        <w:t>第六章 竞选文件格式</w:t>
      </w:r>
    </w:p>
    <w:bookmarkEnd w:id="0"/>
    <w:bookmarkEnd w:id="1"/>
    <w:bookmarkEnd w:id="2"/>
    <w:sdt>
      <w:sdtPr>
        <w:rPr>
          <w:rFonts w:ascii="宋体" w:hAnsi="宋体"/>
          <w:color w:val="auto"/>
          <w:highlight w:val="none"/>
        </w:rPr>
        <w:id w:val="147455173"/>
        <w:docPartObj>
          <w:docPartGallery w:val="Table of Contents"/>
          <w:docPartUnique/>
        </w:docPartObj>
      </w:sdtPr>
      <w:sdtEndPr>
        <w:rPr>
          <w:rFonts w:ascii="宋体" w:hAnsi="宋体" w:cs="宋体"/>
          <w:b/>
          <w:bCs/>
          <w:color w:val="auto"/>
          <w:sz w:val="32"/>
          <w:szCs w:val="40"/>
          <w:highlight w:val="none"/>
        </w:rPr>
      </w:sdtEndPr>
      <w:sdtContent>
        <w:p w14:paraId="2F7E063E">
          <w:pPr>
            <w:jc w:val="center"/>
            <w:rPr>
              <w:rFonts w:ascii="宋体" w:hAnsi="宋体"/>
              <w:color w:val="auto"/>
              <w:highlight w:val="none"/>
            </w:rPr>
          </w:pPr>
          <w:bookmarkStart w:id="6" w:name="_Toc277082535"/>
          <w:bookmarkStart w:id="7" w:name="_Toc509218691"/>
          <w:bookmarkStart w:id="8" w:name="_Toc8580"/>
          <w:bookmarkStart w:id="9" w:name="_Toc287620666"/>
          <w:bookmarkStart w:id="10" w:name="_Toc430530415"/>
          <w:bookmarkStart w:id="11" w:name="_Toc2534"/>
          <w:bookmarkStart w:id="12" w:name="_Toc287607727"/>
          <w:bookmarkStart w:id="13" w:name="_Toc224103298"/>
        </w:p>
      </w:sdtContent>
    </w:sdt>
    <w:p w14:paraId="2C7A9415">
      <w:pPr>
        <w:spacing w:line="360" w:lineRule="auto"/>
        <w:rPr>
          <w:rFonts w:ascii="宋体" w:hAnsi="宋体" w:cs="宋体"/>
          <w:snapToGrid w:val="0"/>
          <w:color w:val="auto"/>
          <w:kern w:val="0"/>
          <w:sz w:val="15"/>
          <w:szCs w:val="15"/>
          <w:highlight w:val="none"/>
        </w:rPr>
      </w:pPr>
    </w:p>
    <w:p w14:paraId="5DB93882">
      <w:pPr>
        <w:rPr>
          <w:rFonts w:ascii="宋体" w:hAnsi="宋体" w:cs="宋体"/>
          <w:snapToGrid w:val="0"/>
          <w:color w:val="auto"/>
          <w:kern w:val="0"/>
          <w:sz w:val="15"/>
          <w:szCs w:val="15"/>
          <w:highlight w:val="none"/>
        </w:rPr>
      </w:pPr>
    </w:p>
    <w:p w14:paraId="6D123109">
      <w:pPr>
        <w:pStyle w:val="8"/>
        <w:rPr>
          <w:rFonts w:ascii="宋体" w:hAnsi="宋体" w:cs="宋体"/>
          <w:snapToGrid w:val="0"/>
          <w:color w:val="auto"/>
          <w:kern w:val="0"/>
          <w:sz w:val="15"/>
          <w:szCs w:val="15"/>
          <w:highlight w:val="none"/>
        </w:rPr>
      </w:pPr>
    </w:p>
    <w:p w14:paraId="1C950DD2">
      <w:pPr>
        <w:rPr>
          <w:rFonts w:ascii="宋体" w:hAnsi="宋体" w:cs="宋体"/>
          <w:snapToGrid w:val="0"/>
          <w:color w:val="auto"/>
          <w:kern w:val="0"/>
          <w:sz w:val="15"/>
          <w:szCs w:val="15"/>
          <w:highlight w:val="none"/>
        </w:rPr>
      </w:pPr>
    </w:p>
    <w:p w14:paraId="57F5543E">
      <w:pPr>
        <w:pStyle w:val="8"/>
        <w:rPr>
          <w:rFonts w:ascii="宋体" w:hAnsi="宋体" w:cs="宋体"/>
          <w:snapToGrid w:val="0"/>
          <w:color w:val="auto"/>
          <w:kern w:val="0"/>
          <w:sz w:val="15"/>
          <w:szCs w:val="15"/>
          <w:highlight w:val="none"/>
        </w:rPr>
      </w:pPr>
    </w:p>
    <w:p w14:paraId="5710EFE9">
      <w:pPr>
        <w:rPr>
          <w:rFonts w:ascii="宋体" w:hAnsi="宋体" w:cs="宋体"/>
          <w:snapToGrid w:val="0"/>
          <w:color w:val="auto"/>
          <w:kern w:val="0"/>
          <w:sz w:val="15"/>
          <w:szCs w:val="15"/>
          <w:highlight w:val="none"/>
        </w:rPr>
      </w:pPr>
    </w:p>
    <w:p w14:paraId="665762C6">
      <w:pPr>
        <w:widowControl/>
        <w:jc w:val="left"/>
        <w:rPr>
          <w:rFonts w:ascii="宋体" w:hAnsi="宋体" w:cs="宋体"/>
          <w:snapToGrid w:val="0"/>
          <w:color w:val="auto"/>
          <w:kern w:val="0"/>
          <w:sz w:val="15"/>
          <w:szCs w:val="15"/>
          <w:highlight w:val="none"/>
        </w:rPr>
      </w:pPr>
      <w:r>
        <w:rPr>
          <w:rFonts w:ascii="宋体" w:hAnsi="宋体" w:cs="宋体"/>
          <w:b/>
          <w:bCs/>
          <w:snapToGrid w:val="0"/>
          <w:color w:val="auto"/>
          <w:kern w:val="0"/>
          <w:sz w:val="15"/>
          <w:szCs w:val="15"/>
          <w:highlight w:val="none"/>
        </w:rPr>
        <w:br w:type="page"/>
      </w:r>
    </w:p>
    <w:p w14:paraId="5B99A7EB">
      <w:pPr>
        <w:pStyle w:val="2"/>
        <w:spacing w:before="0" w:after="0" w:line="360" w:lineRule="auto"/>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第一章  比选公告</w:t>
      </w:r>
      <w:bookmarkEnd w:id="6"/>
      <w:bookmarkEnd w:id="7"/>
      <w:bookmarkEnd w:id="8"/>
      <w:bookmarkEnd w:id="9"/>
      <w:bookmarkEnd w:id="10"/>
      <w:bookmarkEnd w:id="11"/>
      <w:bookmarkEnd w:id="12"/>
      <w:bookmarkEnd w:id="13"/>
    </w:p>
    <w:p w14:paraId="729E50DC">
      <w:pPr>
        <w:spacing w:before="100" w:after="100" w:line="400" w:lineRule="exact"/>
        <w:jc w:val="center"/>
        <w:rPr>
          <w:rFonts w:ascii="宋体" w:hAnsi="宋体"/>
          <w:b/>
          <w:color w:val="auto"/>
          <w:kern w:val="0"/>
          <w:sz w:val="32"/>
          <w:szCs w:val="32"/>
          <w:highlight w:val="none"/>
        </w:rPr>
      </w:pPr>
      <w:bookmarkStart w:id="14" w:name="OLE_LINK6"/>
      <w:bookmarkStart w:id="15" w:name="OLE_LINK8"/>
      <w:bookmarkStart w:id="16" w:name="_Toc7072"/>
      <w:bookmarkStart w:id="17" w:name="_Toc13786"/>
      <w:bookmarkStart w:id="18" w:name="_Toc31381"/>
      <w:bookmarkStart w:id="19" w:name="OLE_LINK2"/>
      <w:bookmarkStart w:id="20" w:name="OLE_LINK10"/>
      <w:r>
        <w:rPr>
          <w:rFonts w:hint="eastAsia" w:ascii="宋体" w:hAnsi="宋体"/>
          <w:b/>
          <w:color w:val="auto"/>
          <w:kern w:val="0"/>
          <w:sz w:val="32"/>
          <w:szCs w:val="32"/>
          <w:highlight w:val="none"/>
          <w:lang w:eastAsia="zh-CN"/>
        </w:rPr>
        <w:t>南岸区南坪片区、弹子石片区瓶改管燃气管道及设施建设</w:t>
      </w:r>
      <w:r>
        <w:rPr>
          <w:rFonts w:hint="eastAsia" w:ascii="宋体" w:hAnsi="宋体"/>
          <w:b/>
          <w:color w:val="auto"/>
          <w:kern w:val="0"/>
          <w:sz w:val="32"/>
          <w:szCs w:val="32"/>
          <w:highlight w:val="none"/>
        </w:rPr>
        <w:t>工程量清单编制及组价项目</w:t>
      </w:r>
      <w:bookmarkEnd w:id="14"/>
      <w:bookmarkEnd w:id="15"/>
      <w:r>
        <w:rPr>
          <w:rFonts w:hint="eastAsia" w:ascii="宋体" w:hAnsi="宋体"/>
          <w:b/>
          <w:color w:val="auto"/>
          <w:kern w:val="0"/>
          <w:sz w:val="32"/>
          <w:szCs w:val="32"/>
          <w:highlight w:val="none"/>
          <w:lang w:eastAsia="zh-CN"/>
        </w:rPr>
        <w:t>（</w:t>
      </w:r>
      <w:r>
        <w:rPr>
          <w:rFonts w:hint="eastAsia" w:ascii="宋体" w:hAnsi="宋体"/>
          <w:b/>
          <w:color w:val="auto"/>
          <w:kern w:val="0"/>
          <w:sz w:val="32"/>
          <w:szCs w:val="32"/>
          <w:highlight w:val="none"/>
          <w:lang w:val="en-US" w:eastAsia="zh-CN"/>
        </w:rPr>
        <w:t>第二次</w:t>
      </w:r>
      <w:r>
        <w:rPr>
          <w:rFonts w:hint="eastAsia" w:ascii="宋体" w:hAnsi="宋体"/>
          <w:b/>
          <w:color w:val="auto"/>
          <w:kern w:val="0"/>
          <w:sz w:val="32"/>
          <w:szCs w:val="32"/>
          <w:highlight w:val="none"/>
          <w:lang w:eastAsia="zh-CN"/>
        </w:rPr>
        <w:t>）</w:t>
      </w:r>
      <w:r>
        <w:rPr>
          <w:rFonts w:hint="eastAsia" w:ascii="宋体" w:hAnsi="宋体"/>
          <w:b/>
          <w:color w:val="auto"/>
          <w:kern w:val="0"/>
          <w:sz w:val="32"/>
          <w:szCs w:val="32"/>
          <w:highlight w:val="none"/>
        </w:rPr>
        <w:t>比选公告</w:t>
      </w:r>
    </w:p>
    <w:p w14:paraId="7F2A527E">
      <w:pPr>
        <w:spacing w:before="100" w:after="100" w:line="400" w:lineRule="exact"/>
        <w:ind w:firstLine="422" w:firstLineChars="200"/>
        <w:rPr>
          <w:rFonts w:ascii="宋体" w:hAnsi="宋体" w:cs="宋体"/>
          <w:b/>
          <w:snapToGrid w:val="0"/>
          <w:color w:val="auto"/>
          <w:szCs w:val="21"/>
          <w:highlight w:val="none"/>
        </w:rPr>
      </w:pPr>
      <w:r>
        <w:rPr>
          <w:rFonts w:hint="eastAsia" w:ascii="宋体" w:hAnsi="宋体" w:cs="宋体"/>
          <w:b/>
          <w:snapToGrid w:val="0"/>
          <w:color w:val="auto"/>
          <w:szCs w:val="21"/>
          <w:highlight w:val="none"/>
        </w:rPr>
        <w:t>1、比选条件</w:t>
      </w:r>
      <w:bookmarkEnd w:id="16"/>
      <w:bookmarkEnd w:id="17"/>
      <w:bookmarkEnd w:id="18"/>
    </w:p>
    <w:p w14:paraId="6847EE8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lang w:val="zh-TW" w:eastAsia="zh-TW"/>
        </w:rPr>
      </w:pPr>
      <w:r>
        <w:rPr>
          <w:rFonts w:hint="eastAsia" w:ascii="宋体" w:hAnsi="宋体"/>
          <w:snapToGrid w:val="0"/>
          <w:color w:val="auto"/>
          <w:kern w:val="0"/>
          <w:szCs w:val="21"/>
          <w:highlight w:val="none"/>
        </w:rPr>
        <w:t>本项目</w:t>
      </w:r>
      <w:r>
        <w:rPr>
          <w:rFonts w:hint="eastAsia" w:ascii="宋体" w:hAnsi="宋体"/>
          <w:snapToGrid w:val="0"/>
          <w:color w:val="auto"/>
          <w:kern w:val="0"/>
          <w:szCs w:val="21"/>
          <w:highlight w:val="none"/>
          <w:u w:val="single"/>
          <w:lang w:eastAsia="zh-CN"/>
        </w:rPr>
        <w:t>南岸区南坪片区、弹子石片区瓶改管燃气管道及设施建设项目</w:t>
      </w:r>
      <w:r>
        <w:rPr>
          <w:rFonts w:hint="eastAsia" w:ascii="宋体" w:hAnsi="宋体"/>
          <w:snapToGrid w:val="0"/>
          <w:color w:val="auto"/>
          <w:kern w:val="0"/>
          <w:szCs w:val="21"/>
          <w:highlight w:val="none"/>
          <w:u w:val="single"/>
        </w:rPr>
        <w:t>已</w:t>
      </w:r>
      <w:r>
        <w:rPr>
          <w:rFonts w:hint="eastAsia"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lang w:eastAsia="zh-CN"/>
        </w:rPr>
        <w:t>重庆市南岸城市更新建设发展有限公司</w:t>
      </w:r>
      <w:r>
        <w:rPr>
          <w:rFonts w:hint="eastAsia"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国有资金</w:t>
      </w:r>
      <w:r>
        <w:rPr>
          <w:rFonts w:hint="eastAsia" w:ascii="宋体" w:hAnsi="宋体"/>
          <w:snapToGrid w:val="0"/>
          <w:color w:val="auto"/>
          <w:kern w:val="0"/>
          <w:szCs w:val="21"/>
          <w:highlight w:val="none"/>
        </w:rPr>
        <w:t>，项目出资比例为100%，比选人为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重庆市南岸城市更新建设发展有限公司</w:t>
      </w:r>
      <w:r>
        <w:rPr>
          <w:rFonts w:hint="eastAsia" w:ascii="宋体" w:hAnsi="宋体"/>
          <w:snapToGrid w:val="0"/>
          <w:color w:val="auto"/>
          <w:kern w:val="0"/>
          <w:szCs w:val="21"/>
          <w:highlight w:val="none"/>
        </w:rPr>
        <w:t>。现对该项目的</w:t>
      </w:r>
      <w:r>
        <w:rPr>
          <w:rFonts w:hint="eastAsia" w:ascii="宋体" w:hAnsi="宋体"/>
          <w:snapToGrid w:val="0"/>
          <w:color w:val="auto"/>
          <w:kern w:val="0"/>
          <w:szCs w:val="21"/>
          <w:highlight w:val="none"/>
          <w:u w:val="single"/>
          <w:lang w:eastAsia="zh-CN"/>
        </w:rPr>
        <w:t>工程量清单编制</w:t>
      </w:r>
      <w:r>
        <w:rPr>
          <w:rFonts w:hint="eastAsia" w:ascii="宋体" w:hAnsi="宋体"/>
          <w:snapToGrid w:val="0"/>
          <w:color w:val="auto"/>
          <w:kern w:val="0"/>
          <w:szCs w:val="21"/>
          <w:highlight w:val="none"/>
          <w:u w:val="single"/>
          <w:lang w:val="en-US" w:eastAsia="zh-CN"/>
        </w:rPr>
        <w:t>及组价</w:t>
      </w:r>
      <w:r>
        <w:rPr>
          <w:rFonts w:hint="eastAsia" w:ascii="宋体" w:hAnsi="宋体"/>
          <w:snapToGrid w:val="0"/>
          <w:color w:val="auto"/>
          <w:kern w:val="0"/>
          <w:szCs w:val="21"/>
          <w:highlight w:val="none"/>
          <w:u w:val="single"/>
          <w:lang w:eastAsia="zh-CN"/>
        </w:rPr>
        <w:t>项目（</w:t>
      </w:r>
      <w:r>
        <w:rPr>
          <w:rFonts w:hint="eastAsia" w:ascii="宋体" w:hAnsi="宋体"/>
          <w:snapToGrid w:val="0"/>
          <w:color w:val="auto"/>
          <w:kern w:val="0"/>
          <w:szCs w:val="21"/>
          <w:highlight w:val="none"/>
          <w:u w:val="single"/>
          <w:lang w:val="en-US" w:eastAsia="zh-CN"/>
        </w:rPr>
        <w:t>第二次</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rPr>
        <w:t>进行公开竞争性比选，欢迎各潜在竞选人参与竞选。</w:t>
      </w:r>
    </w:p>
    <w:p w14:paraId="020FEE09">
      <w:pPr>
        <w:spacing w:before="100" w:after="100" w:line="400" w:lineRule="exact"/>
        <w:ind w:firstLine="422" w:firstLineChars="200"/>
        <w:rPr>
          <w:rFonts w:ascii="宋体" w:hAnsi="宋体" w:cs="宋体"/>
          <w:b/>
          <w:bCs/>
          <w:snapToGrid w:val="0"/>
          <w:color w:val="auto"/>
          <w:szCs w:val="21"/>
          <w:highlight w:val="none"/>
        </w:rPr>
      </w:pPr>
      <w:bookmarkStart w:id="21" w:name="_Toc17229"/>
      <w:bookmarkStart w:id="22" w:name="_Toc30487"/>
      <w:bookmarkStart w:id="23" w:name="_Toc13219"/>
      <w:r>
        <w:rPr>
          <w:rFonts w:hint="eastAsia" w:ascii="宋体" w:hAnsi="宋体" w:cs="宋体"/>
          <w:b/>
          <w:bCs/>
          <w:snapToGrid w:val="0"/>
          <w:color w:val="auto"/>
          <w:szCs w:val="21"/>
          <w:highlight w:val="none"/>
        </w:rPr>
        <w:t>2、项目概况与比选范围</w:t>
      </w:r>
    </w:p>
    <w:p w14:paraId="678578D0">
      <w:pPr>
        <w:spacing w:line="460" w:lineRule="exact"/>
        <w:ind w:firstLine="420" w:firstLineChars="200"/>
        <w:rPr>
          <w:rFonts w:ascii="宋体" w:hAnsi="宋体"/>
          <w:color w:val="auto"/>
          <w:highlight w:val="none"/>
          <w:u w:val="single"/>
        </w:rPr>
      </w:pPr>
      <w:r>
        <w:rPr>
          <w:rFonts w:hint="eastAsia" w:ascii="宋体" w:hAnsi="宋体"/>
          <w:color w:val="auto"/>
          <w:highlight w:val="none"/>
        </w:rPr>
        <w:t>2.1</w:t>
      </w:r>
      <w:r>
        <w:rPr>
          <w:rFonts w:ascii="宋体" w:hAnsi="宋体"/>
          <w:color w:val="auto"/>
          <w:highlight w:val="none"/>
        </w:rPr>
        <w:t>建设地点：</w:t>
      </w:r>
      <w:r>
        <w:rPr>
          <w:rFonts w:hint="eastAsia" w:ascii="宋体" w:hAnsi="宋体" w:cs="宋体"/>
          <w:color w:val="auto"/>
          <w:szCs w:val="21"/>
          <w:highlight w:val="none"/>
          <w:u w:val="single"/>
        </w:rPr>
        <w:t>重庆市南岸区</w:t>
      </w:r>
      <w:r>
        <w:rPr>
          <w:rFonts w:hint="eastAsia" w:ascii="宋体" w:hAnsi="宋体"/>
          <w:color w:val="auto"/>
          <w:highlight w:val="none"/>
          <w:u w:val="single"/>
        </w:rPr>
        <w:t>。</w:t>
      </w:r>
    </w:p>
    <w:p w14:paraId="0B91E060">
      <w:pPr>
        <w:spacing w:line="460" w:lineRule="exact"/>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2.2 项目概况与建设规模：</w:t>
      </w:r>
      <w:bookmarkStart w:id="24" w:name="OLE_LINK15"/>
      <w:r>
        <w:rPr>
          <w:rFonts w:hint="eastAsia" w:ascii="宋体" w:hAnsi="宋体" w:eastAsia="宋体" w:cs="Times New Roman"/>
          <w:color w:val="auto"/>
          <w:highlight w:val="none"/>
        </w:rPr>
        <w:t>“瓶改管”燃气管道及设施建设内容为对燃气管道未覆盖片区的城区居民客户实施“瓶改管”建设，将瓶装液化气改造为管道燃气，补全管网建设空白。计划建设中压埋地管道22.14km、低压埋地管道管道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bookmarkEnd w:id="24"/>
    </w:p>
    <w:p w14:paraId="2489C68C">
      <w:pPr>
        <w:spacing w:line="460" w:lineRule="exact"/>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2.3建安工程费与合同估算金额：本项目估算总投资为6096.54万元。</w:t>
      </w:r>
    </w:p>
    <w:bookmarkEnd w:id="21"/>
    <w:bookmarkEnd w:id="22"/>
    <w:bookmarkEnd w:id="23"/>
    <w:p w14:paraId="7612B30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olor w:val="auto"/>
          <w:szCs w:val="21"/>
          <w:highlight w:val="none"/>
          <w:u w:val="single"/>
        </w:rPr>
      </w:pPr>
      <w:bookmarkStart w:id="25" w:name="_Toc6792"/>
      <w:bookmarkStart w:id="26" w:name="_Toc3686"/>
      <w:bookmarkStart w:id="27" w:name="_Toc4964"/>
      <w:r>
        <w:rPr>
          <w:rFonts w:hint="eastAsia" w:ascii="宋体" w:hAnsi="宋体"/>
          <w:snapToGrid w:val="0"/>
          <w:color w:val="auto"/>
          <w:kern w:val="0"/>
          <w:szCs w:val="21"/>
          <w:highlight w:val="none"/>
        </w:rPr>
        <w:t>2.4比选范围：</w:t>
      </w:r>
      <w:bookmarkStart w:id="28" w:name="OLE_LINK14"/>
      <w:r>
        <w:rPr>
          <w:rFonts w:hint="eastAsia" w:ascii="宋体" w:hAnsi="宋体"/>
          <w:color w:val="auto"/>
          <w:szCs w:val="21"/>
          <w:highlight w:val="none"/>
          <w:u w:val="single"/>
        </w:rPr>
        <w:t>对本工程提供工程量清单及组价编制、协助</w:t>
      </w:r>
      <w:r>
        <w:rPr>
          <w:rFonts w:hint="eastAsia" w:ascii="宋体" w:hAnsi="宋体"/>
          <w:color w:val="auto"/>
          <w:szCs w:val="21"/>
          <w:highlight w:val="none"/>
          <w:u w:val="single"/>
          <w:lang w:val="en-US" w:eastAsia="zh-CN"/>
        </w:rPr>
        <w:t>比选</w:t>
      </w:r>
      <w:r>
        <w:rPr>
          <w:rFonts w:hint="eastAsia" w:ascii="宋体" w:hAnsi="宋体"/>
          <w:color w:val="auto"/>
          <w:szCs w:val="21"/>
          <w:highlight w:val="none"/>
          <w:u w:val="single"/>
        </w:rPr>
        <w:t>人完成工程招标有关造价事宜，详见合同约定。</w:t>
      </w:r>
      <w:bookmarkEnd w:id="28"/>
    </w:p>
    <w:p w14:paraId="39E3CD50">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lang w:val="en-US" w:eastAsia="zh-CN"/>
        </w:rPr>
        <w:t>注：</w:t>
      </w:r>
      <w:r>
        <w:rPr>
          <w:rFonts w:hint="default" w:ascii="宋体" w:hAnsi="宋体" w:eastAsia="宋体" w:cs="Times New Roman"/>
          <w:b/>
          <w:bCs/>
          <w:color w:val="auto"/>
          <w:szCs w:val="21"/>
          <w:highlight w:val="none"/>
          <w:u w:val="none"/>
        </w:rPr>
        <w:t>本项目</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范围、实施内容及招标金额均为初步估算，最终以</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人在项目实施中确认的实施范围和内容为准。本工程项目如遇政策调整或</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人根据项目进展需要及实际情况等因素，</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人有权减少或调整工程实施范围及工程量等，最终实施范围及工程量，以工程实施中</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人确认的工程实施范围及工程量为准，</w:t>
      </w:r>
      <w:r>
        <w:rPr>
          <w:rFonts w:hint="eastAsia" w:ascii="宋体" w:hAnsi="宋体" w:eastAsia="宋体" w:cs="Times New Roman"/>
          <w:b/>
          <w:bCs/>
          <w:color w:val="auto"/>
          <w:szCs w:val="21"/>
          <w:highlight w:val="none"/>
          <w:u w:val="none"/>
          <w:lang w:val="en-US" w:eastAsia="zh-CN"/>
        </w:rPr>
        <w:t>比选</w:t>
      </w:r>
      <w:r>
        <w:rPr>
          <w:rFonts w:hint="default" w:ascii="宋体" w:hAnsi="宋体" w:eastAsia="宋体" w:cs="Times New Roman"/>
          <w:b/>
          <w:bCs/>
          <w:color w:val="auto"/>
          <w:szCs w:val="21"/>
          <w:highlight w:val="none"/>
          <w:u w:val="none"/>
        </w:rPr>
        <w:t>人与</w:t>
      </w:r>
      <w:r>
        <w:rPr>
          <w:rFonts w:hint="eastAsia" w:ascii="宋体" w:hAnsi="宋体" w:eastAsia="宋体" w:cs="Times New Roman"/>
          <w:b/>
          <w:bCs/>
          <w:color w:val="auto"/>
          <w:szCs w:val="21"/>
          <w:highlight w:val="none"/>
          <w:u w:val="none"/>
          <w:lang w:val="en-US" w:eastAsia="zh-CN"/>
        </w:rPr>
        <w:t>中选</w:t>
      </w:r>
      <w:r>
        <w:rPr>
          <w:rFonts w:hint="default" w:ascii="宋体" w:hAnsi="宋体" w:eastAsia="宋体" w:cs="Times New Roman"/>
          <w:b/>
          <w:bCs/>
          <w:color w:val="auto"/>
          <w:szCs w:val="21"/>
          <w:highlight w:val="none"/>
          <w:u w:val="none"/>
        </w:rPr>
        <w:t>人按照合同约定的计量计价原则进行支付和结算，承包人对此不持异议且不得提出任何费用索赔。承包人将该因素综合考虑在投标报价中。</w:t>
      </w:r>
    </w:p>
    <w:p w14:paraId="0BAE1B93">
      <w:pPr>
        <w:tabs>
          <w:tab w:val="left" w:pos="3840"/>
          <w:tab w:val="left" w:pos="5300"/>
        </w:tabs>
        <w:autoSpaceDE w:val="0"/>
        <w:autoSpaceDN w:val="0"/>
        <w:adjustRightInd w:val="0"/>
        <w:snapToGrid w:val="0"/>
        <w:spacing w:line="50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color w:val="auto"/>
          <w:szCs w:val="21"/>
          <w:highlight w:val="none"/>
        </w:rPr>
        <w:t>2.5服务期：</w:t>
      </w:r>
      <w:r>
        <w:rPr>
          <w:rFonts w:hint="eastAsia" w:ascii="宋体" w:hAnsi="宋体"/>
          <w:color w:val="auto"/>
          <w:szCs w:val="21"/>
          <w:highlight w:val="none"/>
          <w:u w:val="single"/>
        </w:rPr>
        <w:t>本项目服务周期自合同签订之日开始至工程竣工验收及结算审计完成，</w:t>
      </w:r>
      <w:r>
        <w:rPr>
          <w:rFonts w:hint="eastAsia" w:ascii="宋体" w:hAnsi="宋体"/>
          <w:color w:val="auto"/>
          <w:szCs w:val="21"/>
          <w:highlight w:val="none"/>
          <w:u w:val="single"/>
          <w:lang w:val="en-US" w:eastAsia="zh-CN"/>
        </w:rPr>
        <w:t>按比选人的时间节点要求完成</w:t>
      </w:r>
      <w:r>
        <w:rPr>
          <w:rFonts w:hint="eastAsia" w:ascii="宋体" w:hAnsi="宋体"/>
          <w:color w:val="auto"/>
          <w:szCs w:val="21"/>
          <w:highlight w:val="none"/>
          <w:u w:val="single"/>
        </w:rPr>
        <w:t>工程量清单及组价编制</w:t>
      </w:r>
      <w:r>
        <w:rPr>
          <w:rFonts w:hint="eastAsia" w:ascii="宋体" w:hAnsi="宋体"/>
          <w:color w:val="auto"/>
          <w:szCs w:val="21"/>
          <w:highlight w:val="none"/>
          <w:u w:val="single"/>
          <w:lang w:eastAsia="zh-CN"/>
        </w:rPr>
        <w:t>，</w:t>
      </w:r>
      <w:r>
        <w:rPr>
          <w:rFonts w:hint="eastAsia" w:ascii="宋体" w:hAnsi="宋体"/>
          <w:snapToGrid w:val="0"/>
          <w:color w:val="auto"/>
          <w:kern w:val="0"/>
          <w:szCs w:val="21"/>
          <w:highlight w:val="none"/>
          <w:u w:val="single"/>
        </w:rPr>
        <w:t>出具项目预算报告</w:t>
      </w:r>
      <w:r>
        <w:rPr>
          <w:rFonts w:hint="eastAsia" w:ascii="宋体" w:hAnsi="宋体"/>
          <w:color w:val="auto"/>
          <w:szCs w:val="21"/>
          <w:highlight w:val="none"/>
          <w:u w:val="single"/>
          <w:lang w:val="en-US" w:eastAsia="zh-CN"/>
        </w:rPr>
        <w:t>。</w:t>
      </w:r>
    </w:p>
    <w:p w14:paraId="7AFF501A">
      <w:pPr>
        <w:tabs>
          <w:tab w:val="left" w:pos="3840"/>
          <w:tab w:val="left" w:pos="5300"/>
        </w:tabs>
        <w:autoSpaceDE w:val="0"/>
        <w:autoSpaceDN w:val="0"/>
        <w:adjustRightInd w:val="0"/>
        <w:snapToGrid w:val="0"/>
        <w:spacing w:line="460" w:lineRule="exact"/>
        <w:ind w:firstLine="422" w:firstLineChars="200"/>
        <w:jc w:val="lef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3、竞选人资格要求</w:t>
      </w:r>
      <w:bookmarkEnd w:id="25"/>
      <w:bookmarkEnd w:id="26"/>
      <w:bookmarkEnd w:id="27"/>
    </w:p>
    <w:p w14:paraId="3EDE8778">
      <w:pPr>
        <w:widowControl/>
        <w:tabs>
          <w:tab w:val="center" w:pos="4620"/>
          <w:tab w:val="left" w:pos="8370"/>
        </w:tabs>
        <w:spacing w:line="360" w:lineRule="auto"/>
        <w:ind w:left="53" w:leftChars="25" w:firstLine="420" w:firstLineChars="200"/>
        <w:rPr>
          <w:rFonts w:ascii="宋体" w:hAnsi="宋体" w:cs="宋体"/>
          <w:color w:val="auto"/>
          <w:szCs w:val="21"/>
          <w:highlight w:val="none"/>
        </w:rPr>
      </w:pPr>
      <w:bookmarkStart w:id="29" w:name="_Toc29881"/>
      <w:bookmarkStart w:id="30" w:name="_Toc26534"/>
      <w:bookmarkStart w:id="31" w:name="_Toc22348"/>
      <w:r>
        <w:rPr>
          <w:rFonts w:hint="eastAsia" w:ascii="宋体" w:hAnsi="宋体" w:cs="宋体"/>
          <w:color w:val="auto"/>
          <w:szCs w:val="21"/>
          <w:highlight w:val="none"/>
        </w:rPr>
        <w:t>3.1 本次招标要求竞选人须具备以下条件：</w:t>
      </w:r>
    </w:p>
    <w:p w14:paraId="5AA68AF2">
      <w:pPr>
        <w:widowControl/>
        <w:tabs>
          <w:tab w:val="center" w:pos="4620"/>
          <w:tab w:val="left" w:pos="8370"/>
        </w:tabs>
        <w:spacing w:line="360" w:lineRule="auto"/>
        <w:ind w:left="53" w:leftChars="25" w:firstLine="420" w:firstLineChars="200"/>
        <w:rPr>
          <w:rFonts w:ascii="宋体" w:hAnsi="宋体" w:cs="宋体"/>
          <w:color w:val="auto"/>
          <w:szCs w:val="21"/>
          <w:highlight w:val="none"/>
        </w:rPr>
      </w:pPr>
      <w:bookmarkStart w:id="32" w:name="OLE_LINK9"/>
      <w:r>
        <w:rPr>
          <w:rFonts w:hint="eastAsia" w:ascii="宋体" w:hAnsi="宋体" w:cs="宋体"/>
          <w:color w:val="auto"/>
          <w:szCs w:val="21"/>
          <w:highlight w:val="none"/>
        </w:rPr>
        <w:t>3.1.1 本次比选要求竞选人具备有效的营业执照；</w:t>
      </w:r>
    </w:p>
    <w:p w14:paraId="5BC3302E">
      <w:pPr>
        <w:widowControl/>
        <w:tabs>
          <w:tab w:val="center" w:pos="4620"/>
          <w:tab w:val="left" w:pos="8370"/>
        </w:tabs>
        <w:spacing w:line="360" w:lineRule="auto"/>
        <w:ind w:left="53" w:leftChars="25" w:firstLine="420" w:firstLineChars="200"/>
        <w:rPr>
          <w:rFonts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竞选人还应在人员、设备、资金等方面具有相应的能力，详见比选文件第二章竞选人须知前附表第1.4.1项内容。</w:t>
      </w:r>
    </w:p>
    <w:bookmarkEnd w:id="32"/>
    <w:p w14:paraId="06619873">
      <w:pPr>
        <w:tabs>
          <w:tab w:val="left" w:pos="3045"/>
          <w:tab w:val="left" w:pos="8310"/>
        </w:tabs>
        <w:autoSpaceDE w:val="0"/>
        <w:autoSpaceDN w:val="0"/>
        <w:adjustRightInd w:val="0"/>
        <w:snapToGrid w:val="0"/>
        <w:spacing w:line="420" w:lineRule="exact"/>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3.2  本次比选不接受联合体竞选。</w:t>
      </w:r>
    </w:p>
    <w:p w14:paraId="3B215331">
      <w:pPr>
        <w:pStyle w:val="25"/>
        <w:widowControl/>
        <w:snapToGrid w:val="0"/>
        <w:spacing w:beforeAutospacing="0" w:afterAutospacing="0" w:line="420" w:lineRule="exact"/>
        <w:ind w:firstLine="442" w:firstLineChars="200"/>
        <w:rPr>
          <w:rFonts w:ascii="宋体" w:hAnsi="宋体" w:cs="宋体"/>
          <w:snapToGrid w:val="0"/>
          <w:color w:val="auto"/>
          <w:sz w:val="22"/>
          <w:szCs w:val="22"/>
          <w:highlight w:val="none"/>
        </w:rPr>
      </w:pPr>
      <w:r>
        <w:rPr>
          <w:rFonts w:hint="eastAsia" w:ascii="宋体" w:hAnsi="宋体" w:cs="宋体"/>
          <w:b/>
          <w:bCs/>
          <w:snapToGrid w:val="0"/>
          <w:color w:val="auto"/>
          <w:sz w:val="22"/>
          <w:szCs w:val="22"/>
          <w:highlight w:val="none"/>
        </w:rPr>
        <w:t>4、比选文件的获取</w:t>
      </w:r>
    </w:p>
    <w:p w14:paraId="144BB3F6">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4.1.</w:t>
      </w:r>
      <w:bookmarkStart w:id="33" w:name="OLE_LINK11"/>
      <w:r>
        <w:rPr>
          <w:rFonts w:hint="eastAsia" w:ascii="宋体" w:hAnsi="宋体"/>
          <w:snapToGrid w:val="0"/>
          <w:color w:val="auto"/>
          <w:kern w:val="0"/>
          <w:highlight w:val="none"/>
        </w:rPr>
        <w:t>竞标人在竞标前可在行采家（https://www.gec123.com/）下载招标文件、工程量清单、电子图纸等资料。</w:t>
      </w:r>
      <w:bookmarkEnd w:id="33"/>
    </w:p>
    <w:p w14:paraId="7667F77C">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4.2报名和比选文件发售期：</w:t>
      </w:r>
      <w:bookmarkStart w:id="34" w:name="OLE_LINK7"/>
      <w:r>
        <w:rPr>
          <w:rFonts w:hint="eastAsia" w:ascii="宋体" w:hAnsi="宋体"/>
          <w:snapToGrid w:val="0"/>
          <w:color w:val="auto"/>
          <w:kern w:val="0"/>
          <w:highlight w:val="none"/>
        </w:rPr>
        <w:t>202</w:t>
      </w:r>
      <w:r>
        <w:rPr>
          <w:rFonts w:hint="eastAsia" w:ascii="宋体" w:hAnsi="宋体"/>
          <w:snapToGrid w:val="0"/>
          <w:color w:val="auto"/>
          <w:kern w:val="0"/>
          <w:highlight w:val="none"/>
          <w:lang w:val="en-US" w:eastAsia="zh-CN"/>
        </w:rPr>
        <w:t>5</w:t>
      </w:r>
      <w:r>
        <w:rPr>
          <w:rFonts w:hint="eastAsia" w:ascii="宋体" w:hAnsi="宋体"/>
          <w:snapToGrid w:val="0"/>
          <w:color w:val="auto"/>
          <w:kern w:val="0"/>
          <w:highlight w:val="none"/>
        </w:rPr>
        <w:t>年</w:t>
      </w:r>
      <w:r>
        <w:rPr>
          <w:rFonts w:hint="eastAsia" w:ascii="宋体" w:hAnsi="宋体"/>
          <w:snapToGrid w:val="0"/>
          <w:color w:val="auto"/>
          <w:kern w:val="0"/>
          <w:highlight w:val="none"/>
          <w:lang w:val="en-US" w:eastAsia="zh-CN"/>
        </w:rPr>
        <w:t>6</w:t>
      </w:r>
      <w:r>
        <w:rPr>
          <w:rFonts w:hint="eastAsia" w:ascii="宋体" w:hAnsi="宋体"/>
          <w:snapToGrid w:val="0"/>
          <w:color w:val="auto"/>
          <w:kern w:val="0"/>
          <w:highlight w:val="none"/>
        </w:rPr>
        <w:t>月</w:t>
      </w:r>
      <w:r>
        <w:rPr>
          <w:rFonts w:hint="eastAsia" w:ascii="宋体" w:hAnsi="宋体"/>
          <w:snapToGrid w:val="0"/>
          <w:color w:val="auto"/>
          <w:kern w:val="0"/>
          <w:highlight w:val="none"/>
          <w:lang w:val="en-US" w:eastAsia="zh-CN"/>
        </w:rPr>
        <w:t>13</w:t>
      </w:r>
      <w:r>
        <w:rPr>
          <w:rFonts w:hint="eastAsia" w:ascii="宋体" w:hAnsi="宋体"/>
          <w:snapToGrid w:val="0"/>
          <w:color w:val="auto"/>
          <w:kern w:val="0"/>
          <w:highlight w:val="none"/>
        </w:rPr>
        <w:t>日</w:t>
      </w:r>
      <w:bookmarkEnd w:id="34"/>
      <w:r>
        <w:rPr>
          <w:rFonts w:hint="eastAsia" w:ascii="宋体" w:hAnsi="宋体"/>
          <w:snapToGrid w:val="0"/>
          <w:color w:val="auto"/>
          <w:kern w:val="0"/>
          <w:highlight w:val="none"/>
        </w:rPr>
        <w:t>-202</w:t>
      </w:r>
      <w:r>
        <w:rPr>
          <w:rFonts w:hint="eastAsia" w:ascii="宋体" w:hAnsi="宋体"/>
          <w:snapToGrid w:val="0"/>
          <w:color w:val="auto"/>
          <w:kern w:val="0"/>
          <w:highlight w:val="none"/>
          <w:lang w:val="en-US" w:eastAsia="zh-CN"/>
        </w:rPr>
        <w:t>5</w:t>
      </w:r>
      <w:r>
        <w:rPr>
          <w:rFonts w:hint="eastAsia" w:ascii="宋体" w:hAnsi="宋体"/>
          <w:snapToGrid w:val="0"/>
          <w:color w:val="auto"/>
          <w:kern w:val="0"/>
          <w:highlight w:val="none"/>
        </w:rPr>
        <w:t>年</w:t>
      </w:r>
      <w:r>
        <w:rPr>
          <w:rFonts w:hint="eastAsia" w:ascii="宋体" w:hAnsi="宋体"/>
          <w:snapToGrid w:val="0"/>
          <w:color w:val="auto"/>
          <w:kern w:val="0"/>
          <w:highlight w:val="none"/>
          <w:lang w:val="en-US" w:eastAsia="zh-CN"/>
        </w:rPr>
        <w:t>6</w:t>
      </w:r>
      <w:r>
        <w:rPr>
          <w:rFonts w:hint="eastAsia" w:ascii="宋体" w:hAnsi="宋体"/>
          <w:snapToGrid w:val="0"/>
          <w:color w:val="auto"/>
          <w:kern w:val="0"/>
          <w:highlight w:val="none"/>
        </w:rPr>
        <w:t>月</w:t>
      </w:r>
      <w:r>
        <w:rPr>
          <w:rFonts w:hint="eastAsia" w:ascii="宋体" w:hAnsi="宋体"/>
          <w:snapToGrid w:val="0"/>
          <w:color w:val="auto"/>
          <w:kern w:val="0"/>
          <w:highlight w:val="none"/>
          <w:lang w:val="en-US" w:eastAsia="zh-CN"/>
        </w:rPr>
        <w:t>17</w:t>
      </w:r>
      <w:r>
        <w:rPr>
          <w:rFonts w:hint="eastAsia" w:ascii="宋体" w:hAnsi="宋体"/>
          <w:snapToGrid w:val="0"/>
          <w:color w:val="auto"/>
          <w:kern w:val="0"/>
          <w:highlight w:val="none"/>
        </w:rPr>
        <w:t>日（工作时间）</w:t>
      </w:r>
    </w:p>
    <w:p w14:paraId="47398EFC">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4.3.竞争性比选文件发售期内，竞标人可选择以下两种方式报名并获取比选文件：</w:t>
      </w:r>
    </w:p>
    <w:p w14:paraId="4B3F15C5">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4.3.1现场报名</w:t>
      </w:r>
    </w:p>
    <w:p w14:paraId="4486DFD8">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在竞争性比选文件发售期内，供应商须《比选文件发售登记表》（加盖竞标人公章）到</w:t>
      </w:r>
      <w:r>
        <w:rPr>
          <w:rFonts w:ascii="宋体" w:hAnsi="宋体"/>
          <w:snapToGrid w:val="0"/>
          <w:color w:val="auto"/>
          <w:kern w:val="0"/>
          <w:highlight w:val="none"/>
        </w:rPr>
        <w:t>重庆昱炀工程咨询有限公司</w:t>
      </w:r>
      <w:r>
        <w:rPr>
          <w:rFonts w:hint="eastAsia" w:ascii="宋体" w:hAnsi="宋体"/>
          <w:snapToGrid w:val="0"/>
          <w:color w:val="auto"/>
          <w:kern w:val="0"/>
          <w:highlight w:val="none"/>
        </w:rPr>
        <w:t>（</w:t>
      </w:r>
      <w:r>
        <w:rPr>
          <w:rFonts w:ascii="宋体" w:hAnsi="宋体"/>
          <w:snapToGrid w:val="0"/>
          <w:color w:val="auto"/>
          <w:kern w:val="0"/>
          <w:highlight w:val="none"/>
        </w:rPr>
        <w:t>重庆市</w:t>
      </w:r>
      <w:r>
        <w:rPr>
          <w:rFonts w:hint="eastAsia" w:ascii="宋体" w:hAnsi="宋体"/>
          <w:snapToGrid w:val="0"/>
          <w:color w:val="auto"/>
          <w:kern w:val="0"/>
          <w:highlight w:val="none"/>
        </w:rPr>
        <w:t>南岸区同景国际城U组团2栋18楼）报名并购买比选文件。</w:t>
      </w:r>
    </w:p>
    <w:p w14:paraId="4AAE8503">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4.3.2非现场报名</w:t>
      </w:r>
    </w:p>
    <w:p w14:paraId="5A460BB3">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在竞争性比选文件发售期内，竞标人将比选文件购买费用汇至以下账户内进行购买。通过汇款方式购买比选文件的，将比选文件费汇款凭证（注明项目名称）、《比选文件发售登记表》（加盖竞标人公章）扫描后发送至250634682@qq.com（邮箱）进行报名并购买比选文件。</w:t>
      </w:r>
    </w:p>
    <w:p w14:paraId="5E57F6AB">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户名：</w:t>
      </w:r>
      <w:r>
        <w:rPr>
          <w:rFonts w:ascii="宋体" w:hAnsi="宋体"/>
          <w:snapToGrid w:val="0"/>
          <w:color w:val="auto"/>
          <w:kern w:val="0"/>
          <w:highlight w:val="none"/>
        </w:rPr>
        <w:t>重庆昱炀工程咨询有限公司</w:t>
      </w:r>
    </w:p>
    <w:p w14:paraId="3C6D8D7F">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开户行：</w:t>
      </w:r>
      <w:r>
        <w:rPr>
          <w:rFonts w:ascii="宋体" w:hAnsi="宋体"/>
          <w:snapToGrid w:val="0"/>
          <w:color w:val="auto"/>
          <w:kern w:val="0"/>
          <w:highlight w:val="none"/>
        </w:rPr>
        <w:t>中国民生银行重庆龙湖支行</w:t>
      </w:r>
    </w:p>
    <w:p w14:paraId="5E6753D0">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账号：</w:t>
      </w:r>
      <w:r>
        <w:rPr>
          <w:rFonts w:ascii="宋体" w:hAnsi="宋体"/>
          <w:snapToGrid w:val="0"/>
          <w:color w:val="auto"/>
          <w:kern w:val="0"/>
          <w:highlight w:val="none"/>
        </w:rPr>
        <w:t>160612349</w:t>
      </w:r>
    </w:p>
    <w:p w14:paraId="6509CEAA">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注：在竞争性比选文件发售期限内报名的供应商，其递交响应文件时才能被接收。</w:t>
      </w:r>
    </w:p>
    <w:p w14:paraId="650A442F">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4.4.竞争性比选文件售价：人民币500元/份。</w:t>
      </w:r>
    </w:p>
    <w:p w14:paraId="4D96B0A8">
      <w:pPr>
        <w:pStyle w:val="25"/>
        <w:widowControl/>
        <w:snapToGrid w:val="0"/>
        <w:spacing w:beforeAutospacing="0" w:afterAutospacing="0" w:line="420" w:lineRule="exact"/>
        <w:ind w:firstLine="442" w:firstLineChars="200"/>
        <w:jc w:val="both"/>
        <w:rPr>
          <w:rFonts w:ascii="宋体" w:hAnsi="宋体" w:cs="宋体"/>
          <w:color w:val="auto"/>
          <w:sz w:val="22"/>
          <w:szCs w:val="22"/>
          <w:highlight w:val="none"/>
        </w:rPr>
      </w:pPr>
      <w:r>
        <w:rPr>
          <w:rFonts w:hint="eastAsia" w:ascii="宋体" w:hAnsi="宋体" w:cs="宋体"/>
          <w:b/>
          <w:snapToGrid w:val="0"/>
          <w:color w:val="auto"/>
          <w:sz w:val="22"/>
          <w:szCs w:val="22"/>
          <w:highlight w:val="none"/>
        </w:rPr>
        <w:t>5、竞选文件的递交</w:t>
      </w:r>
    </w:p>
    <w:p w14:paraId="37F4AE2F">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递交的截止时间（</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，下同）为</w:t>
      </w:r>
      <w:r>
        <w:rPr>
          <w:rFonts w:hint="eastAsia" w:ascii="宋体" w:hAnsi="宋体"/>
          <w:snapToGrid w:val="0"/>
          <w:color w:val="auto"/>
          <w:kern w:val="0"/>
          <w:highlight w:val="none"/>
        </w:rPr>
        <w:t>202</w:t>
      </w:r>
      <w:r>
        <w:rPr>
          <w:rFonts w:hint="eastAsia" w:ascii="宋体" w:hAnsi="宋体"/>
          <w:snapToGrid w:val="0"/>
          <w:color w:val="auto"/>
          <w:kern w:val="0"/>
          <w:highlight w:val="none"/>
          <w:lang w:val="en-US" w:eastAsia="zh-CN"/>
        </w:rPr>
        <w:t>5</w:t>
      </w:r>
      <w:r>
        <w:rPr>
          <w:rFonts w:hint="eastAsia" w:ascii="宋体" w:hAnsi="宋体"/>
          <w:snapToGrid w:val="0"/>
          <w:color w:val="auto"/>
          <w:kern w:val="0"/>
          <w:highlight w:val="none"/>
        </w:rPr>
        <w:t>年</w:t>
      </w:r>
      <w:r>
        <w:rPr>
          <w:rFonts w:hint="eastAsia" w:ascii="宋体" w:hAnsi="宋体"/>
          <w:snapToGrid w:val="0"/>
          <w:color w:val="auto"/>
          <w:kern w:val="0"/>
          <w:highlight w:val="none"/>
          <w:lang w:val="en-US" w:eastAsia="zh-CN"/>
        </w:rPr>
        <w:t>6</w:t>
      </w:r>
      <w:r>
        <w:rPr>
          <w:rFonts w:hint="eastAsia" w:ascii="宋体" w:hAnsi="宋体"/>
          <w:snapToGrid w:val="0"/>
          <w:color w:val="auto"/>
          <w:kern w:val="0"/>
          <w:highlight w:val="none"/>
        </w:rPr>
        <w:t>月</w:t>
      </w:r>
      <w:r>
        <w:rPr>
          <w:rFonts w:hint="eastAsia" w:ascii="宋体" w:hAnsi="宋体"/>
          <w:snapToGrid w:val="0"/>
          <w:color w:val="auto"/>
          <w:kern w:val="0"/>
          <w:highlight w:val="none"/>
          <w:lang w:val="en-US" w:eastAsia="zh-CN"/>
        </w:rPr>
        <w:t>18</w:t>
      </w:r>
      <w:r>
        <w:rPr>
          <w:rFonts w:hint="eastAsia" w:ascii="宋体" w:hAnsi="宋体"/>
          <w:snapToGrid w:val="0"/>
          <w:color w:val="auto"/>
          <w:kern w:val="0"/>
          <w:highlight w:val="none"/>
        </w:rPr>
        <w:t>日</w:t>
      </w:r>
      <w:r>
        <w:rPr>
          <w:rFonts w:hint="eastAsia" w:ascii="宋体" w:hAnsi="宋体"/>
          <w:snapToGrid w:val="0"/>
          <w:color w:val="auto"/>
          <w:kern w:val="0"/>
          <w:highlight w:val="none"/>
          <w:lang w:val="en-US" w:eastAsia="zh-CN"/>
        </w:rPr>
        <w:t>14</w:t>
      </w:r>
      <w:r>
        <w:rPr>
          <w:rFonts w:ascii="宋体" w:hAnsi="宋体"/>
          <w:snapToGrid w:val="0"/>
          <w:color w:val="auto"/>
          <w:kern w:val="0"/>
          <w:szCs w:val="21"/>
          <w:highlight w:val="none"/>
        </w:rPr>
        <w:t>时</w:t>
      </w:r>
      <w:r>
        <w:rPr>
          <w:rFonts w:hint="eastAsia" w:ascii="宋体" w:hAnsi="宋体"/>
          <w:snapToGrid w:val="0"/>
          <w:color w:val="auto"/>
          <w:kern w:val="0"/>
          <w:szCs w:val="21"/>
          <w:highlight w:val="none"/>
          <w:lang w:val="en-US" w:eastAsia="zh-CN"/>
        </w:rPr>
        <w:t>30</w:t>
      </w:r>
      <w:r>
        <w:rPr>
          <w:rFonts w:ascii="宋体" w:hAnsi="宋体"/>
          <w:snapToGrid w:val="0"/>
          <w:color w:val="auto"/>
          <w:kern w:val="0"/>
          <w:szCs w:val="21"/>
          <w:highlight w:val="none"/>
        </w:rPr>
        <w:t>分，地点为</w:t>
      </w:r>
      <w:bookmarkStart w:id="35" w:name="OLE_LINK12"/>
      <w:r>
        <w:rPr>
          <w:rFonts w:hint="eastAsia" w:ascii="宋体" w:hAnsi="宋体"/>
          <w:snapToGrid w:val="0"/>
          <w:color w:val="auto"/>
          <w:kern w:val="0"/>
          <w:szCs w:val="21"/>
          <w:highlight w:val="none"/>
          <w:u w:val="single"/>
        </w:rPr>
        <w:t>重庆市南岸区行政服务中心B区3号楼</w:t>
      </w:r>
      <w:r>
        <w:rPr>
          <w:rFonts w:hint="eastAsia" w:ascii="宋体" w:hAnsi="宋体"/>
          <w:snapToGrid w:val="0"/>
          <w:color w:val="auto"/>
          <w:kern w:val="0"/>
          <w:szCs w:val="21"/>
          <w:highlight w:val="none"/>
          <w:u w:val="single"/>
          <w:lang w:val="en-US" w:eastAsia="zh-CN"/>
        </w:rPr>
        <w:t>20</w:t>
      </w:r>
      <w:r>
        <w:rPr>
          <w:rFonts w:hint="eastAsia" w:ascii="宋体" w:hAnsi="宋体"/>
          <w:snapToGrid w:val="0"/>
          <w:color w:val="auto"/>
          <w:kern w:val="0"/>
          <w:szCs w:val="21"/>
          <w:highlight w:val="none"/>
          <w:u w:val="single"/>
        </w:rPr>
        <w:t>12室</w:t>
      </w:r>
      <w:bookmarkEnd w:id="35"/>
      <w:r>
        <w:rPr>
          <w:rFonts w:ascii="宋体" w:hAnsi="宋体"/>
          <w:snapToGrid w:val="0"/>
          <w:color w:val="auto"/>
          <w:kern w:val="0"/>
          <w:szCs w:val="21"/>
          <w:highlight w:val="none"/>
        </w:rPr>
        <w:t>。</w:t>
      </w:r>
    </w:p>
    <w:p w14:paraId="4FD608D9">
      <w:pPr>
        <w:autoSpaceDE w:val="0"/>
        <w:autoSpaceDN w:val="0"/>
        <w:adjustRightInd w:val="0"/>
        <w:snapToGrid w:val="0"/>
        <w:spacing w:line="42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3CA8317C">
      <w:pPr>
        <w:pStyle w:val="25"/>
        <w:widowControl/>
        <w:snapToGrid w:val="0"/>
        <w:spacing w:beforeAutospacing="0" w:afterAutospacing="0" w:line="420" w:lineRule="exact"/>
        <w:ind w:firstLine="442" w:firstLineChars="200"/>
        <w:jc w:val="both"/>
        <w:rPr>
          <w:rFonts w:ascii="宋体" w:hAnsi="宋体" w:cs="宋体"/>
          <w:b/>
          <w:snapToGrid w:val="0"/>
          <w:color w:val="auto"/>
          <w:sz w:val="22"/>
          <w:szCs w:val="22"/>
          <w:highlight w:val="none"/>
        </w:rPr>
      </w:pPr>
      <w:r>
        <w:rPr>
          <w:rFonts w:hint="eastAsia" w:ascii="宋体" w:hAnsi="宋体" w:cs="宋体"/>
          <w:b/>
          <w:snapToGrid w:val="0"/>
          <w:color w:val="auto"/>
          <w:sz w:val="22"/>
          <w:szCs w:val="22"/>
          <w:highlight w:val="none"/>
        </w:rPr>
        <w:t>6、发布公告的媒介</w:t>
      </w:r>
    </w:p>
    <w:p w14:paraId="6ABDCE03">
      <w:pPr>
        <w:pStyle w:val="25"/>
        <w:widowControl/>
        <w:snapToGrid w:val="0"/>
        <w:spacing w:beforeAutospacing="0" w:afterAutospacing="0" w:line="420" w:lineRule="exact"/>
        <w:ind w:firstLine="420" w:firstLineChars="200"/>
        <w:jc w:val="both"/>
        <w:rPr>
          <w:rFonts w:ascii="宋体" w:hAnsi="宋体" w:cs="宋体"/>
          <w:color w:val="auto"/>
          <w:sz w:val="21"/>
          <w:szCs w:val="21"/>
          <w:highlight w:val="none"/>
        </w:rPr>
      </w:pPr>
      <w:r>
        <w:rPr>
          <w:rFonts w:hint="eastAsia" w:ascii="宋体" w:hAnsi="宋体" w:cs="宋体"/>
          <w:snapToGrid w:val="0"/>
          <w:color w:val="auto"/>
          <w:sz w:val="21"/>
          <w:szCs w:val="21"/>
          <w:highlight w:val="none"/>
        </w:rPr>
        <w:t>本次比选公</w:t>
      </w:r>
      <w:r>
        <w:rPr>
          <w:rFonts w:hint="eastAsia" w:ascii="宋体" w:hAnsi="宋体" w:eastAsia="宋体" w:cs="宋体"/>
          <w:snapToGrid w:val="0"/>
          <w:color w:val="auto"/>
          <w:sz w:val="21"/>
          <w:szCs w:val="21"/>
          <w:highlight w:val="none"/>
        </w:rPr>
        <w:t>告在“行采家”网站（https://www.gec123.com/）</w:t>
      </w:r>
      <w:r>
        <w:rPr>
          <w:rFonts w:hint="eastAsia" w:ascii="宋体" w:hAnsi="宋体" w:eastAsia="宋体" w:cs="宋体"/>
          <w:snapToGrid w:val="0"/>
          <w:color w:val="auto"/>
          <w:sz w:val="21"/>
          <w:szCs w:val="21"/>
          <w:highlight w:val="none"/>
          <w:lang w:val="en-US" w:eastAsia="zh-CN"/>
        </w:rPr>
        <w:t>和</w:t>
      </w:r>
      <w:r>
        <w:rPr>
          <w:rFonts w:hint="default" w:ascii="宋体" w:hAnsi="宋体" w:eastAsia="宋体" w:cs="宋体"/>
          <w:snapToGrid w:val="0"/>
          <w:color w:val="auto"/>
          <w:sz w:val="21"/>
          <w:szCs w:val="21"/>
          <w:highlight w:val="none"/>
        </w:rPr>
        <w:t>中国招标投标公共服务平台http://www.cebpubservice.com/</w:t>
      </w:r>
      <w:r>
        <w:rPr>
          <w:rFonts w:hint="eastAsia" w:ascii="宋体" w:hAnsi="宋体" w:eastAsia="宋体" w:cs="宋体"/>
          <w:snapToGrid w:val="0"/>
          <w:color w:val="auto"/>
          <w:sz w:val="21"/>
          <w:szCs w:val="21"/>
          <w:highlight w:val="none"/>
        </w:rPr>
        <w:t>上发布。</w:t>
      </w:r>
    </w:p>
    <w:p w14:paraId="157D20C5">
      <w:pPr>
        <w:pStyle w:val="25"/>
        <w:widowControl/>
        <w:snapToGrid w:val="0"/>
        <w:spacing w:beforeAutospacing="0" w:afterAutospacing="0" w:line="420" w:lineRule="exact"/>
        <w:ind w:firstLine="442" w:firstLineChars="200"/>
        <w:jc w:val="both"/>
        <w:rPr>
          <w:rFonts w:ascii="宋体" w:hAnsi="宋体"/>
          <w:color w:val="auto"/>
          <w:highlight w:val="none"/>
        </w:rPr>
      </w:pPr>
      <w:r>
        <w:rPr>
          <w:rFonts w:hint="eastAsia" w:ascii="宋体" w:hAnsi="宋体" w:cs="宋体"/>
          <w:b/>
          <w:snapToGrid w:val="0"/>
          <w:color w:val="auto"/>
          <w:sz w:val="22"/>
          <w:szCs w:val="22"/>
          <w:highlight w:val="none"/>
        </w:rPr>
        <w:t>7、联系方式</w:t>
      </w:r>
    </w:p>
    <w:bookmarkEnd w:id="29"/>
    <w:bookmarkEnd w:id="30"/>
    <w:bookmarkEnd w:id="31"/>
    <w:p w14:paraId="02AA91A8">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比选人：</w:t>
      </w:r>
      <w:bookmarkStart w:id="36" w:name="OLE_LINK16"/>
      <w:r>
        <w:rPr>
          <w:rFonts w:hint="eastAsia" w:ascii="宋体" w:hAnsi="宋体"/>
          <w:color w:val="auto"/>
          <w:szCs w:val="21"/>
          <w:highlight w:val="none"/>
          <w:lang w:eastAsia="zh-CN"/>
        </w:rPr>
        <w:t>重庆市南岸城市更新建设发展有限公司</w:t>
      </w:r>
      <w:bookmarkEnd w:id="36"/>
    </w:p>
    <w:p w14:paraId="06CE9157">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bookmarkStart w:id="37" w:name="OLE_LINK17"/>
      <w:r>
        <w:rPr>
          <w:rFonts w:hint="eastAsia" w:ascii="宋体" w:hAnsi="宋体"/>
          <w:color w:val="auto"/>
          <w:szCs w:val="21"/>
          <w:highlight w:val="none"/>
        </w:rPr>
        <w:t>重庆市南岸区行政中心B区三号楼</w:t>
      </w:r>
      <w:bookmarkEnd w:id="37"/>
    </w:p>
    <w:p w14:paraId="66BCB562">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color w:val="auto"/>
          <w:szCs w:val="21"/>
          <w:highlight w:val="none"/>
        </w:rPr>
        <w:t>联</w:t>
      </w:r>
      <w:r>
        <w:rPr>
          <w:rFonts w:hint="eastAsia" w:ascii="宋体" w:hAnsi="宋体" w:eastAsia="宋体" w:cs="Times New Roman"/>
          <w:color w:val="auto"/>
          <w:szCs w:val="21"/>
          <w:highlight w:val="none"/>
        </w:rPr>
        <w:t>系人：</w:t>
      </w:r>
      <w:bookmarkStart w:id="38" w:name="OLE_LINK18"/>
      <w:r>
        <w:rPr>
          <w:rFonts w:hint="eastAsia" w:ascii="宋体" w:hAnsi="宋体" w:eastAsia="宋体" w:cs="Times New Roman"/>
          <w:color w:val="auto"/>
          <w:szCs w:val="21"/>
          <w:highlight w:val="none"/>
          <w:lang w:val="en-US" w:eastAsia="zh-CN"/>
        </w:rPr>
        <w:t>李</w:t>
      </w:r>
      <w:r>
        <w:rPr>
          <w:rFonts w:hint="eastAsia" w:ascii="宋体" w:hAnsi="宋体" w:eastAsia="宋体" w:cs="Times New Roman"/>
          <w:color w:val="auto"/>
          <w:szCs w:val="21"/>
          <w:highlight w:val="none"/>
        </w:rPr>
        <w:t>老师</w:t>
      </w:r>
      <w:bookmarkEnd w:id="38"/>
    </w:p>
    <w:p w14:paraId="2E333AD2">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  话：</w:t>
      </w:r>
      <w:bookmarkStart w:id="39" w:name="OLE_LINK19"/>
      <w:r>
        <w:rPr>
          <w:rFonts w:hint="eastAsia" w:ascii="宋体" w:hAnsi="宋体" w:eastAsia="宋体" w:cs="Times New Roman"/>
          <w:color w:val="auto"/>
          <w:szCs w:val="21"/>
          <w:highlight w:val="none"/>
        </w:rPr>
        <w:t>023-62905607</w:t>
      </w:r>
      <w:bookmarkEnd w:id="39"/>
    </w:p>
    <w:p w14:paraId="1364D37C">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比选代理机构：</w:t>
      </w:r>
      <w:bookmarkStart w:id="40" w:name="OLE_LINK13"/>
      <w:r>
        <w:rPr>
          <w:rFonts w:hint="eastAsia" w:ascii="宋体" w:hAnsi="宋体" w:eastAsia="宋体" w:cs="Times New Roman"/>
          <w:color w:val="auto"/>
          <w:szCs w:val="21"/>
          <w:highlight w:val="none"/>
        </w:rPr>
        <w:t>重庆昱炀工程咨询有限公司</w:t>
      </w:r>
      <w:bookmarkEnd w:id="40"/>
    </w:p>
    <w:p w14:paraId="5BC5D0F9">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bookmarkStart w:id="41" w:name="OLE_LINK5"/>
      <w:r>
        <w:rPr>
          <w:rFonts w:hint="eastAsia" w:ascii="宋体" w:hAnsi="宋体" w:eastAsia="宋体" w:cs="Times New Roman"/>
          <w:color w:val="auto"/>
          <w:szCs w:val="21"/>
          <w:highlight w:val="none"/>
        </w:rPr>
        <w:t>重庆市南岸区同景国际城U组团2栋18楼</w:t>
      </w:r>
      <w:bookmarkEnd w:id="41"/>
    </w:p>
    <w:p w14:paraId="32FB2CED">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联系人：廖老师  </w:t>
      </w:r>
    </w:p>
    <w:p w14:paraId="4C9C7E13">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  话：13212397888</w:t>
      </w:r>
      <w:bookmarkEnd w:id="19"/>
      <w:bookmarkStart w:id="42" w:name="_Toc1178"/>
      <w:bookmarkStart w:id="43" w:name="_Toc287620683"/>
      <w:bookmarkStart w:id="44" w:name="_Toc430530432"/>
      <w:bookmarkStart w:id="45" w:name="_Toc30449"/>
      <w:bookmarkStart w:id="46" w:name="_Toc224103315"/>
      <w:bookmarkStart w:id="47" w:name="_Toc287607744"/>
    </w:p>
    <w:p w14:paraId="7A340E4D">
      <w:pPr>
        <w:tabs>
          <w:tab w:val="left" w:pos="5140"/>
          <w:tab w:val="left" w:pos="8420"/>
        </w:tabs>
        <w:autoSpaceDE w:val="0"/>
        <w:autoSpaceDN w:val="0"/>
        <w:adjustRightInd w:val="0"/>
        <w:snapToGrid w:val="0"/>
        <w:spacing w:line="420" w:lineRule="exact"/>
        <w:ind w:firstLine="420" w:firstLineChars="200"/>
        <w:jc w:val="right"/>
        <w:rPr>
          <w:rFonts w:ascii="宋体" w:hAnsi="宋体" w:cs="宋体"/>
          <w:snapToGrid w:val="0"/>
          <w:color w:val="auto"/>
          <w:kern w:val="0"/>
          <w:szCs w:val="21"/>
          <w:highlight w:val="none"/>
        </w:rPr>
      </w:pPr>
      <w:r>
        <w:rPr>
          <w:rFonts w:hint="eastAsia" w:ascii="宋体" w:hAnsi="宋体"/>
          <w:color w:val="auto"/>
          <w:kern w:val="0"/>
          <w:highlight w:val="none"/>
          <w:u w:val="none"/>
        </w:rPr>
        <w:t>202</w:t>
      </w:r>
      <w:r>
        <w:rPr>
          <w:rFonts w:hint="eastAsia" w:ascii="宋体" w:hAnsi="宋体"/>
          <w:color w:val="auto"/>
          <w:kern w:val="0"/>
          <w:highlight w:val="none"/>
          <w:u w:val="none"/>
          <w:lang w:val="en-US" w:eastAsia="zh-CN"/>
        </w:rPr>
        <w:t>5</w:t>
      </w:r>
      <w:r>
        <w:rPr>
          <w:rFonts w:hint="eastAsia" w:ascii="宋体" w:hAnsi="宋体"/>
          <w:color w:val="auto"/>
          <w:kern w:val="0"/>
          <w:highlight w:val="none"/>
        </w:rPr>
        <w:t>年</w:t>
      </w:r>
      <w:r>
        <w:rPr>
          <w:rFonts w:hint="eastAsia" w:ascii="宋体" w:hAnsi="宋体"/>
          <w:color w:val="auto"/>
          <w:kern w:val="0"/>
          <w:highlight w:val="none"/>
          <w:lang w:val="en-US" w:eastAsia="zh-CN"/>
        </w:rPr>
        <w:t>6</w:t>
      </w:r>
      <w:r>
        <w:rPr>
          <w:rFonts w:hint="eastAsia" w:ascii="宋体" w:hAnsi="宋体"/>
          <w:color w:val="auto"/>
          <w:kern w:val="0"/>
          <w:highlight w:val="none"/>
        </w:rPr>
        <w:t>月</w:t>
      </w:r>
      <w:r>
        <w:rPr>
          <w:rFonts w:hint="eastAsia" w:ascii="宋体" w:hAnsi="宋体"/>
          <w:color w:val="auto"/>
          <w:kern w:val="0"/>
          <w:highlight w:val="none"/>
          <w:lang w:val="en-US" w:eastAsia="zh-CN"/>
        </w:rPr>
        <w:t>13</w:t>
      </w:r>
      <w:r>
        <w:rPr>
          <w:rFonts w:hint="eastAsia" w:ascii="宋体" w:hAnsi="宋体"/>
          <w:color w:val="auto"/>
          <w:kern w:val="0"/>
          <w:highlight w:val="none"/>
        </w:rPr>
        <w:t>日</w:t>
      </w:r>
      <w:bookmarkEnd w:id="20"/>
      <w:r>
        <w:rPr>
          <w:rFonts w:ascii="宋体" w:hAnsi="宋体" w:cs="宋体"/>
          <w:snapToGrid w:val="0"/>
          <w:color w:val="auto"/>
          <w:kern w:val="0"/>
          <w:highlight w:val="none"/>
        </w:rPr>
        <w:br w:type="page"/>
      </w:r>
    </w:p>
    <w:p w14:paraId="3F2DAD9D">
      <w:pPr>
        <w:pStyle w:val="2"/>
        <w:spacing w:before="0" w:after="0" w:line="360" w:lineRule="auto"/>
        <w:jc w:val="center"/>
        <w:rPr>
          <w:rFonts w:ascii="宋体" w:hAnsi="宋体" w:cs="宋体"/>
          <w:bCs w:val="0"/>
          <w:snapToGrid w:val="0"/>
          <w:color w:val="auto"/>
          <w:kern w:val="0"/>
          <w:highlight w:val="none"/>
        </w:rPr>
      </w:pPr>
      <w:r>
        <w:rPr>
          <w:rFonts w:hint="eastAsia" w:ascii="宋体" w:hAnsi="宋体" w:cs="宋体"/>
          <w:snapToGrid w:val="0"/>
          <w:color w:val="auto"/>
          <w:kern w:val="0"/>
          <w:highlight w:val="none"/>
        </w:rPr>
        <w:t>第二章  竞选人须知</w:t>
      </w:r>
      <w:bookmarkEnd w:id="42"/>
      <w:bookmarkEnd w:id="43"/>
      <w:bookmarkEnd w:id="44"/>
      <w:bookmarkEnd w:id="45"/>
      <w:bookmarkEnd w:id="46"/>
      <w:bookmarkEnd w:id="47"/>
      <w:bookmarkStart w:id="48" w:name="_Toc287620684"/>
      <w:bookmarkStart w:id="49" w:name="_Toc430530433"/>
      <w:bookmarkStart w:id="50" w:name="_Toc224103316"/>
      <w:bookmarkStart w:id="51" w:name="_Toc287607745"/>
      <w:bookmarkStart w:id="52" w:name="_Toc277082551"/>
    </w:p>
    <w:p w14:paraId="6B7D4691">
      <w:pPr>
        <w:pStyle w:val="3"/>
        <w:spacing w:before="100" w:after="100" w:line="360" w:lineRule="auto"/>
        <w:rPr>
          <w:rFonts w:ascii="宋体" w:hAnsi="宋体" w:cs="宋体"/>
          <w:color w:val="auto"/>
          <w:highlight w:val="none"/>
        </w:rPr>
      </w:pPr>
      <w:bookmarkStart w:id="53" w:name="_Toc4746"/>
      <w:bookmarkStart w:id="54" w:name="_Toc15182"/>
      <w:bookmarkStart w:id="55" w:name="_Toc9850"/>
      <w:bookmarkStart w:id="56" w:name="_Toc509218708"/>
      <w:r>
        <w:rPr>
          <w:rFonts w:hint="eastAsia" w:ascii="宋体" w:hAnsi="宋体" w:cs="宋体"/>
          <w:color w:val="auto"/>
          <w:highlight w:val="none"/>
        </w:rPr>
        <w:t>竞选人须知前附表</w:t>
      </w:r>
      <w:bookmarkEnd w:id="48"/>
      <w:bookmarkEnd w:id="49"/>
      <w:bookmarkEnd w:id="50"/>
      <w:bookmarkEnd w:id="51"/>
      <w:bookmarkEnd w:id="52"/>
      <w:bookmarkEnd w:id="53"/>
      <w:bookmarkEnd w:id="54"/>
      <w:bookmarkEnd w:id="55"/>
      <w:bookmarkEnd w:id="56"/>
    </w:p>
    <w:p w14:paraId="3C0EC693">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若竞选人须知前附表与正文不一致的地方，以竞选人须知前附表为准。</w:t>
      </w:r>
    </w:p>
    <w:tbl>
      <w:tblPr>
        <w:tblStyle w:val="28"/>
        <w:tblW w:w="94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11"/>
      </w:tblGrid>
      <w:tr w14:paraId="7DF05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313F45C8">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964" w:type="dxa"/>
            <w:vAlign w:val="center"/>
          </w:tcPr>
          <w:p w14:paraId="767E183D">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311" w:type="dxa"/>
            <w:vAlign w:val="center"/>
          </w:tcPr>
          <w:p w14:paraId="5C5A59F3">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C34F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1079C6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964" w:type="dxa"/>
            <w:vAlign w:val="center"/>
          </w:tcPr>
          <w:p w14:paraId="79B627D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311" w:type="dxa"/>
            <w:vAlign w:val="center"/>
          </w:tcPr>
          <w:p w14:paraId="423FB14A">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比选人：</w:t>
            </w:r>
            <w:r>
              <w:rPr>
                <w:rFonts w:hint="eastAsia" w:ascii="宋体" w:hAnsi="宋体" w:cs="Times New Roman"/>
                <w:color w:val="auto"/>
                <w:szCs w:val="21"/>
                <w:highlight w:val="none"/>
                <w:lang w:eastAsia="zh-CN"/>
              </w:rPr>
              <w:t>重庆市南岸城市更新建设发展有限公司</w:t>
            </w:r>
          </w:p>
          <w:p w14:paraId="4593EE66">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地址：重庆市南岸区行政中心B区三号楼</w:t>
            </w:r>
          </w:p>
          <w:p w14:paraId="4D56712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val="en-US" w:eastAsia="zh-CN"/>
              </w:rPr>
              <w:t>李</w:t>
            </w:r>
            <w:r>
              <w:rPr>
                <w:rFonts w:hint="eastAsia" w:ascii="宋体" w:hAnsi="宋体" w:eastAsia="宋体" w:cs="Times New Roman"/>
                <w:color w:val="auto"/>
                <w:szCs w:val="21"/>
                <w:highlight w:val="none"/>
              </w:rPr>
              <w:t>老师</w:t>
            </w:r>
          </w:p>
          <w:p w14:paraId="0E088BF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  话：023-62905607</w:t>
            </w:r>
          </w:p>
        </w:tc>
      </w:tr>
      <w:tr w14:paraId="04C61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65B983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964" w:type="dxa"/>
            <w:vAlign w:val="center"/>
          </w:tcPr>
          <w:p w14:paraId="242B032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311" w:type="dxa"/>
            <w:vAlign w:val="center"/>
          </w:tcPr>
          <w:p w14:paraId="7CF6C309">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比选代理机构：重庆昱炀工程咨询有限公司</w:t>
            </w:r>
          </w:p>
          <w:p w14:paraId="6A95497B">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地址：重庆市南岸区同景国际城U组团2栋18楼</w:t>
            </w:r>
          </w:p>
          <w:p w14:paraId="4687A98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联系人：廖老师  </w:t>
            </w:r>
          </w:p>
          <w:p w14:paraId="38B203C0">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  话：13212397888</w:t>
            </w:r>
          </w:p>
        </w:tc>
      </w:tr>
      <w:tr w14:paraId="3D563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FEF86C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964" w:type="dxa"/>
            <w:vAlign w:val="center"/>
          </w:tcPr>
          <w:p w14:paraId="67EB441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311" w:type="dxa"/>
            <w:vAlign w:val="center"/>
          </w:tcPr>
          <w:p w14:paraId="26F642CB">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lang w:eastAsia="zh-CN"/>
              </w:rPr>
            </w:pPr>
            <w:r>
              <w:rPr>
                <w:rFonts w:hint="eastAsia" w:ascii="宋体" w:hAnsi="宋体" w:cs="Times New Roman"/>
                <w:color w:val="auto"/>
                <w:highlight w:val="none"/>
                <w:lang w:eastAsia="zh-CN"/>
              </w:rPr>
              <w:t>南岸区南坪片区、弹子石片区瓶改管燃气管道及设施建设</w:t>
            </w:r>
            <w:r>
              <w:rPr>
                <w:rFonts w:hint="eastAsia" w:ascii="宋体" w:hAnsi="宋体" w:eastAsia="宋体" w:cs="Times New Roman"/>
                <w:color w:val="auto"/>
                <w:highlight w:val="none"/>
              </w:rPr>
              <w:t>工程量清单编制及组价项目</w:t>
            </w: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第二次</w:t>
            </w:r>
            <w:r>
              <w:rPr>
                <w:rFonts w:hint="eastAsia" w:ascii="宋体" w:hAnsi="宋体" w:cs="Times New Roman"/>
                <w:color w:val="auto"/>
                <w:highlight w:val="none"/>
                <w:lang w:eastAsia="zh-CN"/>
              </w:rPr>
              <w:t>）</w:t>
            </w:r>
          </w:p>
        </w:tc>
      </w:tr>
      <w:tr w14:paraId="25922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9C674F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964" w:type="dxa"/>
            <w:vAlign w:val="center"/>
          </w:tcPr>
          <w:p w14:paraId="4812AB3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311" w:type="dxa"/>
            <w:vAlign w:val="bottom"/>
          </w:tcPr>
          <w:p w14:paraId="4C965173">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重庆市南岸区</w:t>
            </w:r>
          </w:p>
        </w:tc>
      </w:tr>
      <w:tr w14:paraId="45F7E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7765EE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1.1.6</w:t>
            </w:r>
          </w:p>
        </w:tc>
        <w:tc>
          <w:tcPr>
            <w:tcW w:w="1964" w:type="dxa"/>
            <w:vAlign w:val="center"/>
          </w:tcPr>
          <w:p w14:paraId="00E1DF0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项目概况与建设规模</w:t>
            </w:r>
          </w:p>
        </w:tc>
        <w:tc>
          <w:tcPr>
            <w:tcW w:w="6311" w:type="dxa"/>
            <w:vAlign w:val="center"/>
          </w:tcPr>
          <w:p w14:paraId="0CE026A0">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p>
        </w:tc>
      </w:tr>
      <w:tr w14:paraId="2CCE5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9CA2E4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964" w:type="dxa"/>
            <w:vAlign w:val="center"/>
          </w:tcPr>
          <w:p w14:paraId="2416545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311" w:type="dxa"/>
            <w:vAlign w:val="center"/>
          </w:tcPr>
          <w:p w14:paraId="04AF0732">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国有资金</w:t>
            </w:r>
          </w:p>
        </w:tc>
      </w:tr>
      <w:tr w14:paraId="49D80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519177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1964" w:type="dxa"/>
            <w:vAlign w:val="center"/>
          </w:tcPr>
          <w:p w14:paraId="4C7CB05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出资比例</w:t>
            </w:r>
          </w:p>
        </w:tc>
        <w:tc>
          <w:tcPr>
            <w:tcW w:w="6311" w:type="dxa"/>
            <w:vAlign w:val="center"/>
          </w:tcPr>
          <w:p w14:paraId="16D1758D">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100%</w:t>
            </w:r>
          </w:p>
        </w:tc>
      </w:tr>
      <w:tr w14:paraId="16D51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B1BA7C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1964" w:type="dxa"/>
            <w:vAlign w:val="center"/>
          </w:tcPr>
          <w:p w14:paraId="0BBF07E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311" w:type="dxa"/>
            <w:vAlign w:val="center"/>
          </w:tcPr>
          <w:p w14:paraId="2B4C9CC0">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已落实</w:t>
            </w:r>
          </w:p>
        </w:tc>
      </w:tr>
      <w:tr w14:paraId="7C5E2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5BBFDE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964" w:type="dxa"/>
            <w:vAlign w:val="center"/>
          </w:tcPr>
          <w:p w14:paraId="4BB7969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比选范围</w:t>
            </w:r>
          </w:p>
        </w:tc>
        <w:tc>
          <w:tcPr>
            <w:tcW w:w="6311" w:type="dxa"/>
            <w:vAlign w:val="center"/>
          </w:tcPr>
          <w:p w14:paraId="17518C9C">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u w:val="none"/>
              </w:rPr>
              <w:t>对本工程提供工程量清单及组价编制、协助</w:t>
            </w:r>
            <w:r>
              <w:rPr>
                <w:rFonts w:hint="eastAsia" w:ascii="宋体" w:hAnsi="宋体"/>
                <w:color w:val="auto"/>
                <w:szCs w:val="21"/>
                <w:highlight w:val="none"/>
                <w:u w:val="none"/>
                <w:lang w:val="en-US" w:eastAsia="zh-CN"/>
              </w:rPr>
              <w:t>比</w:t>
            </w:r>
            <w:r>
              <w:rPr>
                <w:rFonts w:hint="eastAsia" w:ascii="宋体" w:hAnsi="宋体"/>
                <w:color w:val="auto"/>
                <w:szCs w:val="21"/>
                <w:highlight w:val="none"/>
                <w:u w:val="none"/>
              </w:rPr>
              <w:t>选人完成工程招标有关造价事宜</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详见合同约定。</w:t>
            </w:r>
          </w:p>
        </w:tc>
      </w:tr>
      <w:tr w14:paraId="71BF2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2632EC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964" w:type="dxa"/>
            <w:vAlign w:val="center"/>
          </w:tcPr>
          <w:p w14:paraId="54909FD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服务期</w:t>
            </w:r>
          </w:p>
        </w:tc>
        <w:tc>
          <w:tcPr>
            <w:tcW w:w="6311" w:type="dxa"/>
            <w:vAlign w:val="center"/>
          </w:tcPr>
          <w:p w14:paraId="5B97941D">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u w:val="none"/>
              </w:rPr>
              <w:t>本项目服务周期自合同签订之日开始至工程竣工验收及结算审计完成，</w:t>
            </w:r>
            <w:r>
              <w:rPr>
                <w:rFonts w:hint="eastAsia" w:ascii="宋体" w:hAnsi="宋体"/>
                <w:color w:val="auto"/>
                <w:szCs w:val="21"/>
                <w:highlight w:val="none"/>
                <w:u w:val="none"/>
                <w:lang w:val="en-US" w:eastAsia="zh-CN"/>
              </w:rPr>
              <w:t>按比选人的时间节点要求完成</w:t>
            </w:r>
            <w:r>
              <w:rPr>
                <w:rFonts w:hint="eastAsia" w:ascii="宋体" w:hAnsi="宋体"/>
                <w:color w:val="auto"/>
                <w:szCs w:val="21"/>
                <w:highlight w:val="none"/>
                <w:u w:val="none"/>
              </w:rPr>
              <w:t>工程量清单及组价编制</w:t>
            </w:r>
            <w:r>
              <w:rPr>
                <w:rFonts w:hint="eastAsia" w:ascii="宋体" w:hAnsi="宋体"/>
                <w:color w:val="auto"/>
                <w:szCs w:val="21"/>
                <w:highlight w:val="none"/>
                <w:u w:val="none"/>
                <w:lang w:eastAsia="zh-CN"/>
              </w:rPr>
              <w:t>，</w:t>
            </w:r>
            <w:r>
              <w:rPr>
                <w:rFonts w:hint="eastAsia" w:ascii="宋体" w:hAnsi="宋体"/>
                <w:snapToGrid w:val="0"/>
                <w:color w:val="auto"/>
                <w:kern w:val="0"/>
                <w:szCs w:val="21"/>
                <w:highlight w:val="none"/>
                <w:u w:val="none"/>
              </w:rPr>
              <w:t>出具项目预算报告</w:t>
            </w:r>
            <w:r>
              <w:rPr>
                <w:rFonts w:hint="eastAsia" w:ascii="宋体" w:hAnsi="宋体"/>
                <w:color w:val="auto"/>
                <w:szCs w:val="21"/>
                <w:highlight w:val="none"/>
                <w:u w:val="none"/>
                <w:lang w:val="en-US" w:eastAsia="zh-CN"/>
              </w:rPr>
              <w:t>。</w:t>
            </w:r>
          </w:p>
        </w:tc>
      </w:tr>
      <w:tr w14:paraId="1E4BB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4F86C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1.3.3</w:t>
            </w:r>
          </w:p>
        </w:tc>
        <w:tc>
          <w:tcPr>
            <w:tcW w:w="1964" w:type="dxa"/>
            <w:vAlign w:val="center"/>
          </w:tcPr>
          <w:p w14:paraId="3DCA6AD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质量要求</w:t>
            </w:r>
          </w:p>
        </w:tc>
        <w:tc>
          <w:tcPr>
            <w:tcW w:w="6311" w:type="dxa"/>
            <w:vAlign w:val="center"/>
          </w:tcPr>
          <w:p w14:paraId="26ADE361">
            <w:pPr>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达到国家现行有关服务质量规范要求，并达到合格标准。</w:t>
            </w:r>
          </w:p>
        </w:tc>
      </w:tr>
      <w:tr w14:paraId="4D9C9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4E4C40AE">
            <w:pPr>
              <w:snapToGrid w:val="0"/>
              <w:spacing w:line="400" w:lineRule="exact"/>
              <w:jc w:val="center"/>
              <w:rPr>
                <w:rFonts w:ascii="宋体" w:hAnsi="宋体" w:cs="宋体"/>
                <w:color w:val="auto"/>
                <w:kern w:val="0"/>
                <w:szCs w:val="21"/>
                <w:highlight w:val="none"/>
              </w:rPr>
            </w:pPr>
          </w:p>
          <w:p w14:paraId="23E6A520">
            <w:pPr>
              <w:snapToGrid w:val="0"/>
              <w:spacing w:line="400" w:lineRule="exact"/>
              <w:jc w:val="center"/>
              <w:rPr>
                <w:rFonts w:ascii="宋体" w:hAnsi="宋体" w:cs="宋体"/>
                <w:color w:val="auto"/>
                <w:kern w:val="0"/>
                <w:szCs w:val="21"/>
                <w:highlight w:val="none"/>
              </w:rPr>
            </w:pPr>
          </w:p>
          <w:p w14:paraId="056D514F">
            <w:pPr>
              <w:snapToGrid w:val="0"/>
              <w:spacing w:line="400" w:lineRule="exact"/>
              <w:jc w:val="center"/>
              <w:rPr>
                <w:rFonts w:ascii="宋体" w:hAnsi="宋体" w:cs="宋体"/>
                <w:color w:val="auto"/>
                <w:kern w:val="0"/>
                <w:szCs w:val="21"/>
                <w:highlight w:val="none"/>
              </w:rPr>
            </w:pPr>
          </w:p>
          <w:p w14:paraId="67D159E5">
            <w:pPr>
              <w:snapToGrid w:val="0"/>
              <w:spacing w:line="400" w:lineRule="exact"/>
              <w:jc w:val="center"/>
              <w:rPr>
                <w:rFonts w:ascii="宋体" w:hAnsi="宋体" w:cs="宋体"/>
                <w:color w:val="auto"/>
                <w:kern w:val="0"/>
                <w:szCs w:val="21"/>
                <w:highlight w:val="none"/>
              </w:rPr>
            </w:pPr>
          </w:p>
          <w:p w14:paraId="2851A8E4">
            <w:pPr>
              <w:snapToGrid w:val="0"/>
              <w:spacing w:line="400" w:lineRule="exact"/>
              <w:jc w:val="center"/>
              <w:rPr>
                <w:rFonts w:ascii="宋体" w:hAnsi="宋体" w:cs="宋体"/>
                <w:color w:val="auto"/>
                <w:kern w:val="0"/>
                <w:szCs w:val="21"/>
                <w:highlight w:val="none"/>
              </w:rPr>
            </w:pPr>
          </w:p>
          <w:p w14:paraId="080CFDAD">
            <w:pPr>
              <w:snapToGrid w:val="0"/>
              <w:spacing w:line="400" w:lineRule="exact"/>
              <w:jc w:val="center"/>
              <w:rPr>
                <w:rFonts w:ascii="宋体" w:hAnsi="宋体" w:cs="宋体"/>
                <w:color w:val="auto"/>
                <w:kern w:val="0"/>
                <w:szCs w:val="21"/>
                <w:highlight w:val="none"/>
              </w:rPr>
            </w:pPr>
          </w:p>
          <w:p w14:paraId="0BC897B6">
            <w:pPr>
              <w:snapToGrid w:val="0"/>
              <w:spacing w:line="400" w:lineRule="exact"/>
              <w:jc w:val="center"/>
              <w:rPr>
                <w:rFonts w:ascii="宋体" w:hAnsi="宋体" w:cs="宋体"/>
                <w:color w:val="auto"/>
                <w:kern w:val="0"/>
                <w:szCs w:val="21"/>
                <w:highlight w:val="none"/>
              </w:rPr>
            </w:pPr>
          </w:p>
          <w:p w14:paraId="167E1495">
            <w:pPr>
              <w:snapToGrid w:val="0"/>
              <w:spacing w:line="400" w:lineRule="exact"/>
              <w:jc w:val="center"/>
              <w:rPr>
                <w:rFonts w:ascii="宋体" w:hAnsi="宋体" w:cs="宋体"/>
                <w:color w:val="auto"/>
                <w:kern w:val="0"/>
                <w:szCs w:val="21"/>
                <w:highlight w:val="none"/>
              </w:rPr>
            </w:pPr>
          </w:p>
          <w:p w14:paraId="27B55083">
            <w:pPr>
              <w:snapToGrid w:val="0"/>
              <w:spacing w:line="400" w:lineRule="exact"/>
              <w:jc w:val="center"/>
              <w:rPr>
                <w:rFonts w:ascii="宋体" w:hAnsi="宋体" w:cs="宋体"/>
                <w:color w:val="auto"/>
                <w:kern w:val="0"/>
                <w:szCs w:val="21"/>
                <w:highlight w:val="none"/>
              </w:rPr>
            </w:pPr>
          </w:p>
          <w:p w14:paraId="50CEA921">
            <w:pPr>
              <w:snapToGrid w:val="0"/>
              <w:spacing w:line="400" w:lineRule="exact"/>
              <w:jc w:val="center"/>
              <w:rPr>
                <w:rFonts w:ascii="宋体" w:hAnsi="宋体" w:cs="宋体"/>
                <w:color w:val="auto"/>
                <w:kern w:val="0"/>
                <w:szCs w:val="21"/>
                <w:highlight w:val="none"/>
              </w:rPr>
            </w:pPr>
          </w:p>
          <w:p w14:paraId="1D1A2C37">
            <w:pPr>
              <w:snapToGrid w:val="0"/>
              <w:spacing w:line="400" w:lineRule="exact"/>
              <w:jc w:val="center"/>
              <w:rPr>
                <w:rFonts w:ascii="宋体" w:hAnsi="宋体" w:cs="宋体"/>
                <w:color w:val="auto"/>
                <w:kern w:val="0"/>
                <w:szCs w:val="21"/>
                <w:highlight w:val="none"/>
              </w:rPr>
            </w:pPr>
          </w:p>
          <w:p w14:paraId="29AA9C10">
            <w:pPr>
              <w:snapToGrid w:val="0"/>
              <w:spacing w:line="400" w:lineRule="exact"/>
              <w:jc w:val="center"/>
              <w:rPr>
                <w:rFonts w:ascii="宋体" w:hAnsi="宋体" w:cs="宋体"/>
                <w:color w:val="auto"/>
                <w:kern w:val="0"/>
                <w:szCs w:val="21"/>
                <w:highlight w:val="none"/>
              </w:rPr>
            </w:pPr>
          </w:p>
          <w:p w14:paraId="1AD5BBFD">
            <w:pPr>
              <w:snapToGrid w:val="0"/>
              <w:spacing w:line="400" w:lineRule="exact"/>
              <w:jc w:val="center"/>
              <w:rPr>
                <w:rFonts w:ascii="宋体" w:hAnsi="宋体" w:cs="宋体"/>
                <w:color w:val="auto"/>
                <w:kern w:val="0"/>
                <w:szCs w:val="21"/>
                <w:highlight w:val="none"/>
              </w:rPr>
            </w:pPr>
          </w:p>
          <w:p w14:paraId="15ECCDC0">
            <w:pPr>
              <w:snapToGrid w:val="0"/>
              <w:spacing w:line="400" w:lineRule="exact"/>
              <w:jc w:val="center"/>
              <w:rPr>
                <w:rFonts w:ascii="宋体" w:hAnsi="宋体" w:cs="宋体"/>
                <w:color w:val="auto"/>
                <w:kern w:val="0"/>
                <w:szCs w:val="21"/>
                <w:highlight w:val="none"/>
              </w:rPr>
            </w:pPr>
          </w:p>
          <w:p w14:paraId="584A54BD">
            <w:pPr>
              <w:snapToGrid w:val="0"/>
              <w:spacing w:line="400" w:lineRule="exact"/>
              <w:jc w:val="center"/>
              <w:rPr>
                <w:rFonts w:ascii="宋体" w:hAnsi="宋体" w:cs="宋体"/>
                <w:color w:val="auto"/>
                <w:kern w:val="0"/>
                <w:szCs w:val="21"/>
                <w:highlight w:val="none"/>
              </w:rPr>
            </w:pPr>
          </w:p>
          <w:p w14:paraId="27EEA805">
            <w:pPr>
              <w:snapToGrid w:val="0"/>
              <w:spacing w:line="400" w:lineRule="exact"/>
              <w:jc w:val="center"/>
              <w:rPr>
                <w:rFonts w:ascii="宋体" w:hAnsi="宋体" w:cs="宋体"/>
                <w:color w:val="auto"/>
                <w:kern w:val="0"/>
                <w:szCs w:val="21"/>
                <w:highlight w:val="none"/>
              </w:rPr>
            </w:pPr>
          </w:p>
          <w:p w14:paraId="31B3DCC7">
            <w:pPr>
              <w:snapToGrid w:val="0"/>
              <w:spacing w:line="400" w:lineRule="exact"/>
              <w:jc w:val="center"/>
              <w:rPr>
                <w:rFonts w:ascii="宋体" w:hAnsi="宋体" w:cs="宋体"/>
                <w:color w:val="auto"/>
                <w:kern w:val="0"/>
                <w:szCs w:val="21"/>
                <w:highlight w:val="none"/>
              </w:rPr>
            </w:pPr>
          </w:p>
          <w:p w14:paraId="79600B3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p w14:paraId="4A1BAE26">
            <w:pPr>
              <w:snapToGrid w:val="0"/>
              <w:spacing w:line="400" w:lineRule="exact"/>
              <w:jc w:val="center"/>
              <w:rPr>
                <w:rFonts w:ascii="宋体" w:hAnsi="宋体" w:cs="宋体"/>
                <w:color w:val="auto"/>
                <w:kern w:val="0"/>
                <w:szCs w:val="21"/>
                <w:highlight w:val="none"/>
              </w:rPr>
            </w:pPr>
          </w:p>
          <w:p w14:paraId="5E34681F">
            <w:pPr>
              <w:snapToGrid w:val="0"/>
              <w:spacing w:line="400" w:lineRule="exact"/>
              <w:jc w:val="center"/>
              <w:rPr>
                <w:rFonts w:ascii="宋体" w:hAnsi="宋体" w:cs="宋体"/>
                <w:color w:val="auto"/>
                <w:kern w:val="0"/>
                <w:szCs w:val="21"/>
                <w:highlight w:val="none"/>
              </w:rPr>
            </w:pPr>
          </w:p>
          <w:p w14:paraId="4B524D5A">
            <w:pPr>
              <w:snapToGrid w:val="0"/>
              <w:spacing w:line="400" w:lineRule="exact"/>
              <w:jc w:val="center"/>
              <w:rPr>
                <w:rFonts w:ascii="宋体" w:hAnsi="宋体" w:cs="宋体"/>
                <w:color w:val="auto"/>
                <w:kern w:val="0"/>
                <w:szCs w:val="21"/>
                <w:highlight w:val="none"/>
              </w:rPr>
            </w:pPr>
          </w:p>
          <w:p w14:paraId="7F3925A1">
            <w:pPr>
              <w:snapToGrid w:val="0"/>
              <w:spacing w:line="400" w:lineRule="exact"/>
              <w:jc w:val="center"/>
              <w:rPr>
                <w:rFonts w:ascii="宋体" w:hAnsi="宋体" w:cs="宋体"/>
                <w:color w:val="auto"/>
                <w:kern w:val="0"/>
                <w:szCs w:val="21"/>
                <w:highlight w:val="none"/>
              </w:rPr>
            </w:pPr>
          </w:p>
          <w:p w14:paraId="358BED07">
            <w:pPr>
              <w:snapToGrid w:val="0"/>
              <w:spacing w:line="400" w:lineRule="exact"/>
              <w:jc w:val="center"/>
              <w:rPr>
                <w:rFonts w:ascii="宋体" w:hAnsi="宋体" w:cs="宋体"/>
                <w:color w:val="auto"/>
                <w:kern w:val="0"/>
                <w:szCs w:val="21"/>
                <w:highlight w:val="none"/>
              </w:rPr>
            </w:pPr>
          </w:p>
          <w:p w14:paraId="66A52EAD">
            <w:pPr>
              <w:snapToGrid w:val="0"/>
              <w:spacing w:line="400" w:lineRule="exact"/>
              <w:jc w:val="center"/>
              <w:rPr>
                <w:rFonts w:ascii="宋体" w:hAnsi="宋体" w:cs="宋体"/>
                <w:color w:val="auto"/>
                <w:kern w:val="0"/>
                <w:szCs w:val="21"/>
                <w:highlight w:val="none"/>
              </w:rPr>
            </w:pPr>
          </w:p>
          <w:p w14:paraId="274B7C5A">
            <w:pPr>
              <w:snapToGrid w:val="0"/>
              <w:spacing w:line="400" w:lineRule="exact"/>
              <w:jc w:val="center"/>
              <w:rPr>
                <w:rFonts w:ascii="宋体" w:hAnsi="宋体" w:cs="宋体"/>
                <w:color w:val="auto"/>
                <w:kern w:val="0"/>
                <w:szCs w:val="21"/>
                <w:highlight w:val="none"/>
              </w:rPr>
            </w:pPr>
          </w:p>
          <w:p w14:paraId="7B439320">
            <w:pPr>
              <w:snapToGrid w:val="0"/>
              <w:spacing w:line="400" w:lineRule="exact"/>
              <w:jc w:val="center"/>
              <w:rPr>
                <w:rFonts w:ascii="宋体" w:hAnsi="宋体" w:cs="宋体"/>
                <w:color w:val="auto"/>
                <w:kern w:val="0"/>
                <w:szCs w:val="21"/>
                <w:highlight w:val="none"/>
              </w:rPr>
            </w:pPr>
          </w:p>
          <w:p w14:paraId="581604E4">
            <w:pPr>
              <w:pStyle w:val="8"/>
              <w:rPr>
                <w:rFonts w:ascii="宋体" w:hAnsi="宋体" w:cs="宋体"/>
                <w:color w:val="auto"/>
                <w:kern w:val="0"/>
                <w:szCs w:val="21"/>
                <w:highlight w:val="none"/>
              </w:rPr>
            </w:pPr>
          </w:p>
          <w:p w14:paraId="07548DF0">
            <w:pPr>
              <w:rPr>
                <w:rFonts w:ascii="宋体" w:hAnsi="宋体" w:cs="宋体"/>
                <w:color w:val="auto"/>
                <w:kern w:val="0"/>
                <w:szCs w:val="21"/>
                <w:highlight w:val="none"/>
              </w:rPr>
            </w:pPr>
          </w:p>
          <w:p w14:paraId="5E854E64">
            <w:pPr>
              <w:pStyle w:val="8"/>
              <w:rPr>
                <w:rFonts w:ascii="宋体" w:hAnsi="宋体" w:cs="宋体"/>
                <w:color w:val="auto"/>
                <w:kern w:val="0"/>
                <w:szCs w:val="21"/>
                <w:highlight w:val="none"/>
              </w:rPr>
            </w:pPr>
          </w:p>
          <w:p w14:paraId="7791753B">
            <w:pPr>
              <w:rPr>
                <w:rFonts w:ascii="宋体" w:hAnsi="宋体" w:cs="宋体"/>
                <w:color w:val="auto"/>
                <w:kern w:val="0"/>
                <w:szCs w:val="21"/>
                <w:highlight w:val="none"/>
              </w:rPr>
            </w:pPr>
          </w:p>
          <w:p w14:paraId="7240D118">
            <w:pPr>
              <w:pStyle w:val="8"/>
              <w:rPr>
                <w:rFonts w:ascii="宋体" w:hAnsi="宋体" w:cs="宋体"/>
                <w:color w:val="auto"/>
                <w:kern w:val="0"/>
                <w:szCs w:val="21"/>
                <w:highlight w:val="none"/>
              </w:rPr>
            </w:pPr>
          </w:p>
          <w:p w14:paraId="25358F12">
            <w:pPr>
              <w:rPr>
                <w:rFonts w:ascii="宋体" w:hAnsi="宋体" w:cs="宋体"/>
                <w:color w:val="auto"/>
                <w:kern w:val="0"/>
                <w:szCs w:val="21"/>
                <w:highlight w:val="none"/>
              </w:rPr>
            </w:pPr>
          </w:p>
          <w:p w14:paraId="64D8A64A">
            <w:pPr>
              <w:pStyle w:val="8"/>
              <w:rPr>
                <w:rFonts w:ascii="宋体" w:hAnsi="宋体"/>
                <w:color w:val="auto"/>
                <w:highlight w:val="none"/>
              </w:rPr>
            </w:pPr>
          </w:p>
          <w:p w14:paraId="4B0BAA57">
            <w:pPr>
              <w:snapToGrid w:val="0"/>
              <w:spacing w:line="400" w:lineRule="exact"/>
              <w:jc w:val="center"/>
              <w:rPr>
                <w:rFonts w:ascii="宋体" w:hAnsi="宋体" w:cs="宋体"/>
                <w:color w:val="auto"/>
                <w:kern w:val="0"/>
                <w:szCs w:val="21"/>
                <w:highlight w:val="none"/>
              </w:rPr>
            </w:pPr>
          </w:p>
          <w:p w14:paraId="1DF580D5">
            <w:pPr>
              <w:snapToGrid w:val="0"/>
              <w:spacing w:line="400" w:lineRule="exact"/>
              <w:jc w:val="center"/>
              <w:rPr>
                <w:rFonts w:ascii="宋体" w:hAnsi="宋体" w:cs="宋体"/>
                <w:color w:val="auto"/>
                <w:kern w:val="0"/>
                <w:szCs w:val="21"/>
                <w:highlight w:val="none"/>
              </w:rPr>
            </w:pPr>
          </w:p>
          <w:p w14:paraId="419300DE">
            <w:pPr>
              <w:snapToGrid w:val="0"/>
              <w:spacing w:line="400" w:lineRule="exact"/>
              <w:jc w:val="center"/>
              <w:rPr>
                <w:rFonts w:ascii="宋体" w:hAnsi="宋体" w:cs="宋体"/>
                <w:color w:val="auto"/>
                <w:kern w:val="0"/>
                <w:szCs w:val="21"/>
                <w:highlight w:val="none"/>
              </w:rPr>
            </w:pPr>
          </w:p>
          <w:p w14:paraId="2EBEFD78">
            <w:pPr>
              <w:snapToGrid w:val="0"/>
              <w:spacing w:line="400" w:lineRule="exact"/>
              <w:jc w:val="center"/>
              <w:rPr>
                <w:rFonts w:ascii="宋体" w:hAnsi="宋体" w:cs="宋体"/>
                <w:color w:val="auto"/>
                <w:kern w:val="0"/>
                <w:szCs w:val="21"/>
                <w:highlight w:val="none"/>
              </w:rPr>
            </w:pPr>
          </w:p>
          <w:p w14:paraId="18F06225">
            <w:pPr>
              <w:pStyle w:val="8"/>
              <w:rPr>
                <w:rFonts w:ascii="宋体" w:hAnsi="宋体" w:cs="宋体"/>
                <w:color w:val="auto"/>
                <w:kern w:val="0"/>
                <w:szCs w:val="21"/>
                <w:highlight w:val="none"/>
              </w:rPr>
            </w:pPr>
          </w:p>
          <w:p w14:paraId="7056D8A1">
            <w:pPr>
              <w:rPr>
                <w:rFonts w:ascii="宋体" w:hAnsi="宋体" w:cs="宋体"/>
                <w:color w:val="auto"/>
                <w:kern w:val="0"/>
                <w:szCs w:val="21"/>
                <w:highlight w:val="none"/>
              </w:rPr>
            </w:pPr>
          </w:p>
          <w:p w14:paraId="32BB9F9B">
            <w:pPr>
              <w:pStyle w:val="8"/>
              <w:rPr>
                <w:rFonts w:ascii="宋体" w:hAnsi="宋体" w:cs="宋体"/>
                <w:color w:val="auto"/>
                <w:kern w:val="0"/>
                <w:szCs w:val="21"/>
                <w:highlight w:val="none"/>
              </w:rPr>
            </w:pPr>
          </w:p>
          <w:p w14:paraId="52C0A908">
            <w:pPr>
              <w:rPr>
                <w:rFonts w:ascii="宋体" w:hAnsi="宋体" w:cs="宋体"/>
                <w:color w:val="auto"/>
                <w:kern w:val="0"/>
                <w:szCs w:val="21"/>
                <w:highlight w:val="none"/>
              </w:rPr>
            </w:pPr>
          </w:p>
          <w:p w14:paraId="704FFE9B">
            <w:pPr>
              <w:snapToGrid w:val="0"/>
              <w:spacing w:line="400" w:lineRule="exact"/>
              <w:rPr>
                <w:rFonts w:ascii="宋体" w:hAnsi="宋体" w:cs="宋体"/>
                <w:color w:val="auto"/>
                <w:kern w:val="0"/>
                <w:szCs w:val="21"/>
                <w:highlight w:val="none"/>
              </w:rPr>
            </w:pPr>
          </w:p>
        </w:tc>
        <w:tc>
          <w:tcPr>
            <w:tcW w:w="1964" w:type="dxa"/>
            <w:vAlign w:val="center"/>
          </w:tcPr>
          <w:p w14:paraId="1809BF33">
            <w:pPr>
              <w:snapToGrid w:val="0"/>
              <w:spacing w:line="400" w:lineRule="exact"/>
              <w:jc w:val="center"/>
              <w:rPr>
                <w:rFonts w:ascii="宋体" w:hAnsi="宋体" w:cs="宋体"/>
                <w:color w:val="auto"/>
                <w:kern w:val="0"/>
                <w:szCs w:val="21"/>
                <w:highlight w:val="none"/>
              </w:rPr>
            </w:pPr>
          </w:p>
          <w:p w14:paraId="7916B77E">
            <w:pPr>
              <w:snapToGrid w:val="0"/>
              <w:spacing w:line="400" w:lineRule="exact"/>
              <w:jc w:val="center"/>
              <w:rPr>
                <w:rFonts w:ascii="宋体" w:hAnsi="宋体" w:cs="宋体"/>
                <w:color w:val="auto"/>
                <w:kern w:val="0"/>
                <w:szCs w:val="21"/>
                <w:highlight w:val="none"/>
              </w:rPr>
            </w:pPr>
          </w:p>
          <w:p w14:paraId="2D37575F">
            <w:pPr>
              <w:snapToGrid w:val="0"/>
              <w:spacing w:line="400" w:lineRule="exact"/>
              <w:jc w:val="center"/>
              <w:rPr>
                <w:rFonts w:ascii="宋体" w:hAnsi="宋体" w:cs="宋体"/>
                <w:color w:val="auto"/>
                <w:kern w:val="0"/>
                <w:szCs w:val="21"/>
                <w:highlight w:val="none"/>
              </w:rPr>
            </w:pPr>
          </w:p>
          <w:p w14:paraId="171CB06B">
            <w:pPr>
              <w:snapToGrid w:val="0"/>
              <w:spacing w:line="400" w:lineRule="exact"/>
              <w:jc w:val="center"/>
              <w:rPr>
                <w:rFonts w:ascii="宋体" w:hAnsi="宋体" w:cs="宋体"/>
                <w:color w:val="auto"/>
                <w:kern w:val="0"/>
                <w:szCs w:val="21"/>
                <w:highlight w:val="none"/>
              </w:rPr>
            </w:pPr>
          </w:p>
          <w:p w14:paraId="3F59992E">
            <w:pPr>
              <w:snapToGrid w:val="0"/>
              <w:spacing w:line="400" w:lineRule="exact"/>
              <w:jc w:val="center"/>
              <w:rPr>
                <w:rFonts w:ascii="宋体" w:hAnsi="宋体" w:cs="宋体"/>
                <w:color w:val="auto"/>
                <w:kern w:val="0"/>
                <w:szCs w:val="21"/>
                <w:highlight w:val="none"/>
              </w:rPr>
            </w:pPr>
          </w:p>
          <w:p w14:paraId="7565D509">
            <w:pPr>
              <w:snapToGrid w:val="0"/>
              <w:spacing w:line="400" w:lineRule="exact"/>
              <w:jc w:val="center"/>
              <w:rPr>
                <w:rFonts w:ascii="宋体" w:hAnsi="宋体" w:cs="宋体"/>
                <w:color w:val="auto"/>
                <w:kern w:val="0"/>
                <w:szCs w:val="21"/>
                <w:highlight w:val="none"/>
              </w:rPr>
            </w:pPr>
          </w:p>
          <w:p w14:paraId="2BBCBA17">
            <w:pPr>
              <w:snapToGrid w:val="0"/>
              <w:spacing w:line="400" w:lineRule="exact"/>
              <w:jc w:val="center"/>
              <w:rPr>
                <w:rFonts w:ascii="宋体" w:hAnsi="宋体" w:cs="宋体"/>
                <w:color w:val="auto"/>
                <w:kern w:val="0"/>
                <w:szCs w:val="21"/>
                <w:highlight w:val="none"/>
              </w:rPr>
            </w:pPr>
          </w:p>
          <w:p w14:paraId="6EDA672E">
            <w:pPr>
              <w:snapToGrid w:val="0"/>
              <w:spacing w:line="400" w:lineRule="exact"/>
              <w:jc w:val="center"/>
              <w:rPr>
                <w:rFonts w:ascii="宋体" w:hAnsi="宋体" w:cs="宋体"/>
                <w:color w:val="auto"/>
                <w:kern w:val="0"/>
                <w:szCs w:val="21"/>
                <w:highlight w:val="none"/>
              </w:rPr>
            </w:pPr>
          </w:p>
          <w:p w14:paraId="583EE56B">
            <w:pPr>
              <w:snapToGrid w:val="0"/>
              <w:spacing w:line="400" w:lineRule="exact"/>
              <w:jc w:val="center"/>
              <w:rPr>
                <w:rFonts w:ascii="宋体" w:hAnsi="宋体" w:cs="宋体"/>
                <w:color w:val="auto"/>
                <w:kern w:val="0"/>
                <w:szCs w:val="21"/>
                <w:highlight w:val="none"/>
              </w:rPr>
            </w:pPr>
          </w:p>
          <w:p w14:paraId="664B03BC">
            <w:pPr>
              <w:snapToGrid w:val="0"/>
              <w:spacing w:line="400" w:lineRule="exact"/>
              <w:jc w:val="center"/>
              <w:rPr>
                <w:rFonts w:ascii="宋体" w:hAnsi="宋体" w:cs="宋体"/>
                <w:color w:val="auto"/>
                <w:kern w:val="0"/>
                <w:szCs w:val="21"/>
                <w:highlight w:val="none"/>
              </w:rPr>
            </w:pPr>
          </w:p>
          <w:p w14:paraId="76D89553">
            <w:pPr>
              <w:snapToGrid w:val="0"/>
              <w:spacing w:line="400" w:lineRule="exact"/>
              <w:jc w:val="center"/>
              <w:rPr>
                <w:rFonts w:ascii="宋体" w:hAnsi="宋体" w:cs="宋体"/>
                <w:color w:val="auto"/>
                <w:kern w:val="0"/>
                <w:szCs w:val="21"/>
                <w:highlight w:val="none"/>
              </w:rPr>
            </w:pPr>
          </w:p>
          <w:p w14:paraId="1FFCABD6">
            <w:pPr>
              <w:snapToGrid w:val="0"/>
              <w:spacing w:line="400" w:lineRule="exact"/>
              <w:jc w:val="center"/>
              <w:rPr>
                <w:rFonts w:ascii="宋体" w:hAnsi="宋体" w:cs="宋体"/>
                <w:color w:val="auto"/>
                <w:kern w:val="0"/>
                <w:szCs w:val="21"/>
                <w:highlight w:val="none"/>
              </w:rPr>
            </w:pPr>
          </w:p>
          <w:p w14:paraId="033B61C2">
            <w:pPr>
              <w:snapToGrid w:val="0"/>
              <w:spacing w:line="400" w:lineRule="exact"/>
              <w:jc w:val="center"/>
              <w:rPr>
                <w:rFonts w:ascii="宋体" w:hAnsi="宋体" w:cs="宋体"/>
                <w:color w:val="auto"/>
                <w:kern w:val="0"/>
                <w:szCs w:val="21"/>
                <w:highlight w:val="none"/>
              </w:rPr>
            </w:pPr>
          </w:p>
          <w:p w14:paraId="2D78CCDD">
            <w:pPr>
              <w:snapToGrid w:val="0"/>
              <w:spacing w:line="400" w:lineRule="exact"/>
              <w:jc w:val="center"/>
              <w:rPr>
                <w:rFonts w:ascii="宋体" w:hAnsi="宋体" w:cs="宋体"/>
                <w:color w:val="auto"/>
                <w:kern w:val="0"/>
                <w:szCs w:val="21"/>
                <w:highlight w:val="none"/>
              </w:rPr>
            </w:pPr>
          </w:p>
          <w:p w14:paraId="5AF90685">
            <w:pPr>
              <w:snapToGrid w:val="0"/>
              <w:spacing w:line="400" w:lineRule="exact"/>
              <w:jc w:val="center"/>
              <w:rPr>
                <w:rFonts w:ascii="宋体" w:hAnsi="宋体" w:cs="宋体"/>
                <w:color w:val="auto"/>
                <w:kern w:val="0"/>
                <w:szCs w:val="21"/>
                <w:highlight w:val="none"/>
              </w:rPr>
            </w:pPr>
          </w:p>
          <w:p w14:paraId="2676DC6B">
            <w:pPr>
              <w:snapToGrid w:val="0"/>
              <w:spacing w:line="400" w:lineRule="exact"/>
              <w:jc w:val="center"/>
              <w:rPr>
                <w:rFonts w:ascii="宋体" w:hAnsi="宋体" w:cs="宋体"/>
                <w:color w:val="auto"/>
                <w:kern w:val="0"/>
                <w:szCs w:val="21"/>
                <w:highlight w:val="none"/>
              </w:rPr>
            </w:pPr>
          </w:p>
          <w:p w14:paraId="555F7BFF">
            <w:pPr>
              <w:snapToGrid w:val="0"/>
              <w:spacing w:line="400" w:lineRule="exact"/>
              <w:jc w:val="center"/>
              <w:rPr>
                <w:rFonts w:ascii="宋体" w:hAnsi="宋体" w:cs="宋体"/>
                <w:color w:val="auto"/>
                <w:kern w:val="0"/>
                <w:szCs w:val="21"/>
                <w:highlight w:val="none"/>
              </w:rPr>
            </w:pPr>
          </w:p>
          <w:p w14:paraId="0401DE0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p w14:paraId="4761F2B5">
            <w:pPr>
              <w:snapToGrid w:val="0"/>
              <w:spacing w:line="400" w:lineRule="exact"/>
              <w:jc w:val="center"/>
              <w:rPr>
                <w:rFonts w:ascii="宋体" w:hAnsi="宋体" w:cs="宋体"/>
                <w:color w:val="auto"/>
                <w:kern w:val="0"/>
                <w:szCs w:val="21"/>
                <w:highlight w:val="none"/>
              </w:rPr>
            </w:pPr>
          </w:p>
          <w:p w14:paraId="0FD3E0BA">
            <w:pPr>
              <w:snapToGrid w:val="0"/>
              <w:spacing w:line="400" w:lineRule="exact"/>
              <w:jc w:val="center"/>
              <w:rPr>
                <w:rFonts w:ascii="宋体" w:hAnsi="宋体" w:cs="宋体"/>
                <w:color w:val="auto"/>
                <w:kern w:val="0"/>
                <w:szCs w:val="21"/>
                <w:highlight w:val="none"/>
              </w:rPr>
            </w:pPr>
          </w:p>
          <w:p w14:paraId="2CFA8CF9">
            <w:pPr>
              <w:snapToGrid w:val="0"/>
              <w:spacing w:line="400" w:lineRule="exact"/>
              <w:jc w:val="center"/>
              <w:rPr>
                <w:rFonts w:ascii="宋体" w:hAnsi="宋体" w:cs="宋体"/>
                <w:color w:val="auto"/>
                <w:kern w:val="0"/>
                <w:szCs w:val="21"/>
                <w:highlight w:val="none"/>
              </w:rPr>
            </w:pPr>
          </w:p>
          <w:p w14:paraId="7475453D">
            <w:pPr>
              <w:snapToGrid w:val="0"/>
              <w:spacing w:line="400" w:lineRule="exact"/>
              <w:jc w:val="center"/>
              <w:rPr>
                <w:rFonts w:ascii="宋体" w:hAnsi="宋体" w:cs="宋体"/>
                <w:color w:val="auto"/>
                <w:kern w:val="0"/>
                <w:szCs w:val="21"/>
                <w:highlight w:val="none"/>
              </w:rPr>
            </w:pPr>
          </w:p>
          <w:p w14:paraId="4B19D986">
            <w:pPr>
              <w:snapToGrid w:val="0"/>
              <w:spacing w:line="400" w:lineRule="exact"/>
              <w:jc w:val="center"/>
              <w:rPr>
                <w:rFonts w:ascii="宋体" w:hAnsi="宋体" w:cs="宋体"/>
                <w:color w:val="auto"/>
                <w:kern w:val="0"/>
                <w:szCs w:val="21"/>
                <w:highlight w:val="none"/>
              </w:rPr>
            </w:pPr>
          </w:p>
          <w:p w14:paraId="2B6CAB46">
            <w:pPr>
              <w:snapToGrid w:val="0"/>
              <w:spacing w:line="400" w:lineRule="exact"/>
              <w:jc w:val="center"/>
              <w:rPr>
                <w:rFonts w:ascii="宋体" w:hAnsi="宋体" w:cs="宋体"/>
                <w:color w:val="auto"/>
                <w:kern w:val="0"/>
                <w:szCs w:val="21"/>
                <w:highlight w:val="none"/>
              </w:rPr>
            </w:pPr>
          </w:p>
          <w:p w14:paraId="28DF7E5B">
            <w:pPr>
              <w:pStyle w:val="8"/>
              <w:rPr>
                <w:rFonts w:ascii="宋体" w:hAnsi="宋体" w:cs="宋体"/>
                <w:color w:val="auto"/>
                <w:kern w:val="0"/>
                <w:szCs w:val="21"/>
                <w:highlight w:val="none"/>
              </w:rPr>
            </w:pPr>
          </w:p>
          <w:p w14:paraId="3DD4D0B6">
            <w:pPr>
              <w:rPr>
                <w:rFonts w:ascii="宋体" w:hAnsi="宋体" w:cs="宋体"/>
                <w:color w:val="auto"/>
                <w:kern w:val="0"/>
                <w:szCs w:val="21"/>
                <w:highlight w:val="none"/>
              </w:rPr>
            </w:pPr>
          </w:p>
          <w:p w14:paraId="30DE801D">
            <w:pPr>
              <w:pStyle w:val="8"/>
              <w:rPr>
                <w:rFonts w:ascii="宋体" w:hAnsi="宋体" w:cs="宋体"/>
                <w:color w:val="auto"/>
                <w:kern w:val="0"/>
                <w:szCs w:val="21"/>
                <w:highlight w:val="none"/>
              </w:rPr>
            </w:pPr>
          </w:p>
          <w:p w14:paraId="18960BC8">
            <w:pPr>
              <w:rPr>
                <w:rFonts w:ascii="宋体" w:hAnsi="宋体" w:cs="宋体"/>
                <w:color w:val="auto"/>
                <w:kern w:val="0"/>
                <w:szCs w:val="21"/>
                <w:highlight w:val="none"/>
              </w:rPr>
            </w:pPr>
          </w:p>
          <w:p w14:paraId="3554BD75">
            <w:pPr>
              <w:pStyle w:val="8"/>
              <w:rPr>
                <w:rFonts w:ascii="宋体" w:hAnsi="宋体" w:cs="宋体"/>
                <w:color w:val="auto"/>
                <w:kern w:val="0"/>
                <w:szCs w:val="21"/>
                <w:highlight w:val="none"/>
              </w:rPr>
            </w:pPr>
          </w:p>
          <w:p w14:paraId="3AFBE4FF">
            <w:pPr>
              <w:rPr>
                <w:rFonts w:ascii="宋体" w:hAnsi="宋体" w:cs="宋体"/>
                <w:color w:val="auto"/>
                <w:kern w:val="0"/>
                <w:szCs w:val="21"/>
                <w:highlight w:val="none"/>
              </w:rPr>
            </w:pPr>
          </w:p>
          <w:p w14:paraId="7D897D63">
            <w:pPr>
              <w:pStyle w:val="8"/>
              <w:rPr>
                <w:rFonts w:ascii="宋体" w:hAnsi="宋体" w:cs="宋体"/>
                <w:color w:val="auto"/>
                <w:kern w:val="0"/>
                <w:szCs w:val="21"/>
                <w:highlight w:val="none"/>
              </w:rPr>
            </w:pPr>
          </w:p>
          <w:p w14:paraId="2B750E29">
            <w:pPr>
              <w:rPr>
                <w:rFonts w:ascii="宋体" w:hAnsi="宋体" w:cs="宋体"/>
                <w:color w:val="auto"/>
                <w:kern w:val="0"/>
                <w:szCs w:val="21"/>
                <w:highlight w:val="none"/>
              </w:rPr>
            </w:pPr>
          </w:p>
          <w:p w14:paraId="3201C9B6">
            <w:pPr>
              <w:pStyle w:val="8"/>
              <w:rPr>
                <w:rFonts w:ascii="宋体" w:hAnsi="宋体" w:cs="宋体"/>
                <w:color w:val="auto"/>
                <w:kern w:val="0"/>
                <w:szCs w:val="21"/>
                <w:highlight w:val="none"/>
              </w:rPr>
            </w:pPr>
          </w:p>
          <w:p w14:paraId="53F6F855">
            <w:pPr>
              <w:rPr>
                <w:rFonts w:ascii="宋体" w:hAnsi="宋体" w:cs="宋体"/>
                <w:color w:val="auto"/>
                <w:kern w:val="0"/>
                <w:szCs w:val="21"/>
                <w:highlight w:val="none"/>
              </w:rPr>
            </w:pPr>
          </w:p>
          <w:p w14:paraId="5A6E5154">
            <w:pPr>
              <w:pStyle w:val="8"/>
              <w:rPr>
                <w:rFonts w:ascii="宋体" w:hAnsi="宋体" w:cs="宋体"/>
                <w:color w:val="auto"/>
                <w:kern w:val="0"/>
                <w:szCs w:val="21"/>
                <w:highlight w:val="none"/>
              </w:rPr>
            </w:pPr>
          </w:p>
          <w:p w14:paraId="7A622617">
            <w:pPr>
              <w:rPr>
                <w:rFonts w:ascii="宋体" w:hAnsi="宋体" w:cs="宋体"/>
                <w:color w:val="auto"/>
                <w:kern w:val="0"/>
                <w:szCs w:val="21"/>
                <w:highlight w:val="none"/>
              </w:rPr>
            </w:pPr>
          </w:p>
          <w:p w14:paraId="648B4ACC">
            <w:pPr>
              <w:pStyle w:val="8"/>
              <w:rPr>
                <w:rFonts w:ascii="宋体" w:hAnsi="宋体"/>
                <w:color w:val="auto"/>
                <w:highlight w:val="none"/>
              </w:rPr>
            </w:pPr>
          </w:p>
          <w:p w14:paraId="5A62079E">
            <w:pPr>
              <w:snapToGrid w:val="0"/>
              <w:spacing w:line="400" w:lineRule="exact"/>
              <w:jc w:val="center"/>
              <w:rPr>
                <w:rFonts w:ascii="宋体" w:hAnsi="宋体" w:cs="宋体"/>
                <w:color w:val="auto"/>
                <w:kern w:val="0"/>
                <w:szCs w:val="21"/>
                <w:highlight w:val="none"/>
              </w:rPr>
            </w:pPr>
          </w:p>
          <w:p w14:paraId="234FC1AA">
            <w:pPr>
              <w:snapToGrid w:val="0"/>
              <w:spacing w:line="400" w:lineRule="exact"/>
              <w:jc w:val="center"/>
              <w:rPr>
                <w:rFonts w:ascii="宋体" w:hAnsi="宋体" w:cs="宋体"/>
                <w:color w:val="auto"/>
                <w:kern w:val="0"/>
                <w:szCs w:val="21"/>
                <w:highlight w:val="none"/>
              </w:rPr>
            </w:pPr>
          </w:p>
          <w:p w14:paraId="5E9A5206">
            <w:pPr>
              <w:snapToGrid w:val="0"/>
              <w:spacing w:line="400" w:lineRule="exact"/>
              <w:jc w:val="center"/>
              <w:rPr>
                <w:rFonts w:ascii="宋体" w:hAnsi="宋体" w:cs="宋体"/>
                <w:color w:val="auto"/>
                <w:kern w:val="0"/>
                <w:szCs w:val="21"/>
                <w:highlight w:val="none"/>
              </w:rPr>
            </w:pPr>
          </w:p>
          <w:p w14:paraId="0D6E53CC">
            <w:pPr>
              <w:snapToGrid w:val="0"/>
              <w:spacing w:line="400" w:lineRule="exact"/>
              <w:jc w:val="center"/>
              <w:rPr>
                <w:rFonts w:ascii="宋体" w:hAnsi="宋体" w:cs="宋体"/>
                <w:color w:val="auto"/>
                <w:kern w:val="0"/>
                <w:szCs w:val="21"/>
                <w:highlight w:val="none"/>
              </w:rPr>
            </w:pPr>
          </w:p>
          <w:p w14:paraId="29AE7AA3">
            <w:pPr>
              <w:snapToGrid w:val="0"/>
              <w:spacing w:line="400" w:lineRule="exact"/>
              <w:rPr>
                <w:rFonts w:ascii="宋体" w:hAnsi="宋体" w:cs="宋体"/>
                <w:color w:val="auto"/>
                <w:kern w:val="0"/>
                <w:szCs w:val="21"/>
                <w:highlight w:val="none"/>
              </w:rPr>
            </w:pPr>
          </w:p>
        </w:tc>
        <w:tc>
          <w:tcPr>
            <w:tcW w:w="6311" w:type="dxa"/>
            <w:vAlign w:val="center"/>
          </w:tcPr>
          <w:p w14:paraId="6E2502A8">
            <w:pPr>
              <w:snapToGrid w:val="0"/>
              <w:spacing w:line="400" w:lineRule="exact"/>
              <w:ind w:firstLine="420" w:firstLineChars="200"/>
              <w:rPr>
                <w:rFonts w:ascii="宋体" w:hAnsi="宋体" w:cs="宋体"/>
                <w:color w:val="auto"/>
                <w:highlight w:val="none"/>
              </w:rPr>
            </w:pPr>
            <w:bookmarkStart w:id="57" w:name="OLE_LINK1"/>
            <w:r>
              <w:rPr>
                <w:rFonts w:hint="eastAsia" w:ascii="宋体" w:hAnsi="宋体" w:cs="宋体"/>
                <w:color w:val="auto"/>
                <w:highlight w:val="none"/>
              </w:rPr>
              <w:t>本次比选实行资格后审，</w:t>
            </w:r>
            <w:bookmarkStart w:id="58" w:name="一是"/>
            <w:bookmarkEnd w:id="58"/>
            <w:r>
              <w:rPr>
                <w:rFonts w:hint="eastAsia" w:ascii="宋体" w:hAnsi="宋体" w:cs="宋体"/>
                <w:color w:val="auto"/>
                <w:highlight w:val="none"/>
              </w:rPr>
              <w:t>竞选人须具备以下资格条件：</w:t>
            </w:r>
          </w:p>
          <w:bookmarkEnd w:id="57"/>
          <w:p w14:paraId="2321127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b/>
                <w:color w:val="auto"/>
                <w:szCs w:val="21"/>
                <w:highlight w:val="none"/>
              </w:rPr>
              <w:t>营业执照要求</w:t>
            </w:r>
          </w:p>
          <w:p w14:paraId="1C622233">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olor w:val="auto"/>
                <w:szCs w:val="21"/>
                <w:highlight w:val="none"/>
              </w:rPr>
              <w:t>具备有效的营业执照，并具有独立法人资格</w:t>
            </w:r>
            <w:r>
              <w:rPr>
                <w:rFonts w:hint="eastAsia" w:ascii="宋体" w:hAnsi="宋体" w:cs="宋体"/>
                <w:color w:val="auto"/>
                <w:highlight w:val="none"/>
              </w:rPr>
              <w:t>。</w:t>
            </w:r>
          </w:p>
          <w:p w14:paraId="0C21C238">
            <w:pPr>
              <w:snapToGrid w:val="0"/>
              <w:spacing w:line="400" w:lineRule="exact"/>
              <w:ind w:firstLine="420" w:firstLineChars="200"/>
              <w:rPr>
                <w:rFonts w:ascii="宋体" w:hAnsi="宋体" w:cs="宋体"/>
                <w:bCs/>
                <w:color w:val="auto"/>
                <w:highlight w:val="none"/>
              </w:rPr>
            </w:pPr>
            <w:r>
              <w:rPr>
                <w:rFonts w:hint="eastAsia" w:ascii="宋体" w:hAnsi="宋体"/>
                <w:bCs/>
                <w:color w:val="auto"/>
                <w:szCs w:val="21"/>
                <w:highlight w:val="none"/>
              </w:rPr>
              <w:t>提供载有统一社会信用代码的营业执照副本复印件。</w:t>
            </w:r>
          </w:p>
          <w:p w14:paraId="695D23AE">
            <w:pPr>
              <w:snapToGrid w:val="0"/>
              <w:spacing w:line="400" w:lineRule="exact"/>
              <w:ind w:firstLine="422" w:firstLineChars="200"/>
              <w:rPr>
                <w:rFonts w:ascii="宋体" w:hAnsi="宋体" w:cs="宋体"/>
                <w:color w:val="auto"/>
                <w:highlight w:val="none"/>
              </w:rPr>
            </w:pPr>
            <w:r>
              <w:rPr>
                <w:rFonts w:hint="eastAsia" w:ascii="宋体" w:hAnsi="宋体" w:cs="宋体"/>
                <w:b/>
                <w:bCs/>
                <w:color w:val="auto"/>
                <w:highlight w:val="none"/>
              </w:rPr>
              <w:t>2.财务要求：</w:t>
            </w:r>
            <w:r>
              <w:rPr>
                <w:rFonts w:hint="eastAsia" w:ascii="宋体" w:hAnsi="宋体" w:cs="宋体"/>
                <w:color w:val="auto"/>
                <w:highlight w:val="none"/>
              </w:rPr>
              <w:t>202</w:t>
            </w:r>
            <w:r>
              <w:rPr>
                <w:rFonts w:hint="eastAsia" w:ascii="宋体" w:hAnsi="宋体" w:cs="宋体"/>
                <w:color w:val="auto"/>
                <w:highlight w:val="none"/>
                <w:lang w:val="en-US" w:eastAsia="zh-CN"/>
              </w:rPr>
              <w:t>3</w:t>
            </w:r>
            <w:r>
              <w:rPr>
                <w:rFonts w:hint="eastAsia" w:ascii="宋体" w:hAnsi="宋体" w:cs="宋体"/>
                <w:color w:val="auto"/>
                <w:highlight w:val="none"/>
              </w:rPr>
              <w:t>年度或者202</w:t>
            </w:r>
            <w:r>
              <w:rPr>
                <w:rFonts w:hint="eastAsia" w:ascii="宋体" w:hAnsi="宋体" w:cs="宋体"/>
                <w:color w:val="auto"/>
                <w:highlight w:val="none"/>
                <w:lang w:val="en-US" w:eastAsia="zh-CN"/>
              </w:rPr>
              <w:t>4</w:t>
            </w:r>
            <w:r>
              <w:rPr>
                <w:rFonts w:hint="eastAsia" w:ascii="宋体" w:hAnsi="宋体" w:cs="宋体"/>
                <w:color w:val="auto"/>
                <w:highlight w:val="none"/>
              </w:rPr>
              <w:t>年度财务状况不亏损。</w:t>
            </w:r>
          </w:p>
          <w:p w14:paraId="2327281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竞选人须在竞选文件资格审查部分提供经会计师事务所或审计机构出具的合法有效的财务审计报告或财务报表（成立时间不足一年的提供财务报表，须包含利润表、现金流量表、资产负债表等）。</w:t>
            </w:r>
          </w:p>
          <w:p w14:paraId="2C251C4D">
            <w:pPr>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.比选截止日比选资格情况</w:t>
            </w:r>
          </w:p>
          <w:p w14:paraId="6E80F885">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竞选人自行承诺（格式自拟）不得存在下列情形之一：</w:t>
            </w:r>
          </w:p>
          <w:p w14:paraId="2FF94F6E">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（1）被人民法院在“信用中国”网站（www.creditchina.gov.cn）列入失信被执行人名单且在被执行期内；</w:t>
            </w:r>
          </w:p>
          <w:p w14:paraId="6EC1999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14:paraId="576E150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（3）被列入《重庆市工程建设领域招标投标信用管理暂行办法》规定的重庆市工程建设领域招标投标失信惩戒对象名单（以下称黑名单）且在记分有效期内；</w:t>
            </w:r>
          </w:p>
          <w:p w14:paraId="572BA87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14:paraId="15477C2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（5）被重庆市住房和城乡建设主管部门暂停在渝承揽新业务且在暂停期内；</w:t>
            </w:r>
          </w:p>
          <w:p w14:paraId="3975B183">
            <w:pPr>
              <w:snapToGrid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.拟派项目人员</w:t>
            </w:r>
          </w:p>
          <w:p w14:paraId="053D7411">
            <w:pPr>
              <w:snapToGrid w:val="0"/>
              <w:spacing w:line="400" w:lineRule="exact"/>
              <w:ind w:firstLine="420" w:firstLineChars="200"/>
              <w:rPr>
                <w:rFonts w:ascii="宋体" w:hAnsi="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w:t>
            </w:r>
            <w:r>
              <w:rPr>
                <w:rFonts w:hint="eastAsia" w:ascii="宋体" w:hAnsi="宋体" w:cs="宋体"/>
                <w:color w:val="auto"/>
                <w:kern w:val="0"/>
                <w:szCs w:val="21"/>
                <w:highlight w:val="none"/>
              </w:rPr>
              <w:t>项目负责人:1人，须为竞选单位的在职职工，具备</w:t>
            </w:r>
            <w:r>
              <w:rPr>
                <w:rFonts w:hint="eastAsia" w:ascii="宋体" w:hAnsi="宋体" w:cs="宋体"/>
                <w:color w:val="auto"/>
                <w:kern w:val="0"/>
                <w:szCs w:val="21"/>
                <w:highlight w:val="none"/>
                <w:u w:val="single"/>
              </w:rPr>
              <w:t>工程类的高级及以上</w:t>
            </w:r>
            <w:r>
              <w:rPr>
                <w:rFonts w:hint="eastAsia" w:ascii="宋体" w:hAnsi="宋体" w:cs="宋体"/>
                <w:color w:val="auto"/>
                <w:kern w:val="0"/>
                <w:szCs w:val="21"/>
                <w:highlight w:val="none"/>
              </w:rPr>
              <w:t>职称且具有全国一级造价工程师（或全国注册造价工程师）执业资格。</w:t>
            </w:r>
          </w:p>
          <w:p w14:paraId="3A02E44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.2其他项目组成员：</w:t>
            </w:r>
          </w:p>
          <w:p w14:paraId="7A5D555C">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①土建专业负责人1人，土建专业负责人必须已在竞选人本单位注册并应具有全国一级造价工程师（全国注册造价工程师）执业资格（专业类别：土建），且具有中级及以上技术职称；</w:t>
            </w:r>
          </w:p>
          <w:p w14:paraId="24590820">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②安装专业负责人1人，安装专业负责人必须已在竞选人本单位注册并应具有全国一级造价工程师（全国注册造价工程师）执业资格（专业类别：安装），且具有中级及以上技术职称；</w:t>
            </w:r>
          </w:p>
          <w:p w14:paraId="1F20A855">
            <w:pPr>
              <w:snapToGrid w:val="0"/>
              <w:spacing w:line="400" w:lineRule="exact"/>
              <w:ind w:firstLine="420" w:firstLineChars="200"/>
              <w:rPr>
                <w:rFonts w:ascii="宋体" w:hAnsi="宋体" w:cs="宋体"/>
                <w:color w:val="auto"/>
                <w:highlight w:val="none"/>
              </w:rPr>
            </w:pPr>
            <w:r>
              <w:rPr>
                <w:rFonts w:hint="eastAsia" w:ascii="宋体" w:hAnsi="宋体"/>
                <w:color w:val="auto"/>
                <w:highlight w:val="none"/>
              </w:rPr>
              <w:t>注：</w:t>
            </w:r>
            <w:r>
              <w:rPr>
                <w:rFonts w:hint="eastAsia" w:ascii="宋体" w:hAnsi="宋体"/>
                <w:b/>
                <w:bCs/>
                <w:color w:val="auto"/>
                <w:highlight w:val="none"/>
              </w:rPr>
              <w:t>以上</w:t>
            </w:r>
            <w:r>
              <w:rPr>
                <w:rFonts w:hint="eastAsia" w:ascii="宋体" w:hAnsi="宋体"/>
                <w:b/>
                <w:bCs/>
                <w:color w:val="auto"/>
                <w:highlight w:val="none"/>
                <w:lang w:val="en-US" w:eastAsia="zh-CN"/>
              </w:rPr>
              <w:t>4</w:t>
            </w:r>
            <w:r>
              <w:rPr>
                <w:rFonts w:hint="eastAsia" w:ascii="宋体" w:hAnsi="宋体"/>
                <w:b/>
                <w:bCs/>
                <w:color w:val="auto"/>
                <w:highlight w:val="none"/>
              </w:rPr>
              <w:t>.1及</w:t>
            </w:r>
            <w:r>
              <w:rPr>
                <w:rFonts w:hint="eastAsia" w:ascii="宋体" w:hAnsi="宋体"/>
                <w:b/>
                <w:bCs/>
                <w:color w:val="auto"/>
                <w:highlight w:val="none"/>
                <w:lang w:val="en-US" w:eastAsia="zh-CN"/>
              </w:rPr>
              <w:t>4</w:t>
            </w:r>
            <w:r>
              <w:rPr>
                <w:rFonts w:hint="eastAsia" w:ascii="宋体" w:hAnsi="宋体"/>
                <w:b/>
                <w:bCs/>
                <w:color w:val="auto"/>
                <w:highlight w:val="none"/>
              </w:rPr>
              <w:t>.2各岗位人员不得相互兼任，</w:t>
            </w:r>
            <w:r>
              <w:rPr>
                <w:rFonts w:hint="eastAsia" w:ascii="宋体" w:hAnsi="宋体"/>
                <w:color w:val="auto"/>
                <w:highlight w:val="none"/>
              </w:rPr>
              <w:t>竞选人须在竞选文件资格审查部分提供上述所有人员对应的</w:t>
            </w:r>
            <w:r>
              <w:rPr>
                <w:rFonts w:hint="eastAsia" w:ascii="宋体" w:hAnsi="宋体" w:cs="宋体"/>
                <w:color w:val="auto"/>
                <w:highlight w:val="none"/>
              </w:rPr>
              <w:t>造价工程师（或造价员）证书、职称证（如有职称要求）及以竞选人名义缴纳的养老保险证明材料复印件。</w:t>
            </w:r>
          </w:p>
          <w:p w14:paraId="4DD9AB4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特别说明：</w:t>
            </w:r>
          </w:p>
          <w:p w14:paraId="0A9E5E7E">
            <w:pPr>
              <w:snapToGrid w:val="0"/>
              <w:spacing w:line="400" w:lineRule="exact"/>
              <w:ind w:firstLine="420" w:firstLineChars="200"/>
              <w:rPr>
                <w:rFonts w:ascii="宋体" w:hAnsi="宋体"/>
                <w:b/>
                <w:bCs/>
                <w:color w:val="auto"/>
                <w:highlight w:val="none"/>
              </w:rPr>
            </w:pPr>
            <w:r>
              <w:rPr>
                <w:rFonts w:hint="eastAsia" w:ascii="宋体" w:hAnsi="宋体" w:cs="宋体"/>
                <w:color w:val="auto"/>
                <w:highlight w:val="none"/>
              </w:rPr>
              <w:t>①上述1～</w:t>
            </w:r>
            <w:r>
              <w:rPr>
                <w:rFonts w:hint="eastAsia" w:ascii="宋体" w:hAnsi="宋体" w:cs="宋体"/>
                <w:color w:val="auto"/>
                <w:highlight w:val="none"/>
                <w:lang w:val="en-US" w:eastAsia="zh-CN"/>
              </w:rPr>
              <w:t>4</w:t>
            </w:r>
            <w:r>
              <w:rPr>
                <w:rFonts w:hint="eastAsia" w:ascii="宋体" w:hAnsi="宋体" w:cs="宋体"/>
                <w:color w:val="auto"/>
                <w:highlight w:val="none"/>
              </w:rPr>
              <w:t>条所须提交的相关证明材料复印件均应加盖竞选单位公章并装入竞选文件资格审查部分中。上述1～</w:t>
            </w:r>
            <w:r>
              <w:rPr>
                <w:rFonts w:hint="eastAsia" w:ascii="宋体" w:hAnsi="宋体" w:cs="宋体"/>
                <w:color w:val="auto"/>
                <w:highlight w:val="none"/>
                <w:lang w:val="en-US" w:eastAsia="zh-CN"/>
              </w:rPr>
              <w:t>4</w:t>
            </w:r>
            <w:r>
              <w:rPr>
                <w:rFonts w:hint="eastAsia" w:ascii="宋体" w:hAnsi="宋体" w:cs="宋体"/>
                <w:color w:val="auto"/>
                <w:highlight w:val="none"/>
              </w:rPr>
              <w:t>条，有一条不满足，则竞选文件由评选委员会作否决竞选处理；</w:t>
            </w:r>
          </w:p>
          <w:p w14:paraId="3E7CE8D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②上述所有人员有养老保险证明材料；</w:t>
            </w:r>
          </w:p>
          <w:p w14:paraId="75001B61">
            <w:pPr>
              <w:snapToGrid w:val="0"/>
              <w:spacing w:line="400" w:lineRule="exact"/>
              <w:ind w:firstLine="420" w:firstLineChars="200"/>
              <w:rPr>
                <w:rFonts w:ascii="宋体" w:hAnsi="宋体" w:cs="宋体"/>
                <w:bCs/>
                <w:snapToGrid w:val="0"/>
                <w:color w:val="auto"/>
                <w:kern w:val="0"/>
                <w:szCs w:val="21"/>
                <w:highlight w:val="none"/>
              </w:rPr>
            </w:pPr>
            <w:r>
              <w:rPr>
                <w:rFonts w:hint="eastAsia" w:ascii="宋体" w:hAnsi="宋体" w:cs="宋体"/>
                <w:color w:val="auto"/>
                <w:highlight w:val="none"/>
              </w:rPr>
              <w:t xml:space="preserve">③比选人在合同签订前均有权对潜在竞选人提供的上述相关证明材料进行核实，若发现资料存在弄虚作假，按照相关法律法规处理， 其比选保证金不予退还，潜在竞选人承担因此造成的相关责任并赔偿相应损失。 </w:t>
            </w:r>
          </w:p>
        </w:tc>
      </w:tr>
      <w:tr w14:paraId="0CB63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C3FC6A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964" w:type="dxa"/>
            <w:vAlign w:val="center"/>
          </w:tcPr>
          <w:p w14:paraId="4287D28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63EC024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联合体竞选</w:t>
            </w:r>
          </w:p>
        </w:tc>
        <w:tc>
          <w:tcPr>
            <w:tcW w:w="6311" w:type="dxa"/>
            <w:vAlign w:val="center"/>
          </w:tcPr>
          <w:p w14:paraId="5F684F7D">
            <w:pPr>
              <w:snapToGrid w:val="0"/>
              <w:spacing w:line="400" w:lineRule="exact"/>
              <w:ind w:firstLine="420" w:firstLineChars="200"/>
              <w:rPr>
                <w:rFonts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不接受</w:t>
            </w:r>
          </w:p>
        </w:tc>
      </w:tr>
      <w:tr w14:paraId="420DF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4CDAD1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1964" w:type="dxa"/>
            <w:vAlign w:val="center"/>
          </w:tcPr>
          <w:p w14:paraId="42F785A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311" w:type="dxa"/>
            <w:vAlign w:val="center"/>
          </w:tcPr>
          <w:p w14:paraId="5F9523ED">
            <w:pPr>
              <w:snapToGrid w:val="0"/>
              <w:spacing w:line="400" w:lineRule="exact"/>
              <w:ind w:firstLine="420" w:firstLineChars="200"/>
              <w:rPr>
                <w:rFonts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不组织，由竞选人自行踏勘现场。</w:t>
            </w:r>
          </w:p>
          <w:p w14:paraId="5FFBF11F">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□组织，集中踏勘时间：</w:t>
            </w:r>
          </w:p>
          <w:p w14:paraId="57A9335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集中踏勘地点：</w:t>
            </w:r>
          </w:p>
        </w:tc>
      </w:tr>
      <w:tr w14:paraId="648BB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28A9B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1964" w:type="dxa"/>
            <w:vAlign w:val="center"/>
          </w:tcPr>
          <w:p w14:paraId="2180F8C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比选预备会</w:t>
            </w:r>
          </w:p>
        </w:tc>
        <w:tc>
          <w:tcPr>
            <w:tcW w:w="6311" w:type="dxa"/>
            <w:vAlign w:val="center"/>
          </w:tcPr>
          <w:p w14:paraId="53A1A2CE">
            <w:pPr>
              <w:snapToGrid w:val="0"/>
              <w:spacing w:line="400" w:lineRule="exact"/>
              <w:ind w:firstLine="420" w:firstLineChars="200"/>
              <w:rPr>
                <w:rFonts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不召开</w:t>
            </w:r>
          </w:p>
          <w:p w14:paraId="709F080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□召开，召开时间：</w:t>
            </w:r>
          </w:p>
          <w:p w14:paraId="7C4C3967">
            <w:pPr>
              <w:snapToGrid w:val="0"/>
              <w:spacing w:afterLines="5"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召开地点：</w:t>
            </w:r>
          </w:p>
        </w:tc>
      </w:tr>
      <w:tr w14:paraId="45901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DA8160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964" w:type="dxa"/>
            <w:vAlign w:val="center"/>
          </w:tcPr>
          <w:p w14:paraId="5527DE4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6311" w:type="dxa"/>
            <w:vAlign w:val="center"/>
          </w:tcPr>
          <w:p w14:paraId="4D688591">
            <w:pPr>
              <w:snapToGrid w:val="0"/>
              <w:spacing w:line="400" w:lineRule="exact"/>
              <w:ind w:firstLine="420" w:firstLineChars="200"/>
              <w:rPr>
                <w:rFonts w:ascii="宋体" w:hAnsi="宋体"/>
                <w:color w:val="auto"/>
                <w:kern w:val="0"/>
                <w:szCs w:val="21"/>
                <w:highlight w:val="none"/>
              </w:rPr>
            </w:pPr>
            <w:r>
              <w:rPr>
                <w:rFonts w:hint="eastAsia" w:ascii="宋体" w:hAnsi="MS Mincho" w:eastAsia="MS Mincho" w:cs="MS Mincho"/>
                <w:color w:val="auto"/>
                <w:kern w:val="0"/>
                <w:szCs w:val="21"/>
                <w:highlight w:val="none"/>
              </w:rPr>
              <w:t>☑</w:t>
            </w:r>
            <w:r>
              <w:rPr>
                <w:rFonts w:ascii="宋体" w:hAnsi="宋体"/>
                <w:color w:val="auto"/>
                <w:kern w:val="0"/>
                <w:szCs w:val="21"/>
                <w:highlight w:val="none"/>
              </w:rPr>
              <w:t>不允许</w:t>
            </w:r>
          </w:p>
          <w:p w14:paraId="2F76EFF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14:paraId="7CB7A66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分包金额要求：</w:t>
            </w:r>
          </w:p>
          <w:p w14:paraId="4C25198E">
            <w:pPr>
              <w:snapToGrid w:val="0"/>
              <w:spacing w:afterLines="5" w:line="400" w:lineRule="exact"/>
              <w:rPr>
                <w:rFonts w:ascii="宋体" w:hAnsi="宋体" w:cs="宋体"/>
                <w:color w:val="auto"/>
                <w:kern w:val="0"/>
                <w:szCs w:val="21"/>
                <w:highlight w:val="none"/>
              </w:rPr>
            </w:pPr>
            <w:r>
              <w:rPr>
                <w:rFonts w:ascii="宋体" w:hAnsi="宋体"/>
                <w:color w:val="auto"/>
                <w:kern w:val="0"/>
                <w:szCs w:val="21"/>
                <w:highlight w:val="none"/>
              </w:rPr>
              <w:t>接受分包的第三人资质要求：</w:t>
            </w:r>
          </w:p>
        </w:tc>
      </w:tr>
      <w:tr w14:paraId="7B6DA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8D650F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964" w:type="dxa"/>
            <w:vAlign w:val="center"/>
          </w:tcPr>
          <w:p w14:paraId="3DDBE4BD">
            <w:pPr>
              <w:snapToGrid w:val="0"/>
              <w:spacing w:afterLines="5"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311" w:type="dxa"/>
            <w:vAlign w:val="center"/>
          </w:tcPr>
          <w:p w14:paraId="5A5E805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比选人发出的答疑及补遗书</w:t>
            </w:r>
          </w:p>
        </w:tc>
      </w:tr>
      <w:tr w14:paraId="0D38E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CF5C1B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1964" w:type="dxa"/>
            <w:tcBorders>
              <w:bottom w:val="single" w:color="auto" w:sz="4" w:space="0"/>
            </w:tcBorders>
            <w:vAlign w:val="center"/>
          </w:tcPr>
          <w:p w14:paraId="4FBBC6A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竞选人对比选文件提出疑问的</w:t>
            </w:r>
          </w:p>
          <w:p w14:paraId="2B876B7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截止时间</w:t>
            </w:r>
          </w:p>
        </w:tc>
        <w:tc>
          <w:tcPr>
            <w:tcW w:w="6311" w:type="dxa"/>
            <w:vAlign w:val="center"/>
          </w:tcPr>
          <w:p w14:paraId="0FE7CAC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竞选人在收到比选文件后，应仔细检查比选文件的所有内容，如有残缺或文字表述不清，图纸尺寸标注不明以及存在错、碰、漏、缺、概念模糊和有可能出现歧义或理解上的偏差的内容等应以书面形式提交。</w:t>
            </w:r>
          </w:p>
        </w:tc>
      </w:tr>
      <w:tr w14:paraId="27BFA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9D4756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1964" w:type="dxa"/>
            <w:tcBorders>
              <w:top w:val="single" w:color="auto" w:sz="4" w:space="0"/>
            </w:tcBorders>
            <w:vAlign w:val="center"/>
          </w:tcPr>
          <w:p w14:paraId="23C98BB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比选人对比选文件答疑的截止时间</w:t>
            </w:r>
          </w:p>
        </w:tc>
        <w:tc>
          <w:tcPr>
            <w:tcW w:w="6311" w:type="dxa"/>
            <w:vAlign w:val="center"/>
          </w:tcPr>
          <w:p w14:paraId="3B3BF570">
            <w:pPr>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17</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18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00 </w:t>
            </w:r>
            <w:r>
              <w:rPr>
                <w:rFonts w:hint="eastAsia" w:ascii="宋体" w:hAnsi="宋体" w:cs="宋体"/>
                <w:color w:val="auto"/>
                <w:szCs w:val="21"/>
                <w:highlight w:val="none"/>
              </w:rPr>
              <w:t>分（北京时间）</w:t>
            </w:r>
            <w:r>
              <w:rPr>
                <w:rFonts w:hint="eastAsia" w:ascii="宋体" w:hAnsi="宋体" w:cs="宋体"/>
                <w:color w:val="auto"/>
                <w:kern w:val="0"/>
                <w:szCs w:val="21"/>
                <w:highlight w:val="none"/>
              </w:rPr>
              <w:t>前。</w:t>
            </w:r>
          </w:p>
        </w:tc>
      </w:tr>
      <w:tr w14:paraId="67A5F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8F3246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964" w:type="dxa"/>
            <w:vAlign w:val="center"/>
          </w:tcPr>
          <w:p w14:paraId="66EFC83A">
            <w:pPr>
              <w:snapToGrid w:val="0"/>
              <w:spacing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构成竞选文件</w:t>
            </w:r>
          </w:p>
          <w:p w14:paraId="2E4BC2D0">
            <w:pPr>
              <w:snapToGrid w:val="0"/>
              <w:spacing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的其他材料</w:t>
            </w:r>
          </w:p>
        </w:tc>
        <w:tc>
          <w:tcPr>
            <w:tcW w:w="6311" w:type="dxa"/>
            <w:vAlign w:val="center"/>
          </w:tcPr>
          <w:p w14:paraId="375112B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竞选人的书面澄清、说明和补正（但不得改变竞选文件的实质性内容）</w:t>
            </w:r>
          </w:p>
        </w:tc>
      </w:tr>
      <w:tr w14:paraId="4740E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188D2B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964" w:type="dxa"/>
            <w:vAlign w:val="center"/>
          </w:tcPr>
          <w:p w14:paraId="46EC221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竞选报价</w:t>
            </w:r>
          </w:p>
        </w:tc>
        <w:tc>
          <w:tcPr>
            <w:tcW w:w="6311" w:type="dxa"/>
            <w:vAlign w:val="center"/>
          </w:tcPr>
          <w:p w14:paraId="5367AD41">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一、报价范围</w:t>
            </w:r>
          </w:p>
          <w:p w14:paraId="5D7F86D8">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1.参选报价应是本章竞选人须知前附表1.3.1项中所述的本次比选范围内的全部内容的参选报价，是竞选人根据市场行情及自身情况的自主报价 。</w:t>
            </w:r>
          </w:p>
          <w:p w14:paraId="34E8DDCF">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14:paraId="32CC45A5">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14:paraId="2A68932B">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二、计价原则：</w:t>
            </w:r>
          </w:p>
          <w:p w14:paraId="6A3DF3ED">
            <w:pPr>
              <w:widowControl/>
              <w:spacing w:line="400" w:lineRule="exact"/>
              <w:ind w:firstLine="456"/>
              <w:jc w:val="left"/>
              <w:rPr>
                <w:color w:val="auto"/>
                <w:highlight w:val="none"/>
              </w:rPr>
            </w:pPr>
            <w:r>
              <w:rPr>
                <w:rFonts w:hint="eastAsia"/>
                <w:color w:val="auto"/>
                <w:highlight w:val="none"/>
              </w:rPr>
              <w:t>1.报价原则：采用固定</w:t>
            </w:r>
            <w:r>
              <w:rPr>
                <w:rFonts w:hint="eastAsia"/>
                <w:color w:val="auto"/>
                <w:highlight w:val="none"/>
                <w:lang w:val="en-US" w:eastAsia="zh-CN"/>
              </w:rPr>
              <w:t>费率</w:t>
            </w:r>
            <w:r>
              <w:rPr>
                <w:rFonts w:hint="eastAsia"/>
                <w:color w:val="auto"/>
                <w:highlight w:val="none"/>
              </w:rPr>
              <w:t>报价。</w:t>
            </w:r>
          </w:p>
          <w:p w14:paraId="5608A393">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所填报的服务</w:t>
            </w:r>
            <w:r>
              <w:rPr>
                <w:rFonts w:hint="eastAsia"/>
                <w:color w:val="auto"/>
                <w:highlight w:val="none"/>
                <w:lang w:val="en-US" w:eastAsia="zh-CN"/>
              </w:rPr>
              <w:t>费率</w:t>
            </w:r>
            <w:r>
              <w:rPr>
                <w:rFonts w:hint="eastAsia" w:ascii="宋体" w:hAnsi="宋体"/>
                <w:color w:val="auto"/>
                <w:szCs w:val="21"/>
                <w:highlight w:val="none"/>
              </w:rPr>
              <w:t>作为结算使用，参选费率需综合考虑本项目比选范围内的所有工作内容，竞选人应将本工程的相关费用充分考虑进入参选报价的费率中。</w:t>
            </w:r>
          </w:p>
          <w:p w14:paraId="307328CE">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2、在本合同范围内，无论任何因素（工期延长，人员增加，国家政策或法规、标准调整，市场价格波动等），中选费率均不作调整。</w:t>
            </w:r>
          </w:p>
          <w:p w14:paraId="5BD4A2CD">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三、比选最高限价：</w:t>
            </w:r>
          </w:p>
          <w:p w14:paraId="6AAB8320">
            <w:pPr>
              <w:pStyle w:val="47"/>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本项目比选最高限价：</w:t>
            </w:r>
            <w:r>
              <w:rPr>
                <w:rFonts w:hint="eastAsia" w:ascii="宋体" w:hAnsi="宋体"/>
                <w:b/>
                <w:bCs/>
                <w:color w:val="auto"/>
                <w:szCs w:val="21"/>
                <w:highlight w:val="none"/>
              </w:rPr>
              <w:t>以暂定建安</w:t>
            </w:r>
            <w:r>
              <w:rPr>
                <w:rFonts w:hint="eastAsia" w:ascii="宋体" w:hAnsi="宋体" w:eastAsia="宋体" w:cs="Times New Roman"/>
                <w:b/>
                <w:bCs/>
                <w:color w:val="auto"/>
                <w:szCs w:val="21"/>
                <w:highlight w:val="none"/>
              </w:rPr>
              <w:t>工程费</w:t>
            </w:r>
            <w:r>
              <w:rPr>
                <w:rFonts w:hint="eastAsia" w:ascii="宋体" w:hAnsi="宋体" w:cs="Times New Roman"/>
                <w:b/>
                <w:bCs/>
                <w:color w:val="auto"/>
                <w:szCs w:val="21"/>
                <w:highlight w:val="none"/>
                <w:lang w:val="en-US" w:eastAsia="zh-CN"/>
              </w:rPr>
              <w:t>6096.54</w:t>
            </w:r>
            <w:r>
              <w:rPr>
                <w:rFonts w:hint="eastAsia" w:ascii="宋体" w:hAnsi="宋体" w:eastAsia="宋体" w:cs="Times New Roman"/>
                <w:b/>
                <w:bCs/>
                <w:color w:val="auto"/>
                <w:szCs w:val="21"/>
                <w:highlight w:val="none"/>
              </w:rPr>
              <w:t>万</w:t>
            </w:r>
            <w:r>
              <w:rPr>
                <w:rFonts w:hint="eastAsia" w:ascii="宋体" w:hAnsi="宋体"/>
                <w:b/>
                <w:bCs/>
                <w:color w:val="auto"/>
                <w:szCs w:val="21"/>
                <w:highlight w:val="none"/>
              </w:rPr>
              <w:t>元</w:t>
            </w:r>
            <w:r>
              <w:rPr>
                <w:rFonts w:hint="eastAsia" w:ascii="宋体" w:hAnsi="宋体"/>
                <w:color w:val="auto"/>
                <w:szCs w:val="21"/>
                <w:highlight w:val="none"/>
              </w:rPr>
              <w:t>为计费基数，本项</w:t>
            </w:r>
            <w:r>
              <w:rPr>
                <w:rFonts w:hint="eastAsia" w:ascii="宋体" w:hAnsi="宋体"/>
                <w:color w:val="auto"/>
                <w:szCs w:val="21"/>
                <w:highlight w:val="none"/>
                <w:lang w:val="en-US" w:eastAsia="zh-CN"/>
              </w:rPr>
              <w:t>目</w:t>
            </w:r>
            <w:r>
              <w:rPr>
                <w:rFonts w:hint="eastAsia" w:ascii="宋体" w:hAnsi="宋体"/>
                <w:color w:val="auto"/>
                <w:szCs w:val="21"/>
                <w:highlight w:val="none"/>
              </w:rPr>
              <w:t>工程量清单编制及组价最高</w:t>
            </w:r>
            <w:r>
              <w:rPr>
                <w:rFonts w:hint="eastAsia" w:ascii="宋体" w:hAnsi="宋体"/>
                <w:color w:val="auto"/>
                <w:szCs w:val="21"/>
                <w:highlight w:val="none"/>
                <w:lang w:val="en-US" w:eastAsia="zh-CN"/>
              </w:rPr>
              <w:t>固定</w:t>
            </w:r>
            <w:r>
              <w:rPr>
                <w:rFonts w:hint="eastAsia"/>
                <w:color w:val="auto"/>
                <w:highlight w:val="none"/>
                <w:lang w:val="en-US" w:eastAsia="zh-CN"/>
              </w:rPr>
              <w:t>费率</w:t>
            </w:r>
            <w:r>
              <w:rPr>
                <w:rFonts w:hint="eastAsia" w:ascii="宋体" w:hAnsi="宋体"/>
                <w:color w:val="auto"/>
                <w:szCs w:val="21"/>
                <w:highlight w:val="none"/>
              </w:rPr>
              <w:t>为：</w:t>
            </w:r>
            <w:r>
              <w:rPr>
                <w:rFonts w:hint="eastAsia" w:ascii="宋体" w:hAnsi="宋体"/>
                <w:b/>
                <w:color w:val="auto"/>
                <w:szCs w:val="21"/>
                <w:highlight w:val="none"/>
                <w:u w:val="single"/>
                <w:lang w:val="en-US" w:eastAsia="zh-CN"/>
              </w:rPr>
              <w:t xml:space="preserve">0.35 </w:t>
            </w:r>
            <w:r>
              <w:rPr>
                <w:rFonts w:hint="eastAsia" w:ascii="宋体" w:hAnsi="宋体"/>
                <w:b/>
                <w:color w:val="auto"/>
                <w:szCs w:val="21"/>
                <w:highlight w:val="none"/>
                <w:u w:val="single"/>
              </w:rPr>
              <w:t>%</w:t>
            </w:r>
            <w:r>
              <w:rPr>
                <w:rFonts w:hint="eastAsia" w:ascii="宋体" w:hAnsi="宋体"/>
                <w:color w:val="auto"/>
                <w:szCs w:val="21"/>
                <w:highlight w:val="none"/>
              </w:rPr>
              <w:t>。工程量清单编制及组价最高</w:t>
            </w:r>
            <w:r>
              <w:rPr>
                <w:rFonts w:hint="eastAsia" w:ascii="宋体" w:hAnsi="宋体"/>
                <w:color w:val="auto"/>
                <w:szCs w:val="21"/>
                <w:highlight w:val="none"/>
                <w:lang w:val="en-US" w:eastAsia="zh-CN"/>
              </w:rPr>
              <w:t>限价</w:t>
            </w:r>
            <w:r>
              <w:rPr>
                <w:rFonts w:hint="eastAsia" w:ascii="宋体" w:hAnsi="宋体"/>
                <w:color w:val="auto"/>
                <w:szCs w:val="21"/>
                <w:highlight w:val="none"/>
              </w:rPr>
              <w:t>为</w:t>
            </w:r>
            <w:r>
              <w:rPr>
                <w:rFonts w:hint="eastAsia" w:ascii="宋体" w:hAnsi="宋体"/>
                <w:color w:val="auto"/>
                <w:szCs w:val="21"/>
                <w:highlight w:val="none"/>
                <w:lang w:eastAsia="zh-CN"/>
              </w:rPr>
              <w:t>：</w:t>
            </w:r>
            <w:bookmarkStart w:id="59" w:name="OLE_LINK4"/>
            <w:r>
              <w:rPr>
                <w:rFonts w:hint="eastAsia" w:ascii="宋体" w:hAnsi="宋体"/>
                <w:b/>
                <w:bCs/>
                <w:color w:val="auto"/>
                <w:szCs w:val="21"/>
                <w:highlight w:val="none"/>
                <w:u w:val="single"/>
                <w:lang w:val="en-US" w:eastAsia="zh-CN"/>
              </w:rPr>
              <w:t>21</w:t>
            </w:r>
            <w:bookmarkEnd w:id="59"/>
            <w:r>
              <w:rPr>
                <w:rFonts w:hint="eastAsia" w:ascii="宋体" w:hAnsi="宋体"/>
                <w:b/>
                <w:bCs/>
                <w:color w:val="auto"/>
                <w:szCs w:val="21"/>
                <w:highlight w:val="none"/>
                <w:u w:val="single"/>
                <w:lang w:val="en-US" w:eastAsia="zh-CN"/>
              </w:rPr>
              <w:t>3378.9元</w:t>
            </w:r>
            <w:r>
              <w:rPr>
                <w:rFonts w:hint="eastAsia" w:ascii="宋体" w:hAnsi="宋体"/>
                <w:color w:val="auto"/>
                <w:szCs w:val="21"/>
                <w:highlight w:val="none"/>
                <w:lang w:val="en-US" w:eastAsia="zh-CN"/>
              </w:rPr>
              <w:t>。</w:t>
            </w:r>
          </w:p>
          <w:p w14:paraId="2EC3155F">
            <w:pPr>
              <w:pStyle w:val="47"/>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各竞选人的竞选总报价</w:t>
            </w:r>
            <w:r>
              <w:rPr>
                <w:rFonts w:hint="eastAsia" w:ascii="宋体" w:hAnsi="宋体"/>
                <w:color w:val="auto"/>
                <w:szCs w:val="21"/>
                <w:highlight w:val="none"/>
                <w:lang w:val="en-US" w:eastAsia="zh-CN"/>
              </w:rPr>
              <w:t>及固定</w:t>
            </w:r>
            <w:r>
              <w:rPr>
                <w:rFonts w:hint="eastAsia"/>
                <w:color w:val="auto"/>
                <w:highlight w:val="none"/>
                <w:lang w:val="en-US" w:eastAsia="zh-CN"/>
              </w:rPr>
              <w:t>费率</w:t>
            </w:r>
            <w:r>
              <w:rPr>
                <w:rFonts w:hint="eastAsia" w:ascii="宋体" w:hAnsi="宋体"/>
                <w:color w:val="auto"/>
                <w:szCs w:val="21"/>
                <w:highlight w:val="none"/>
              </w:rPr>
              <w:t>不得超过最高限价，</w:t>
            </w:r>
            <w:r>
              <w:rPr>
                <w:rFonts w:ascii="宋体" w:hAnsi="宋体" w:cs="宋体"/>
                <w:color w:val="auto"/>
                <w:highlight w:val="none"/>
              </w:rPr>
              <w:t>否则由评</w:t>
            </w:r>
            <w:r>
              <w:rPr>
                <w:rFonts w:hint="eastAsia" w:ascii="宋体" w:hAnsi="宋体" w:cs="宋体"/>
                <w:color w:val="auto"/>
                <w:highlight w:val="none"/>
              </w:rPr>
              <w:t>审</w:t>
            </w:r>
            <w:r>
              <w:rPr>
                <w:rFonts w:ascii="宋体" w:hAnsi="宋体" w:cs="宋体"/>
                <w:color w:val="auto"/>
                <w:highlight w:val="none"/>
              </w:rPr>
              <w:t>委员会作否决投</w:t>
            </w:r>
            <w:r>
              <w:rPr>
                <w:rFonts w:ascii="宋体" w:hAnsi="宋体" w:cs="宋体"/>
                <w:color w:val="auto"/>
                <w:spacing w:val="-10"/>
                <w:highlight w:val="none"/>
              </w:rPr>
              <w:t>标处理</w:t>
            </w:r>
            <w:r>
              <w:rPr>
                <w:rFonts w:hint="eastAsia" w:ascii="宋体" w:hAnsi="宋体"/>
                <w:color w:val="auto"/>
                <w:szCs w:val="21"/>
                <w:highlight w:val="none"/>
              </w:rPr>
              <w:t>。</w:t>
            </w:r>
          </w:p>
        </w:tc>
      </w:tr>
      <w:tr w14:paraId="22ACE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DFE90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1964" w:type="dxa"/>
            <w:vAlign w:val="center"/>
          </w:tcPr>
          <w:p w14:paraId="1CB986B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311" w:type="dxa"/>
            <w:vAlign w:val="center"/>
          </w:tcPr>
          <w:p w14:paraId="106C0C88">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日历天（从提交竞选文件截止日起计算）</w:t>
            </w:r>
          </w:p>
        </w:tc>
      </w:tr>
      <w:tr w14:paraId="72200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D4FABB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964" w:type="dxa"/>
            <w:vAlign w:val="center"/>
          </w:tcPr>
          <w:p w14:paraId="5AA9A8E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比选保证金</w:t>
            </w:r>
          </w:p>
        </w:tc>
        <w:tc>
          <w:tcPr>
            <w:tcW w:w="6311" w:type="dxa"/>
            <w:vAlign w:val="center"/>
          </w:tcPr>
          <w:p w14:paraId="40F979C5">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1. 竞标保证金金额：</w:t>
            </w:r>
            <w:r>
              <w:rPr>
                <w:rFonts w:hint="eastAsia" w:cs="Times New Roman"/>
                <w:color w:val="auto"/>
                <w:sz w:val="21"/>
                <w:szCs w:val="21"/>
                <w:highlight w:val="none"/>
                <w:lang w:val="en-US" w:eastAsia="zh-CN"/>
              </w:rPr>
              <w:t>4</w:t>
            </w:r>
            <w:r>
              <w:rPr>
                <w:rFonts w:cs="Times New Roman"/>
                <w:color w:val="auto"/>
                <w:sz w:val="21"/>
                <w:szCs w:val="21"/>
                <w:highlight w:val="none"/>
              </w:rPr>
              <w:t>000</w:t>
            </w:r>
            <w:r>
              <w:rPr>
                <w:rFonts w:hint="eastAsia" w:cs="Times New Roman"/>
                <w:color w:val="auto"/>
                <w:sz w:val="21"/>
                <w:szCs w:val="21"/>
                <w:highlight w:val="none"/>
              </w:rPr>
              <w:t>元，（大写：</w:t>
            </w:r>
            <w:r>
              <w:rPr>
                <w:rFonts w:hint="eastAsia" w:cs="Times New Roman"/>
                <w:color w:val="auto"/>
                <w:sz w:val="21"/>
                <w:szCs w:val="21"/>
                <w:highlight w:val="none"/>
                <w:lang w:val="en-US" w:eastAsia="zh-CN"/>
              </w:rPr>
              <w:t>肆</w:t>
            </w:r>
            <w:r>
              <w:rPr>
                <w:rFonts w:hint="eastAsia" w:cs="Times New Roman"/>
                <w:color w:val="auto"/>
                <w:sz w:val="21"/>
                <w:szCs w:val="21"/>
                <w:highlight w:val="none"/>
              </w:rPr>
              <w:t>仟元）。</w:t>
            </w:r>
          </w:p>
          <w:p w14:paraId="22CA6041">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2.缴纳形式：转账</w:t>
            </w:r>
          </w:p>
          <w:p w14:paraId="0C94DB8D">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3.保证金账户：</w:t>
            </w:r>
          </w:p>
          <w:p w14:paraId="360B8BD2">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户名：重庆昱炀工程咨询有限公司</w:t>
            </w:r>
          </w:p>
          <w:p w14:paraId="645B357F">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账号：160612349</w:t>
            </w:r>
          </w:p>
          <w:p w14:paraId="085AF3F4">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开户行：中国民生银行重庆龙湖支行。</w:t>
            </w:r>
          </w:p>
          <w:p w14:paraId="6F5BFA86">
            <w:pPr>
              <w:pStyle w:val="73"/>
              <w:spacing w:line="400" w:lineRule="exact"/>
              <w:ind w:firstLineChars="200"/>
              <w:rPr>
                <w:rFonts w:cs="Times New Roman"/>
                <w:color w:val="auto"/>
                <w:sz w:val="21"/>
                <w:szCs w:val="21"/>
                <w:highlight w:val="none"/>
              </w:rPr>
            </w:pPr>
            <w:r>
              <w:rPr>
                <w:rFonts w:hint="eastAsia" w:cs="Times New Roman"/>
                <w:color w:val="auto"/>
                <w:sz w:val="21"/>
                <w:szCs w:val="21"/>
                <w:highlight w:val="none"/>
              </w:rPr>
              <w:t>注明标段名称。</w:t>
            </w:r>
          </w:p>
          <w:p w14:paraId="51C9D34E">
            <w:pPr>
              <w:spacing w:line="400" w:lineRule="exact"/>
              <w:ind w:firstLine="420" w:firstLineChars="200"/>
              <w:rPr>
                <w:rFonts w:ascii="宋体" w:hAnsi="宋体" w:cs="宋体"/>
                <w:color w:val="auto"/>
                <w:kern w:val="0"/>
                <w:szCs w:val="21"/>
                <w:highlight w:val="none"/>
              </w:rPr>
            </w:pPr>
            <w:r>
              <w:rPr>
                <w:rFonts w:hint="eastAsia"/>
                <w:color w:val="auto"/>
                <w:szCs w:val="21"/>
                <w:highlight w:val="none"/>
              </w:rPr>
              <w:t>4.保证金的退还：中选通知书发出后5个工作日内退还退还未中选竞标人的竞标竞标人的竞标保证金，中选人与比选人合同签订后5个工作日内退还中选人的竞标保证金。</w:t>
            </w:r>
          </w:p>
        </w:tc>
      </w:tr>
      <w:tr w14:paraId="070B0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0C44A6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3.5.1</w:t>
            </w:r>
          </w:p>
        </w:tc>
        <w:tc>
          <w:tcPr>
            <w:tcW w:w="1964" w:type="dxa"/>
            <w:vAlign w:val="center"/>
          </w:tcPr>
          <w:p w14:paraId="1C4228B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资格审查资料</w:t>
            </w:r>
          </w:p>
        </w:tc>
        <w:tc>
          <w:tcPr>
            <w:tcW w:w="6311" w:type="dxa"/>
            <w:vAlign w:val="center"/>
          </w:tcPr>
          <w:p w14:paraId="0141FCFB">
            <w:pPr>
              <w:snapToGrid w:val="0"/>
              <w:spacing w:afterLines="3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按1.4.1要求提供</w:t>
            </w:r>
          </w:p>
        </w:tc>
      </w:tr>
      <w:tr w14:paraId="70297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7696AF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3.5.2</w:t>
            </w:r>
          </w:p>
        </w:tc>
        <w:tc>
          <w:tcPr>
            <w:tcW w:w="1964" w:type="dxa"/>
            <w:vAlign w:val="center"/>
          </w:tcPr>
          <w:p w14:paraId="7EBCA44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近年财务状况</w:t>
            </w:r>
          </w:p>
          <w:p w14:paraId="077648E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的年份要求</w:t>
            </w:r>
          </w:p>
        </w:tc>
        <w:tc>
          <w:tcPr>
            <w:tcW w:w="6311" w:type="dxa"/>
            <w:vAlign w:val="center"/>
          </w:tcPr>
          <w:p w14:paraId="77064336">
            <w:pPr>
              <w:snapToGrid w:val="0"/>
              <w:spacing w:afterLines="30"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按1.4.1要求提供</w:t>
            </w:r>
          </w:p>
        </w:tc>
      </w:tr>
      <w:tr w14:paraId="0F66B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E85DF0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964" w:type="dxa"/>
            <w:vAlign w:val="center"/>
          </w:tcPr>
          <w:p w14:paraId="713457A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是否允许递交</w:t>
            </w:r>
          </w:p>
          <w:p w14:paraId="26E9AA6B">
            <w:pPr>
              <w:snapToGrid w:val="0"/>
              <w:spacing w:afterLines="3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备选竞选方案</w:t>
            </w:r>
          </w:p>
        </w:tc>
        <w:tc>
          <w:tcPr>
            <w:tcW w:w="6311" w:type="dxa"/>
            <w:vAlign w:val="center"/>
          </w:tcPr>
          <w:p w14:paraId="3D0AC33C">
            <w:pPr>
              <w:snapToGrid w:val="0"/>
              <w:spacing w:line="400" w:lineRule="exact"/>
              <w:ind w:firstLine="420" w:firstLineChars="200"/>
              <w:rPr>
                <w:rFonts w:ascii="宋体" w:hAnsi="宋体" w:cs="宋体"/>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不允许</w:t>
            </w:r>
          </w:p>
          <w:p w14:paraId="251575FF">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口允许</w:t>
            </w:r>
          </w:p>
        </w:tc>
      </w:tr>
      <w:tr w14:paraId="4F74B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6CABB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3.7.3</w:t>
            </w:r>
          </w:p>
        </w:tc>
        <w:tc>
          <w:tcPr>
            <w:tcW w:w="1964" w:type="dxa"/>
            <w:vAlign w:val="center"/>
          </w:tcPr>
          <w:p w14:paraId="26777A9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311" w:type="dxa"/>
            <w:vAlign w:val="center"/>
          </w:tcPr>
          <w:p w14:paraId="0CA83B0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2F75E907">
            <w:pPr>
              <w:snapToGrid w:val="0"/>
              <w:spacing w:line="400" w:lineRule="exact"/>
              <w:ind w:firstLine="420" w:firstLineChars="200"/>
              <w:rPr>
                <w:rFonts w:ascii="宋体" w:hAnsi="宋体" w:cs="宋体"/>
                <w:i/>
                <w:color w:val="auto"/>
                <w:szCs w:val="21"/>
                <w:highlight w:val="none"/>
              </w:rPr>
            </w:pPr>
            <w:r>
              <w:rPr>
                <w:rFonts w:hint="eastAsia" w:ascii="宋体" w:hAnsi="宋体" w:cs="宋体"/>
                <w:color w:val="auto"/>
                <w:szCs w:val="21"/>
                <w:highlight w:val="none"/>
              </w:rPr>
              <w:t>未按上述规定执行的，交由评选委员会作否决竞选处理。</w:t>
            </w:r>
          </w:p>
        </w:tc>
      </w:tr>
      <w:tr w14:paraId="77510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B0B67A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3.7.4</w:t>
            </w:r>
          </w:p>
        </w:tc>
        <w:tc>
          <w:tcPr>
            <w:tcW w:w="1964" w:type="dxa"/>
            <w:vAlign w:val="center"/>
          </w:tcPr>
          <w:p w14:paraId="4E301771">
            <w:pPr>
              <w:snapToGrid w:val="0"/>
              <w:spacing w:line="400" w:lineRule="exac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竞选文件的份数</w:t>
            </w:r>
          </w:p>
        </w:tc>
        <w:tc>
          <w:tcPr>
            <w:tcW w:w="6311" w:type="dxa"/>
            <w:vAlign w:val="center"/>
          </w:tcPr>
          <w:p w14:paraId="46852336">
            <w:pPr>
              <w:widowControl/>
              <w:spacing w:line="400" w:lineRule="exact"/>
              <w:ind w:firstLine="456"/>
              <w:jc w:val="left"/>
              <w:rPr>
                <w:rFonts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1份、副本1份，电子版形式（U盘）1份，</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服务方案</w:t>
            </w:r>
            <w:r>
              <w:rPr>
                <w:rFonts w:ascii="宋体" w:hAnsi="宋体"/>
                <w:snapToGrid w:val="0"/>
                <w:color w:val="auto"/>
                <w:kern w:val="0"/>
                <w:szCs w:val="21"/>
                <w:highlight w:val="none"/>
              </w:rPr>
              <w:t>》不分正副本</w:t>
            </w:r>
            <w:r>
              <w:rPr>
                <w:rFonts w:hint="eastAsia" w:ascii="宋体" w:hAnsi="宋体"/>
                <w:color w:val="auto"/>
                <w:kern w:val="0"/>
                <w:szCs w:val="21"/>
                <w:highlight w:val="none"/>
              </w:rPr>
              <w:t>。当副本和正本不一致时，以正本为准。否则由评标委员会作否决投标处理。</w:t>
            </w:r>
          </w:p>
          <w:p w14:paraId="18F624AD">
            <w:pPr>
              <w:widowControl/>
              <w:spacing w:line="400" w:lineRule="exact"/>
              <w:ind w:firstLine="456"/>
              <w:jc w:val="left"/>
              <w:rPr>
                <w:rFonts w:ascii="宋体" w:hAnsi="宋体" w:cs="宋体"/>
                <w:color w:val="auto"/>
                <w:kern w:val="0"/>
                <w:szCs w:val="21"/>
                <w:highlight w:val="none"/>
              </w:rPr>
            </w:pPr>
            <w:r>
              <w:rPr>
                <w:rFonts w:hint="eastAsia" w:ascii="宋体" w:hAnsi="宋体"/>
                <w:color w:val="auto"/>
                <w:highlight w:val="none"/>
              </w:rPr>
              <w:t>电子版形式（U盘）：</w:t>
            </w:r>
            <w:r>
              <w:rPr>
                <w:rFonts w:hint="eastAsia" w:asciiTheme="minorEastAsia" w:hAnsiTheme="minorEastAsia" w:eastAsiaTheme="minorEastAsia" w:cstheme="minorEastAsia"/>
                <w:color w:val="auto"/>
                <w:szCs w:val="21"/>
                <w:highlight w:val="none"/>
              </w:rPr>
              <w:t>电子文档内容</w:t>
            </w:r>
            <w:r>
              <w:rPr>
                <w:rFonts w:hint="eastAsia" w:asciiTheme="minorEastAsia" w:hAnsiTheme="minorEastAsia" w:eastAsiaTheme="minorEastAsia" w:cstheme="minorEastAsia"/>
                <w:b/>
                <w:color w:val="auto"/>
                <w:szCs w:val="21"/>
                <w:highlight w:val="none"/>
              </w:rPr>
              <w:t>包括word版比选申请文件正本和签字盖章齐全的比选申请文件正本扫描件PDF版</w:t>
            </w:r>
            <w:r>
              <w:rPr>
                <w:rFonts w:hint="eastAsia" w:asciiTheme="minorEastAsia" w:hAnsiTheme="minorEastAsia" w:eastAsiaTheme="minorEastAsia" w:cstheme="minorEastAsia"/>
                <w:color w:val="auto"/>
                <w:szCs w:val="21"/>
                <w:highlight w:val="none"/>
              </w:rPr>
              <w:t>，内容必须与正本一致，如出现不一致情况以纸质比选申请文件正本为准</w:t>
            </w:r>
            <w:r>
              <w:rPr>
                <w:rFonts w:hint="eastAsia" w:asciiTheme="minorEastAsia" w:hAnsiTheme="minorEastAsia" w:eastAsiaTheme="minorEastAsia" w:cstheme="minorEastAsia"/>
                <w:color w:val="auto"/>
                <w:kern w:val="0"/>
                <w:szCs w:val="21"/>
                <w:highlight w:val="none"/>
              </w:rPr>
              <w:t>（此项不作为否决投标依据，为便于存档请遵照执行）。</w:t>
            </w:r>
          </w:p>
        </w:tc>
      </w:tr>
      <w:tr w14:paraId="065F9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FC987C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3.7.5</w:t>
            </w:r>
          </w:p>
        </w:tc>
        <w:tc>
          <w:tcPr>
            <w:tcW w:w="1964" w:type="dxa"/>
            <w:vAlign w:val="center"/>
          </w:tcPr>
          <w:p w14:paraId="3572990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装订要求</w:t>
            </w:r>
          </w:p>
        </w:tc>
        <w:tc>
          <w:tcPr>
            <w:tcW w:w="6311" w:type="dxa"/>
            <w:vAlign w:val="center"/>
          </w:tcPr>
          <w:p w14:paraId="79F4828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1、本工程技术部分采用暗标评审，应将投标函部分、技术部分、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791CBDA0">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5C18F48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601D064A">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七</w:t>
            </w:r>
            <w:r>
              <w:rPr>
                <w:rFonts w:ascii="宋体" w:hAnsi="宋体"/>
                <w:color w:val="auto"/>
                <w:szCs w:val="21"/>
                <w:highlight w:val="none"/>
              </w:rPr>
              <w:t>章规定格式装订成册，</w:t>
            </w:r>
            <w:r>
              <w:rPr>
                <w:rFonts w:hint="eastAsia" w:ascii="宋体" w:hAnsi="宋体"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1803A818">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）技术部分的装订要求</w:t>
            </w:r>
          </w:p>
          <w:p w14:paraId="22FF275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服务方案</w:t>
            </w:r>
            <w:r>
              <w:rPr>
                <w:rFonts w:ascii="宋体" w:hAnsi="宋体"/>
                <w:color w:val="auto"/>
                <w:kern w:val="0"/>
                <w:szCs w:val="21"/>
                <w:highlight w:val="none"/>
              </w:rPr>
              <w:t>》面页使用A4厚型白纸面页，用初号仿宋字体居中标明 “</w:t>
            </w:r>
            <w:r>
              <w:rPr>
                <w:rFonts w:hint="eastAsia" w:ascii="宋体" w:hAnsi="宋体"/>
                <w:color w:val="auto"/>
                <w:kern w:val="0"/>
                <w:szCs w:val="21"/>
                <w:highlight w:val="none"/>
                <w:lang w:val="en-US" w:eastAsia="zh-CN"/>
              </w:rPr>
              <w:t>服务方案</w:t>
            </w:r>
            <w:r>
              <w:rPr>
                <w:rFonts w:ascii="宋体" w:hAnsi="宋体"/>
                <w:color w:val="auto"/>
                <w:kern w:val="0"/>
                <w:szCs w:val="21"/>
                <w:highlight w:val="none"/>
              </w:rPr>
              <w:t>”；在页面右下角加盖投标单位章后沿密封线折叠成腰约10cm左右的等腰直角三角形密封；面页除了“</w:t>
            </w:r>
            <w:r>
              <w:rPr>
                <w:rFonts w:hint="eastAsia" w:ascii="宋体" w:hAnsi="宋体"/>
                <w:color w:val="auto"/>
                <w:kern w:val="0"/>
                <w:szCs w:val="21"/>
                <w:highlight w:val="none"/>
              </w:rPr>
              <w:t>服务方案</w:t>
            </w:r>
            <w:r>
              <w:rPr>
                <w:rFonts w:ascii="宋体" w:hAnsi="宋体"/>
                <w:color w:val="auto"/>
                <w:kern w:val="0"/>
                <w:szCs w:val="21"/>
                <w:highlight w:val="none"/>
              </w:rPr>
              <w:t>”</w:t>
            </w:r>
            <w:r>
              <w:rPr>
                <w:rFonts w:hint="eastAsia" w:ascii="宋体" w:hAnsi="宋体"/>
                <w:color w:val="auto"/>
                <w:kern w:val="0"/>
                <w:szCs w:val="21"/>
                <w:highlight w:val="none"/>
              </w:rPr>
              <w:t>四</w:t>
            </w:r>
            <w:r>
              <w:rPr>
                <w:rFonts w:ascii="宋体" w:hAnsi="宋体"/>
                <w:color w:val="auto"/>
                <w:kern w:val="0"/>
                <w:szCs w:val="21"/>
                <w:highlight w:val="none"/>
              </w:rPr>
              <w:t>字和右下角密封处印章外不得有其他印记；密封后的面页及整个《</w:t>
            </w:r>
            <w:r>
              <w:rPr>
                <w:rFonts w:hint="eastAsia" w:ascii="宋体" w:hAnsi="宋体"/>
                <w:color w:val="auto"/>
                <w:kern w:val="0"/>
                <w:szCs w:val="21"/>
                <w:highlight w:val="none"/>
              </w:rPr>
              <w:t>服务方案</w:t>
            </w:r>
            <w:r>
              <w:rPr>
                <w:rFonts w:ascii="宋体" w:hAnsi="宋体"/>
                <w:color w:val="auto"/>
                <w:kern w:val="0"/>
                <w:szCs w:val="21"/>
                <w:highlight w:val="none"/>
              </w:rPr>
              <w:t>》均不得</w:t>
            </w:r>
            <w:r>
              <w:rPr>
                <w:rFonts w:ascii="宋体" w:hAnsi="宋体"/>
                <w:color w:val="auto"/>
                <w:szCs w:val="21"/>
                <w:highlight w:val="none"/>
              </w:rPr>
              <w:t>出现白页、残页和倒页，不得</w:t>
            </w:r>
            <w:r>
              <w:rPr>
                <w:rFonts w:ascii="宋体" w:hAnsi="宋体"/>
                <w:color w:val="auto"/>
                <w:kern w:val="0"/>
                <w:szCs w:val="21"/>
                <w:highlight w:val="none"/>
              </w:rPr>
              <w:t>显示与</w:t>
            </w:r>
            <w:r>
              <w:rPr>
                <w:rFonts w:hint="eastAsia" w:ascii="宋体" w:hAnsi="宋体"/>
                <w:color w:val="auto"/>
                <w:kern w:val="0"/>
                <w:szCs w:val="21"/>
                <w:highlight w:val="none"/>
              </w:rPr>
              <w:t>竞选人</w:t>
            </w:r>
            <w:r>
              <w:rPr>
                <w:rFonts w:ascii="宋体" w:hAnsi="宋体"/>
                <w:color w:val="auto"/>
                <w:kern w:val="0"/>
                <w:szCs w:val="21"/>
                <w:highlight w:val="none"/>
              </w:rPr>
              <w:t>企业有关的任何信息</w:t>
            </w:r>
            <w:r>
              <w:rPr>
                <w:rFonts w:hint="eastAsia" w:ascii="宋体" w:hAnsi="宋体"/>
                <w:color w:val="auto"/>
                <w:kern w:val="0"/>
                <w:szCs w:val="21"/>
                <w:highlight w:val="none"/>
              </w:rPr>
              <w:t>及与本工程无关内容</w:t>
            </w:r>
            <w:r>
              <w:rPr>
                <w:rFonts w:ascii="宋体" w:hAnsi="宋体"/>
                <w:color w:val="auto"/>
                <w:kern w:val="0"/>
                <w:szCs w:val="21"/>
                <w:highlight w:val="none"/>
              </w:rPr>
              <w:t>（面页由</w:t>
            </w:r>
            <w:r>
              <w:rPr>
                <w:rFonts w:hint="eastAsia" w:ascii="宋体" w:hAnsi="宋体"/>
                <w:color w:val="auto"/>
                <w:kern w:val="0"/>
                <w:szCs w:val="21"/>
                <w:highlight w:val="none"/>
              </w:rPr>
              <w:t>竞选人</w:t>
            </w:r>
            <w:r>
              <w:rPr>
                <w:rFonts w:ascii="宋体" w:hAnsi="宋体"/>
                <w:color w:val="auto"/>
                <w:kern w:val="0"/>
                <w:szCs w:val="21"/>
                <w:highlight w:val="none"/>
              </w:rPr>
              <w:t>按</w:t>
            </w:r>
            <w:r>
              <w:rPr>
                <w:rFonts w:hint="eastAsia" w:ascii="宋体" w:hAnsi="宋体"/>
                <w:color w:val="auto"/>
                <w:kern w:val="0"/>
                <w:szCs w:val="21"/>
                <w:highlight w:val="none"/>
              </w:rPr>
              <w:t>竞选文件</w:t>
            </w:r>
            <w:r>
              <w:rPr>
                <w:rFonts w:ascii="宋体" w:hAnsi="宋体"/>
                <w:color w:val="auto"/>
                <w:kern w:val="0"/>
                <w:szCs w:val="21"/>
                <w:highlight w:val="none"/>
              </w:rPr>
              <w:t>中提供的电子文档格式用A4厚型白纸打印，加盖</w:t>
            </w:r>
            <w:r>
              <w:rPr>
                <w:rFonts w:hint="eastAsia" w:ascii="宋体" w:hAnsi="宋体"/>
                <w:color w:val="auto"/>
                <w:kern w:val="0"/>
                <w:szCs w:val="21"/>
                <w:highlight w:val="none"/>
              </w:rPr>
              <w:t>单位法人章</w:t>
            </w:r>
            <w:r>
              <w:rPr>
                <w:rFonts w:ascii="宋体" w:hAnsi="宋体"/>
                <w:color w:val="auto"/>
                <w:kern w:val="0"/>
                <w:szCs w:val="21"/>
                <w:highlight w:val="none"/>
              </w:rPr>
              <w:t>后其面页的反面以不得显示出</w:t>
            </w:r>
            <w:r>
              <w:rPr>
                <w:rFonts w:hint="eastAsia" w:ascii="宋体" w:hAnsi="宋体"/>
                <w:color w:val="auto"/>
                <w:kern w:val="0"/>
                <w:szCs w:val="21"/>
                <w:highlight w:val="none"/>
              </w:rPr>
              <w:t>单位</w:t>
            </w:r>
            <w:r>
              <w:rPr>
                <w:rFonts w:ascii="宋体" w:hAnsi="宋体"/>
                <w:color w:val="auto"/>
                <w:kern w:val="0"/>
                <w:szCs w:val="21"/>
                <w:highlight w:val="none"/>
              </w:rPr>
              <w:t>法人章单位名称为准）；</w:t>
            </w:r>
            <w:r>
              <w:rPr>
                <w:rFonts w:hint="eastAsia" w:ascii="宋体" w:hAnsi="宋体"/>
                <w:color w:val="auto"/>
                <w:kern w:val="0"/>
                <w:szCs w:val="21"/>
                <w:highlight w:val="none"/>
              </w:rPr>
              <w:t>《服务方案》文本部分的纸张采用A4白纸，文本部分的文字采用四号仿宋字体；图表部分的纸张采用A4或A3白纸，图表内的字体、字号大小不限；文字、图表不得使用彩色和不得编制页码。</w:t>
            </w:r>
            <w:r>
              <w:rPr>
                <w:rFonts w:ascii="宋体" w:hAnsi="宋体"/>
                <w:color w:val="auto"/>
                <w:kern w:val="0"/>
                <w:szCs w:val="21"/>
                <w:highlight w:val="none"/>
              </w:rPr>
              <w:t>违反上述任何一项，</w:t>
            </w:r>
            <w:r>
              <w:rPr>
                <w:rFonts w:hint="eastAsia" w:ascii="宋体" w:hAnsi="宋体"/>
                <w:color w:val="auto"/>
                <w:kern w:val="0"/>
                <w:szCs w:val="21"/>
                <w:highlight w:val="none"/>
              </w:rPr>
              <w:t>其竞选文件《服务方案》部分为零分</w:t>
            </w:r>
            <w:r>
              <w:rPr>
                <w:rFonts w:ascii="宋体" w:hAnsi="宋体"/>
                <w:color w:val="auto"/>
                <w:kern w:val="0"/>
                <w:szCs w:val="21"/>
                <w:highlight w:val="none"/>
              </w:rPr>
              <w:t>。</w:t>
            </w:r>
          </w:p>
          <w:p w14:paraId="234D2FE0">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33381A5D">
            <w:pPr>
              <w:adjustRightInd w:val="0"/>
              <w:snapToGrid w:val="0"/>
              <w:spacing w:line="400" w:lineRule="exact"/>
              <w:ind w:firstLine="420" w:firstLineChars="200"/>
              <w:rPr>
                <w:rFonts w:ascii="宋体" w:hAnsi="宋体"/>
                <w:color w:val="auto"/>
                <w:highlight w:val="none"/>
              </w:rPr>
            </w:pPr>
            <w:r>
              <w:rPr>
                <w:rFonts w:ascii="宋体" w:hAnsi="宋体"/>
                <w:color w:val="auto"/>
                <w:szCs w:val="21"/>
                <w:highlight w:val="none"/>
              </w:rPr>
              <w:t>应按照第八章规定格式装订成册，</w:t>
            </w:r>
            <w:r>
              <w:rPr>
                <w:rFonts w:hint="eastAsia" w:ascii="宋体" w:hAnsi="宋体"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1051E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97014C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1964" w:type="dxa"/>
            <w:vAlign w:val="center"/>
          </w:tcPr>
          <w:p w14:paraId="7127FA7F">
            <w:pPr>
              <w:snapToGrid w:val="0"/>
              <w:spacing w:line="40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竞选文件的密封</w:t>
            </w:r>
          </w:p>
        </w:tc>
        <w:tc>
          <w:tcPr>
            <w:tcW w:w="6311" w:type="dxa"/>
            <w:vAlign w:val="center"/>
          </w:tcPr>
          <w:p w14:paraId="68223FB5">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竞选文件</w:t>
            </w:r>
            <w:r>
              <w:rPr>
                <w:rFonts w:ascii="宋体" w:hAnsi="宋体"/>
                <w:color w:val="auto"/>
                <w:szCs w:val="21"/>
                <w:highlight w:val="none"/>
              </w:rPr>
              <w:t>袋使用“</w:t>
            </w:r>
            <w:r>
              <w:rPr>
                <w:rFonts w:hint="eastAsia" w:ascii="宋体" w:hAnsi="宋体"/>
                <w:color w:val="auto"/>
                <w:szCs w:val="21"/>
                <w:highlight w:val="none"/>
              </w:rPr>
              <w:t>竞选</w:t>
            </w:r>
            <w:r>
              <w:rPr>
                <w:rFonts w:ascii="宋体" w:hAnsi="宋体"/>
                <w:color w:val="auto"/>
                <w:szCs w:val="21"/>
                <w:highlight w:val="none"/>
              </w:rPr>
              <w:t>函部分”袋、“技术部分”袋、“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139C94F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0550766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.本次招标技术部分采用暗标评审，技术部分装入“技术部分”袋中，密封不加盖任何印章。</w:t>
            </w:r>
          </w:p>
          <w:p w14:paraId="2C1C433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资格审查部分装入“资格审查部分”袋中，密封并在袋上加盖竞选人单位法人章。</w:t>
            </w:r>
          </w:p>
          <w:p w14:paraId="353A163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.“投标函部分”、“技术部分”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3884E3F5">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注：“投标函部分”袋、“技术部分”袋、“资格审查部分”袋只为方便竞选文件分装，不作为判定密封合格与否的条件。但为了方便开标，请各竞选人主动配合，按要求分装。</w:t>
            </w:r>
          </w:p>
        </w:tc>
      </w:tr>
      <w:tr w14:paraId="224C6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62D058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1964" w:type="dxa"/>
            <w:vAlign w:val="center"/>
          </w:tcPr>
          <w:p w14:paraId="65B8DF0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311" w:type="dxa"/>
            <w:vAlign w:val="center"/>
          </w:tcPr>
          <w:p w14:paraId="2C9F607D">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应在封套上写明如下内容：</w:t>
            </w:r>
          </w:p>
          <w:p w14:paraId="3F4D5503">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竞选人名称：</w:t>
            </w:r>
          </w:p>
          <w:p w14:paraId="389A39B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（项目名称）竞选文件</w:t>
            </w:r>
          </w:p>
          <w:p w14:paraId="5CDD804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在年月日时分前不得开启</w:t>
            </w:r>
          </w:p>
        </w:tc>
      </w:tr>
      <w:tr w14:paraId="68D8B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5F20E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1964" w:type="dxa"/>
            <w:vAlign w:val="center"/>
          </w:tcPr>
          <w:p w14:paraId="58E72DE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311" w:type="dxa"/>
            <w:vAlign w:val="center"/>
          </w:tcPr>
          <w:p w14:paraId="1F77048D">
            <w:pPr>
              <w:spacing w:line="400" w:lineRule="exact"/>
              <w:ind w:firstLine="210" w:firstLineChars="100"/>
              <w:rPr>
                <w:rFonts w:ascii="宋体" w:hAnsi="宋体" w:cs="宋体"/>
                <w:color w:val="auto"/>
                <w:szCs w:val="21"/>
                <w:highlight w:val="none"/>
              </w:rPr>
            </w:pPr>
            <w:r>
              <w:rPr>
                <w:rFonts w:hint="eastAsia" w:ascii="宋体" w:hAnsi="MS Mincho" w:eastAsia="MS Mincho" w:cs="MS Mincho"/>
                <w:color w:val="auto"/>
                <w:szCs w:val="21"/>
                <w:highlight w:val="none"/>
              </w:rPr>
              <w:t>☑</w:t>
            </w:r>
            <w:r>
              <w:rPr>
                <w:rFonts w:hint="eastAsia" w:ascii="宋体" w:hAnsi="宋体" w:cs="宋体"/>
                <w:color w:val="auto"/>
                <w:szCs w:val="21"/>
                <w:highlight w:val="none"/>
              </w:rPr>
              <w:t>否</w:t>
            </w:r>
          </w:p>
          <w:p w14:paraId="72224BFC">
            <w:pPr>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□是</w:t>
            </w:r>
          </w:p>
        </w:tc>
      </w:tr>
      <w:tr w14:paraId="4BE9C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B92FE2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5.1.1</w:t>
            </w:r>
          </w:p>
        </w:tc>
        <w:tc>
          <w:tcPr>
            <w:tcW w:w="1964" w:type="dxa"/>
            <w:vAlign w:val="center"/>
          </w:tcPr>
          <w:p w14:paraId="0A5778A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评选时间和地点</w:t>
            </w:r>
          </w:p>
        </w:tc>
        <w:tc>
          <w:tcPr>
            <w:tcW w:w="6311" w:type="dxa"/>
            <w:vAlign w:val="center"/>
          </w:tcPr>
          <w:p w14:paraId="7AE4CCD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竞选截止时间</w:t>
            </w:r>
          </w:p>
          <w:p w14:paraId="4E830295">
            <w:pPr>
              <w:snapToGrid w:val="0"/>
              <w:spacing w:line="400" w:lineRule="exact"/>
              <w:ind w:firstLine="420" w:firstLineChars="200"/>
              <w:rPr>
                <w:rFonts w:ascii="宋体" w:hAnsi="宋体" w:cs="宋体"/>
                <w:bCs/>
                <w:i/>
                <w:color w:val="auto"/>
                <w:szCs w:val="21"/>
                <w:highlight w:val="none"/>
              </w:rPr>
            </w:pPr>
            <w:r>
              <w:rPr>
                <w:rFonts w:ascii="宋体" w:hAnsi="宋体"/>
                <w:color w:val="auto"/>
                <w:kern w:val="0"/>
                <w:szCs w:val="21"/>
                <w:highlight w:val="none"/>
              </w:rPr>
              <w:t>开标地点：</w:t>
            </w:r>
            <w:r>
              <w:rPr>
                <w:rFonts w:hint="eastAsia" w:ascii="宋体" w:hAnsi="宋体" w:cs="宋体"/>
                <w:color w:val="auto"/>
                <w:szCs w:val="21"/>
                <w:highlight w:val="none"/>
              </w:rPr>
              <w:t>重庆市南岸区行政服务中心B区3号楼</w:t>
            </w:r>
            <w:r>
              <w:rPr>
                <w:rFonts w:hint="eastAsia" w:ascii="宋体" w:hAnsi="宋体" w:cs="宋体"/>
                <w:color w:val="auto"/>
                <w:szCs w:val="21"/>
                <w:highlight w:val="none"/>
                <w:lang w:val="en-US" w:eastAsia="zh-CN"/>
              </w:rPr>
              <w:t>2012</w:t>
            </w:r>
            <w:r>
              <w:rPr>
                <w:rFonts w:hint="eastAsia" w:ascii="宋体" w:hAnsi="宋体" w:cs="宋体"/>
                <w:color w:val="auto"/>
                <w:szCs w:val="21"/>
                <w:highlight w:val="none"/>
              </w:rPr>
              <w:t>室</w:t>
            </w:r>
          </w:p>
        </w:tc>
      </w:tr>
      <w:tr w14:paraId="725B4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D97E68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964" w:type="dxa"/>
            <w:vAlign w:val="center"/>
          </w:tcPr>
          <w:p w14:paraId="159C86C8">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竞选文件开启</w:t>
            </w:r>
          </w:p>
          <w:p w14:paraId="5E37A318">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及唱标程序</w:t>
            </w:r>
          </w:p>
        </w:tc>
        <w:tc>
          <w:tcPr>
            <w:tcW w:w="6311" w:type="dxa"/>
            <w:vAlign w:val="center"/>
          </w:tcPr>
          <w:p w14:paraId="14F3C35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7349613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7ED037F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2.宣布开标纪律</w:t>
            </w:r>
            <w:r>
              <w:rPr>
                <w:rFonts w:hint="eastAsia" w:ascii="宋体" w:hAnsi="宋体"/>
                <w:color w:val="auto"/>
                <w:szCs w:val="21"/>
                <w:highlight w:val="none"/>
              </w:rPr>
              <w:t>。</w:t>
            </w:r>
          </w:p>
          <w:p w14:paraId="23D4A30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1AC735B4">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0E5F0A6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71BA2DC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0D935891">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42178F1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21A17519">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202854C8">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77A3929E">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13917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653B0E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6.1.1</w:t>
            </w:r>
          </w:p>
        </w:tc>
        <w:tc>
          <w:tcPr>
            <w:tcW w:w="1964" w:type="dxa"/>
            <w:vAlign w:val="center"/>
          </w:tcPr>
          <w:p w14:paraId="589E4F0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评选委员会的组建</w:t>
            </w:r>
          </w:p>
        </w:tc>
        <w:tc>
          <w:tcPr>
            <w:tcW w:w="6311" w:type="dxa"/>
            <w:vAlign w:val="center"/>
          </w:tcPr>
          <w:p w14:paraId="3F00B18F">
            <w:pPr>
              <w:pStyle w:val="8"/>
              <w:spacing w:line="400" w:lineRule="exact"/>
              <w:ind w:firstLine="436" w:firstLineChars="200"/>
              <w:rPr>
                <w:rFonts w:ascii="宋体" w:hAnsi="宋体"/>
                <w:color w:val="auto"/>
                <w:highlight w:val="none"/>
              </w:rPr>
            </w:pPr>
            <w:r>
              <w:rPr>
                <w:rFonts w:hint="eastAsia" w:asciiTheme="minorEastAsia" w:hAnsiTheme="minorEastAsia" w:eastAsiaTheme="minorEastAsia" w:cstheme="minorEastAsia"/>
                <w:color w:val="auto"/>
                <w:spacing w:val="4"/>
                <w:kern w:val="0"/>
                <w:szCs w:val="21"/>
                <w:highlight w:val="none"/>
              </w:rPr>
              <w:t>由比选人按法律法规及相关规定依法组建评标委员会</w:t>
            </w:r>
            <w:r>
              <w:rPr>
                <w:rFonts w:hint="eastAsia" w:asciiTheme="minorEastAsia" w:hAnsiTheme="minorEastAsia" w:eastAsiaTheme="minorEastAsia" w:cstheme="minorEastAsia"/>
                <w:color w:val="auto"/>
                <w:kern w:val="0"/>
                <w:szCs w:val="21"/>
                <w:highlight w:val="none"/>
              </w:rPr>
              <w:t>。</w:t>
            </w:r>
          </w:p>
        </w:tc>
      </w:tr>
      <w:tr w14:paraId="5D720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766AD8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964" w:type="dxa"/>
            <w:vAlign w:val="center"/>
          </w:tcPr>
          <w:p w14:paraId="1350B0AA">
            <w:pPr>
              <w:snapToGrid w:val="0"/>
              <w:spacing w:afterLines="2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是否授权评选委员会确定中选人</w:t>
            </w:r>
          </w:p>
        </w:tc>
        <w:tc>
          <w:tcPr>
            <w:tcW w:w="6311" w:type="dxa"/>
            <w:vAlign w:val="center"/>
          </w:tcPr>
          <w:p w14:paraId="66F944C8">
            <w:pPr>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□是</w:t>
            </w:r>
          </w:p>
          <w:p w14:paraId="1BCBC551">
            <w:pPr>
              <w:snapToGrid w:val="0"/>
              <w:spacing w:line="400" w:lineRule="exact"/>
              <w:ind w:firstLine="210" w:firstLineChars="100"/>
              <w:rPr>
                <w:rFonts w:ascii="宋体" w:hAnsi="宋体" w:cs="宋体"/>
                <w:i/>
                <w:color w:val="auto"/>
                <w:kern w:val="0"/>
                <w:szCs w:val="21"/>
                <w:highlight w:val="none"/>
              </w:rPr>
            </w:pPr>
            <w:r>
              <w:rPr>
                <w:rFonts w:hint="eastAsia" w:ascii="宋体" w:hAnsi="MS Mincho" w:eastAsia="MS Mincho" w:cs="MS Mincho"/>
                <w:color w:val="auto"/>
                <w:kern w:val="0"/>
                <w:szCs w:val="21"/>
                <w:highlight w:val="none"/>
              </w:rPr>
              <w:t>☑</w:t>
            </w:r>
            <w:r>
              <w:rPr>
                <w:rFonts w:hint="eastAsia" w:ascii="宋体" w:hAnsi="宋体" w:cs="宋体"/>
                <w:color w:val="auto"/>
                <w:kern w:val="0"/>
                <w:szCs w:val="21"/>
                <w:highlight w:val="none"/>
              </w:rPr>
              <w:t>否，</w:t>
            </w:r>
            <w:r>
              <w:rPr>
                <w:rFonts w:ascii="宋体" w:hAnsi="宋体" w:cs="宋体"/>
                <w:color w:val="auto"/>
                <w:szCs w:val="21"/>
                <w:highlight w:val="none"/>
              </w:rPr>
              <w:t>推荐经</w:t>
            </w:r>
            <w:r>
              <w:rPr>
                <w:rFonts w:hint="eastAsia" w:ascii="宋体" w:hAnsi="宋体" w:cs="宋体"/>
                <w:color w:val="auto"/>
                <w:szCs w:val="21"/>
                <w:highlight w:val="none"/>
              </w:rPr>
              <w:t>评选</w:t>
            </w:r>
            <w:r>
              <w:rPr>
                <w:rFonts w:ascii="宋体" w:hAnsi="宋体" w:cs="宋体"/>
                <w:color w:val="auto"/>
                <w:szCs w:val="21"/>
                <w:highlight w:val="none"/>
              </w:rPr>
              <w:t>综合得分由高到低排名前三名为</w:t>
            </w:r>
            <w:r>
              <w:rPr>
                <w:rFonts w:hint="eastAsia" w:ascii="宋体" w:hAnsi="宋体" w:cs="宋体"/>
                <w:color w:val="auto"/>
                <w:szCs w:val="21"/>
                <w:highlight w:val="none"/>
              </w:rPr>
              <w:t>中选</w:t>
            </w:r>
            <w:r>
              <w:rPr>
                <w:rFonts w:ascii="宋体" w:hAnsi="宋体" w:cs="宋体"/>
                <w:color w:val="auto"/>
                <w:szCs w:val="21"/>
                <w:highlight w:val="none"/>
              </w:rPr>
              <w:t>候选人</w:t>
            </w:r>
            <w:r>
              <w:rPr>
                <w:rFonts w:hint="eastAsia" w:ascii="宋体" w:hAnsi="宋体" w:cs="宋体"/>
                <w:color w:val="auto"/>
                <w:kern w:val="0"/>
                <w:szCs w:val="21"/>
                <w:highlight w:val="none"/>
              </w:rPr>
              <w:t>。</w:t>
            </w:r>
          </w:p>
        </w:tc>
      </w:tr>
      <w:tr w14:paraId="33B94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036939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1964" w:type="dxa"/>
            <w:vAlign w:val="center"/>
          </w:tcPr>
          <w:p w14:paraId="59B01615">
            <w:pPr>
              <w:snapToGrid w:val="0"/>
              <w:spacing w:afterLines="2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中选结果公告</w:t>
            </w:r>
          </w:p>
        </w:tc>
        <w:tc>
          <w:tcPr>
            <w:tcW w:w="6311" w:type="dxa"/>
            <w:vAlign w:val="center"/>
          </w:tcPr>
          <w:p w14:paraId="7DF7C35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评选结果在比选人确认评选结果后2个工作日内，于“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进行公告，公告期限为3日。</w:t>
            </w:r>
          </w:p>
        </w:tc>
      </w:tr>
      <w:tr w14:paraId="30079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158AE7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7.3.1</w:t>
            </w:r>
          </w:p>
        </w:tc>
        <w:tc>
          <w:tcPr>
            <w:tcW w:w="1964" w:type="dxa"/>
            <w:vAlign w:val="center"/>
          </w:tcPr>
          <w:p w14:paraId="685BF64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履约担保</w:t>
            </w:r>
          </w:p>
        </w:tc>
        <w:tc>
          <w:tcPr>
            <w:tcW w:w="6311" w:type="dxa"/>
            <w:vAlign w:val="center"/>
          </w:tcPr>
          <w:p w14:paraId="7F57ACD8">
            <w:pPr>
              <w:snapToGrid w:val="0"/>
              <w:spacing w:after="48" w:line="400" w:lineRule="exact"/>
              <w:ind w:firstLine="420" w:firstLineChars="200"/>
              <w:rPr>
                <w:rStyle w:val="55"/>
                <w:rFonts w:ascii="宋体" w:hAnsi="宋体" w:cs="宋体"/>
                <w:color w:val="auto"/>
                <w:kern w:val="0"/>
                <w:szCs w:val="21"/>
                <w:highlight w:val="none"/>
              </w:rPr>
            </w:pPr>
            <w:r>
              <w:rPr>
                <w:rStyle w:val="55"/>
                <w:rFonts w:hint="eastAsia" w:ascii="宋体" w:hAnsi="宋体" w:cs="宋体"/>
                <w:color w:val="auto"/>
                <w:kern w:val="0"/>
                <w:szCs w:val="21"/>
                <w:highlight w:val="none"/>
              </w:rPr>
              <w:t>1.</w:t>
            </w:r>
            <w:r>
              <w:rPr>
                <w:rStyle w:val="55"/>
                <w:rFonts w:hint="eastAsia" w:ascii="宋体" w:hAnsi="宋体" w:eastAsia="宋体" w:cs="宋体"/>
                <w:color w:val="auto"/>
                <w:kern w:val="0"/>
                <w:szCs w:val="21"/>
                <w:highlight w:val="none"/>
              </w:rPr>
              <w:t>担保形式：</w:t>
            </w:r>
            <w:r>
              <w:rPr>
                <w:rStyle w:val="55"/>
                <w:rFonts w:hint="default" w:ascii="宋体" w:hAnsi="宋体" w:eastAsia="宋体" w:cs="宋体"/>
                <w:color w:val="auto"/>
                <w:kern w:val="0"/>
                <w:szCs w:val="21"/>
                <w:highlight w:val="none"/>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w:t>
            </w:r>
            <w:r>
              <w:rPr>
                <w:rStyle w:val="55"/>
                <w:rFonts w:hint="eastAsia" w:ascii="宋体" w:hAnsi="宋体" w:eastAsia="宋体" w:cs="宋体"/>
                <w:color w:val="auto"/>
                <w:kern w:val="0"/>
                <w:szCs w:val="21"/>
                <w:highlight w:val="none"/>
                <w:lang w:val="en-US" w:eastAsia="zh-CN"/>
              </w:rPr>
              <w:t>比选</w:t>
            </w:r>
            <w:r>
              <w:rPr>
                <w:rStyle w:val="55"/>
                <w:rFonts w:hint="default" w:ascii="宋体" w:hAnsi="宋体" w:eastAsia="宋体" w:cs="宋体"/>
                <w:color w:val="auto"/>
                <w:kern w:val="0"/>
                <w:szCs w:val="21"/>
                <w:highlight w:val="none"/>
              </w:rPr>
              <w:t>文件约定要求。</w:t>
            </w:r>
            <w:r>
              <w:rPr>
                <w:rStyle w:val="55"/>
                <w:rFonts w:hint="eastAsia" w:ascii="宋体" w:hAnsi="宋体" w:cs="宋体"/>
                <w:color w:val="auto"/>
                <w:kern w:val="0"/>
                <w:szCs w:val="21"/>
                <w:highlight w:val="none"/>
              </w:rPr>
              <w:t>中选人</w:t>
            </w:r>
            <w:r>
              <w:rPr>
                <w:rStyle w:val="55"/>
                <w:rFonts w:hint="default" w:ascii="宋体" w:hAnsi="宋体" w:eastAsia="宋体" w:cs="宋体"/>
                <w:color w:val="auto"/>
                <w:kern w:val="0"/>
                <w:szCs w:val="21"/>
                <w:highlight w:val="none"/>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Style w:val="55"/>
                <w:rFonts w:hint="eastAsia" w:ascii="宋体" w:hAnsi="宋体" w:cs="宋体"/>
                <w:color w:val="auto"/>
                <w:kern w:val="0"/>
                <w:szCs w:val="21"/>
                <w:highlight w:val="none"/>
              </w:rPr>
              <w:t>中选人</w:t>
            </w:r>
            <w:r>
              <w:rPr>
                <w:rStyle w:val="55"/>
                <w:rFonts w:hint="default" w:ascii="宋体" w:hAnsi="宋体" w:eastAsia="宋体" w:cs="宋体"/>
                <w:color w:val="auto"/>
                <w:kern w:val="0"/>
                <w:szCs w:val="21"/>
                <w:highlight w:val="none"/>
              </w:rPr>
              <w:t>对所提交的保函的真实性、合法性、有效性负责。</w:t>
            </w:r>
          </w:p>
          <w:p w14:paraId="381390A0">
            <w:pPr>
              <w:snapToGrid w:val="0"/>
              <w:spacing w:after="48" w:line="400" w:lineRule="exact"/>
              <w:ind w:firstLine="420" w:firstLineChars="200"/>
              <w:rPr>
                <w:rStyle w:val="55"/>
                <w:rFonts w:ascii="宋体" w:hAnsi="宋体" w:cs="宋体"/>
                <w:color w:val="auto"/>
                <w:kern w:val="0"/>
                <w:szCs w:val="21"/>
                <w:highlight w:val="none"/>
              </w:rPr>
            </w:pPr>
            <w:r>
              <w:rPr>
                <w:rStyle w:val="55"/>
                <w:rFonts w:hint="eastAsia" w:ascii="宋体" w:hAnsi="宋体" w:cs="宋体"/>
                <w:color w:val="auto"/>
                <w:kern w:val="0"/>
                <w:szCs w:val="21"/>
                <w:highlight w:val="none"/>
              </w:rPr>
              <w:t>2.担保金额：中选合同金额的10%；</w:t>
            </w:r>
          </w:p>
          <w:p w14:paraId="584FD386">
            <w:pPr>
              <w:snapToGrid w:val="0"/>
              <w:spacing w:after="48" w:line="400" w:lineRule="exact"/>
              <w:ind w:firstLine="420" w:firstLineChars="200"/>
              <w:rPr>
                <w:rStyle w:val="55"/>
                <w:rFonts w:ascii="宋体" w:hAnsi="宋体" w:cs="宋体"/>
                <w:color w:val="auto"/>
                <w:kern w:val="0"/>
                <w:szCs w:val="21"/>
                <w:highlight w:val="none"/>
              </w:rPr>
            </w:pPr>
            <w:r>
              <w:rPr>
                <w:rStyle w:val="55"/>
                <w:rFonts w:hint="eastAsia" w:ascii="宋体" w:hAnsi="宋体" w:cs="宋体"/>
                <w:color w:val="auto"/>
                <w:kern w:val="0"/>
                <w:szCs w:val="21"/>
                <w:highlight w:val="none"/>
              </w:rPr>
              <w:t>3.提交时间：中选人领取中选通知书后10个工作日内提交，并作为签订合同的必备条件。其中：履约担保为银行转账的，中选人须从其企业基本账户将相应的履约担保金额打入比选人指定账户，账户在签订合同前由比选人提供；</w:t>
            </w:r>
          </w:p>
          <w:p w14:paraId="60E14C29">
            <w:pPr>
              <w:snapToGrid w:val="0"/>
              <w:spacing w:after="48" w:line="400" w:lineRule="exact"/>
              <w:ind w:firstLine="420" w:firstLineChars="200"/>
              <w:rPr>
                <w:rFonts w:ascii="宋体" w:hAnsi="宋体"/>
                <w:color w:val="auto"/>
                <w:kern w:val="0"/>
                <w:szCs w:val="21"/>
                <w:highlight w:val="none"/>
              </w:rPr>
            </w:pPr>
            <w:r>
              <w:rPr>
                <w:rStyle w:val="55"/>
                <w:rFonts w:hint="eastAsia" w:ascii="宋体" w:hAnsi="宋体" w:cs="宋体"/>
                <w:color w:val="auto"/>
                <w:highlight w:val="none"/>
              </w:rPr>
              <w:t>4.退还时间：完成合同所有约定事项</w:t>
            </w:r>
            <w:r>
              <w:rPr>
                <w:rFonts w:hint="eastAsia" w:ascii="宋体" w:hAnsi="宋体"/>
                <w:color w:val="auto"/>
                <w:szCs w:val="21"/>
                <w:highlight w:val="none"/>
              </w:rPr>
              <w:t>后退还履约保证金（履约保证金不计算利息）</w:t>
            </w:r>
            <w:r>
              <w:rPr>
                <w:rStyle w:val="55"/>
                <w:rFonts w:hint="eastAsia" w:ascii="宋体" w:hAnsi="宋体" w:cs="宋体"/>
                <w:color w:val="auto"/>
                <w:highlight w:val="none"/>
              </w:rPr>
              <w:t>。</w:t>
            </w:r>
          </w:p>
        </w:tc>
      </w:tr>
      <w:tr w14:paraId="68976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8732FF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964" w:type="dxa"/>
            <w:vAlign w:val="center"/>
          </w:tcPr>
          <w:p w14:paraId="402D295E">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6311" w:type="dxa"/>
            <w:vAlign w:val="center"/>
          </w:tcPr>
          <w:p w14:paraId="4C5BA491">
            <w:pPr>
              <w:autoSpaceDE w:val="0"/>
              <w:autoSpaceDN w:val="0"/>
              <w:adjustRightInd w:val="0"/>
              <w:snapToGrid w:val="0"/>
              <w:spacing w:afterLines="20" w:line="400" w:lineRule="exact"/>
              <w:ind w:firstLine="420" w:firstLineChars="200"/>
              <w:rPr>
                <w:rFonts w:ascii="宋体" w:hAnsi="宋体"/>
                <w:snapToGrid w:val="0"/>
                <w:color w:val="auto"/>
                <w:highlight w:val="none"/>
              </w:rPr>
            </w:pPr>
            <w:r>
              <w:rPr>
                <w:rFonts w:hint="eastAsia" w:ascii="宋体" w:hAnsi="宋体"/>
                <w:snapToGrid w:val="0"/>
                <w:color w:val="auto"/>
                <w:highlight w:val="none"/>
              </w:rPr>
              <w:t>1.初次比选：按竞选人须知第8.1执行；</w:t>
            </w:r>
          </w:p>
          <w:p w14:paraId="36F5F926">
            <w:pPr>
              <w:autoSpaceDE w:val="0"/>
              <w:autoSpaceDN w:val="0"/>
              <w:adjustRightInd w:val="0"/>
              <w:snapToGrid w:val="0"/>
              <w:spacing w:afterLines="20" w:line="400" w:lineRule="exact"/>
              <w:ind w:firstLine="420" w:firstLineChars="200"/>
              <w:rPr>
                <w:rFonts w:ascii="宋体" w:hAnsi="宋体" w:cs="宋体"/>
                <w:snapToGrid w:val="0"/>
                <w:color w:val="auto"/>
                <w:kern w:val="0"/>
                <w:szCs w:val="21"/>
                <w:highlight w:val="none"/>
              </w:rPr>
            </w:pPr>
            <w:r>
              <w:rPr>
                <w:rFonts w:hint="eastAsia" w:ascii="宋体" w:hAnsi="宋体"/>
                <w:snapToGrid w:val="0"/>
                <w:color w:val="auto"/>
                <w:highlight w:val="none"/>
              </w:rPr>
              <w:t>2.二次比选：若初次比选因故终止，第二次比选有效竞选人仍然少于三个的，按照原规定的程序比选和评审。</w:t>
            </w:r>
          </w:p>
        </w:tc>
      </w:tr>
      <w:tr w14:paraId="74348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11F984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275" w:type="dxa"/>
            <w:gridSpan w:val="2"/>
            <w:vAlign w:val="center"/>
          </w:tcPr>
          <w:p w14:paraId="31891E9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需要补充的其他内容</w:t>
            </w:r>
          </w:p>
        </w:tc>
      </w:tr>
      <w:tr w14:paraId="06FB5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5DE4493">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10.1</w:t>
            </w:r>
          </w:p>
        </w:tc>
        <w:tc>
          <w:tcPr>
            <w:tcW w:w="1964" w:type="dxa"/>
            <w:vAlign w:val="center"/>
          </w:tcPr>
          <w:p w14:paraId="54B4DF18">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支付担保</w:t>
            </w:r>
          </w:p>
        </w:tc>
        <w:tc>
          <w:tcPr>
            <w:tcW w:w="6311" w:type="dxa"/>
            <w:vAlign w:val="center"/>
          </w:tcPr>
          <w:p w14:paraId="41DDD9EB">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w:t>
            </w:r>
          </w:p>
        </w:tc>
      </w:tr>
      <w:tr w14:paraId="599CB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A26B36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1964" w:type="dxa"/>
            <w:vAlign w:val="center"/>
          </w:tcPr>
          <w:p w14:paraId="31C7DF83">
            <w:pPr>
              <w:spacing w:line="400" w:lineRule="exact"/>
              <w:jc w:val="center"/>
              <w:rPr>
                <w:rFonts w:ascii="宋体" w:hAnsi="宋体" w:cs="宋体"/>
                <w:color w:val="auto"/>
                <w:szCs w:val="21"/>
                <w:highlight w:val="none"/>
              </w:rPr>
            </w:pPr>
            <w:r>
              <w:rPr>
                <w:rFonts w:hint="eastAsia" w:ascii="宋体" w:hAnsi="宋体"/>
                <w:color w:val="auto"/>
                <w:kern w:val="0"/>
                <w:szCs w:val="21"/>
                <w:highlight w:val="none"/>
              </w:rPr>
              <w:t>比选代理服务费</w:t>
            </w:r>
          </w:p>
        </w:tc>
        <w:tc>
          <w:tcPr>
            <w:tcW w:w="6311" w:type="dxa"/>
            <w:vAlign w:val="center"/>
          </w:tcPr>
          <w:p w14:paraId="6303AFCE">
            <w:pPr>
              <w:snapToGrid w:val="0"/>
              <w:spacing w:line="400" w:lineRule="exact"/>
              <w:ind w:firstLine="440" w:firstLineChars="200"/>
              <w:rPr>
                <w:rStyle w:val="55"/>
                <w:rFonts w:hint="eastAsia" w:ascii="宋体" w:hAnsi="宋体" w:eastAsia="宋体" w:cs="宋体"/>
                <w:color w:val="auto"/>
                <w:kern w:val="0"/>
                <w:sz w:val="22"/>
                <w:szCs w:val="22"/>
                <w:highlight w:val="none"/>
              </w:rPr>
            </w:pPr>
            <w:r>
              <w:rPr>
                <w:rStyle w:val="55"/>
                <w:rFonts w:hint="eastAsia" w:ascii="宋体" w:hAnsi="宋体" w:eastAsia="宋体" w:cs="宋体"/>
                <w:color w:val="auto"/>
                <w:kern w:val="0"/>
                <w:sz w:val="22"/>
                <w:szCs w:val="22"/>
                <w:highlight w:val="none"/>
                <w:lang w:val="en-US" w:eastAsia="zh-CN"/>
              </w:rPr>
              <w:t>本项目招标代理服务费</w:t>
            </w:r>
            <w:r>
              <w:rPr>
                <w:rStyle w:val="55"/>
                <w:rFonts w:hint="eastAsia" w:ascii="宋体" w:hAnsi="宋体" w:eastAsia="宋体" w:cs="宋体"/>
                <w:color w:val="auto"/>
                <w:kern w:val="0"/>
                <w:sz w:val="22"/>
                <w:szCs w:val="22"/>
                <w:highlight w:val="none"/>
              </w:rPr>
              <w:t>按照</w:t>
            </w:r>
            <w:r>
              <w:rPr>
                <w:rStyle w:val="55"/>
                <w:rFonts w:hint="eastAsia" w:ascii="宋体" w:hAnsi="宋体" w:eastAsia="宋体" w:cs="宋体"/>
                <w:color w:val="auto"/>
                <w:kern w:val="0"/>
                <w:sz w:val="22"/>
                <w:szCs w:val="22"/>
                <w:highlight w:val="none"/>
                <w:lang w:eastAsia="zh-CN"/>
              </w:rPr>
              <w:t>“</w:t>
            </w:r>
            <w:r>
              <w:rPr>
                <w:rStyle w:val="55"/>
                <w:rFonts w:hint="eastAsia" w:ascii="宋体" w:hAnsi="宋体" w:eastAsia="宋体" w:cs="宋体"/>
                <w:color w:val="auto"/>
                <w:kern w:val="0"/>
                <w:sz w:val="22"/>
                <w:szCs w:val="22"/>
                <w:highlight w:val="none"/>
              </w:rPr>
              <w:t>按照《招标代理服务收费管理暂行办法》（计价格[2002]1980号）收费标准</w:t>
            </w:r>
            <w:r>
              <w:rPr>
                <w:rStyle w:val="55"/>
                <w:rFonts w:hint="eastAsia" w:ascii="宋体" w:hAnsi="宋体" w:eastAsia="宋体" w:cs="宋体"/>
                <w:color w:val="auto"/>
                <w:kern w:val="0"/>
                <w:sz w:val="22"/>
                <w:szCs w:val="22"/>
                <w:highlight w:val="none"/>
                <w:lang w:val="en-US" w:eastAsia="zh-CN"/>
              </w:rPr>
              <w:t>【70】%</w:t>
            </w:r>
            <w:r>
              <w:rPr>
                <w:rStyle w:val="55"/>
                <w:rFonts w:hint="eastAsia" w:ascii="宋体" w:hAnsi="宋体" w:eastAsia="宋体" w:cs="宋体"/>
                <w:color w:val="auto"/>
                <w:kern w:val="0"/>
                <w:sz w:val="22"/>
                <w:szCs w:val="22"/>
                <w:highlight w:val="none"/>
                <w:lang w:eastAsia="zh-CN"/>
              </w:rPr>
              <w:t>”</w:t>
            </w:r>
            <w:r>
              <w:rPr>
                <w:rStyle w:val="55"/>
                <w:rFonts w:hint="eastAsia" w:ascii="宋体" w:hAnsi="宋体" w:eastAsia="宋体" w:cs="宋体"/>
                <w:color w:val="auto"/>
                <w:kern w:val="0"/>
                <w:sz w:val="22"/>
                <w:szCs w:val="22"/>
                <w:highlight w:val="none"/>
              </w:rPr>
              <w:t>计算，</w:t>
            </w:r>
            <w:r>
              <w:rPr>
                <w:rStyle w:val="55"/>
                <w:rFonts w:hint="eastAsia" w:ascii="宋体" w:hAnsi="宋体" w:eastAsia="宋体" w:cs="宋体"/>
                <w:color w:val="auto"/>
                <w:kern w:val="0"/>
                <w:sz w:val="22"/>
                <w:szCs w:val="22"/>
                <w:highlight w:val="none"/>
                <w:lang w:val="en-US" w:eastAsia="zh-CN"/>
              </w:rPr>
              <w:t>不足6000元按6000元计。</w:t>
            </w:r>
            <w:r>
              <w:rPr>
                <w:rStyle w:val="55"/>
                <w:rFonts w:hint="eastAsia" w:ascii="宋体" w:hAnsi="宋体" w:eastAsia="宋体" w:cs="宋体"/>
                <w:color w:val="auto"/>
                <w:kern w:val="0"/>
                <w:sz w:val="22"/>
                <w:szCs w:val="22"/>
                <w:highlight w:val="none"/>
              </w:rPr>
              <w:t>由中选单位领取中选通知书时一次性支付给代理机构，各比选申请在投标报价时应考虑此费用。</w:t>
            </w:r>
          </w:p>
          <w:p w14:paraId="1E81394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代理服务费缴纳账号：</w:t>
            </w:r>
          </w:p>
          <w:p w14:paraId="7E06FF82">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户名：</w:t>
            </w:r>
            <w:r>
              <w:rPr>
                <w:rFonts w:ascii="宋体" w:hAnsi="宋体"/>
                <w:snapToGrid w:val="0"/>
                <w:color w:val="auto"/>
                <w:kern w:val="0"/>
                <w:highlight w:val="none"/>
              </w:rPr>
              <w:t>重庆昱炀工程咨询有限公司</w:t>
            </w:r>
          </w:p>
          <w:p w14:paraId="577D1FC4">
            <w:pPr>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开户行：</w:t>
            </w:r>
            <w:r>
              <w:rPr>
                <w:rFonts w:ascii="宋体" w:hAnsi="宋体"/>
                <w:snapToGrid w:val="0"/>
                <w:color w:val="auto"/>
                <w:kern w:val="0"/>
                <w:highlight w:val="none"/>
              </w:rPr>
              <w:t>中国民生银行重庆龙湖支行</w:t>
            </w:r>
          </w:p>
          <w:p w14:paraId="7EDEBC9A">
            <w:pPr>
              <w:spacing w:line="360" w:lineRule="auto"/>
              <w:ind w:firstLine="420" w:firstLineChars="200"/>
              <w:rPr>
                <w:rFonts w:ascii="宋体" w:hAnsi="宋体" w:cs="宋体"/>
                <w:color w:val="auto"/>
                <w:szCs w:val="21"/>
                <w:highlight w:val="none"/>
              </w:rPr>
            </w:pPr>
            <w:r>
              <w:rPr>
                <w:rFonts w:hint="eastAsia" w:ascii="宋体" w:hAnsi="宋体"/>
                <w:snapToGrid w:val="0"/>
                <w:color w:val="auto"/>
                <w:kern w:val="0"/>
                <w:highlight w:val="none"/>
              </w:rPr>
              <w:t>账号：</w:t>
            </w:r>
            <w:r>
              <w:rPr>
                <w:rFonts w:ascii="宋体" w:hAnsi="宋体"/>
                <w:snapToGrid w:val="0"/>
                <w:color w:val="auto"/>
                <w:kern w:val="0"/>
                <w:highlight w:val="none"/>
              </w:rPr>
              <w:t>160612349</w:t>
            </w:r>
          </w:p>
        </w:tc>
      </w:tr>
      <w:tr w14:paraId="2C8FA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E088D0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1964" w:type="dxa"/>
            <w:vAlign w:val="center"/>
          </w:tcPr>
          <w:p w14:paraId="1F38E2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关于对比选文件及竞选文件理解争议的解释</w:t>
            </w:r>
          </w:p>
        </w:tc>
        <w:tc>
          <w:tcPr>
            <w:tcW w:w="6311" w:type="dxa"/>
            <w:vAlign w:val="center"/>
          </w:tcPr>
          <w:p w14:paraId="3923657E">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对比选文件的评选标准和方法，以及资格审查和否决条款理解有争议的，应当作出不利于比选人的解释，但违背国家利益、社会公共利益的除外。</w:t>
            </w:r>
          </w:p>
          <w:p w14:paraId="5FA9479A">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对竞选文件理解有争议的，应当作出不利于提交该竞选文件的竞选人的解释。</w:t>
            </w:r>
          </w:p>
        </w:tc>
      </w:tr>
      <w:tr w14:paraId="69B3DC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8E0C52">
            <w:pPr>
              <w:snapToGrid w:val="0"/>
              <w:spacing w:line="400" w:lineRule="exact"/>
              <w:jc w:val="center"/>
              <w:rPr>
                <w:rFonts w:ascii="宋体" w:hAnsi="宋体" w:cs="宋体"/>
                <w:color w:val="auto"/>
                <w:kern w:val="0"/>
                <w:szCs w:val="21"/>
                <w:highlight w:val="none"/>
              </w:rPr>
            </w:pPr>
            <w:r>
              <w:rPr>
                <w:rFonts w:hint="eastAsia" w:ascii="宋体" w:hAnsi="宋体" w:cs="宋体"/>
                <w:color w:val="auto"/>
                <w:highlight w:val="none"/>
              </w:rPr>
              <w:t>10.4</w:t>
            </w:r>
          </w:p>
        </w:tc>
        <w:tc>
          <w:tcPr>
            <w:tcW w:w="1964" w:type="dxa"/>
            <w:vAlign w:val="center"/>
          </w:tcPr>
          <w:p w14:paraId="347BB0D2">
            <w:pPr>
              <w:snapToGrid w:val="0"/>
              <w:spacing w:line="400" w:lineRule="exact"/>
              <w:jc w:val="center"/>
              <w:rPr>
                <w:rFonts w:ascii="宋体" w:hAnsi="宋体" w:cs="宋体"/>
                <w:color w:val="auto"/>
                <w:kern w:val="0"/>
                <w:szCs w:val="21"/>
                <w:highlight w:val="none"/>
              </w:rPr>
            </w:pPr>
            <w:r>
              <w:rPr>
                <w:rFonts w:hint="eastAsia" w:ascii="宋体" w:hAnsi="宋体"/>
                <w:color w:val="auto"/>
                <w:kern w:val="0"/>
                <w:szCs w:val="21"/>
                <w:highlight w:val="none"/>
              </w:rPr>
              <w:t>付款方式</w:t>
            </w:r>
          </w:p>
        </w:tc>
        <w:tc>
          <w:tcPr>
            <w:tcW w:w="6311" w:type="dxa"/>
            <w:vAlign w:val="center"/>
          </w:tcPr>
          <w:p w14:paraId="047E140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工程量清单及组价编制：工程合同范围内的工程量清单及组价编制</w:t>
            </w:r>
            <w:r>
              <w:rPr>
                <w:rFonts w:hint="eastAsia" w:ascii="宋体" w:hAnsi="宋体" w:cs="宋体"/>
                <w:color w:val="auto"/>
                <w:highlight w:val="none"/>
                <w:lang w:val="en-US" w:eastAsia="zh-CN"/>
              </w:rPr>
              <w:t>完成出具预算</w:t>
            </w:r>
            <w:r>
              <w:rPr>
                <w:rFonts w:hint="eastAsia" w:ascii="宋体" w:hAnsi="宋体" w:cs="宋体"/>
                <w:color w:val="auto"/>
                <w:highlight w:val="none"/>
              </w:rPr>
              <w:t>报告且委托人收到咨询人开具的等额增值税发票后60日内支付该工程量清单及组价编制酬金的80%，剩余20%待相关部门评审完成后无息支付。</w:t>
            </w:r>
          </w:p>
        </w:tc>
      </w:tr>
      <w:tr w14:paraId="231AA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E827CC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10.5</w:t>
            </w:r>
          </w:p>
        </w:tc>
        <w:tc>
          <w:tcPr>
            <w:tcW w:w="1964" w:type="dxa"/>
            <w:vAlign w:val="center"/>
          </w:tcPr>
          <w:p w14:paraId="3CBBA51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中选候选人和中选人无故放弃中选或不签订合同的后果</w:t>
            </w:r>
          </w:p>
        </w:tc>
        <w:tc>
          <w:tcPr>
            <w:tcW w:w="6311" w:type="dxa"/>
            <w:vAlign w:val="center"/>
          </w:tcPr>
          <w:p w14:paraId="6323286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1.不予退还比选保证金；</w:t>
            </w:r>
          </w:p>
          <w:p w14:paraId="14E2970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2.给比选人造成经济损失的，要赔偿比选人合理损失；</w:t>
            </w:r>
          </w:p>
          <w:p w14:paraId="65B11C8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3.由比选人将其不良行为上报监督部门处理。</w:t>
            </w:r>
          </w:p>
        </w:tc>
      </w:tr>
      <w:tr w14:paraId="6FC2A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8CB55E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1964" w:type="dxa"/>
            <w:vAlign w:val="center"/>
          </w:tcPr>
          <w:p w14:paraId="7C800947">
            <w:pPr>
              <w:snapToGrid w:val="0"/>
              <w:spacing w:line="400" w:lineRule="exact"/>
              <w:jc w:val="center"/>
              <w:rPr>
                <w:rFonts w:ascii="宋体" w:hAnsi="宋体"/>
                <w:color w:val="auto"/>
                <w:kern w:val="0"/>
                <w:szCs w:val="21"/>
                <w:highlight w:val="none"/>
              </w:rPr>
            </w:pPr>
            <w:r>
              <w:rPr>
                <w:rStyle w:val="55"/>
                <w:rFonts w:hint="eastAsia" w:ascii="宋体" w:hAnsi="宋体" w:cs="宋体"/>
                <w:color w:val="auto"/>
                <w:kern w:val="0"/>
                <w:sz w:val="22"/>
                <w:szCs w:val="22"/>
                <w:highlight w:val="none"/>
                <w:lang w:val="en-US" w:eastAsia="zh-CN"/>
              </w:rPr>
              <w:t>低价风险担保</w:t>
            </w:r>
          </w:p>
        </w:tc>
        <w:tc>
          <w:tcPr>
            <w:tcW w:w="6311" w:type="dxa"/>
            <w:vAlign w:val="center"/>
          </w:tcPr>
          <w:p w14:paraId="1C448C75">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0FB7A789">
            <w:pPr>
              <w:autoSpaceDE w:val="0"/>
              <w:autoSpaceDN w:val="0"/>
              <w:adjustRightInd w:val="0"/>
              <w:snapToGrid w:val="0"/>
              <w:spacing w:line="400" w:lineRule="exact"/>
              <w:ind w:firstLine="420" w:firstLineChars="200"/>
              <w:rPr>
                <w:color w:val="auto"/>
                <w:highlight w:val="none"/>
              </w:rPr>
            </w:pPr>
            <w:r>
              <w:rPr>
                <w:rFonts w:hint="eastAsia"/>
                <w:color w:val="auto"/>
                <w:highlight w:val="none"/>
              </w:rPr>
              <w:t>2．中标人提供低价风险担保的形式、金额及期限：</w:t>
            </w:r>
          </w:p>
          <w:p w14:paraId="5709B48B">
            <w:pPr>
              <w:autoSpaceDE w:val="0"/>
              <w:autoSpaceDN w:val="0"/>
              <w:adjustRightInd w:val="0"/>
              <w:snapToGrid w:val="0"/>
              <w:spacing w:line="400" w:lineRule="exact"/>
              <w:ind w:firstLine="420" w:firstLineChars="200"/>
              <w:rPr>
                <w:color w:val="auto"/>
                <w:highlight w:val="none"/>
              </w:rPr>
            </w:pPr>
            <w:r>
              <w:rPr>
                <w:rFonts w:hint="eastAsia"/>
                <w:color w:val="auto"/>
                <w:highlight w:val="none"/>
              </w:rPr>
              <w:t>（1）低价风险担保的形式：</w:t>
            </w:r>
            <w:r>
              <w:rPr>
                <w:rFonts w:hint="eastAsia" w:ascii="宋体" w:hAnsi="宋体"/>
                <w:color w:val="auto"/>
                <w:kern w:val="0"/>
                <w:szCs w:val="21"/>
                <w:highlight w:val="none"/>
              </w:rPr>
              <w:t>现金或银行保函或现金</w:t>
            </w:r>
            <w:r>
              <w:rPr>
                <w:rFonts w:ascii="宋体" w:hAnsi="宋体"/>
                <w:color w:val="auto"/>
                <w:kern w:val="0"/>
                <w:szCs w:val="21"/>
                <w:highlight w:val="none"/>
              </w:rPr>
              <w:t>+</w:t>
            </w:r>
            <w:r>
              <w:rPr>
                <w:rFonts w:hint="eastAsia" w:ascii="宋体" w:hAnsi="宋体"/>
                <w:color w:val="auto"/>
                <w:kern w:val="0"/>
                <w:szCs w:val="21"/>
                <w:highlight w:val="none"/>
              </w:rPr>
              <w:t>银行保函的组合；采用银行保函形式的，保函必须为不可撤销、不可转让且见索即付的独立保函，中标人出具保函时，不得修改“低价风险担保保函”名称，也不得对低价风险担保保函示范文本中付款条件等实质性内容进行修改，否则视为不符合招标文件规定。</w:t>
            </w:r>
          </w:p>
          <w:p w14:paraId="17950EB3">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（2）低价风险担保的金额：（最高限价×85%-中标价）×□1□2</w:t>
            </w:r>
            <w:r>
              <w:rPr>
                <w:rFonts w:hint="eastAsia"/>
                <w:color w:val="auto"/>
                <w:highlight w:val="none"/>
                <w:lang w:eastAsia="zh-CN"/>
              </w:rPr>
              <w:t>☑</w:t>
            </w:r>
            <w:r>
              <w:rPr>
                <w:rFonts w:hint="eastAsia"/>
                <w:color w:val="auto"/>
                <w:highlight w:val="none"/>
              </w:rPr>
              <w:t>3，且最高不超过最高限价的85%</w:t>
            </w:r>
            <w:r>
              <w:rPr>
                <w:rFonts w:hint="eastAsia"/>
                <w:color w:val="auto"/>
                <w:highlight w:val="none"/>
                <w:lang w:eastAsia="zh-CN"/>
              </w:rPr>
              <w:t>。</w:t>
            </w:r>
          </w:p>
          <w:p w14:paraId="0B7AAF91">
            <w:pPr>
              <w:autoSpaceDE w:val="0"/>
              <w:autoSpaceDN w:val="0"/>
              <w:adjustRightInd w:val="0"/>
              <w:snapToGrid w:val="0"/>
              <w:spacing w:line="400" w:lineRule="exact"/>
              <w:ind w:firstLine="420" w:firstLineChars="200"/>
              <w:rPr>
                <w:color w:val="auto"/>
                <w:highlight w:val="none"/>
              </w:rPr>
            </w:pPr>
            <w:r>
              <w:rPr>
                <w:rFonts w:hint="eastAsia"/>
                <w:color w:val="auto"/>
                <w:highlight w:val="none"/>
              </w:rPr>
              <w:t>（3）低价风险担保送达招标人的时间：从招标人中标通知书送达拟中标人之日起</w:t>
            </w:r>
            <w:r>
              <w:rPr>
                <w:rFonts w:hint="eastAsia"/>
                <w:color w:val="auto"/>
                <w:highlight w:val="none"/>
                <w:u w:val="single"/>
              </w:rPr>
              <w:t xml:space="preserve">  </w:t>
            </w:r>
            <w:r>
              <w:rPr>
                <w:rFonts w:hint="eastAsia"/>
                <w:color w:val="auto"/>
                <w:highlight w:val="none"/>
                <w:u w:val="single"/>
                <w:lang w:val="en-US" w:eastAsia="zh-CN"/>
              </w:rPr>
              <w:t>7</w:t>
            </w:r>
            <w:r>
              <w:rPr>
                <w:rFonts w:hint="eastAsia"/>
                <w:color w:val="auto"/>
                <w:highlight w:val="none"/>
                <w:u w:val="single"/>
              </w:rPr>
              <w:t xml:space="preserve">  </w:t>
            </w:r>
            <w:r>
              <w:rPr>
                <w:rFonts w:hint="eastAsia"/>
                <w:color w:val="auto"/>
                <w:highlight w:val="none"/>
              </w:rPr>
              <w:t>工作日内。</w:t>
            </w:r>
          </w:p>
          <w:p w14:paraId="6171C4EE">
            <w:pPr>
              <w:autoSpaceDE w:val="0"/>
              <w:autoSpaceDN w:val="0"/>
              <w:adjustRightInd w:val="0"/>
              <w:snapToGrid w:val="0"/>
              <w:spacing w:line="400" w:lineRule="exact"/>
              <w:ind w:firstLine="420" w:firstLineChars="200"/>
              <w:rPr>
                <w:color w:val="auto"/>
                <w:highlight w:val="none"/>
              </w:rPr>
            </w:pPr>
            <w:r>
              <w:rPr>
                <w:rFonts w:hint="eastAsia"/>
                <w:color w:val="auto"/>
                <w:highlight w:val="none"/>
              </w:rPr>
              <w:t>（4）中标人因自身原因未按中标通知书规定的时限与招标人签订合同的，招标人有权扣除其低价风险担保并取消中标资格。</w:t>
            </w:r>
          </w:p>
          <w:p w14:paraId="7ED955F9">
            <w:pPr>
              <w:autoSpaceDE w:val="0"/>
              <w:autoSpaceDN w:val="0"/>
              <w:adjustRightInd w:val="0"/>
              <w:snapToGrid w:val="0"/>
              <w:spacing w:line="400" w:lineRule="exact"/>
              <w:ind w:firstLine="420" w:firstLineChars="200"/>
              <w:rPr>
                <w:color w:val="auto"/>
                <w:highlight w:val="none"/>
              </w:rPr>
            </w:pPr>
            <w:r>
              <w:rPr>
                <w:rFonts w:hint="eastAsia"/>
                <w:color w:val="auto"/>
                <w:highlight w:val="none"/>
              </w:rPr>
              <w:t>（5）低价风险担保的期限：见专用合同条款。</w:t>
            </w:r>
          </w:p>
          <w:p w14:paraId="7A32BC3F">
            <w:pPr>
              <w:widowControl/>
              <w:spacing w:line="400" w:lineRule="exact"/>
              <w:ind w:firstLine="420" w:firstLineChars="200"/>
              <w:rPr>
                <w:color w:val="auto"/>
                <w:highlight w:val="none"/>
              </w:rPr>
            </w:pPr>
            <w:r>
              <w:rPr>
                <w:rFonts w:hint="eastAsia"/>
                <w:color w:val="auto"/>
                <w:highlight w:val="none"/>
              </w:rPr>
              <w:t>3．低价风险担保的退还时间：见专用合同条款。</w:t>
            </w:r>
          </w:p>
          <w:p w14:paraId="75A563E5">
            <w:pPr>
              <w:spacing w:line="400" w:lineRule="exact"/>
              <w:ind w:firstLine="420" w:firstLineChars="200"/>
              <w:rPr>
                <w:color w:val="auto"/>
                <w:highlight w:val="none"/>
              </w:rPr>
            </w:pPr>
            <w:r>
              <w:rPr>
                <w:rFonts w:hint="eastAsia"/>
                <w:color w:val="auto"/>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2454A197">
            <w:pPr>
              <w:spacing w:line="400" w:lineRule="exact"/>
              <w:ind w:firstLine="420" w:firstLineChars="200"/>
              <w:rPr>
                <w:color w:val="auto"/>
                <w:highlight w:val="none"/>
              </w:rPr>
            </w:pPr>
            <w:r>
              <w:rPr>
                <w:rFonts w:hint="eastAsia"/>
                <w:color w:val="auto"/>
                <w:highlight w:val="none"/>
              </w:rPr>
              <w:t>备注：当中标人或拟中标人未按时提交低价风险担保，且属于可以延长低价风险担保提交期限的特殊情形时，经招标人同意，可适当延长低价风险担保的提交期限。</w:t>
            </w:r>
          </w:p>
          <w:p w14:paraId="3C455CEE">
            <w:pPr>
              <w:spacing w:line="312" w:lineRule="auto"/>
              <w:ind w:firstLine="480" w:firstLineChars="0"/>
              <w:rPr>
                <w:rFonts w:hint="default" w:ascii="宋体" w:hAnsi="宋体" w:eastAsia="宋体" w:cs="宋体"/>
                <w:b/>
                <w:bCs/>
                <w:color w:val="auto"/>
                <w:kern w:val="0"/>
                <w:szCs w:val="21"/>
                <w:highlight w:val="none"/>
                <w:lang w:val="en-US" w:eastAsia="zh-CN"/>
              </w:rPr>
            </w:pPr>
            <w:r>
              <w:rPr>
                <w:rFonts w:hint="eastAsia"/>
                <w:color w:val="auto"/>
                <w:highlight w:val="none"/>
              </w:rPr>
              <w:t>5. 投标总报价低于最高限价85%的，投标人应在编制投标文件时，在投标函部分中递交低价风险担保提交承诺书。</w:t>
            </w:r>
          </w:p>
        </w:tc>
      </w:tr>
    </w:tbl>
    <w:p w14:paraId="79AD927E">
      <w:pPr>
        <w:pStyle w:val="8"/>
        <w:outlineLvl w:val="1"/>
        <w:rPr>
          <w:rFonts w:ascii="宋体" w:hAnsi="宋体" w:cs="宋体"/>
          <w:bCs/>
          <w:snapToGrid w:val="0"/>
          <w:color w:val="auto"/>
          <w:sz w:val="24"/>
          <w:highlight w:val="none"/>
        </w:rPr>
      </w:pPr>
      <w:bookmarkStart w:id="60" w:name="_Toc509218710"/>
      <w:bookmarkStart w:id="61" w:name="_Toc224103317"/>
      <w:bookmarkStart w:id="62" w:name="_Toc287607746"/>
      <w:bookmarkStart w:id="63" w:name="_Toc287620685"/>
      <w:bookmarkStart w:id="64" w:name="_Toc200513126"/>
      <w:bookmarkStart w:id="65" w:name="_Toc430530435"/>
      <w:bookmarkStart w:id="66" w:name="_Toc277082552"/>
    </w:p>
    <w:p w14:paraId="21C724DE">
      <w:pPr>
        <w:rPr>
          <w:snapToGrid w:val="0"/>
          <w:color w:val="auto"/>
          <w:highlight w:val="none"/>
        </w:rPr>
      </w:pPr>
      <w:r>
        <w:rPr>
          <w:snapToGrid w:val="0"/>
          <w:color w:val="auto"/>
          <w:highlight w:val="none"/>
        </w:rPr>
        <w:br w:type="page"/>
      </w:r>
    </w:p>
    <w:p w14:paraId="4192D974">
      <w:pPr>
        <w:pStyle w:val="8"/>
        <w:outlineLvl w:val="1"/>
        <w:rPr>
          <w:rFonts w:ascii="宋体" w:hAnsi="宋体" w:cs="宋体"/>
          <w:bCs/>
          <w:snapToGrid w:val="0"/>
          <w:color w:val="auto"/>
          <w:sz w:val="24"/>
          <w:highlight w:val="none"/>
        </w:rPr>
      </w:pPr>
      <w:r>
        <w:rPr>
          <w:rFonts w:hint="eastAsia" w:ascii="宋体" w:hAnsi="宋体" w:cs="宋体"/>
          <w:bCs/>
          <w:snapToGrid w:val="0"/>
          <w:color w:val="auto"/>
          <w:sz w:val="24"/>
          <w:highlight w:val="none"/>
        </w:rPr>
        <w:t>1.  总则</w:t>
      </w:r>
      <w:bookmarkEnd w:id="60"/>
      <w:bookmarkEnd w:id="61"/>
      <w:bookmarkEnd w:id="62"/>
      <w:bookmarkEnd w:id="63"/>
      <w:bookmarkEnd w:id="64"/>
      <w:bookmarkEnd w:id="65"/>
      <w:bookmarkEnd w:id="66"/>
    </w:p>
    <w:p w14:paraId="4434D854">
      <w:pPr>
        <w:pStyle w:val="4"/>
        <w:snapToGrid w:val="0"/>
        <w:spacing w:before="0" w:after="0" w:line="360" w:lineRule="auto"/>
        <w:rPr>
          <w:rFonts w:ascii="宋体" w:hAnsi="宋体" w:cs="宋体"/>
          <w:b w:val="0"/>
          <w:snapToGrid w:val="0"/>
          <w:color w:val="auto"/>
          <w:sz w:val="24"/>
          <w:szCs w:val="24"/>
          <w:highlight w:val="none"/>
        </w:rPr>
      </w:pPr>
      <w:bookmarkStart w:id="67" w:name="_Toc277082553"/>
      <w:bookmarkStart w:id="68" w:name="_Toc224103318"/>
      <w:bookmarkStart w:id="69" w:name="_Toc509218711"/>
      <w:bookmarkStart w:id="70" w:name="_Toc40569046"/>
      <w:bookmarkStart w:id="71" w:name="_Toc430530436"/>
      <w:bookmarkStart w:id="72" w:name="_Toc200513127"/>
      <w:bookmarkStart w:id="73" w:name="_Toc40569141"/>
      <w:bookmarkStart w:id="74" w:name="_Toc3411"/>
      <w:bookmarkStart w:id="75" w:name="_Toc287607747"/>
      <w:bookmarkStart w:id="76" w:name="_Toc287620686"/>
      <w:bookmarkStart w:id="77" w:name="_Toc10890"/>
      <w:bookmarkStart w:id="78" w:name="_Toc32083"/>
      <w:r>
        <w:rPr>
          <w:rFonts w:hint="eastAsia" w:ascii="宋体" w:hAnsi="宋体" w:cs="宋体"/>
          <w:b w:val="0"/>
          <w:snapToGrid w:val="0"/>
          <w:color w:val="auto"/>
          <w:sz w:val="24"/>
          <w:szCs w:val="24"/>
          <w:highlight w:val="none"/>
        </w:rPr>
        <w:t>1.1  项目概况</w:t>
      </w:r>
      <w:bookmarkEnd w:id="67"/>
      <w:bookmarkEnd w:id="68"/>
      <w:bookmarkEnd w:id="69"/>
      <w:bookmarkEnd w:id="70"/>
      <w:bookmarkEnd w:id="71"/>
      <w:bookmarkEnd w:id="72"/>
      <w:bookmarkEnd w:id="73"/>
      <w:bookmarkEnd w:id="74"/>
      <w:bookmarkEnd w:id="75"/>
      <w:bookmarkEnd w:id="76"/>
      <w:bookmarkEnd w:id="77"/>
      <w:bookmarkEnd w:id="78"/>
    </w:p>
    <w:p w14:paraId="72216A92">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  根据《中华人民共和国招标投标法》等有关法律、法规和规章的规定，本发包项目已具备比选条件，现对本项目进行竞争性比选。</w:t>
      </w:r>
    </w:p>
    <w:p w14:paraId="3FECF831">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本发包项目比选人：见竞选人须知前附表。</w:t>
      </w:r>
    </w:p>
    <w:p w14:paraId="00B0ADD8">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  本项目比选代理机构：见竞选人须知前附表。</w:t>
      </w:r>
    </w:p>
    <w:p w14:paraId="5DB9F3E2">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1.1.4  本发包项目名称：见竞选人须知前附表。</w:t>
      </w:r>
    </w:p>
    <w:p w14:paraId="54B7B5F9">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1.1.5  本项目建设地点：见竞选人须知前附表。</w:t>
      </w:r>
    </w:p>
    <w:p w14:paraId="6C7AB586">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1.1.6  本项目建设规模：见竞选人须知前附表。</w:t>
      </w:r>
    </w:p>
    <w:p w14:paraId="21B0BD0D">
      <w:pPr>
        <w:pStyle w:val="4"/>
        <w:snapToGrid w:val="0"/>
        <w:spacing w:before="0" w:after="0" w:line="360" w:lineRule="auto"/>
        <w:rPr>
          <w:rFonts w:ascii="宋体" w:hAnsi="宋体" w:cs="宋体"/>
          <w:b w:val="0"/>
          <w:snapToGrid w:val="0"/>
          <w:color w:val="auto"/>
          <w:sz w:val="24"/>
          <w:szCs w:val="24"/>
          <w:highlight w:val="none"/>
        </w:rPr>
      </w:pPr>
      <w:bookmarkStart w:id="79" w:name="_Toc2933"/>
      <w:bookmarkStart w:id="80" w:name="_Toc40569047"/>
      <w:bookmarkStart w:id="81" w:name="_Toc509218712"/>
      <w:bookmarkStart w:id="82" w:name="_Toc21234"/>
      <w:bookmarkStart w:id="83" w:name="_Toc287607748"/>
      <w:bookmarkStart w:id="84" w:name="_Toc430530437"/>
      <w:bookmarkStart w:id="85" w:name="_Toc277082554"/>
      <w:bookmarkStart w:id="86" w:name="_Toc25629"/>
      <w:bookmarkStart w:id="87" w:name="_Toc200513128"/>
      <w:bookmarkStart w:id="88" w:name="_Toc224103319"/>
      <w:bookmarkStart w:id="89" w:name="_Toc40569142"/>
      <w:bookmarkStart w:id="90" w:name="_Toc287620687"/>
      <w:r>
        <w:rPr>
          <w:rFonts w:hint="eastAsia" w:ascii="宋体" w:hAnsi="宋体" w:cs="宋体"/>
          <w:b w:val="0"/>
          <w:snapToGrid w:val="0"/>
          <w:color w:val="auto"/>
          <w:sz w:val="24"/>
          <w:szCs w:val="24"/>
          <w:highlight w:val="none"/>
        </w:rPr>
        <w:t>1.2  资金来源和落实情况</w:t>
      </w:r>
      <w:bookmarkEnd w:id="79"/>
      <w:bookmarkEnd w:id="80"/>
      <w:bookmarkEnd w:id="81"/>
      <w:bookmarkEnd w:id="82"/>
      <w:bookmarkEnd w:id="83"/>
      <w:bookmarkEnd w:id="84"/>
      <w:bookmarkEnd w:id="85"/>
      <w:bookmarkEnd w:id="86"/>
      <w:bookmarkEnd w:id="87"/>
      <w:bookmarkEnd w:id="88"/>
      <w:bookmarkEnd w:id="89"/>
      <w:bookmarkEnd w:id="90"/>
    </w:p>
    <w:p w14:paraId="7E82CB42">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1.2.1  本发包项目的资金来源：见竞选人须知前附表。</w:t>
      </w:r>
    </w:p>
    <w:p w14:paraId="79AA96E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1.2.2  本发包项目的出资比例：见竞选人须知前附表。</w:t>
      </w:r>
    </w:p>
    <w:p w14:paraId="16D4B500">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1.2.3  本发包项目的资金落实情况：见竞选人须知前附表。</w:t>
      </w:r>
    </w:p>
    <w:p w14:paraId="1A96AC3D">
      <w:pPr>
        <w:pStyle w:val="4"/>
        <w:snapToGrid w:val="0"/>
        <w:spacing w:before="0" w:after="0" w:line="360" w:lineRule="auto"/>
        <w:rPr>
          <w:rFonts w:ascii="宋体" w:hAnsi="宋体" w:cs="宋体"/>
          <w:b w:val="0"/>
          <w:snapToGrid w:val="0"/>
          <w:color w:val="auto"/>
          <w:sz w:val="24"/>
          <w:szCs w:val="24"/>
          <w:highlight w:val="none"/>
        </w:rPr>
      </w:pPr>
      <w:bookmarkStart w:id="91" w:name="_Toc430530438"/>
      <w:bookmarkStart w:id="92" w:name="_Toc224103320"/>
      <w:bookmarkStart w:id="93" w:name="_Toc200513129"/>
      <w:bookmarkStart w:id="94" w:name="_Toc40569143"/>
      <w:bookmarkStart w:id="95" w:name="_Toc287607749"/>
      <w:bookmarkStart w:id="96" w:name="_Toc277082555"/>
      <w:bookmarkStart w:id="97" w:name="_Toc3621"/>
      <w:bookmarkStart w:id="98" w:name="_Toc40569048"/>
      <w:bookmarkStart w:id="99" w:name="_Toc287620688"/>
      <w:bookmarkStart w:id="100" w:name="_Toc23212"/>
      <w:bookmarkStart w:id="101" w:name="_Toc509218713"/>
      <w:bookmarkStart w:id="102" w:name="_Toc21182"/>
      <w:r>
        <w:rPr>
          <w:rFonts w:hint="eastAsia" w:ascii="宋体" w:hAnsi="宋体" w:cs="宋体"/>
          <w:b w:val="0"/>
          <w:snapToGrid w:val="0"/>
          <w:color w:val="auto"/>
          <w:sz w:val="24"/>
          <w:szCs w:val="24"/>
          <w:highlight w:val="none"/>
        </w:rPr>
        <w:t>1.3  比选范围、工期和质量要求</w:t>
      </w:r>
      <w:bookmarkEnd w:id="91"/>
      <w:bookmarkEnd w:id="92"/>
      <w:bookmarkEnd w:id="93"/>
      <w:bookmarkEnd w:id="94"/>
      <w:bookmarkEnd w:id="95"/>
      <w:bookmarkEnd w:id="96"/>
      <w:bookmarkEnd w:id="97"/>
      <w:bookmarkEnd w:id="98"/>
      <w:bookmarkEnd w:id="99"/>
      <w:bookmarkEnd w:id="100"/>
      <w:bookmarkEnd w:id="101"/>
      <w:bookmarkEnd w:id="102"/>
    </w:p>
    <w:p w14:paraId="1B595C99">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本次比选范围：见竞选人须知前附表。</w:t>
      </w:r>
    </w:p>
    <w:p w14:paraId="1C62E40B">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1.3.2  本项目的服务期：见竞选人须知前附表。</w:t>
      </w:r>
    </w:p>
    <w:p w14:paraId="20444B0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1.3.3  本项目的质量要求：见竞选人须知前附表。</w:t>
      </w:r>
    </w:p>
    <w:p w14:paraId="4DF5DF5A">
      <w:pPr>
        <w:pStyle w:val="4"/>
        <w:snapToGrid w:val="0"/>
        <w:spacing w:before="0" w:after="0" w:line="360" w:lineRule="auto"/>
        <w:rPr>
          <w:rFonts w:ascii="宋体" w:hAnsi="宋体" w:cs="宋体"/>
          <w:b w:val="0"/>
          <w:snapToGrid w:val="0"/>
          <w:color w:val="auto"/>
          <w:sz w:val="24"/>
          <w:szCs w:val="24"/>
          <w:highlight w:val="none"/>
        </w:rPr>
      </w:pPr>
      <w:bookmarkStart w:id="103" w:name="_Toc287620689"/>
      <w:bookmarkStart w:id="104" w:name="_Toc200513130"/>
      <w:bookmarkStart w:id="105" w:name="_Toc287607750"/>
      <w:bookmarkStart w:id="106" w:name="_Toc277082556"/>
      <w:bookmarkStart w:id="107" w:name="_Toc430530439"/>
      <w:bookmarkStart w:id="108" w:name="_Toc224103321"/>
      <w:bookmarkStart w:id="109" w:name="_Toc509218714"/>
      <w:bookmarkStart w:id="110" w:name="_Toc40569049"/>
      <w:bookmarkStart w:id="111" w:name="_Toc28521"/>
      <w:bookmarkStart w:id="112" w:name="_Toc40569144"/>
      <w:bookmarkStart w:id="113" w:name="_Toc30002"/>
      <w:bookmarkStart w:id="114" w:name="_Toc5712"/>
      <w:r>
        <w:rPr>
          <w:rFonts w:hint="eastAsia" w:ascii="宋体" w:hAnsi="宋体" w:cs="宋体"/>
          <w:b w:val="0"/>
          <w:snapToGrid w:val="0"/>
          <w:color w:val="auto"/>
          <w:sz w:val="24"/>
          <w:szCs w:val="24"/>
          <w:highlight w:val="none"/>
        </w:rPr>
        <w:t xml:space="preserve">1.4  </w:t>
      </w:r>
      <w:bookmarkEnd w:id="103"/>
      <w:bookmarkEnd w:id="104"/>
      <w:bookmarkEnd w:id="105"/>
      <w:bookmarkEnd w:id="106"/>
      <w:bookmarkEnd w:id="107"/>
      <w:bookmarkEnd w:id="108"/>
      <w:bookmarkEnd w:id="109"/>
      <w:bookmarkStart w:id="115" w:name="_Toc287620690"/>
      <w:bookmarkStart w:id="116" w:name="_Toc224103322"/>
      <w:bookmarkStart w:id="117" w:name="_Toc430530440"/>
      <w:bookmarkStart w:id="118" w:name="_Toc287607751"/>
      <w:bookmarkStart w:id="119" w:name="_Toc509218715"/>
      <w:bookmarkStart w:id="120" w:name="_Toc277082557"/>
      <w:bookmarkStart w:id="121" w:name="_Toc200513131"/>
      <w:r>
        <w:rPr>
          <w:rFonts w:hint="eastAsia" w:ascii="宋体" w:hAnsi="宋体" w:cs="宋体"/>
          <w:b w:val="0"/>
          <w:snapToGrid w:val="0"/>
          <w:color w:val="auto"/>
          <w:sz w:val="24"/>
          <w:szCs w:val="24"/>
          <w:highlight w:val="none"/>
        </w:rPr>
        <w:t>竞选人资格要求</w:t>
      </w:r>
      <w:bookmarkEnd w:id="110"/>
      <w:bookmarkEnd w:id="111"/>
      <w:bookmarkEnd w:id="112"/>
      <w:bookmarkEnd w:id="113"/>
      <w:bookmarkEnd w:id="114"/>
      <w:bookmarkEnd w:id="115"/>
      <w:bookmarkEnd w:id="116"/>
      <w:bookmarkEnd w:id="117"/>
      <w:bookmarkEnd w:id="118"/>
      <w:bookmarkEnd w:id="119"/>
      <w:bookmarkEnd w:id="120"/>
      <w:bookmarkEnd w:id="121"/>
    </w:p>
    <w:p w14:paraId="46358455">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竞选人应具备承担本项目的资质条件、能力和信誉。</w:t>
      </w:r>
    </w:p>
    <w:p w14:paraId="073CAB88">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color w:val="auto"/>
          <w:szCs w:val="21"/>
          <w:highlight w:val="none"/>
        </w:rPr>
        <w:t>资质条件、营业执照</w:t>
      </w:r>
      <w:r>
        <w:rPr>
          <w:rFonts w:hint="eastAsia" w:ascii="宋体" w:hAnsi="宋体" w:cs="宋体"/>
          <w:snapToGrid w:val="0"/>
          <w:color w:val="auto"/>
          <w:kern w:val="0"/>
          <w:szCs w:val="21"/>
          <w:highlight w:val="none"/>
        </w:rPr>
        <w:t>：见竞选人须知前附表；</w:t>
      </w:r>
    </w:p>
    <w:p w14:paraId="211A13E5">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（2）财务要求：见竞选人须知前附表；</w:t>
      </w:r>
    </w:p>
    <w:p w14:paraId="325ACF74">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（3）业绩要求：见竞选人须知前附表；</w:t>
      </w:r>
    </w:p>
    <w:p w14:paraId="3FB4026C">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（4）人员要求：见竞选人须知前附表；</w:t>
      </w:r>
    </w:p>
    <w:p w14:paraId="2B31760E">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（5）其他要求：见竞选人须知前附表。</w:t>
      </w:r>
    </w:p>
    <w:p w14:paraId="6F8F6D86">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竞选人须知前附表规定接受联合体参与竞选的，除应符合本章第1.4.1项和竞选人须知前附表的要求外，还应遵守以下规定：</w:t>
      </w:r>
    </w:p>
    <w:p w14:paraId="7B04562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（1）联合体各方应按比选文件提供的格式签订联合体协议书，明确联合体牵头人和各方权利义务；</w:t>
      </w:r>
    </w:p>
    <w:p w14:paraId="0C459649">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（2）联合体各方均应当具备承担招标项目的相应能力；联合体协议约定同一专业分工由两个及以上单位共同承担的，按照就低不就高的原则确定联合体资质；</w:t>
      </w:r>
    </w:p>
    <w:p w14:paraId="6C638247">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（3）联合体各方不得再以自己名义单独或参加其他联合体在同一标段中投标。</w:t>
      </w:r>
    </w:p>
    <w:p w14:paraId="361185C6">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竞选人不得存在下列情形之一：</w:t>
      </w:r>
    </w:p>
    <w:p w14:paraId="6E8AB163">
      <w:pPr>
        <w:spacing w:line="400" w:lineRule="exact"/>
        <w:ind w:firstLine="420" w:firstLineChars="200"/>
        <w:rPr>
          <w:rFonts w:ascii="宋体" w:hAnsi="宋体"/>
          <w:color w:val="auto"/>
          <w:szCs w:val="21"/>
          <w:highlight w:val="none"/>
        </w:rPr>
      </w:pPr>
      <w:bookmarkStart w:id="122" w:name="_Toc287607752"/>
      <w:bookmarkStart w:id="123" w:name="_Toc509218716"/>
      <w:bookmarkStart w:id="124" w:name="_Toc40569050"/>
      <w:bookmarkStart w:id="125" w:name="_Toc9192"/>
      <w:bookmarkStart w:id="126" w:name="_Toc287620691"/>
      <w:bookmarkStart w:id="127" w:name="_Toc277082558"/>
      <w:bookmarkStart w:id="128" w:name="_Toc430530441"/>
      <w:bookmarkStart w:id="129" w:name="_Toc200513132"/>
      <w:bookmarkStart w:id="130" w:name="_Toc7266"/>
      <w:bookmarkStart w:id="131" w:name="_Toc40569145"/>
      <w:bookmarkStart w:id="132" w:name="_Toc224103323"/>
      <w:bookmarkStart w:id="133" w:name="_Toc5221"/>
      <w:r>
        <w:rPr>
          <w:rFonts w:hint="eastAsia" w:ascii="宋体" w:hAnsi="宋体"/>
          <w:color w:val="auto"/>
          <w:szCs w:val="21"/>
          <w:highlight w:val="none"/>
        </w:rPr>
        <w:t>（1）与比选人存在利害关系可能影响招标公正性的法人、其他组织或者个人；</w:t>
      </w:r>
    </w:p>
    <w:p w14:paraId="5C4F1B6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（2）为本项目的代理人；</w:t>
      </w:r>
    </w:p>
    <w:p w14:paraId="0A69120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（3）为本项目的代建人；</w:t>
      </w:r>
    </w:p>
    <w:p w14:paraId="75FF1B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（4）为本项目提供比选代理服务的；</w:t>
      </w:r>
    </w:p>
    <w:p w14:paraId="4A725DF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（5）与本项目的代建人或比选代理机构同为一个法定代表人的；</w:t>
      </w:r>
    </w:p>
    <w:p w14:paraId="417A4DA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（6）与本项目的代建人或比选代理机构相互控股或参股的；</w:t>
      </w:r>
    </w:p>
    <w:p w14:paraId="70E441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（7）与本项目的代建人或比选代理机构相互任职或工作的；</w:t>
      </w:r>
    </w:p>
    <w:p w14:paraId="461E1C4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（8）被责令停业的；</w:t>
      </w:r>
    </w:p>
    <w:p w14:paraId="674EC79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（9）被暂停或取消投标资格的；</w:t>
      </w:r>
    </w:p>
    <w:p w14:paraId="75EB2B0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（10）财产被接管或冻结的；</w:t>
      </w:r>
    </w:p>
    <w:p w14:paraId="6ABA32A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（11）单位负责人为同一人或者存在控股、管理关系的不同单位，不得在同一标段中同时投标。</w:t>
      </w:r>
    </w:p>
    <w:p w14:paraId="2F9AD99B">
      <w:pPr>
        <w:pStyle w:val="4"/>
        <w:snapToGrid w:val="0"/>
        <w:spacing w:before="0" w:after="0" w:line="360" w:lineRule="auto"/>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1.5  费用承担</w:t>
      </w:r>
      <w:bookmarkEnd w:id="122"/>
      <w:bookmarkEnd w:id="123"/>
      <w:bookmarkEnd w:id="124"/>
      <w:bookmarkEnd w:id="125"/>
      <w:bookmarkEnd w:id="126"/>
      <w:bookmarkEnd w:id="127"/>
      <w:bookmarkEnd w:id="128"/>
      <w:bookmarkEnd w:id="129"/>
      <w:bookmarkEnd w:id="130"/>
      <w:bookmarkEnd w:id="131"/>
      <w:bookmarkEnd w:id="132"/>
      <w:bookmarkEnd w:id="133"/>
    </w:p>
    <w:p w14:paraId="6B60AC9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竞选人准备和参加竞选活动发生的费用自理。</w:t>
      </w:r>
    </w:p>
    <w:p w14:paraId="04DE6033">
      <w:pPr>
        <w:pStyle w:val="4"/>
        <w:snapToGrid w:val="0"/>
        <w:spacing w:before="0" w:after="0" w:line="360" w:lineRule="auto"/>
        <w:rPr>
          <w:rFonts w:ascii="宋体" w:hAnsi="宋体" w:cs="宋体"/>
          <w:b w:val="0"/>
          <w:snapToGrid w:val="0"/>
          <w:color w:val="auto"/>
          <w:sz w:val="24"/>
          <w:szCs w:val="24"/>
          <w:highlight w:val="none"/>
        </w:rPr>
      </w:pPr>
      <w:bookmarkStart w:id="134" w:name="_Toc277082559"/>
      <w:bookmarkStart w:id="135" w:name="_Toc430530442"/>
      <w:bookmarkStart w:id="136" w:name="_Toc5781"/>
      <w:bookmarkStart w:id="137" w:name="_Toc200513133"/>
      <w:bookmarkStart w:id="138" w:name="_Toc5293"/>
      <w:bookmarkStart w:id="139" w:name="_Toc224103324"/>
      <w:bookmarkStart w:id="140" w:name="_Toc509218717"/>
      <w:bookmarkStart w:id="141" w:name="_Toc40569146"/>
      <w:bookmarkStart w:id="142" w:name="_Toc20139"/>
      <w:bookmarkStart w:id="143" w:name="_Toc287620692"/>
      <w:bookmarkStart w:id="144" w:name="_Toc287607753"/>
      <w:bookmarkStart w:id="145" w:name="_Toc40569051"/>
      <w:r>
        <w:rPr>
          <w:rFonts w:hint="eastAsia" w:ascii="宋体" w:hAnsi="宋体" w:cs="宋体"/>
          <w:b w:val="0"/>
          <w:snapToGrid w:val="0"/>
          <w:color w:val="auto"/>
          <w:sz w:val="24"/>
          <w:szCs w:val="24"/>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p>
    <w:p w14:paraId="0B9C12C8">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参与比选活动的各方应对比选文件和竞选文件中的商业和技术等秘密保密，违者应对由此造成的后果承担法律责任。</w:t>
      </w:r>
    </w:p>
    <w:p w14:paraId="008062CB">
      <w:pPr>
        <w:pStyle w:val="4"/>
        <w:snapToGrid w:val="0"/>
        <w:spacing w:before="0" w:after="0" w:line="360" w:lineRule="auto"/>
        <w:rPr>
          <w:rFonts w:ascii="宋体" w:hAnsi="宋体" w:cs="宋体"/>
          <w:b w:val="0"/>
          <w:snapToGrid w:val="0"/>
          <w:color w:val="auto"/>
          <w:sz w:val="24"/>
          <w:szCs w:val="24"/>
          <w:highlight w:val="none"/>
        </w:rPr>
      </w:pPr>
      <w:bookmarkStart w:id="146" w:name="_Toc7317"/>
      <w:bookmarkStart w:id="147" w:name="_Toc200513134"/>
      <w:bookmarkStart w:id="148" w:name="_Toc40569147"/>
      <w:bookmarkStart w:id="149" w:name="_Toc287620693"/>
      <w:bookmarkStart w:id="150" w:name="_Toc224103325"/>
      <w:bookmarkStart w:id="151" w:name="_Toc430530443"/>
      <w:bookmarkStart w:id="152" w:name="_Toc32367"/>
      <w:bookmarkStart w:id="153" w:name="_Toc277082560"/>
      <w:bookmarkStart w:id="154" w:name="_Toc40569052"/>
      <w:bookmarkStart w:id="155" w:name="_Toc509218718"/>
      <w:bookmarkStart w:id="156" w:name="_Toc287607754"/>
      <w:bookmarkStart w:id="157" w:name="_Toc10589"/>
      <w:r>
        <w:rPr>
          <w:rFonts w:hint="eastAsia" w:ascii="宋体" w:hAnsi="宋体" w:cs="宋体"/>
          <w:b w:val="0"/>
          <w:snapToGrid w:val="0"/>
          <w:color w:val="auto"/>
          <w:sz w:val="24"/>
          <w:szCs w:val="24"/>
          <w:highlight w:val="none"/>
        </w:rPr>
        <w:t>1.7  语言文字</w:t>
      </w:r>
      <w:bookmarkEnd w:id="146"/>
      <w:bookmarkEnd w:id="147"/>
      <w:bookmarkEnd w:id="148"/>
      <w:bookmarkEnd w:id="149"/>
      <w:bookmarkEnd w:id="150"/>
      <w:bookmarkEnd w:id="151"/>
      <w:bookmarkEnd w:id="152"/>
      <w:bookmarkEnd w:id="153"/>
      <w:bookmarkEnd w:id="154"/>
      <w:bookmarkEnd w:id="155"/>
      <w:bookmarkEnd w:id="156"/>
      <w:bookmarkEnd w:id="157"/>
    </w:p>
    <w:p w14:paraId="5DC4F08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除专用术语外，与比选有关的语言均使用中文。必要时专用术语应附有中文注释。</w:t>
      </w:r>
    </w:p>
    <w:p w14:paraId="0E48CCA9">
      <w:pPr>
        <w:pStyle w:val="4"/>
        <w:snapToGrid w:val="0"/>
        <w:spacing w:before="0" w:after="0" w:line="360" w:lineRule="auto"/>
        <w:rPr>
          <w:rFonts w:ascii="宋体" w:hAnsi="宋体" w:cs="宋体"/>
          <w:b w:val="0"/>
          <w:snapToGrid w:val="0"/>
          <w:color w:val="auto"/>
          <w:sz w:val="24"/>
          <w:szCs w:val="24"/>
          <w:highlight w:val="none"/>
        </w:rPr>
      </w:pPr>
      <w:bookmarkStart w:id="158" w:name="_Toc430530444"/>
      <w:bookmarkStart w:id="159" w:name="_Toc509218719"/>
      <w:bookmarkStart w:id="160" w:name="_Toc40569148"/>
      <w:bookmarkStart w:id="161" w:name="_Toc200513135"/>
      <w:bookmarkStart w:id="162" w:name="_Toc224103326"/>
      <w:bookmarkStart w:id="163" w:name="_Toc40569053"/>
      <w:bookmarkStart w:id="164" w:name="_Toc23841"/>
      <w:bookmarkStart w:id="165" w:name="_Toc277082561"/>
      <w:bookmarkStart w:id="166" w:name="_Toc287607755"/>
      <w:bookmarkStart w:id="167" w:name="_Toc7911"/>
      <w:bookmarkStart w:id="168" w:name="_Toc1276"/>
      <w:bookmarkStart w:id="169" w:name="_Toc287620694"/>
      <w:r>
        <w:rPr>
          <w:rFonts w:hint="eastAsia" w:ascii="宋体" w:hAnsi="宋体" w:cs="宋体"/>
          <w:b w:val="0"/>
          <w:snapToGrid w:val="0"/>
          <w:color w:val="auto"/>
          <w:sz w:val="24"/>
          <w:szCs w:val="24"/>
          <w:highlight w:val="none"/>
        </w:rPr>
        <w:t>1.8  计量单位</w:t>
      </w:r>
      <w:bookmarkEnd w:id="158"/>
      <w:bookmarkEnd w:id="159"/>
      <w:bookmarkEnd w:id="160"/>
      <w:bookmarkEnd w:id="161"/>
      <w:bookmarkEnd w:id="162"/>
      <w:bookmarkEnd w:id="163"/>
      <w:bookmarkEnd w:id="164"/>
      <w:bookmarkEnd w:id="165"/>
      <w:bookmarkEnd w:id="166"/>
      <w:bookmarkEnd w:id="167"/>
      <w:bookmarkEnd w:id="168"/>
      <w:bookmarkEnd w:id="169"/>
    </w:p>
    <w:p w14:paraId="7704163D">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所有计量均采用中华人民共和国法定计量单位。</w:t>
      </w:r>
    </w:p>
    <w:p w14:paraId="4462FBEA">
      <w:pPr>
        <w:pStyle w:val="4"/>
        <w:snapToGrid w:val="0"/>
        <w:spacing w:before="0" w:after="0" w:line="360" w:lineRule="auto"/>
        <w:rPr>
          <w:rFonts w:ascii="宋体" w:hAnsi="宋体" w:cs="宋体"/>
          <w:b w:val="0"/>
          <w:snapToGrid w:val="0"/>
          <w:color w:val="auto"/>
          <w:sz w:val="24"/>
          <w:szCs w:val="24"/>
          <w:highlight w:val="none"/>
        </w:rPr>
      </w:pPr>
      <w:bookmarkStart w:id="170" w:name="_Toc287620695"/>
      <w:bookmarkStart w:id="171" w:name="_Toc430530445"/>
      <w:bookmarkStart w:id="172" w:name="_Toc40569149"/>
      <w:bookmarkStart w:id="173" w:name="_Toc277082562"/>
      <w:bookmarkStart w:id="174" w:name="_Toc287607756"/>
      <w:bookmarkStart w:id="175" w:name="_Toc200513136"/>
      <w:bookmarkStart w:id="176" w:name="_Toc11881"/>
      <w:bookmarkStart w:id="177" w:name="_Toc40569054"/>
      <w:bookmarkStart w:id="178" w:name="_Toc224103327"/>
      <w:bookmarkStart w:id="179" w:name="_Toc5390"/>
      <w:bookmarkStart w:id="180" w:name="_Toc5120"/>
      <w:bookmarkStart w:id="181" w:name="_Toc509218720"/>
      <w:r>
        <w:rPr>
          <w:rFonts w:hint="eastAsia" w:ascii="宋体" w:hAnsi="宋体" w:cs="宋体"/>
          <w:b w:val="0"/>
          <w:snapToGrid w:val="0"/>
          <w:color w:val="auto"/>
          <w:sz w:val="24"/>
          <w:szCs w:val="24"/>
          <w:highlight w:val="none"/>
        </w:rPr>
        <w:t>1.9  踏勘现场</w:t>
      </w:r>
      <w:bookmarkEnd w:id="170"/>
      <w:bookmarkEnd w:id="171"/>
      <w:bookmarkEnd w:id="172"/>
      <w:bookmarkEnd w:id="173"/>
      <w:bookmarkEnd w:id="174"/>
      <w:bookmarkEnd w:id="175"/>
      <w:bookmarkEnd w:id="176"/>
      <w:bookmarkEnd w:id="177"/>
      <w:bookmarkEnd w:id="178"/>
      <w:bookmarkEnd w:id="179"/>
      <w:bookmarkEnd w:id="180"/>
      <w:bookmarkEnd w:id="181"/>
    </w:p>
    <w:p w14:paraId="2B334F29">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1.9.1  竞选人须知前附表规定组织踏勘现场的，比选人按竞选人须知前附表规定的时间、 地点组织竞选人踏勘项目现场。</w:t>
      </w:r>
    </w:p>
    <w:p w14:paraId="0B8E6289">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1.9.2  竞选人踏勘现场发生的费用自理。</w:t>
      </w:r>
    </w:p>
    <w:p w14:paraId="0A7327E8">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1.9.3  除比选人的原因外，竞选人自行负责在踏勘现场中所发生的人员伤亡和财产损失。</w:t>
      </w:r>
    </w:p>
    <w:p w14:paraId="1EF51A16">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1.9.4  比选人在踏勘现场中介绍的工程场地和相关的周边环境情况，供竞选人在编制竞选文件时参考，比选人不对竞选人据此做出的判断和决策负责。</w:t>
      </w:r>
    </w:p>
    <w:p w14:paraId="3FC1031A">
      <w:pPr>
        <w:pStyle w:val="4"/>
        <w:snapToGrid w:val="0"/>
        <w:spacing w:before="0" w:after="0" w:line="360" w:lineRule="auto"/>
        <w:rPr>
          <w:rFonts w:ascii="宋体" w:hAnsi="宋体" w:cs="宋体"/>
          <w:b w:val="0"/>
          <w:snapToGrid w:val="0"/>
          <w:color w:val="auto"/>
          <w:sz w:val="24"/>
          <w:szCs w:val="24"/>
          <w:highlight w:val="none"/>
        </w:rPr>
      </w:pPr>
      <w:bookmarkStart w:id="182" w:name="_Toc27798"/>
      <w:bookmarkStart w:id="183" w:name="_Toc287607757"/>
      <w:bookmarkStart w:id="184" w:name="_Toc40569150"/>
      <w:bookmarkStart w:id="185" w:name="_Toc224103328"/>
      <w:bookmarkStart w:id="186" w:name="_Toc10229"/>
      <w:bookmarkStart w:id="187" w:name="_Toc40569055"/>
      <w:bookmarkStart w:id="188" w:name="_Toc200513137"/>
      <w:bookmarkStart w:id="189" w:name="_Toc277082563"/>
      <w:bookmarkStart w:id="190" w:name="_Toc430530446"/>
      <w:bookmarkStart w:id="191" w:name="_Toc14731"/>
      <w:bookmarkStart w:id="192" w:name="_Toc509218721"/>
      <w:bookmarkStart w:id="193" w:name="_Toc287620696"/>
      <w:r>
        <w:rPr>
          <w:rFonts w:hint="eastAsia" w:ascii="宋体" w:hAnsi="宋体" w:cs="宋体"/>
          <w:b w:val="0"/>
          <w:snapToGrid w:val="0"/>
          <w:color w:val="auto"/>
          <w:sz w:val="24"/>
          <w:szCs w:val="24"/>
          <w:highlight w:val="none"/>
        </w:rPr>
        <w:t>1.10  比选预备会</w:t>
      </w:r>
      <w:bookmarkEnd w:id="182"/>
      <w:bookmarkEnd w:id="183"/>
      <w:bookmarkEnd w:id="184"/>
      <w:bookmarkEnd w:id="185"/>
      <w:bookmarkEnd w:id="186"/>
      <w:bookmarkEnd w:id="187"/>
      <w:bookmarkEnd w:id="188"/>
      <w:bookmarkEnd w:id="189"/>
      <w:bookmarkEnd w:id="190"/>
      <w:bookmarkEnd w:id="191"/>
      <w:bookmarkEnd w:id="192"/>
      <w:bookmarkEnd w:id="193"/>
    </w:p>
    <w:p w14:paraId="42EA6A05">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1.10.1  竞选人须知前附表规定召开比选预备会的，比选人按竞选人须知前附表规定的时间和地点召开预备会，澄清竞选人提出的问题。</w:t>
      </w:r>
    </w:p>
    <w:p w14:paraId="10C19FFD">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1.10.2  竞选人应在竞选人须知前附表</w:t>
      </w:r>
      <w:r>
        <w:rPr>
          <w:rFonts w:hint="eastAsia" w:ascii="宋体" w:hAnsi="宋体" w:cs="宋体"/>
          <w:color w:val="auto"/>
          <w:kern w:val="0"/>
          <w:szCs w:val="21"/>
          <w:highlight w:val="none"/>
        </w:rPr>
        <w:t>2.2.4</w:t>
      </w:r>
      <w:r>
        <w:rPr>
          <w:rFonts w:hint="eastAsia" w:ascii="宋体" w:hAnsi="宋体" w:cs="宋体"/>
          <w:snapToGrid w:val="0"/>
          <w:color w:val="auto"/>
          <w:kern w:val="0"/>
          <w:szCs w:val="21"/>
          <w:highlight w:val="none"/>
        </w:rPr>
        <w:t>规定的时间前，以书面形式将提出的问题送达比选人，以便比选人澄清。</w:t>
      </w:r>
    </w:p>
    <w:p w14:paraId="19E7E6F8">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1.10.3  比选人在竞选人须知前附表规定的时间内，将对竞选人所提</w:t>
      </w:r>
      <w:r>
        <w:rPr>
          <w:rFonts w:hint="eastAsia" w:ascii="宋体" w:hAnsi="宋体" w:cs="宋体"/>
          <w:snapToGrid w:val="0"/>
          <w:color w:val="auto"/>
          <w:kern w:val="0"/>
          <w:position w:val="-2"/>
          <w:szCs w:val="21"/>
          <w:highlight w:val="none"/>
        </w:rPr>
        <w:t>的</w:t>
      </w:r>
      <w:r>
        <w:rPr>
          <w:rFonts w:hint="eastAsia" w:ascii="宋体" w:hAnsi="宋体" w:cs="宋体"/>
          <w:snapToGrid w:val="0"/>
          <w:color w:val="auto"/>
          <w:kern w:val="0"/>
          <w:szCs w:val="21"/>
          <w:highlight w:val="none"/>
        </w:rPr>
        <w:t>问题</w:t>
      </w:r>
      <w:r>
        <w:rPr>
          <w:rFonts w:hint="eastAsia" w:ascii="宋体" w:hAnsi="宋体" w:cs="宋体"/>
          <w:snapToGrid w:val="0"/>
          <w:color w:val="auto"/>
          <w:kern w:val="0"/>
          <w:position w:val="-2"/>
          <w:szCs w:val="21"/>
          <w:highlight w:val="none"/>
        </w:rPr>
        <w:t>进行澄清。该澄清内容为比选文件的组成部分。</w:t>
      </w:r>
    </w:p>
    <w:p w14:paraId="524CCF19">
      <w:pPr>
        <w:pStyle w:val="4"/>
        <w:snapToGrid w:val="0"/>
        <w:spacing w:before="0" w:after="0" w:line="360" w:lineRule="auto"/>
        <w:rPr>
          <w:rFonts w:ascii="宋体" w:hAnsi="宋体" w:cs="宋体"/>
          <w:b w:val="0"/>
          <w:snapToGrid w:val="0"/>
          <w:color w:val="auto"/>
          <w:sz w:val="24"/>
          <w:szCs w:val="24"/>
          <w:highlight w:val="none"/>
        </w:rPr>
      </w:pPr>
      <w:bookmarkStart w:id="194" w:name="_Toc7176"/>
      <w:bookmarkStart w:id="195" w:name="_Toc430530447"/>
      <w:bookmarkStart w:id="196" w:name="_Toc40569056"/>
      <w:bookmarkStart w:id="197" w:name="_Toc200513138"/>
      <w:bookmarkStart w:id="198" w:name="_Toc277082564"/>
      <w:bookmarkStart w:id="199" w:name="_Toc21877"/>
      <w:bookmarkStart w:id="200" w:name="_Toc287607758"/>
      <w:bookmarkStart w:id="201" w:name="_Toc40569151"/>
      <w:bookmarkStart w:id="202" w:name="_Toc509218722"/>
      <w:bookmarkStart w:id="203" w:name="_Toc28064"/>
      <w:bookmarkStart w:id="204" w:name="_Toc224103329"/>
      <w:bookmarkStart w:id="205" w:name="_Toc287620697"/>
      <w:r>
        <w:rPr>
          <w:rFonts w:hint="eastAsia" w:ascii="宋体" w:hAnsi="宋体" w:cs="宋体"/>
          <w:b w:val="0"/>
          <w:snapToGrid w:val="0"/>
          <w:color w:val="auto"/>
          <w:sz w:val="24"/>
          <w:szCs w:val="24"/>
          <w:highlight w:val="none"/>
        </w:rPr>
        <w:t>1.11  分包</w:t>
      </w:r>
      <w:bookmarkEnd w:id="194"/>
      <w:bookmarkEnd w:id="195"/>
      <w:bookmarkEnd w:id="196"/>
      <w:bookmarkEnd w:id="197"/>
      <w:bookmarkEnd w:id="198"/>
      <w:bookmarkEnd w:id="199"/>
      <w:bookmarkEnd w:id="200"/>
      <w:bookmarkEnd w:id="201"/>
      <w:bookmarkEnd w:id="202"/>
      <w:bookmarkEnd w:id="203"/>
      <w:bookmarkEnd w:id="204"/>
      <w:bookmarkEnd w:id="205"/>
    </w:p>
    <w:p w14:paraId="462186D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本项目不允许分包。</w:t>
      </w:r>
    </w:p>
    <w:p w14:paraId="4211F790">
      <w:pPr>
        <w:pStyle w:val="4"/>
        <w:snapToGrid w:val="0"/>
        <w:spacing w:before="0" w:after="0" w:line="360" w:lineRule="auto"/>
        <w:rPr>
          <w:rFonts w:ascii="宋体" w:hAnsi="宋体" w:cs="宋体"/>
          <w:b w:val="0"/>
          <w:snapToGrid w:val="0"/>
          <w:color w:val="auto"/>
          <w:sz w:val="24"/>
          <w:szCs w:val="24"/>
          <w:highlight w:val="none"/>
        </w:rPr>
      </w:pPr>
      <w:bookmarkStart w:id="206" w:name="_Toc224103330"/>
      <w:bookmarkStart w:id="207" w:name="_Toc40569057"/>
      <w:bookmarkStart w:id="208" w:name="_Toc509218723"/>
      <w:bookmarkStart w:id="209" w:name="_Toc287620698"/>
      <w:bookmarkStart w:id="210" w:name="_Toc277082565"/>
      <w:bookmarkStart w:id="211" w:name="_Toc287607759"/>
      <w:bookmarkStart w:id="212" w:name="_Toc40569152"/>
      <w:bookmarkStart w:id="213" w:name="_Toc200513139"/>
      <w:bookmarkStart w:id="214" w:name="_Toc5934"/>
      <w:bookmarkStart w:id="215" w:name="_Toc29373"/>
      <w:bookmarkStart w:id="216" w:name="_Toc23307"/>
      <w:bookmarkStart w:id="217" w:name="_Toc430530448"/>
      <w:r>
        <w:rPr>
          <w:rFonts w:hint="eastAsia" w:ascii="宋体" w:hAnsi="宋体" w:cs="宋体"/>
          <w:b w:val="0"/>
          <w:snapToGrid w:val="0"/>
          <w:color w:val="auto"/>
          <w:sz w:val="24"/>
          <w:szCs w:val="24"/>
          <w:highlight w:val="none"/>
        </w:rPr>
        <w:t>1.12  偏离</w:t>
      </w:r>
      <w:bookmarkEnd w:id="206"/>
      <w:bookmarkEnd w:id="207"/>
      <w:bookmarkEnd w:id="208"/>
      <w:bookmarkEnd w:id="209"/>
      <w:bookmarkEnd w:id="210"/>
      <w:bookmarkEnd w:id="211"/>
      <w:bookmarkEnd w:id="212"/>
      <w:bookmarkEnd w:id="213"/>
      <w:bookmarkEnd w:id="214"/>
      <w:bookmarkEnd w:id="215"/>
      <w:bookmarkEnd w:id="216"/>
      <w:bookmarkEnd w:id="217"/>
    </w:p>
    <w:p w14:paraId="3FB8FF7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竞选人须知前附表允许竞选文件偏离比选文件某些要求的，偏离应当符合比选文件规定的偏离范围和幅度。</w:t>
      </w:r>
    </w:p>
    <w:p w14:paraId="78FBD788">
      <w:pPr>
        <w:pStyle w:val="3"/>
        <w:spacing w:before="0" w:after="0" w:line="360" w:lineRule="auto"/>
        <w:rPr>
          <w:rFonts w:ascii="宋体" w:hAnsi="宋体" w:cs="宋体"/>
          <w:b w:val="0"/>
          <w:snapToGrid w:val="0"/>
          <w:color w:val="auto"/>
          <w:sz w:val="24"/>
          <w:szCs w:val="24"/>
          <w:highlight w:val="none"/>
        </w:rPr>
      </w:pPr>
      <w:bookmarkStart w:id="218" w:name="_Toc224103331"/>
      <w:bookmarkStart w:id="219" w:name="_Toc430530449"/>
      <w:bookmarkStart w:id="220" w:name="_Toc200513140"/>
      <w:bookmarkStart w:id="221" w:name="_Toc277082566"/>
      <w:bookmarkStart w:id="222" w:name="_Toc509218724"/>
      <w:bookmarkStart w:id="223" w:name="_Toc23017"/>
      <w:bookmarkStart w:id="224" w:name="_Toc7676"/>
      <w:bookmarkStart w:id="225" w:name="_Toc10764"/>
      <w:bookmarkStart w:id="226" w:name="_Toc287607760"/>
      <w:bookmarkStart w:id="227" w:name="_Toc287620699"/>
      <w:r>
        <w:rPr>
          <w:rFonts w:hint="eastAsia" w:ascii="宋体" w:hAnsi="宋体" w:cs="宋体"/>
          <w:b w:val="0"/>
          <w:snapToGrid w:val="0"/>
          <w:color w:val="auto"/>
          <w:sz w:val="24"/>
          <w:szCs w:val="24"/>
          <w:highlight w:val="none"/>
        </w:rPr>
        <w:t>2.  比选文件</w:t>
      </w:r>
      <w:bookmarkEnd w:id="218"/>
      <w:bookmarkEnd w:id="219"/>
      <w:bookmarkEnd w:id="220"/>
      <w:bookmarkEnd w:id="221"/>
      <w:bookmarkEnd w:id="222"/>
      <w:bookmarkEnd w:id="223"/>
      <w:bookmarkEnd w:id="224"/>
      <w:bookmarkEnd w:id="225"/>
      <w:bookmarkEnd w:id="226"/>
      <w:bookmarkEnd w:id="227"/>
    </w:p>
    <w:p w14:paraId="6AD4E2BB">
      <w:pPr>
        <w:pStyle w:val="4"/>
        <w:snapToGrid w:val="0"/>
        <w:spacing w:before="0" w:after="0" w:line="360" w:lineRule="auto"/>
        <w:rPr>
          <w:rFonts w:ascii="宋体" w:hAnsi="宋体" w:cs="宋体"/>
          <w:b w:val="0"/>
          <w:snapToGrid w:val="0"/>
          <w:color w:val="auto"/>
          <w:sz w:val="24"/>
          <w:szCs w:val="24"/>
          <w:highlight w:val="none"/>
        </w:rPr>
      </w:pPr>
      <w:bookmarkStart w:id="228" w:name="_Toc40569154"/>
      <w:bookmarkStart w:id="229" w:name="_Toc21327"/>
      <w:bookmarkStart w:id="230" w:name="_Toc200513141"/>
      <w:bookmarkStart w:id="231" w:name="_Toc40569059"/>
      <w:bookmarkStart w:id="232" w:name="_Toc430530450"/>
      <w:bookmarkStart w:id="233" w:name="_Toc287620700"/>
      <w:bookmarkStart w:id="234" w:name="_Toc277082567"/>
      <w:bookmarkStart w:id="235" w:name="_Toc287607761"/>
      <w:bookmarkStart w:id="236" w:name="_Toc224103332"/>
      <w:bookmarkStart w:id="237" w:name="_Toc509218725"/>
      <w:bookmarkStart w:id="238" w:name="_Toc1329"/>
      <w:bookmarkStart w:id="239" w:name="_Toc31485"/>
      <w:r>
        <w:rPr>
          <w:rFonts w:hint="eastAsia" w:ascii="宋体" w:hAnsi="宋体" w:cs="宋体"/>
          <w:b w:val="0"/>
          <w:snapToGrid w:val="0"/>
          <w:color w:val="auto"/>
          <w:sz w:val="24"/>
          <w:szCs w:val="24"/>
          <w:highlight w:val="none"/>
        </w:rPr>
        <w:t>2.1  比选文件的组成</w:t>
      </w:r>
      <w:bookmarkEnd w:id="228"/>
      <w:bookmarkEnd w:id="229"/>
      <w:bookmarkEnd w:id="230"/>
      <w:bookmarkEnd w:id="231"/>
      <w:bookmarkEnd w:id="232"/>
      <w:bookmarkEnd w:id="233"/>
      <w:bookmarkEnd w:id="234"/>
      <w:bookmarkEnd w:id="235"/>
      <w:bookmarkEnd w:id="236"/>
      <w:bookmarkEnd w:id="237"/>
      <w:bookmarkEnd w:id="238"/>
      <w:bookmarkEnd w:id="239"/>
    </w:p>
    <w:p w14:paraId="1780001C">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本比选文件包括：</w:t>
      </w:r>
    </w:p>
    <w:p w14:paraId="145EC48E">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（1）比选公告；</w:t>
      </w:r>
    </w:p>
    <w:p w14:paraId="7B00FAD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（2）竞选人须知；</w:t>
      </w:r>
    </w:p>
    <w:p w14:paraId="71F1A073">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（3）评选办法；</w:t>
      </w:r>
    </w:p>
    <w:p w14:paraId="43E5D8B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（4）合同条款及格式；</w:t>
      </w:r>
    </w:p>
    <w:p w14:paraId="0DB3A5B8">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（5）技术标准和要求；</w:t>
      </w:r>
    </w:p>
    <w:p w14:paraId="659E8892">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（6）图纸及工程量清单（如有）；</w:t>
      </w:r>
    </w:p>
    <w:p w14:paraId="698535D9">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（7）竞选文件格式；</w:t>
      </w:r>
    </w:p>
    <w:p w14:paraId="6FAF86D9">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（8）竞选人须知前附表规定的其他材料。</w:t>
      </w:r>
    </w:p>
    <w:p w14:paraId="07E38DCF">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根据本章第1.10款、第2.2款和第2.3款对比选文件所作的澄清、修改，构成比选文件的组成部分。</w:t>
      </w:r>
    </w:p>
    <w:p w14:paraId="3E7EA7ED">
      <w:pPr>
        <w:pStyle w:val="4"/>
        <w:snapToGrid w:val="0"/>
        <w:spacing w:before="0" w:after="0" w:line="360" w:lineRule="auto"/>
        <w:rPr>
          <w:rFonts w:ascii="宋体" w:hAnsi="宋体" w:cs="宋体"/>
          <w:b w:val="0"/>
          <w:snapToGrid w:val="0"/>
          <w:color w:val="auto"/>
          <w:sz w:val="24"/>
          <w:szCs w:val="24"/>
          <w:highlight w:val="none"/>
        </w:rPr>
      </w:pPr>
      <w:bookmarkStart w:id="240" w:name="_Toc40569155"/>
      <w:bookmarkStart w:id="241" w:name="_Toc5751"/>
      <w:bookmarkStart w:id="242" w:name="_Toc430530451"/>
      <w:bookmarkStart w:id="243" w:name="_Toc25357"/>
      <w:bookmarkStart w:id="244" w:name="_Toc40569060"/>
      <w:bookmarkStart w:id="245" w:name="_Toc20393"/>
      <w:bookmarkStart w:id="246" w:name="_Toc509218726"/>
      <w:r>
        <w:rPr>
          <w:rFonts w:hint="eastAsia" w:ascii="宋体" w:hAnsi="宋体" w:cs="宋体"/>
          <w:b w:val="0"/>
          <w:snapToGrid w:val="0"/>
          <w:color w:val="auto"/>
          <w:sz w:val="24"/>
          <w:szCs w:val="24"/>
          <w:highlight w:val="none"/>
        </w:rPr>
        <w:t>2.2  比选文件的澄清</w:t>
      </w:r>
      <w:bookmarkEnd w:id="240"/>
      <w:bookmarkEnd w:id="241"/>
      <w:bookmarkEnd w:id="242"/>
      <w:bookmarkEnd w:id="243"/>
      <w:bookmarkEnd w:id="244"/>
      <w:bookmarkEnd w:id="245"/>
      <w:bookmarkEnd w:id="246"/>
    </w:p>
    <w:p w14:paraId="1F018FCE">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auto"/>
          <w:kern w:val="0"/>
          <w:szCs w:val="21"/>
          <w:highlight w:val="none"/>
        </w:rPr>
        <w:t>以书面形式向比选人或代理机构提出</w:t>
      </w:r>
      <w:r>
        <w:rPr>
          <w:rFonts w:hint="eastAsia" w:ascii="宋体" w:hAnsi="宋体" w:cs="宋体"/>
          <w:snapToGrid w:val="0"/>
          <w:color w:val="auto"/>
          <w:kern w:val="0"/>
          <w:szCs w:val="21"/>
          <w:highlight w:val="none"/>
        </w:rPr>
        <w:t>，要求比选人对比选文件予以澄清。</w:t>
      </w:r>
    </w:p>
    <w:p w14:paraId="051BEB24">
      <w:pPr>
        <w:pStyle w:val="4"/>
        <w:snapToGrid w:val="0"/>
        <w:spacing w:before="0" w:after="0" w:line="360" w:lineRule="auto"/>
        <w:rPr>
          <w:rFonts w:ascii="宋体" w:hAnsi="宋体" w:cs="宋体"/>
          <w:b w:val="0"/>
          <w:snapToGrid w:val="0"/>
          <w:color w:val="auto"/>
          <w:sz w:val="24"/>
          <w:szCs w:val="24"/>
          <w:highlight w:val="none"/>
        </w:rPr>
      </w:pPr>
      <w:bookmarkStart w:id="247" w:name="_Toc8378"/>
      <w:bookmarkStart w:id="248" w:name="_Toc509218727"/>
      <w:bookmarkStart w:id="249" w:name="_Toc430530452"/>
      <w:bookmarkStart w:id="250" w:name="_Toc277082569"/>
      <w:bookmarkStart w:id="251" w:name="_Toc14087"/>
      <w:bookmarkStart w:id="252" w:name="_Toc26098"/>
      <w:bookmarkStart w:id="253" w:name="_Toc287620702"/>
      <w:bookmarkStart w:id="254" w:name="_Toc40569156"/>
      <w:bookmarkStart w:id="255" w:name="_Toc287607763"/>
      <w:bookmarkStart w:id="256" w:name="_Toc224103334"/>
      <w:bookmarkStart w:id="257" w:name="_Toc200513143"/>
      <w:bookmarkStart w:id="258" w:name="_Toc40569061"/>
      <w:r>
        <w:rPr>
          <w:rFonts w:hint="eastAsia" w:ascii="宋体" w:hAnsi="宋体" w:cs="宋体"/>
          <w:b w:val="0"/>
          <w:snapToGrid w:val="0"/>
          <w:color w:val="auto"/>
          <w:sz w:val="24"/>
          <w:szCs w:val="24"/>
          <w:highlight w:val="none"/>
        </w:rPr>
        <w:t>2.3  比选文件的修改</w:t>
      </w:r>
      <w:bookmarkEnd w:id="247"/>
      <w:bookmarkEnd w:id="248"/>
      <w:bookmarkEnd w:id="249"/>
      <w:bookmarkEnd w:id="250"/>
      <w:bookmarkEnd w:id="251"/>
      <w:bookmarkEnd w:id="252"/>
      <w:bookmarkEnd w:id="253"/>
      <w:bookmarkEnd w:id="254"/>
      <w:bookmarkEnd w:id="255"/>
      <w:bookmarkEnd w:id="256"/>
      <w:bookmarkEnd w:id="257"/>
      <w:bookmarkEnd w:id="258"/>
    </w:p>
    <w:p w14:paraId="67211F2E">
      <w:pPr>
        <w:autoSpaceDE w:val="0"/>
        <w:autoSpaceDN w:val="0"/>
        <w:adjustRightInd w:val="0"/>
        <w:snapToGrid w:val="0"/>
        <w:spacing w:line="360" w:lineRule="auto"/>
        <w:ind w:firstLine="420"/>
        <w:rPr>
          <w:rFonts w:ascii="宋体" w:hAnsi="宋体" w:cs="宋体"/>
          <w:snapToGrid w:val="0"/>
          <w:color w:val="auto"/>
          <w:highlight w:val="none"/>
        </w:rPr>
      </w:pPr>
      <w:bookmarkStart w:id="259" w:name="_Toc277082570"/>
      <w:bookmarkStart w:id="260" w:name="_Toc200513144"/>
      <w:bookmarkStart w:id="261" w:name="_Toc224103335"/>
      <w:bookmarkStart w:id="262" w:name="_Toc287620703"/>
      <w:bookmarkStart w:id="263" w:name="_Toc287607764"/>
      <w:r>
        <w:rPr>
          <w:rFonts w:hint="eastAsia" w:ascii="宋体" w:hAnsi="宋体" w:cs="宋体"/>
          <w:snapToGrid w:val="0"/>
          <w:color w:val="auto"/>
          <w:highlight w:val="none"/>
        </w:rPr>
        <w:t>按照本章2.2比选文件的澄清相关内容及方式执行。</w:t>
      </w:r>
    </w:p>
    <w:p w14:paraId="548312AE">
      <w:pPr>
        <w:pStyle w:val="3"/>
        <w:spacing w:before="0" w:after="0" w:line="360" w:lineRule="auto"/>
        <w:rPr>
          <w:rFonts w:ascii="宋体" w:hAnsi="宋体" w:cs="宋体"/>
          <w:b w:val="0"/>
          <w:snapToGrid w:val="0"/>
          <w:color w:val="auto"/>
          <w:sz w:val="24"/>
          <w:szCs w:val="24"/>
          <w:highlight w:val="none"/>
        </w:rPr>
      </w:pPr>
      <w:bookmarkStart w:id="264" w:name="_Toc22016"/>
      <w:bookmarkStart w:id="265" w:name="_Toc5400"/>
      <w:bookmarkStart w:id="266" w:name="_Toc430530453"/>
      <w:bookmarkStart w:id="267" w:name="_Toc6009"/>
      <w:bookmarkStart w:id="268" w:name="_Toc509218728"/>
      <w:r>
        <w:rPr>
          <w:rFonts w:hint="eastAsia" w:ascii="宋体" w:hAnsi="宋体" w:cs="宋体"/>
          <w:b w:val="0"/>
          <w:snapToGrid w:val="0"/>
          <w:color w:val="auto"/>
          <w:sz w:val="24"/>
          <w:szCs w:val="24"/>
          <w:highlight w:val="none"/>
        </w:rPr>
        <w:t xml:space="preserve">3.  </w:t>
      </w:r>
      <w:bookmarkEnd w:id="259"/>
      <w:bookmarkEnd w:id="260"/>
      <w:bookmarkEnd w:id="261"/>
      <w:bookmarkEnd w:id="262"/>
      <w:bookmarkEnd w:id="263"/>
      <w:bookmarkEnd w:id="264"/>
      <w:bookmarkEnd w:id="265"/>
      <w:bookmarkEnd w:id="266"/>
      <w:bookmarkEnd w:id="267"/>
      <w:bookmarkEnd w:id="268"/>
      <w:r>
        <w:rPr>
          <w:rFonts w:hint="eastAsia" w:ascii="宋体" w:hAnsi="宋体" w:cs="宋体"/>
          <w:b w:val="0"/>
          <w:snapToGrid w:val="0"/>
          <w:color w:val="auto"/>
          <w:sz w:val="24"/>
          <w:szCs w:val="24"/>
          <w:highlight w:val="none"/>
        </w:rPr>
        <w:t>竞选文件</w:t>
      </w:r>
    </w:p>
    <w:p w14:paraId="44A78204">
      <w:pPr>
        <w:pStyle w:val="4"/>
        <w:snapToGrid w:val="0"/>
        <w:spacing w:before="0" w:after="0" w:line="360" w:lineRule="auto"/>
        <w:rPr>
          <w:rFonts w:ascii="宋体" w:hAnsi="宋体" w:cs="宋体"/>
          <w:b w:val="0"/>
          <w:snapToGrid w:val="0"/>
          <w:color w:val="auto"/>
          <w:sz w:val="24"/>
          <w:szCs w:val="24"/>
          <w:highlight w:val="none"/>
        </w:rPr>
      </w:pPr>
      <w:bookmarkStart w:id="269" w:name="_Toc200513145"/>
      <w:bookmarkStart w:id="270" w:name="_Toc287620704"/>
      <w:bookmarkStart w:id="271" w:name="_Toc277082571"/>
      <w:bookmarkStart w:id="272" w:name="_Toc40569158"/>
      <w:bookmarkStart w:id="273" w:name="_Toc430530454"/>
      <w:bookmarkStart w:id="274" w:name="_Toc29196"/>
      <w:bookmarkStart w:id="275" w:name="_Toc224103336"/>
      <w:bookmarkStart w:id="276" w:name="_Toc40569063"/>
      <w:bookmarkStart w:id="277" w:name="_Toc509218729"/>
      <w:bookmarkStart w:id="278" w:name="_Toc13714"/>
      <w:bookmarkStart w:id="279" w:name="_Toc7795"/>
      <w:bookmarkStart w:id="280" w:name="_Toc287607765"/>
      <w:r>
        <w:rPr>
          <w:rFonts w:hint="eastAsia" w:ascii="宋体" w:hAnsi="宋体" w:cs="宋体"/>
          <w:b w:val="0"/>
          <w:snapToGrid w:val="0"/>
          <w:color w:val="auto"/>
          <w:sz w:val="24"/>
          <w:szCs w:val="24"/>
          <w:highlight w:val="none"/>
        </w:rPr>
        <w:t>3.1  竞选文件的组成</w:t>
      </w:r>
      <w:bookmarkEnd w:id="269"/>
      <w:bookmarkEnd w:id="270"/>
      <w:bookmarkEnd w:id="271"/>
      <w:bookmarkEnd w:id="272"/>
      <w:bookmarkEnd w:id="273"/>
      <w:bookmarkEnd w:id="274"/>
      <w:bookmarkEnd w:id="275"/>
      <w:bookmarkEnd w:id="276"/>
      <w:bookmarkEnd w:id="277"/>
      <w:bookmarkEnd w:id="278"/>
      <w:bookmarkEnd w:id="279"/>
      <w:bookmarkEnd w:id="280"/>
    </w:p>
    <w:p w14:paraId="6D3CEA44">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竞选文件应包括下列内容：</w:t>
      </w:r>
    </w:p>
    <w:p w14:paraId="4FEF6BB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（1）竞选函及竞选函附录；</w:t>
      </w:r>
    </w:p>
    <w:p w14:paraId="6547084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（2）法定代表人身份证明或附有法定代表人身份证明的授权委托书；</w:t>
      </w:r>
    </w:p>
    <w:p w14:paraId="5D5C06B3">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（3）比选保证金；</w:t>
      </w:r>
    </w:p>
    <w:p w14:paraId="35F554D0">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（4）服务方案；</w:t>
      </w:r>
    </w:p>
    <w:p w14:paraId="2A24CDD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（5）资格审查资料；</w:t>
      </w:r>
    </w:p>
    <w:p w14:paraId="322A6730">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（6）竞选人须知前附表规定的其他材料。</w:t>
      </w:r>
    </w:p>
    <w:p w14:paraId="16B051AF">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3.1.2  竞选人须知前附表规定不接受联合体投标的，或竞选人没有组成联合体的，竞选文件不包括本章第3.1.1（3）目所指的联合体协议书。</w:t>
      </w:r>
    </w:p>
    <w:p w14:paraId="033F2025">
      <w:pPr>
        <w:pStyle w:val="4"/>
        <w:snapToGrid w:val="0"/>
        <w:spacing w:before="0" w:after="0" w:line="360" w:lineRule="auto"/>
        <w:rPr>
          <w:rFonts w:ascii="宋体" w:hAnsi="宋体" w:cs="宋体"/>
          <w:b w:val="0"/>
          <w:snapToGrid w:val="0"/>
          <w:color w:val="auto"/>
          <w:sz w:val="24"/>
          <w:szCs w:val="24"/>
          <w:highlight w:val="none"/>
        </w:rPr>
      </w:pPr>
      <w:bookmarkStart w:id="281" w:name="_Toc5935"/>
      <w:bookmarkStart w:id="282" w:name="_Toc40569064"/>
      <w:bookmarkStart w:id="283" w:name="_Toc200513146"/>
      <w:bookmarkStart w:id="284" w:name="_Toc287607766"/>
      <w:bookmarkStart w:id="285" w:name="_Toc40569159"/>
      <w:bookmarkStart w:id="286" w:name="_Toc2578"/>
      <w:bookmarkStart w:id="287" w:name="_Toc3265"/>
      <w:bookmarkStart w:id="288" w:name="_Toc430530455"/>
      <w:bookmarkStart w:id="289" w:name="_Toc277082572"/>
      <w:bookmarkStart w:id="290" w:name="_Toc287620705"/>
      <w:bookmarkStart w:id="291" w:name="_Toc509218730"/>
      <w:bookmarkStart w:id="292" w:name="_Toc224103337"/>
      <w:r>
        <w:rPr>
          <w:rFonts w:hint="eastAsia" w:ascii="宋体" w:hAnsi="宋体" w:cs="宋体"/>
          <w:b w:val="0"/>
          <w:snapToGrid w:val="0"/>
          <w:color w:val="auto"/>
          <w:sz w:val="24"/>
          <w:szCs w:val="24"/>
          <w:highlight w:val="none"/>
        </w:rPr>
        <w:t>3.2  竞选报价</w:t>
      </w:r>
      <w:bookmarkEnd w:id="281"/>
      <w:bookmarkEnd w:id="282"/>
      <w:bookmarkEnd w:id="283"/>
      <w:bookmarkEnd w:id="284"/>
      <w:bookmarkEnd w:id="285"/>
      <w:bookmarkEnd w:id="286"/>
      <w:bookmarkEnd w:id="287"/>
      <w:bookmarkEnd w:id="288"/>
      <w:bookmarkEnd w:id="289"/>
      <w:bookmarkEnd w:id="290"/>
      <w:bookmarkEnd w:id="291"/>
      <w:bookmarkEnd w:id="292"/>
    </w:p>
    <w:p w14:paraId="1A42B80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  竞选人应按第七章“竞选文件格式”的要求填写相应表格。</w:t>
      </w:r>
    </w:p>
    <w:p w14:paraId="5BB3693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3.2.2  竞选人应认真阅读比选文件规定的计价、结算要求，自行填报报价。</w:t>
      </w:r>
    </w:p>
    <w:p w14:paraId="0BF087CB">
      <w:pPr>
        <w:pStyle w:val="4"/>
        <w:snapToGrid w:val="0"/>
        <w:spacing w:before="0" w:after="0" w:line="360" w:lineRule="auto"/>
        <w:rPr>
          <w:rFonts w:ascii="宋体" w:hAnsi="宋体" w:cs="宋体"/>
          <w:b w:val="0"/>
          <w:snapToGrid w:val="0"/>
          <w:color w:val="auto"/>
          <w:sz w:val="24"/>
          <w:szCs w:val="24"/>
          <w:highlight w:val="none"/>
        </w:rPr>
      </w:pPr>
      <w:bookmarkStart w:id="293" w:name="_Toc27583"/>
      <w:bookmarkStart w:id="294" w:name="_Toc15462"/>
      <w:bookmarkStart w:id="295" w:name="_Toc430530456"/>
      <w:bookmarkStart w:id="296" w:name="_Toc509218731"/>
      <w:bookmarkStart w:id="297" w:name="_Toc224103338"/>
      <w:bookmarkStart w:id="298" w:name="_Toc40569065"/>
      <w:bookmarkStart w:id="299" w:name="_Toc287620706"/>
      <w:bookmarkStart w:id="300" w:name="_Toc200513147"/>
      <w:bookmarkStart w:id="301" w:name="_Toc915"/>
      <w:bookmarkStart w:id="302" w:name="_Toc40569160"/>
      <w:bookmarkStart w:id="303" w:name="_Toc287607767"/>
      <w:bookmarkStart w:id="304" w:name="_Toc277082573"/>
      <w:r>
        <w:rPr>
          <w:rFonts w:hint="eastAsia" w:ascii="宋体" w:hAnsi="宋体" w:cs="宋体"/>
          <w:b w:val="0"/>
          <w:snapToGrid w:val="0"/>
          <w:color w:val="auto"/>
          <w:sz w:val="24"/>
          <w:szCs w:val="24"/>
          <w:highlight w:val="none"/>
        </w:rPr>
        <w:t>3.3  比选有效期</w:t>
      </w:r>
      <w:bookmarkEnd w:id="293"/>
      <w:bookmarkEnd w:id="294"/>
      <w:bookmarkEnd w:id="295"/>
      <w:bookmarkEnd w:id="296"/>
      <w:bookmarkEnd w:id="297"/>
      <w:bookmarkEnd w:id="298"/>
      <w:bookmarkEnd w:id="299"/>
      <w:bookmarkEnd w:id="300"/>
      <w:bookmarkEnd w:id="301"/>
      <w:bookmarkEnd w:id="302"/>
      <w:bookmarkEnd w:id="303"/>
      <w:bookmarkEnd w:id="304"/>
    </w:p>
    <w:p w14:paraId="66E987E5">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3.3.1  在竞选人须知前附表规定的比选有效期内，竞选人不得要求撤销或修改其竞选文件。</w:t>
      </w:r>
    </w:p>
    <w:p w14:paraId="5A0218A6">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14:paraId="2C762C1F">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14:paraId="132DD349">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05" w:name="_Toc277082574"/>
      <w:bookmarkStart w:id="306" w:name="_Toc14235"/>
      <w:bookmarkStart w:id="307" w:name="_Toc40569066"/>
      <w:bookmarkStart w:id="308" w:name="_Toc224103339"/>
      <w:bookmarkStart w:id="309" w:name="_Toc287620707"/>
      <w:bookmarkStart w:id="310" w:name="_Toc26206"/>
      <w:bookmarkStart w:id="311" w:name="_Toc430530457"/>
      <w:bookmarkStart w:id="312" w:name="_Toc509218732"/>
      <w:bookmarkStart w:id="313" w:name="_Toc19857"/>
      <w:bookmarkStart w:id="314" w:name="_Toc40569161"/>
      <w:bookmarkStart w:id="315" w:name="_Toc287607768"/>
      <w:bookmarkStart w:id="316" w:name="_Toc200513148"/>
      <w:r>
        <w:rPr>
          <w:rFonts w:hint="eastAsia" w:ascii="宋体" w:hAnsi="宋体" w:cs="宋体"/>
          <w:b w:val="0"/>
          <w:snapToGrid w:val="0"/>
          <w:color w:val="auto"/>
          <w:sz w:val="24"/>
          <w:szCs w:val="24"/>
          <w:highlight w:val="none"/>
        </w:rPr>
        <w:t xml:space="preserve">3.4  </w:t>
      </w:r>
      <w:bookmarkEnd w:id="305"/>
      <w:bookmarkEnd w:id="306"/>
      <w:bookmarkEnd w:id="307"/>
      <w:bookmarkEnd w:id="308"/>
      <w:bookmarkEnd w:id="309"/>
      <w:bookmarkEnd w:id="310"/>
      <w:bookmarkEnd w:id="311"/>
      <w:bookmarkEnd w:id="312"/>
      <w:bookmarkEnd w:id="313"/>
      <w:bookmarkEnd w:id="314"/>
      <w:bookmarkEnd w:id="315"/>
      <w:bookmarkEnd w:id="316"/>
      <w:r>
        <w:rPr>
          <w:rFonts w:hint="eastAsia" w:ascii="宋体" w:hAnsi="宋体" w:cs="宋体"/>
          <w:b w:val="0"/>
          <w:snapToGrid w:val="0"/>
          <w:color w:val="auto"/>
          <w:sz w:val="24"/>
          <w:szCs w:val="24"/>
          <w:highlight w:val="none"/>
        </w:rPr>
        <w:t>比选保证金</w:t>
      </w:r>
    </w:p>
    <w:p w14:paraId="1F6C1ADB">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14:paraId="54F3C515">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3.4.2  竞选人不按本章第 3.4.1 项要求提交比选保证金的，其竞选文件作否决竞选处理。</w:t>
      </w:r>
    </w:p>
    <w:p w14:paraId="4164198D">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3.4.3  比选保证金（保函）退还：见竞选人须知前附表</w:t>
      </w:r>
      <w:r>
        <w:rPr>
          <w:rFonts w:hint="eastAsia" w:ascii="宋体" w:hAnsi="宋体" w:cs="宋体"/>
          <w:snapToGrid w:val="0"/>
          <w:color w:val="auto"/>
          <w:kern w:val="0"/>
          <w:position w:val="-2"/>
          <w:szCs w:val="21"/>
          <w:highlight w:val="none"/>
        </w:rPr>
        <w:t>。</w:t>
      </w:r>
    </w:p>
    <w:p w14:paraId="60C165B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3.4.4  有下列情形之一的，比选保证金将不予退还：</w:t>
      </w:r>
    </w:p>
    <w:p w14:paraId="7A01BAB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（1）竞选人在规定的比选有效期内撤销或修改其竞选文件；</w:t>
      </w:r>
    </w:p>
    <w:p w14:paraId="6D60313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（2）中选人在收到中选通知书后，无正当理由拒签合同协议书或未按比选文件规定提交履约担保；</w:t>
      </w:r>
    </w:p>
    <w:p w14:paraId="4415685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（3）违反本章9.2条对竞选人的纪律要求的；</w:t>
      </w:r>
    </w:p>
    <w:p w14:paraId="7C026A6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（4）法律法规和本比选文件规定的其他情形。</w:t>
      </w:r>
    </w:p>
    <w:p w14:paraId="3462DCF3">
      <w:pPr>
        <w:tabs>
          <w:tab w:val="left" w:pos="611"/>
          <w:tab w:val="left" w:pos="669"/>
        </w:tabs>
        <w:snapToGrid w:val="0"/>
        <w:spacing w:line="360" w:lineRule="auto"/>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3.4.5</w:t>
      </w:r>
      <w:r>
        <w:rPr>
          <w:rFonts w:hint="eastAsia" w:ascii="宋体" w:hAnsi="宋体" w:cs="宋体"/>
          <w:color w:val="auto"/>
          <w:kern w:val="0"/>
          <w:highlight w:val="none"/>
        </w:rPr>
        <w:t>（1）比选保证金为无条件担保；</w:t>
      </w:r>
    </w:p>
    <w:p w14:paraId="33AC35EB">
      <w:pPr>
        <w:tabs>
          <w:tab w:val="left" w:pos="611"/>
          <w:tab w:val="left" w:pos="669"/>
        </w:tabs>
        <w:snapToGrid w:val="0"/>
        <w:spacing w:line="360" w:lineRule="auto"/>
        <w:ind w:firstLine="945" w:firstLineChars="450"/>
        <w:rPr>
          <w:rFonts w:ascii="宋体" w:hAnsi="宋体" w:cs="宋体"/>
          <w:color w:val="auto"/>
          <w:kern w:val="0"/>
          <w:highlight w:val="none"/>
        </w:rPr>
      </w:pPr>
      <w:r>
        <w:rPr>
          <w:rFonts w:hint="eastAsia" w:ascii="宋体" w:hAnsi="宋体" w:cs="宋体"/>
          <w:color w:val="auto"/>
          <w:kern w:val="0"/>
          <w:highlight w:val="none"/>
        </w:rPr>
        <w:t>（2）比选保证金的受益人为比选人。</w:t>
      </w:r>
    </w:p>
    <w:p w14:paraId="707E5EA2">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17" w:name="_Toc8188"/>
      <w:bookmarkStart w:id="318" w:name="_Toc40569162"/>
      <w:bookmarkStart w:id="319" w:name="_Toc30972"/>
      <w:bookmarkStart w:id="320" w:name="_Toc287620709"/>
      <w:bookmarkStart w:id="321" w:name="_Toc287607770"/>
      <w:bookmarkStart w:id="322" w:name="_Toc509218734"/>
      <w:bookmarkStart w:id="323" w:name="_Toc224103341"/>
      <w:bookmarkStart w:id="324" w:name="_Toc40569067"/>
      <w:bookmarkStart w:id="325" w:name="_Toc7055"/>
      <w:bookmarkStart w:id="326" w:name="_Toc430530459"/>
      <w:bookmarkStart w:id="327" w:name="_Toc200513150"/>
      <w:bookmarkStart w:id="328" w:name="_Toc277082576"/>
      <w:r>
        <w:rPr>
          <w:rFonts w:hint="eastAsia" w:ascii="宋体" w:hAnsi="宋体" w:cs="宋体"/>
          <w:b w:val="0"/>
          <w:snapToGrid w:val="0"/>
          <w:color w:val="auto"/>
          <w:sz w:val="24"/>
          <w:szCs w:val="24"/>
          <w:highlight w:val="none"/>
        </w:rPr>
        <w:t>3.5  资格审查资料</w:t>
      </w:r>
      <w:bookmarkEnd w:id="317"/>
      <w:bookmarkEnd w:id="318"/>
      <w:bookmarkEnd w:id="319"/>
      <w:bookmarkEnd w:id="320"/>
      <w:bookmarkEnd w:id="321"/>
      <w:bookmarkEnd w:id="322"/>
      <w:bookmarkEnd w:id="323"/>
      <w:bookmarkEnd w:id="324"/>
      <w:bookmarkEnd w:id="325"/>
      <w:bookmarkEnd w:id="326"/>
      <w:bookmarkEnd w:id="327"/>
      <w:bookmarkEnd w:id="328"/>
    </w:p>
    <w:p w14:paraId="7092FE9E">
      <w:pPr>
        <w:autoSpaceDE w:val="0"/>
        <w:autoSpaceDN w:val="0"/>
        <w:adjustRightInd w:val="0"/>
        <w:snapToGrid w:val="0"/>
        <w:spacing w:line="360" w:lineRule="auto"/>
        <w:ind w:left="103" w:leftChars="49" w:right="37"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详见竞选人须知前附表</w:t>
      </w:r>
      <w:bookmarkStart w:id="832" w:name="_GoBack"/>
      <w:bookmarkEnd w:id="832"/>
      <w:r>
        <w:rPr>
          <w:rFonts w:hint="eastAsia" w:ascii="宋体" w:hAnsi="宋体" w:cs="宋体"/>
          <w:snapToGrid w:val="0"/>
          <w:color w:val="auto"/>
          <w:kern w:val="0"/>
          <w:szCs w:val="21"/>
          <w:highlight w:val="none"/>
        </w:rPr>
        <w:t>相关内容。</w:t>
      </w:r>
    </w:p>
    <w:p w14:paraId="60EFF004">
      <w:pPr>
        <w:pStyle w:val="4"/>
        <w:snapToGrid w:val="0"/>
        <w:spacing w:before="0" w:after="0" w:line="360" w:lineRule="auto"/>
        <w:rPr>
          <w:rFonts w:ascii="宋体" w:hAnsi="宋体" w:cs="宋体"/>
          <w:b w:val="0"/>
          <w:snapToGrid w:val="0"/>
          <w:color w:val="auto"/>
          <w:sz w:val="24"/>
          <w:szCs w:val="24"/>
          <w:highlight w:val="none"/>
        </w:rPr>
      </w:pPr>
      <w:bookmarkStart w:id="329" w:name="_Toc509218735"/>
      <w:bookmarkStart w:id="330" w:name="_Toc200513151"/>
      <w:bookmarkStart w:id="331" w:name="_Toc287607771"/>
      <w:bookmarkStart w:id="332" w:name="_Toc7522"/>
      <w:bookmarkStart w:id="333" w:name="_Toc40569068"/>
      <w:bookmarkStart w:id="334" w:name="_Toc9341"/>
      <w:bookmarkStart w:id="335" w:name="_Toc40569163"/>
      <w:bookmarkStart w:id="336" w:name="_Toc224103342"/>
      <w:bookmarkStart w:id="337" w:name="_Toc430530460"/>
      <w:bookmarkStart w:id="338" w:name="_Toc26526"/>
      <w:bookmarkStart w:id="339" w:name="_Toc277082577"/>
      <w:bookmarkStart w:id="340" w:name="_Toc287620710"/>
      <w:r>
        <w:rPr>
          <w:rFonts w:hint="eastAsia" w:ascii="宋体" w:hAnsi="宋体" w:cs="宋体"/>
          <w:b w:val="0"/>
          <w:snapToGrid w:val="0"/>
          <w:color w:val="auto"/>
          <w:sz w:val="24"/>
          <w:szCs w:val="24"/>
          <w:highlight w:val="none"/>
        </w:rPr>
        <w:t>3.6  备选投标方案</w:t>
      </w:r>
      <w:bookmarkEnd w:id="329"/>
      <w:bookmarkEnd w:id="330"/>
      <w:bookmarkEnd w:id="331"/>
      <w:bookmarkEnd w:id="332"/>
      <w:bookmarkEnd w:id="333"/>
      <w:bookmarkEnd w:id="334"/>
      <w:bookmarkEnd w:id="335"/>
      <w:bookmarkEnd w:id="336"/>
      <w:bookmarkEnd w:id="337"/>
      <w:bookmarkEnd w:id="338"/>
      <w:bookmarkEnd w:id="339"/>
      <w:bookmarkEnd w:id="340"/>
    </w:p>
    <w:p w14:paraId="55E1593B">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14:paraId="155071AD">
      <w:pPr>
        <w:pStyle w:val="4"/>
        <w:snapToGrid w:val="0"/>
        <w:spacing w:before="0" w:after="0" w:line="360" w:lineRule="auto"/>
        <w:rPr>
          <w:rFonts w:ascii="宋体" w:hAnsi="宋体" w:cs="宋体"/>
          <w:b w:val="0"/>
          <w:snapToGrid w:val="0"/>
          <w:color w:val="auto"/>
          <w:sz w:val="24"/>
          <w:szCs w:val="24"/>
          <w:highlight w:val="none"/>
        </w:rPr>
      </w:pPr>
      <w:bookmarkStart w:id="341" w:name="_Toc430530461"/>
      <w:bookmarkStart w:id="342" w:name="_Toc29561"/>
      <w:bookmarkStart w:id="343" w:name="_Toc509218736"/>
      <w:bookmarkStart w:id="344" w:name="_Toc287620711"/>
      <w:bookmarkStart w:id="345" w:name="_Toc287607772"/>
      <w:bookmarkStart w:id="346" w:name="_Toc224103343"/>
      <w:bookmarkStart w:id="347" w:name="_Toc25048"/>
      <w:bookmarkStart w:id="348" w:name="_Toc277082578"/>
      <w:bookmarkStart w:id="349" w:name="_Toc200513152"/>
      <w:bookmarkStart w:id="350" w:name="_Toc40569164"/>
      <w:bookmarkStart w:id="351" w:name="_Toc40569069"/>
      <w:bookmarkStart w:id="352" w:name="_Toc29274"/>
      <w:r>
        <w:rPr>
          <w:rFonts w:hint="eastAsia" w:ascii="宋体" w:hAnsi="宋体" w:cs="宋体"/>
          <w:b w:val="0"/>
          <w:snapToGrid w:val="0"/>
          <w:color w:val="auto"/>
          <w:sz w:val="24"/>
          <w:szCs w:val="24"/>
          <w:highlight w:val="none"/>
        </w:rPr>
        <w:t>3.7  竞选文件的编制</w:t>
      </w:r>
      <w:bookmarkEnd w:id="341"/>
      <w:bookmarkEnd w:id="342"/>
      <w:bookmarkEnd w:id="343"/>
      <w:bookmarkEnd w:id="344"/>
      <w:bookmarkEnd w:id="345"/>
      <w:bookmarkEnd w:id="346"/>
      <w:bookmarkEnd w:id="347"/>
      <w:bookmarkEnd w:id="348"/>
      <w:bookmarkEnd w:id="349"/>
      <w:bookmarkEnd w:id="350"/>
      <w:bookmarkEnd w:id="351"/>
      <w:bookmarkEnd w:id="352"/>
    </w:p>
    <w:p w14:paraId="3A713E9D">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3.7.1  竞选文件应按第七章“竞选文件格式”进行编写，如有必要，可以增加附页，作为竞选文件的组成部分。其中，竞选函附录在满足比选文件实质性要求的基础上，可以提出比选文件要求更有利于比选人的承诺。</w:t>
      </w:r>
    </w:p>
    <w:p w14:paraId="19C1BB1F">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3.7.2  竞选文件应当对比选文件有关工期、比选有效期、质量要求、技术标准和要求、比选范围等实质性内容做出响应。</w:t>
      </w:r>
    </w:p>
    <w:p w14:paraId="214489A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position w:val="-2"/>
          <w:szCs w:val="21"/>
          <w:highlight w:val="none"/>
        </w:rPr>
        <w:t>3.7.3  按竞选人须知前附表3.7.3款执行。</w:t>
      </w:r>
    </w:p>
    <w:p w14:paraId="19A53ED4">
      <w:pPr>
        <w:autoSpaceDE w:val="0"/>
        <w:autoSpaceDN w:val="0"/>
        <w:adjustRightInd w:val="0"/>
        <w:snapToGrid w:val="0"/>
        <w:spacing w:line="360" w:lineRule="auto"/>
        <w:ind w:right="-164" w:firstLine="420" w:firstLineChars="200"/>
        <w:rPr>
          <w:rFonts w:ascii="宋体" w:hAnsi="宋体" w:cs="宋体"/>
          <w:i/>
          <w:snapToGrid w:val="0"/>
          <w:color w:val="auto"/>
          <w:kern w:val="0"/>
          <w:szCs w:val="21"/>
          <w:highlight w:val="none"/>
        </w:rPr>
      </w:pPr>
      <w:r>
        <w:rPr>
          <w:rFonts w:hint="eastAsia" w:ascii="宋体" w:hAnsi="宋体" w:cs="宋体"/>
          <w:snapToGrid w:val="0"/>
          <w:color w:val="auto"/>
          <w:kern w:val="0"/>
          <w:szCs w:val="21"/>
          <w:highlight w:val="none"/>
        </w:rPr>
        <w:t>3.7.4  竞选文件的份数见竞选人须知前附表，不按规定递交足够份数的竞选文件作否决处理。</w:t>
      </w:r>
    </w:p>
    <w:p w14:paraId="7A012015">
      <w:pPr>
        <w:autoSpaceDE w:val="0"/>
        <w:autoSpaceDN w:val="0"/>
        <w:adjustRightInd w:val="0"/>
        <w:snapToGrid w:val="0"/>
        <w:spacing w:line="360" w:lineRule="auto"/>
        <w:ind w:right="-109"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3.7.5  竞选文件应装订成册，并编制目录，具体装订要求见竞选人须知前附表规定。</w:t>
      </w:r>
    </w:p>
    <w:p w14:paraId="3411D76C">
      <w:pPr>
        <w:pStyle w:val="3"/>
        <w:spacing w:before="0" w:after="0" w:line="360" w:lineRule="auto"/>
        <w:rPr>
          <w:rFonts w:ascii="宋体" w:hAnsi="宋体" w:cs="宋体"/>
          <w:b w:val="0"/>
          <w:snapToGrid w:val="0"/>
          <w:color w:val="auto"/>
          <w:sz w:val="24"/>
          <w:szCs w:val="24"/>
          <w:highlight w:val="none"/>
        </w:rPr>
      </w:pPr>
      <w:bookmarkStart w:id="353" w:name="_Toc287620712"/>
      <w:bookmarkStart w:id="354" w:name="_Toc287607773"/>
      <w:bookmarkStart w:id="355" w:name="_Toc17781"/>
      <w:bookmarkStart w:id="356" w:name="_Toc277082579"/>
      <w:bookmarkStart w:id="357" w:name="_Toc26662"/>
      <w:bookmarkStart w:id="358" w:name="_Toc224103344"/>
      <w:bookmarkStart w:id="359" w:name="_Toc31627"/>
      <w:bookmarkStart w:id="360" w:name="_Toc200513153"/>
      <w:bookmarkStart w:id="361" w:name="_Toc509218737"/>
      <w:bookmarkStart w:id="362" w:name="_Toc430530462"/>
      <w:r>
        <w:rPr>
          <w:rFonts w:hint="eastAsia" w:ascii="宋体" w:hAnsi="宋体" w:cs="宋体"/>
          <w:b w:val="0"/>
          <w:snapToGrid w:val="0"/>
          <w:color w:val="auto"/>
          <w:sz w:val="24"/>
          <w:szCs w:val="24"/>
          <w:highlight w:val="none"/>
        </w:rPr>
        <w:t xml:space="preserve">4.  </w:t>
      </w:r>
      <w:bookmarkEnd w:id="353"/>
      <w:bookmarkEnd w:id="354"/>
      <w:bookmarkEnd w:id="355"/>
      <w:bookmarkEnd w:id="356"/>
      <w:bookmarkEnd w:id="357"/>
      <w:bookmarkEnd w:id="358"/>
      <w:bookmarkEnd w:id="359"/>
      <w:bookmarkEnd w:id="360"/>
      <w:bookmarkEnd w:id="361"/>
      <w:bookmarkEnd w:id="362"/>
      <w:r>
        <w:rPr>
          <w:rFonts w:hint="eastAsia" w:ascii="宋体" w:hAnsi="宋体" w:cs="宋体"/>
          <w:b w:val="0"/>
          <w:snapToGrid w:val="0"/>
          <w:color w:val="auto"/>
          <w:sz w:val="24"/>
          <w:szCs w:val="24"/>
          <w:highlight w:val="none"/>
        </w:rPr>
        <w:t>竞选文件递交</w:t>
      </w:r>
    </w:p>
    <w:p w14:paraId="61E77DC7">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63" w:name="_Toc224103345"/>
      <w:bookmarkStart w:id="364" w:name="_Toc277082580"/>
      <w:bookmarkStart w:id="365" w:name="_Toc287607774"/>
      <w:bookmarkStart w:id="366" w:name="_Toc200513154"/>
      <w:bookmarkStart w:id="367" w:name="_Toc1906"/>
      <w:bookmarkStart w:id="368" w:name="_Toc287620713"/>
      <w:bookmarkStart w:id="369" w:name="_Toc30123"/>
      <w:bookmarkStart w:id="370" w:name="_Toc40569166"/>
      <w:bookmarkStart w:id="371" w:name="_Toc40569071"/>
      <w:bookmarkStart w:id="372" w:name="_Toc509218738"/>
      <w:bookmarkStart w:id="373" w:name="_Toc21526"/>
      <w:bookmarkStart w:id="374" w:name="_Toc430530463"/>
      <w:r>
        <w:rPr>
          <w:rFonts w:hint="eastAsia" w:ascii="宋体" w:hAnsi="宋体" w:cs="宋体"/>
          <w:b w:val="0"/>
          <w:snapToGrid w:val="0"/>
          <w:color w:val="auto"/>
          <w:sz w:val="24"/>
          <w:szCs w:val="24"/>
          <w:highlight w:val="none"/>
        </w:rPr>
        <w:t>4.1  竞选文件的密封和标记</w:t>
      </w:r>
      <w:bookmarkEnd w:id="363"/>
      <w:bookmarkEnd w:id="364"/>
      <w:bookmarkEnd w:id="365"/>
      <w:bookmarkEnd w:id="366"/>
      <w:bookmarkEnd w:id="367"/>
      <w:bookmarkEnd w:id="368"/>
      <w:bookmarkEnd w:id="369"/>
      <w:bookmarkEnd w:id="370"/>
      <w:bookmarkEnd w:id="371"/>
      <w:bookmarkEnd w:id="372"/>
      <w:bookmarkEnd w:id="373"/>
      <w:bookmarkEnd w:id="374"/>
    </w:p>
    <w:p w14:paraId="54FBAF2A">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bookmarkStart w:id="375" w:name="_Toc200513155"/>
      <w:r>
        <w:rPr>
          <w:rFonts w:hint="eastAsia" w:ascii="宋体" w:hAnsi="宋体" w:cs="宋体"/>
          <w:snapToGrid w:val="0"/>
          <w:color w:val="auto"/>
          <w:kern w:val="0"/>
          <w:szCs w:val="21"/>
          <w:highlight w:val="none"/>
        </w:rPr>
        <w:t>4.1.1  竞选文件的密封见竞选人须知前附表。</w:t>
      </w:r>
    </w:p>
    <w:p w14:paraId="0DD0CFB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4.1.2  竞选文件的封套上应写明的内容见竞选人须知前附表。</w:t>
      </w:r>
    </w:p>
    <w:p w14:paraId="168542A4">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76" w:name="_Toc40569072"/>
      <w:bookmarkStart w:id="377" w:name="_Toc7699"/>
      <w:bookmarkStart w:id="378" w:name="_Toc287620714"/>
      <w:bookmarkStart w:id="379" w:name="_Toc40569167"/>
      <w:bookmarkStart w:id="380" w:name="_Toc26108"/>
      <w:bookmarkStart w:id="381" w:name="_Toc11740"/>
      <w:bookmarkStart w:id="382" w:name="_Toc277082581"/>
      <w:bookmarkStart w:id="383" w:name="_Toc430530464"/>
      <w:bookmarkStart w:id="384" w:name="_Toc224103346"/>
      <w:bookmarkStart w:id="385" w:name="_Toc287607775"/>
      <w:bookmarkStart w:id="386" w:name="_Toc509218739"/>
      <w:r>
        <w:rPr>
          <w:rFonts w:hint="eastAsia" w:ascii="宋体" w:hAnsi="宋体" w:cs="宋体"/>
          <w:b w:val="0"/>
          <w:snapToGrid w:val="0"/>
          <w:color w:val="auto"/>
          <w:sz w:val="24"/>
          <w:szCs w:val="24"/>
          <w:highlight w:val="none"/>
        </w:rPr>
        <w:t>4.2  竞选文件的递交</w:t>
      </w:r>
      <w:bookmarkEnd w:id="375"/>
      <w:bookmarkEnd w:id="376"/>
      <w:bookmarkEnd w:id="377"/>
      <w:bookmarkEnd w:id="378"/>
      <w:bookmarkEnd w:id="379"/>
      <w:bookmarkEnd w:id="380"/>
      <w:bookmarkEnd w:id="381"/>
      <w:bookmarkEnd w:id="382"/>
      <w:bookmarkEnd w:id="383"/>
      <w:bookmarkEnd w:id="384"/>
      <w:bookmarkEnd w:id="385"/>
      <w:bookmarkEnd w:id="386"/>
    </w:p>
    <w:p w14:paraId="18D317D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4.2.1  竞选人应在竞选人须知前附表第 2.2.2 项规定的竞选文件递交截止时间前递交竞选文件。</w:t>
      </w:r>
    </w:p>
    <w:p w14:paraId="753D79B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4.2.2  竞选人递交竞选文件的地点：见竞选人须知前附表。</w:t>
      </w:r>
    </w:p>
    <w:p w14:paraId="5918A5D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4.2.3  除竞选人须知前附表另有规定外，竞选人所递交的竞选文件不予退还。</w:t>
      </w:r>
    </w:p>
    <w:p w14:paraId="7F7A2DAB">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4.2.4  比选人收到竞选文件后，向竞选人出具签收凭证。</w:t>
      </w:r>
    </w:p>
    <w:p w14:paraId="4899A77F">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4.2.5  逾期送达的或者未送达指定地点的竞选文件，比选人不予受理。</w:t>
      </w:r>
    </w:p>
    <w:p w14:paraId="033BF374">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387" w:name="_Toc509218740"/>
      <w:bookmarkStart w:id="388" w:name="_Toc40569073"/>
      <w:bookmarkStart w:id="389" w:name="_Toc287607776"/>
      <w:bookmarkStart w:id="390" w:name="_Toc287620715"/>
      <w:bookmarkStart w:id="391" w:name="_Toc40569168"/>
      <w:bookmarkStart w:id="392" w:name="_Toc200513156"/>
      <w:bookmarkStart w:id="393" w:name="_Toc23344"/>
      <w:bookmarkStart w:id="394" w:name="_Toc224103347"/>
      <w:bookmarkStart w:id="395" w:name="_Toc30961"/>
      <w:bookmarkStart w:id="396" w:name="_Toc277082582"/>
      <w:bookmarkStart w:id="397" w:name="_Toc430530465"/>
      <w:bookmarkStart w:id="398" w:name="_Toc13850"/>
      <w:r>
        <w:rPr>
          <w:rFonts w:hint="eastAsia" w:ascii="宋体" w:hAnsi="宋体" w:cs="宋体"/>
          <w:b w:val="0"/>
          <w:snapToGrid w:val="0"/>
          <w:color w:val="auto"/>
          <w:sz w:val="24"/>
          <w:szCs w:val="24"/>
          <w:highlight w:val="none"/>
        </w:rPr>
        <w:t>4.3  竞选文件的修改与撤回</w:t>
      </w:r>
      <w:bookmarkEnd w:id="387"/>
      <w:bookmarkEnd w:id="388"/>
      <w:bookmarkEnd w:id="389"/>
      <w:bookmarkEnd w:id="390"/>
      <w:bookmarkEnd w:id="391"/>
      <w:bookmarkEnd w:id="392"/>
      <w:bookmarkEnd w:id="393"/>
      <w:bookmarkEnd w:id="394"/>
      <w:bookmarkEnd w:id="395"/>
      <w:bookmarkEnd w:id="396"/>
      <w:bookmarkEnd w:id="397"/>
      <w:bookmarkEnd w:id="398"/>
    </w:p>
    <w:p w14:paraId="0985CAA4">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4.3.1  在竞选人须知前附表第2.2.2项规定的竞选文件递交截止时间前，竞选人可以修改或撤回已递交的竞选文件，但应以书面形式通知比选人。</w:t>
      </w:r>
    </w:p>
    <w:p w14:paraId="2D2E50FF">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4.3.2  竞选人修改或撤回已递交竞选文件的书面通知应按照本章第3.7.3项的要求签字或盖章。比选人收到书面通知后，向竞选人出具签收凭证。</w:t>
      </w:r>
    </w:p>
    <w:p w14:paraId="4BE7F6A0">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4.3.3  修改的内容为竞选文件的组成部分。修改的竞选文件应按照本章第3条、第4条规定进行编制、密封、标记和递交，并标明“修改”字样。</w:t>
      </w:r>
    </w:p>
    <w:p w14:paraId="4CA8B252">
      <w:pPr>
        <w:pStyle w:val="3"/>
        <w:spacing w:before="0" w:after="0" w:line="360" w:lineRule="auto"/>
        <w:rPr>
          <w:rFonts w:ascii="宋体" w:hAnsi="宋体" w:cs="宋体"/>
          <w:b w:val="0"/>
          <w:snapToGrid w:val="0"/>
          <w:color w:val="auto"/>
          <w:sz w:val="24"/>
          <w:szCs w:val="24"/>
          <w:highlight w:val="none"/>
        </w:rPr>
      </w:pPr>
      <w:bookmarkStart w:id="399" w:name="_Toc509218741"/>
      <w:bookmarkStart w:id="400" w:name="_Toc18092"/>
      <w:bookmarkStart w:id="401" w:name="_Toc7310"/>
      <w:bookmarkStart w:id="402" w:name="_Toc287607777"/>
      <w:bookmarkStart w:id="403" w:name="_Toc24445"/>
      <w:bookmarkStart w:id="404" w:name="_Toc287620716"/>
      <w:bookmarkStart w:id="405" w:name="_Toc430530466"/>
      <w:bookmarkStart w:id="406" w:name="_Toc224103348"/>
      <w:bookmarkStart w:id="407" w:name="_Toc200513157"/>
      <w:bookmarkStart w:id="408" w:name="_Toc277082583"/>
      <w:r>
        <w:rPr>
          <w:rFonts w:hint="eastAsia" w:ascii="宋体" w:hAnsi="宋体" w:cs="宋体"/>
          <w:b w:val="0"/>
          <w:snapToGrid w:val="0"/>
          <w:color w:val="auto"/>
          <w:sz w:val="24"/>
          <w:szCs w:val="24"/>
          <w:highlight w:val="none"/>
        </w:rPr>
        <w:t>5.  开标</w:t>
      </w:r>
      <w:bookmarkEnd w:id="399"/>
      <w:bookmarkEnd w:id="400"/>
      <w:bookmarkEnd w:id="401"/>
      <w:bookmarkEnd w:id="402"/>
      <w:bookmarkEnd w:id="403"/>
      <w:bookmarkEnd w:id="404"/>
      <w:bookmarkEnd w:id="405"/>
      <w:bookmarkEnd w:id="406"/>
      <w:bookmarkEnd w:id="407"/>
      <w:bookmarkEnd w:id="408"/>
    </w:p>
    <w:p w14:paraId="7C9A243B">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409" w:name="_Toc277082584"/>
      <w:bookmarkStart w:id="410" w:name="_Toc224103349"/>
      <w:bookmarkStart w:id="411" w:name="_Toc40569075"/>
      <w:bookmarkStart w:id="412" w:name="_Toc287620717"/>
      <w:bookmarkStart w:id="413" w:name="_Toc40569170"/>
      <w:bookmarkStart w:id="414" w:name="_Toc23360"/>
      <w:bookmarkStart w:id="415" w:name="_Toc21177"/>
      <w:bookmarkStart w:id="416" w:name="_Toc21647"/>
      <w:bookmarkStart w:id="417" w:name="_Toc430530467"/>
      <w:bookmarkStart w:id="418" w:name="_Toc200513158"/>
      <w:bookmarkStart w:id="419" w:name="_Toc509218742"/>
      <w:bookmarkStart w:id="420" w:name="_Toc287607778"/>
      <w:r>
        <w:rPr>
          <w:rFonts w:hint="eastAsia" w:ascii="宋体" w:hAnsi="宋体" w:cs="宋体"/>
          <w:b w:val="0"/>
          <w:snapToGrid w:val="0"/>
          <w:color w:val="auto"/>
          <w:sz w:val="24"/>
          <w:szCs w:val="24"/>
          <w:highlight w:val="none"/>
        </w:rPr>
        <w:t>5.1  开标时间和地点</w:t>
      </w:r>
      <w:bookmarkEnd w:id="409"/>
      <w:bookmarkEnd w:id="410"/>
      <w:bookmarkEnd w:id="411"/>
      <w:bookmarkEnd w:id="412"/>
      <w:bookmarkEnd w:id="413"/>
      <w:bookmarkEnd w:id="414"/>
      <w:bookmarkEnd w:id="415"/>
      <w:bookmarkEnd w:id="416"/>
      <w:bookmarkEnd w:id="417"/>
      <w:bookmarkEnd w:id="418"/>
      <w:bookmarkEnd w:id="419"/>
      <w:bookmarkEnd w:id="420"/>
    </w:p>
    <w:p w14:paraId="5E3F4ECD">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比选人在竞选人须知前附表第 2.2.2 项规定的竞选文件递交截止时间和竞选人须知前附表规定的地点公开开标，并邀请所有竞选人的法定代表人或其委托代理人准时参加。</w:t>
      </w:r>
    </w:p>
    <w:p w14:paraId="62E97C0C">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421" w:name="_Toc430530468"/>
      <w:bookmarkStart w:id="422" w:name="_Toc40569171"/>
      <w:bookmarkStart w:id="423" w:name="_Toc287607779"/>
      <w:bookmarkStart w:id="424" w:name="_Toc509218743"/>
      <w:bookmarkStart w:id="425" w:name="_Toc224103350"/>
      <w:bookmarkStart w:id="426" w:name="_Toc4086"/>
      <w:bookmarkStart w:id="427" w:name="_Toc40569076"/>
      <w:bookmarkStart w:id="428" w:name="_Toc287620718"/>
      <w:bookmarkStart w:id="429" w:name="_Toc2116"/>
      <w:bookmarkStart w:id="430" w:name="_Toc277082585"/>
      <w:bookmarkStart w:id="431" w:name="_Toc200513159"/>
      <w:bookmarkStart w:id="432" w:name="_Toc9819"/>
      <w:r>
        <w:rPr>
          <w:rFonts w:hint="eastAsia" w:ascii="宋体" w:hAnsi="宋体" w:cs="宋体"/>
          <w:b w:val="0"/>
          <w:snapToGrid w:val="0"/>
          <w:color w:val="auto"/>
          <w:sz w:val="24"/>
          <w:szCs w:val="24"/>
          <w:highlight w:val="none"/>
        </w:rPr>
        <w:t>5.2  开标程序</w:t>
      </w:r>
      <w:bookmarkEnd w:id="421"/>
      <w:bookmarkEnd w:id="422"/>
      <w:bookmarkEnd w:id="423"/>
      <w:bookmarkEnd w:id="424"/>
      <w:bookmarkEnd w:id="425"/>
      <w:bookmarkEnd w:id="426"/>
      <w:bookmarkEnd w:id="427"/>
      <w:bookmarkEnd w:id="428"/>
      <w:bookmarkEnd w:id="429"/>
      <w:bookmarkEnd w:id="430"/>
      <w:bookmarkEnd w:id="431"/>
      <w:bookmarkEnd w:id="432"/>
    </w:p>
    <w:p w14:paraId="03FF3901">
      <w:pPr>
        <w:autoSpaceDE w:val="0"/>
        <w:autoSpaceDN w:val="0"/>
        <w:adjustRightInd w:val="0"/>
        <w:snapToGrid w:val="0"/>
        <w:spacing w:line="360" w:lineRule="auto"/>
        <w:ind w:firstLine="420" w:firstLineChars="200"/>
        <w:rPr>
          <w:rFonts w:ascii="宋体" w:hAnsi="宋体" w:cs="宋体"/>
          <w:color w:val="auto"/>
          <w:szCs w:val="21"/>
          <w:highlight w:val="none"/>
        </w:rPr>
      </w:pPr>
      <w:bookmarkStart w:id="433" w:name="_Toc200513160"/>
      <w:bookmarkStart w:id="434" w:name="_Toc287607780"/>
      <w:bookmarkStart w:id="435" w:name="_Toc287620719"/>
      <w:bookmarkStart w:id="436" w:name="_Toc224103351"/>
      <w:bookmarkStart w:id="437" w:name="_Toc277082586"/>
      <w:r>
        <w:rPr>
          <w:rFonts w:hint="eastAsia" w:ascii="宋体" w:hAnsi="宋体" w:cs="宋体"/>
          <w:color w:val="auto"/>
          <w:szCs w:val="21"/>
          <w:highlight w:val="none"/>
        </w:rPr>
        <w:t>详见竞选人须知前附表5.2开标程序。</w:t>
      </w:r>
    </w:p>
    <w:p w14:paraId="06B401A8">
      <w:pPr>
        <w:pStyle w:val="3"/>
        <w:spacing w:before="0" w:after="0" w:line="360" w:lineRule="auto"/>
        <w:rPr>
          <w:rFonts w:ascii="宋体" w:hAnsi="宋体" w:cs="宋体"/>
          <w:b w:val="0"/>
          <w:snapToGrid w:val="0"/>
          <w:color w:val="auto"/>
          <w:sz w:val="24"/>
          <w:szCs w:val="24"/>
          <w:highlight w:val="none"/>
        </w:rPr>
      </w:pPr>
      <w:bookmarkStart w:id="438" w:name="_Toc509218744"/>
      <w:bookmarkStart w:id="439" w:name="_Toc430530469"/>
      <w:bookmarkStart w:id="440" w:name="_Toc20444"/>
      <w:bookmarkStart w:id="441" w:name="_Toc28222"/>
      <w:bookmarkStart w:id="442" w:name="_Toc29670"/>
      <w:r>
        <w:rPr>
          <w:rFonts w:hint="eastAsia" w:ascii="宋体" w:hAnsi="宋体" w:cs="宋体"/>
          <w:b w:val="0"/>
          <w:snapToGrid w:val="0"/>
          <w:color w:val="auto"/>
          <w:sz w:val="24"/>
          <w:szCs w:val="24"/>
          <w:highlight w:val="none"/>
        </w:rPr>
        <w:t xml:space="preserve">6.  </w:t>
      </w:r>
      <w:bookmarkEnd w:id="433"/>
      <w:bookmarkEnd w:id="434"/>
      <w:bookmarkEnd w:id="435"/>
      <w:bookmarkEnd w:id="436"/>
      <w:bookmarkEnd w:id="437"/>
      <w:bookmarkEnd w:id="438"/>
      <w:bookmarkEnd w:id="439"/>
      <w:bookmarkEnd w:id="440"/>
      <w:bookmarkEnd w:id="441"/>
      <w:bookmarkEnd w:id="442"/>
      <w:r>
        <w:rPr>
          <w:rFonts w:hint="eastAsia" w:ascii="宋体" w:hAnsi="宋体" w:cs="宋体"/>
          <w:b w:val="0"/>
          <w:snapToGrid w:val="0"/>
          <w:color w:val="auto"/>
          <w:sz w:val="24"/>
          <w:szCs w:val="24"/>
          <w:highlight w:val="none"/>
        </w:rPr>
        <w:t>评选</w:t>
      </w:r>
    </w:p>
    <w:p w14:paraId="403041A0">
      <w:pPr>
        <w:pStyle w:val="4"/>
        <w:keepNext w:val="0"/>
        <w:keepLines w:val="0"/>
        <w:snapToGrid w:val="0"/>
        <w:spacing w:before="0" w:after="0" w:line="360" w:lineRule="auto"/>
        <w:rPr>
          <w:rFonts w:ascii="宋体" w:hAnsi="宋体" w:cs="宋体"/>
          <w:b w:val="0"/>
          <w:snapToGrid w:val="0"/>
          <w:color w:val="auto"/>
          <w:sz w:val="24"/>
          <w:szCs w:val="24"/>
          <w:highlight w:val="none"/>
        </w:rPr>
      </w:pPr>
      <w:bookmarkStart w:id="443" w:name="_Toc509218745"/>
      <w:bookmarkStart w:id="444" w:name="_Toc40569078"/>
      <w:bookmarkStart w:id="445" w:name="_Toc200513161"/>
      <w:bookmarkStart w:id="446" w:name="_Toc8411"/>
      <w:bookmarkStart w:id="447" w:name="_Toc224103352"/>
      <w:bookmarkStart w:id="448" w:name="_Toc1171"/>
      <w:bookmarkStart w:id="449" w:name="_Toc40569173"/>
      <w:bookmarkStart w:id="450" w:name="_Toc277082587"/>
      <w:bookmarkStart w:id="451" w:name="_Toc430530470"/>
      <w:bookmarkStart w:id="452" w:name="_Toc11628"/>
      <w:bookmarkStart w:id="453" w:name="_Toc287620720"/>
      <w:bookmarkStart w:id="454" w:name="_Toc287607781"/>
      <w:r>
        <w:rPr>
          <w:rFonts w:hint="eastAsia" w:ascii="宋体" w:hAnsi="宋体" w:cs="宋体"/>
          <w:b w:val="0"/>
          <w:snapToGrid w:val="0"/>
          <w:color w:val="auto"/>
          <w:sz w:val="24"/>
          <w:szCs w:val="24"/>
          <w:highlight w:val="none"/>
        </w:rPr>
        <w:t>6.1  评选委员会</w:t>
      </w:r>
      <w:bookmarkEnd w:id="443"/>
      <w:bookmarkEnd w:id="444"/>
      <w:bookmarkEnd w:id="445"/>
      <w:bookmarkEnd w:id="446"/>
      <w:bookmarkEnd w:id="447"/>
      <w:bookmarkEnd w:id="448"/>
      <w:bookmarkEnd w:id="449"/>
      <w:bookmarkEnd w:id="450"/>
      <w:bookmarkEnd w:id="451"/>
      <w:bookmarkEnd w:id="452"/>
      <w:bookmarkEnd w:id="453"/>
      <w:bookmarkEnd w:id="454"/>
    </w:p>
    <w:p w14:paraId="0333FF18">
      <w:pPr>
        <w:autoSpaceDE w:val="0"/>
        <w:autoSpaceDN w:val="0"/>
        <w:adjustRightInd w:val="0"/>
        <w:snapToGrid w:val="0"/>
        <w:spacing w:line="360" w:lineRule="auto"/>
        <w:ind w:firstLine="420" w:firstLineChars="200"/>
        <w:rPr>
          <w:rFonts w:ascii="宋体" w:hAnsi="宋体" w:cs="宋体"/>
          <w:b/>
          <w:snapToGrid w:val="0"/>
          <w:color w:val="auto"/>
          <w:kern w:val="0"/>
          <w:szCs w:val="21"/>
          <w:highlight w:val="none"/>
        </w:rPr>
      </w:pPr>
      <w:r>
        <w:rPr>
          <w:rFonts w:hint="eastAsia" w:ascii="宋体" w:hAnsi="宋体" w:cs="宋体"/>
          <w:snapToGrid w:val="0"/>
          <w:color w:val="auto"/>
          <w:kern w:val="0"/>
          <w:szCs w:val="21"/>
          <w:highlight w:val="none"/>
        </w:rPr>
        <w:t>6.1.1  评选由比选人依据法律法规和相关规范性文件组建的评选委员会负责。</w:t>
      </w:r>
    </w:p>
    <w:p w14:paraId="63B083C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6.1.2  评选委员会成员有下列情形之一的，应当回避：</w:t>
      </w:r>
    </w:p>
    <w:p w14:paraId="712F861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（1）竞选人或竞选人的主要负责人的近亲属；</w:t>
      </w:r>
    </w:p>
    <w:p w14:paraId="4D5019F0">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（2）项目主管部门或者行政监督部门的人员；</w:t>
      </w:r>
    </w:p>
    <w:p w14:paraId="7635D61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（3）与竞选人有利害关系，可能影响对投标公正评选的；</w:t>
      </w:r>
    </w:p>
    <w:p w14:paraId="518A927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（4）曾因在招标、评选以及其他与招标投标有关活动中从事违法行为而受过行政处罚或刑事处罚的。</w:t>
      </w:r>
    </w:p>
    <w:p w14:paraId="0FF97698">
      <w:pPr>
        <w:pStyle w:val="4"/>
        <w:snapToGrid w:val="0"/>
        <w:spacing w:before="0" w:after="0" w:line="360" w:lineRule="auto"/>
        <w:rPr>
          <w:rFonts w:ascii="宋体" w:hAnsi="宋体" w:cs="宋体"/>
          <w:b w:val="0"/>
          <w:snapToGrid w:val="0"/>
          <w:color w:val="auto"/>
          <w:sz w:val="24"/>
          <w:szCs w:val="24"/>
          <w:highlight w:val="none"/>
        </w:rPr>
      </w:pPr>
      <w:bookmarkStart w:id="455" w:name="_Toc200513162"/>
      <w:bookmarkStart w:id="456" w:name="_Toc430530471"/>
      <w:bookmarkStart w:id="457" w:name="_Toc509218746"/>
      <w:bookmarkStart w:id="458" w:name="_Toc1737"/>
      <w:bookmarkStart w:id="459" w:name="_Toc19907"/>
      <w:bookmarkStart w:id="460" w:name="_Toc224103353"/>
      <w:bookmarkStart w:id="461" w:name="_Toc277082588"/>
      <w:bookmarkStart w:id="462" w:name="_Toc40569079"/>
      <w:bookmarkStart w:id="463" w:name="_Toc287620721"/>
      <w:bookmarkStart w:id="464" w:name="_Toc40569174"/>
      <w:bookmarkStart w:id="465" w:name="_Toc5380"/>
      <w:bookmarkStart w:id="466" w:name="_Toc287607782"/>
      <w:r>
        <w:rPr>
          <w:rFonts w:hint="eastAsia" w:ascii="宋体" w:hAnsi="宋体" w:cs="宋体"/>
          <w:b w:val="0"/>
          <w:snapToGrid w:val="0"/>
          <w:color w:val="auto"/>
          <w:sz w:val="24"/>
          <w:szCs w:val="24"/>
          <w:highlight w:val="none"/>
        </w:rPr>
        <w:t>6.2  评选原则</w:t>
      </w:r>
      <w:bookmarkEnd w:id="455"/>
      <w:bookmarkEnd w:id="456"/>
      <w:bookmarkEnd w:id="457"/>
      <w:bookmarkEnd w:id="458"/>
      <w:bookmarkEnd w:id="459"/>
      <w:bookmarkEnd w:id="460"/>
      <w:bookmarkEnd w:id="461"/>
      <w:bookmarkEnd w:id="462"/>
      <w:bookmarkEnd w:id="463"/>
      <w:bookmarkEnd w:id="464"/>
      <w:bookmarkEnd w:id="465"/>
      <w:bookmarkEnd w:id="466"/>
    </w:p>
    <w:p w14:paraId="5F9B522A">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评选活动遵循公平、公正、科学和择优的原则。</w:t>
      </w:r>
    </w:p>
    <w:p w14:paraId="6AD2BCFF">
      <w:pPr>
        <w:pStyle w:val="4"/>
        <w:snapToGrid w:val="0"/>
        <w:spacing w:before="0" w:after="0" w:line="360" w:lineRule="auto"/>
        <w:rPr>
          <w:rFonts w:ascii="宋体" w:hAnsi="宋体" w:cs="宋体"/>
          <w:b w:val="0"/>
          <w:snapToGrid w:val="0"/>
          <w:color w:val="auto"/>
          <w:sz w:val="24"/>
          <w:szCs w:val="24"/>
          <w:highlight w:val="none"/>
        </w:rPr>
      </w:pPr>
      <w:bookmarkStart w:id="467" w:name="_Toc224103354"/>
      <w:bookmarkStart w:id="468" w:name="_Toc200513163"/>
      <w:bookmarkStart w:id="469" w:name="_Toc287607783"/>
      <w:bookmarkStart w:id="470" w:name="_Toc17901"/>
      <w:bookmarkStart w:id="471" w:name="_Toc287620722"/>
      <w:bookmarkStart w:id="472" w:name="_Toc32653"/>
      <w:bookmarkStart w:id="473" w:name="_Toc40569175"/>
      <w:bookmarkStart w:id="474" w:name="_Toc277082589"/>
      <w:bookmarkStart w:id="475" w:name="_Toc40569080"/>
      <w:bookmarkStart w:id="476" w:name="_Toc430530472"/>
      <w:bookmarkStart w:id="477" w:name="_Toc509218747"/>
      <w:bookmarkStart w:id="478" w:name="_Toc29814"/>
      <w:r>
        <w:rPr>
          <w:rFonts w:hint="eastAsia" w:ascii="宋体" w:hAnsi="宋体" w:cs="宋体"/>
          <w:b w:val="0"/>
          <w:snapToGrid w:val="0"/>
          <w:color w:val="auto"/>
          <w:sz w:val="24"/>
          <w:szCs w:val="24"/>
          <w:highlight w:val="none"/>
        </w:rPr>
        <w:t xml:space="preserve">6.3  </w:t>
      </w:r>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cs="宋体"/>
          <w:b w:val="0"/>
          <w:snapToGrid w:val="0"/>
          <w:color w:val="auto"/>
          <w:sz w:val="24"/>
          <w:szCs w:val="24"/>
          <w:highlight w:val="none"/>
        </w:rPr>
        <w:t>评选</w:t>
      </w:r>
    </w:p>
    <w:p w14:paraId="3A236D0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评选委员会按照第三章“评选办法”规定的方法、评选因素、标准和程序对竞选文件进行评选。第三章“评选办法”没有规定的方法、评选因素和标准，不得作为评选依据。</w:t>
      </w:r>
    </w:p>
    <w:p w14:paraId="2624D4CA">
      <w:pPr>
        <w:pStyle w:val="3"/>
        <w:spacing w:before="0" w:after="0" w:line="360" w:lineRule="auto"/>
        <w:rPr>
          <w:rFonts w:ascii="宋体" w:hAnsi="宋体" w:cs="宋体"/>
          <w:b w:val="0"/>
          <w:snapToGrid w:val="0"/>
          <w:color w:val="auto"/>
          <w:sz w:val="24"/>
          <w:szCs w:val="24"/>
          <w:highlight w:val="none"/>
        </w:rPr>
      </w:pPr>
      <w:bookmarkStart w:id="479" w:name="_Toc287620723"/>
      <w:bookmarkStart w:id="480" w:name="_Toc677"/>
      <w:bookmarkStart w:id="481" w:name="_Toc23357"/>
      <w:bookmarkStart w:id="482" w:name="_Toc277082590"/>
      <w:bookmarkStart w:id="483" w:name="_Toc27760"/>
      <w:bookmarkStart w:id="484" w:name="_Toc287607784"/>
      <w:bookmarkStart w:id="485" w:name="_Toc509218748"/>
      <w:bookmarkStart w:id="486" w:name="_Toc430530473"/>
      <w:bookmarkStart w:id="487" w:name="_Toc200513164"/>
      <w:bookmarkStart w:id="488" w:name="_Toc224103355"/>
      <w:r>
        <w:rPr>
          <w:rFonts w:hint="eastAsia" w:ascii="宋体" w:hAnsi="宋体" w:cs="宋体"/>
          <w:b w:val="0"/>
          <w:snapToGrid w:val="0"/>
          <w:color w:val="auto"/>
          <w:sz w:val="24"/>
          <w:szCs w:val="24"/>
          <w:highlight w:val="none"/>
        </w:rPr>
        <w:t>7.  合同授予</w:t>
      </w:r>
      <w:bookmarkEnd w:id="479"/>
      <w:bookmarkEnd w:id="480"/>
      <w:bookmarkEnd w:id="481"/>
      <w:bookmarkEnd w:id="482"/>
      <w:bookmarkEnd w:id="483"/>
      <w:bookmarkEnd w:id="484"/>
      <w:bookmarkEnd w:id="485"/>
      <w:bookmarkEnd w:id="486"/>
      <w:bookmarkEnd w:id="487"/>
      <w:bookmarkEnd w:id="488"/>
    </w:p>
    <w:p w14:paraId="5D800FC0">
      <w:pPr>
        <w:pStyle w:val="4"/>
        <w:snapToGrid w:val="0"/>
        <w:spacing w:before="0" w:after="0" w:line="360" w:lineRule="auto"/>
        <w:rPr>
          <w:rFonts w:ascii="宋体" w:hAnsi="宋体" w:cs="宋体"/>
          <w:b w:val="0"/>
          <w:snapToGrid w:val="0"/>
          <w:color w:val="auto"/>
          <w:sz w:val="24"/>
          <w:szCs w:val="24"/>
          <w:highlight w:val="none"/>
        </w:rPr>
      </w:pPr>
      <w:bookmarkStart w:id="489" w:name="_Toc430530474"/>
      <w:bookmarkStart w:id="490" w:name="_Toc12616"/>
      <w:bookmarkStart w:id="491" w:name="_Toc224103356"/>
      <w:bookmarkStart w:id="492" w:name="_Toc287607785"/>
      <w:bookmarkStart w:id="493" w:name="_Toc509218749"/>
      <w:bookmarkStart w:id="494" w:name="_Toc40569082"/>
      <w:bookmarkStart w:id="495" w:name="_Toc14144"/>
      <w:bookmarkStart w:id="496" w:name="_Toc277082591"/>
      <w:bookmarkStart w:id="497" w:name="_Toc200513165"/>
      <w:bookmarkStart w:id="498" w:name="_Toc40569177"/>
      <w:bookmarkStart w:id="499" w:name="_Toc287620724"/>
      <w:bookmarkStart w:id="500" w:name="_Toc12014"/>
      <w:r>
        <w:rPr>
          <w:rFonts w:hint="eastAsia" w:ascii="宋体" w:hAnsi="宋体" w:cs="宋体"/>
          <w:b w:val="0"/>
          <w:snapToGrid w:val="0"/>
          <w:color w:val="auto"/>
          <w:sz w:val="24"/>
          <w:szCs w:val="24"/>
          <w:highlight w:val="none"/>
        </w:rPr>
        <w:t>7.1  定标方式</w:t>
      </w:r>
      <w:bookmarkEnd w:id="489"/>
      <w:bookmarkEnd w:id="490"/>
      <w:bookmarkEnd w:id="491"/>
      <w:bookmarkEnd w:id="492"/>
      <w:bookmarkEnd w:id="493"/>
      <w:bookmarkEnd w:id="494"/>
      <w:bookmarkEnd w:id="495"/>
      <w:bookmarkEnd w:id="496"/>
      <w:bookmarkEnd w:id="497"/>
      <w:bookmarkEnd w:id="498"/>
      <w:bookmarkEnd w:id="499"/>
      <w:bookmarkEnd w:id="500"/>
    </w:p>
    <w:p w14:paraId="05137B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4C178E1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评选委员会推荐中选候选人的人数见竞选人须知前附表。</w:t>
      </w:r>
    </w:p>
    <w:p w14:paraId="5AE4F18C">
      <w:pPr>
        <w:pStyle w:val="4"/>
        <w:snapToGrid w:val="0"/>
        <w:spacing w:before="0" w:after="0" w:line="360" w:lineRule="auto"/>
        <w:rPr>
          <w:rFonts w:ascii="宋体" w:hAnsi="宋体" w:cs="宋体"/>
          <w:b w:val="0"/>
          <w:snapToGrid w:val="0"/>
          <w:color w:val="auto"/>
          <w:sz w:val="24"/>
          <w:szCs w:val="24"/>
          <w:highlight w:val="none"/>
        </w:rPr>
      </w:pPr>
      <w:bookmarkStart w:id="501" w:name="_Toc430530475"/>
      <w:bookmarkStart w:id="502" w:name="_Toc40569178"/>
      <w:bookmarkStart w:id="503" w:name="_Toc23600"/>
      <w:bookmarkStart w:id="504" w:name="_Toc509218750"/>
      <w:bookmarkStart w:id="505" w:name="_Toc40569083"/>
      <w:bookmarkStart w:id="506" w:name="_Toc3480"/>
      <w:bookmarkStart w:id="507" w:name="_Toc757"/>
      <w:r>
        <w:rPr>
          <w:rFonts w:hint="eastAsia" w:ascii="宋体" w:hAnsi="宋体" w:cs="宋体"/>
          <w:b w:val="0"/>
          <w:snapToGrid w:val="0"/>
          <w:color w:val="auto"/>
          <w:sz w:val="24"/>
          <w:szCs w:val="24"/>
          <w:highlight w:val="none"/>
        </w:rPr>
        <w:t>7.2  中选公示及中选通知</w:t>
      </w:r>
      <w:bookmarkEnd w:id="501"/>
      <w:bookmarkEnd w:id="502"/>
      <w:bookmarkEnd w:id="503"/>
      <w:bookmarkEnd w:id="504"/>
      <w:bookmarkEnd w:id="505"/>
      <w:bookmarkEnd w:id="506"/>
      <w:bookmarkEnd w:id="507"/>
    </w:p>
    <w:p w14:paraId="4BCB56D0">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详见竞选人须知前附表。</w:t>
      </w:r>
    </w:p>
    <w:p w14:paraId="3EE28536">
      <w:pPr>
        <w:pStyle w:val="4"/>
        <w:snapToGrid w:val="0"/>
        <w:spacing w:before="0" w:after="0" w:line="360" w:lineRule="auto"/>
        <w:rPr>
          <w:rFonts w:ascii="宋体" w:hAnsi="宋体" w:cs="宋体"/>
          <w:b w:val="0"/>
          <w:snapToGrid w:val="0"/>
          <w:color w:val="auto"/>
          <w:sz w:val="24"/>
          <w:szCs w:val="24"/>
          <w:highlight w:val="none"/>
        </w:rPr>
      </w:pPr>
      <w:bookmarkStart w:id="508" w:name="_Toc277082593"/>
      <w:bookmarkStart w:id="509" w:name="_Toc20679"/>
      <w:bookmarkStart w:id="510" w:name="_Toc224103358"/>
      <w:bookmarkStart w:id="511" w:name="_Toc200513167"/>
      <w:bookmarkStart w:id="512" w:name="_Toc40569084"/>
      <w:bookmarkStart w:id="513" w:name="_Toc40569179"/>
      <w:bookmarkStart w:id="514" w:name="_Toc31150"/>
      <w:bookmarkStart w:id="515" w:name="_Toc430530476"/>
      <w:bookmarkStart w:id="516" w:name="_Toc287607787"/>
      <w:bookmarkStart w:id="517" w:name="_Toc1444"/>
      <w:bookmarkStart w:id="518" w:name="_Toc509218751"/>
      <w:bookmarkStart w:id="519" w:name="_Toc287620726"/>
      <w:r>
        <w:rPr>
          <w:rFonts w:hint="eastAsia" w:ascii="宋体" w:hAnsi="宋体" w:cs="宋体"/>
          <w:b w:val="0"/>
          <w:snapToGrid w:val="0"/>
          <w:color w:val="auto"/>
          <w:sz w:val="24"/>
          <w:szCs w:val="24"/>
          <w:highlight w:val="none"/>
        </w:rPr>
        <w:t>7.3  履约担保</w:t>
      </w:r>
      <w:bookmarkEnd w:id="508"/>
      <w:bookmarkEnd w:id="509"/>
      <w:bookmarkEnd w:id="510"/>
      <w:bookmarkEnd w:id="511"/>
      <w:bookmarkEnd w:id="512"/>
      <w:bookmarkEnd w:id="513"/>
      <w:bookmarkEnd w:id="514"/>
      <w:bookmarkEnd w:id="515"/>
      <w:bookmarkEnd w:id="516"/>
      <w:bookmarkEnd w:id="517"/>
      <w:bookmarkEnd w:id="518"/>
      <w:bookmarkEnd w:id="519"/>
    </w:p>
    <w:p w14:paraId="538E580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14:paraId="284B033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7.3.2  中选人不能按本章第 7.3.1 项要求提交履约担保的，视为放弃中选，其比选保证金不予退还，给比选人造成的损失超过比选保证金数额的，中选人还应当对超过部分予以赔偿。</w:t>
      </w:r>
    </w:p>
    <w:p w14:paraId="0B4BCD64">
      <w:pPr>
        <w:pStyle w:val="4"/>
        <w:snapToGrid w:val="0"/>
        <w:spacing w:before="0" w:after="0" w:line="360" w:lineRule="auto"/>
        <w:rPr>
          <w:rFonts w:ascii="宋体" w:hAnsi="宋体" w:cs="宋体"/>
          <w:b w:val="0"/>
          <w:snapToGrid w:val="0"/>
          <w:color w:val="auto"/>
          <w:sz w:val="24"/>
          <w:szCs w:val="24"/>
          <w:highlight w:val="none"/>
        </w:rPr>
      </w:pPr>
      <w:bookmarkStart w:id="520" w:name="_Toc40569180"/>
      <w:bookmarkStart w:id="521" w:name="_Toc23731"/>
      <w:bookmarkStart w:id="522" w:name="_Toc40569085"/>
      <w:bookmarkStart w:id="523" w:name="_Toc277082594"/>
      <w:bookmarkStart w:id="524" w:name="_Toc1871"/>
      <w:bookmarkStart w:id="525" w:name="_Toc3209"/>
      <w:bookmarkStart w:id="526" w:name="_Toc200513168"/>
      <w:bookmarkStart w:id="527" w:name="_Toc430530477"/>
      <w:bookmarkStart w:id="528" w:name="_Toc224103359"/>
      <w:bookmarkStart w:id="529" w:name="_Toc509218752"/>
      <w:bookmarkStart w:id="530" w:name="_Toc287607788"/>
      <w:bookmarkStart w:id="531" w:name="_Toc287620727"/>
      <w:r>
        <w:rPr>
          <w:rFonts w:hint="eastAsia" w:ascii="宋体" w:hAnsi="宋体" w:cs="宋体"/>
          <w:b w:val="0"/>
          <w:snapToGrid w:val="0"/>
          <w:color w:val="auto"/>
          <w:sz w:val="24"/>
          <w:szCs w:val="24"/>
          <w:highlight w:val="none"/>
        </w:rPr>
        <w:t>7.4  签订合同</w:t>
      </w:r>
      <w:bookmarkEnd w:id="520"/>
      <w:bookmarkEnd w:id="521"/>
      <w:bookmarkEnd w:id="522"/>
      <w:bookmarkEnd w:id="523"/>
      <w:bookmarkEnd w:id="524"/>
      <w:bookmarkEnd w:id="525"/>
      <w:bookmarkEnd w:id="526"/>
      <w:bookmarkEnd w:id="527"/>
      <w:bookmarkEnd w:id="528"/>
      <w:bookmarkEnd w:id="529"/>
      <w:bookmarkEnd w:id="530"/>
      <w:bookmarkEnd w:id="531"/>
    </w:p>
    <w:p w14:paraId="3B8F23CD">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14:paraId="538D14EA">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7.4.2  发出中选通知书后，比选人无正当理由拒签合同的，比选人向中选人退还比选保证金；给中选人造成损失的，还应当赔偿损失。</w:t>
      </w:r>
    </w:p>
    <w:p w14:paraId="40E066B8">
      <w:pPr>
        <w:pStyle w:val="3"/>
        <w:spacing w:before="0" w:after="0" w:line="360" w:lineRule="auto"/>
        <w:rPr>
          <w:rFonts w:ascii="宋体" w:hAnsi="宋体" w:cs="宋体"/>
          <w:b w:val="0"/>
          <w:snapToGrid w:val="0"/>
          <w:color w:val="auto"/>
          <w:sz w:val="24"/>
          <w:szCs w:val="24"/>
          <w:highlight w:val="none"/>
        </w:rPr>
      </w:pPr>
      <w:bookmarkStart w:id="532" w:name="_Toc387"/>
      <w:bookmarkStart w:id="533" w:name="_Toc200513169"/>
      <w:bookmarkStart w:id="534" w:name="_Toc430530478"/>
      <w:bookmarkStart w:id="535" w:name="_Toc224103360"/>
      <w:bookmarkStart w:id="536" w:name="_Toc287620728"/>
      <w:bookmarkStart w:id="537" w:name="_Toc4906"/>
      <w:bookmarkStart w:id="538" w:name="_Toc277082595"/>
      <w:bookmarkStart w:id="539" w:name="_Toc32452"/>
      <w:bookmarkStart w:id="540" w:name="_Toc509218753"/>
      <w:bookmarkStart w:id="541" w:name="_Toc287607789"/>
      <w:r>
        <w:rPr>
          <w:rFonts w:hint="eastAsia" w:ascii="宋体" w:hAnsi="宋体" w:cs="宋体"/>
          <w:b w:val="0"/>
          <w:snapToGrid w:val="0"/>
          <w:color w:val="auto"/>
          <w:sz w:val="24"/>
          <w:szCs w:val="24"/>
          <w:highlight w:val="none"/>
        </w:rPr>
        <w:t>8.  重新</w:t>
      </w:r>
      <w:bookmarkEnd w:id="532"/>
      <w:bookmarkEnd w:id="533"/>
      <w:bookmarkEnd w:id="534"/>
      <w:bookmarkEnd w:id="535"/>
      <w:bookmarkEnd w:id="536"/>
      <w:bookmarkEnd w:id="537"/>
      <w:bookmarkEnd w:id="538"/>
      <w:bookmarkEnd w:id="539"/>
      <w:bookmarkEnd w:id="540"/>
      <w:bookmarkEnd w:id="541"/>
      <w:r>
        <w:rPr>
          <w:rFonts w:hint="eastAsia" w:ascii="宋体" w:hAnsi="宋体" w:cs="宋体"/>
          <w:b w:val="0"/>
          <w:snapToGrid w:val="0"/>
          <w:color w:val="auto"/>
          <w:sz w:val="24"/>
          <w:szCs w:val="24"/>
          <w:highlight w:val="none"/>
        </w:rPr>
        <w:t>比选</w:t>
      </w:r>
    </w:p>
    <w:p w14:paraId="5EEF95E5">
      <w:pPr>
        <w:pStyle w:val="4"/>
        <w:snapToGrid w:val="0"/>
        <w:spacing w:before="0" w:after="0" w:line="360" w:lineRule="auto"/>
        <w:rPr>
          <w:rFonts w:ascii="宋体" w:hAnsi="宋体" w:cs="宋体"/>
          <w:b w:val="0"/>
          <w:snapToGrid w:val="0"/>
          <w:color w:val="auto"/>
          <w:sz w:val="24"/>
          <w:szCs w:val="24"/>
          <w:highlight w:val="none"/>
        </w:rPr>
      </w:pPr>
      <w:bookmarkStart w:id="542" w:name="_Toc40569182"/>
      <w:bookmarkStart w:id="543" w:name="_Toc509218754"/>
      <w:bookmarkStart w:id="544" w:name="_Toc224103361"/>
      <w:bookmarkStart w:id="545" w:name="_Toc5411"/>
      <w:bookmarkStart w:id="546" w:name="_Toc287607790"/>
      <w:bookmarkStart w:id="547" w:name="_Toc200513170"/>
      <w:bookmarkStart w:id="548" w:name="_Toc40569087"/>
      <w:bookmarkStart w:id="549" w:name="_Toc16710"/>
      <w:bookmarkStart w:id="550" w:name="_Toc430530479"/>
      <w:bookmarkStart w:id="551" w:name="_Toc23599"/>
      <w:bookmarkStart w:id="552" w:name="_Toc277082596"/>
      <w:bookmarkStart w:id="553" w:name="_Toc287620729"/>
      <w:r>
        <w:rPr>
          <w:rFonts w:hint="eastAsia" w:ascii="宋体" w:hAnsi="宋体" w:cs="宋体"/>
          <w:b w:val="0"/>
          <w:snapToGrid w:val="0"/>
          <w:color w:val="auto"/>
          <w:sz w:val="24"/>
          <w:szCs w:val="24"/>
          <w:highlight w:val="none"/>
        </w:rPr>
        <w:t>8.1  重新</w:t>
      </w:r>
      <w:bookmarkEnd w:id="542"/>
      <w:bookmarkEnd w:id="543"/>
      <w:bookmarkEnd w:id="544"/>
      <w:bookmarkEnd w:id="545"/>
      <w:bookmarkEnd w:id="546"/>
      <w:bookmarkEnd w:id="547"/>
      <w:bookmarkEnd w:id="548"/>
      <w:bookmarkEnd w:id="549"/>
      <w:bookmarkEnd w:id="550"/>
      <w:bookmarkEnd w:id="551"/>
      <w:bookmarkEnd w:id="552"/>
      <w:bookmarkEnd w:id="553"/>
      <w:r>
        <w:rPr>
          <w:rFonts w:hint="eastAsia" w:ascii="宋体" w:hAnsi="宋体" w:cs="宋体"/>
          <w:b w:val="0"/>
          <w:snapToGrid w:val="0"/>
          <w:color w:val="auto"/>
          <w:sz w:val="24"/>
          <w:szCs w:val="24"/>
          <w:highlight w:val="none"/>
        </w:rPr>
        <w:t>比选</w:t>
      </w:r>
    </w:p>
    <w:p w14:paraId="54F7349A">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snapToGrid w:val="0"/>
          <w:color w:val="auto"/>
          <w:highlight w:val="none"/>
        </w:rPr>
        <w:t>（1）初次比选，</w:t>
      </w:r>
      <w:r>
        <w:rPr>
          <w:rFonts w:hint="eastAsia" w:ascii="宋体" w:hAnsi="宋体" w:cs="宋体"/>
          <w:snapToGrid w:val="0"/>
          <w:color w:val="auto"/>
          <w:kern w:val="0"/>
          <w:szCs w:val="21"/>
          <w:highlight w:val="none"/>
        </w:rPr>
        <w:t>有下列情形之一的，比选人将重新开展比选活动：</w:t>
      </w:r>
    </w:p>
    <w:p w14:paraId="0C04D4F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①竞选文件递交截止时间为止，竞选人少于3个的；</w:t>
      </w:r>
    </w:p>
    <w:p w14:paraId="773956A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②经评选委员会评选后否决所有竞选人的；</w:t>
      </w:r>
    </w:p>
    <w:p w14:paraId="5E96EF76">
      <w:pPr>
        <w:widowControl/>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14:paraId="72483A7C">
      <w:pPr>
        <w:widowControl/>
        <w:spacing w:line="360" w:lineRule="auto"/>
        <w:ind w:firstLine="420" w:firstLineChars="200"/>
        <w:rPr>
          <w:rFonts w:ascii="宋体" w:hAnsi="宋体"/>
          <w:snapToGrid w:val="0"/>
          <w:color w:val="auto"/>
          <w:highlight w:val="none"/>
        </w:rPr>
      </w:pPr>
      <w:r>
        <w:rPr>
          <w:rFonts w:hint="eastAsia" w:ascii="宋体" w:hAnsi="宋体" w:cs="宋体"/>
          <w:snapToGrid w:val="0"/>
          <w:color w:val="auto"/>
          <w:kern w:val="0"/>
          <w:szCs w:val="21"/>
          <w:highlight w:val="none"/>
        </w:rPr>
        <w:t>④法律法规规定的其他情形。</w:t>
      </w:r>
    </w:p>
    <w:p w14:paraId="5D9D74B7">
      <w:pPr>
        <w:widowControl/>
        <w:spacing w:line="360" w:lineRule="auto"/>
        <w:ind w:firstLine="420" w:firstLineChars="200"/>
        <w:rPr>
          <w:rFonts w:ascii="宋体" w:hAnsi="宋体"/>
          <w:snapToGrid w:val="0"/>
          <w:color w:val="auto"/>
          <w:highlight w:val="none"/>
        </w:rPr>
      </w:pPr>
      <w:r>
        <w:rPr>
          <w:rFonts w:hint="eastAsia" w:ascii="宋体" w:hAnsi="宋体"/>
          <w:snapToGrid w:val="0"/>
          <w:color w:val="auto"/>
          <w:highlight w:val="none"/>
        </w:rPr>
        <w:t>（2）若初次比选因故终止，第二次比选有效竞选人仍然少于三个的，按照原规定的程序比选和评审。</w:t>
      </w:r>
    </w:p>
    <w:p w14:paraId="4E28F58B">
      <w:pPr>
        <w:pStyle w:val="3"/>
        <w:spacing w:before="0" w:after="0" w:line="360" w:lineRule="auto"/>
        <w:rPr>
          <w:rFonts w:ascii="宋体" w:hAnsi="宋体" w:cs="宋体"/>
          <w:b w:val="0"/>
          <w:snapToGrid w:val="0"/>
          <w:color w:val="auto"/>
          <w:sz w:val="24"/>
          <w:szCs w:val="24"/>
          <w:highlight w:val="none"/>
        </w:rPr>
      </w:pPr>
      <w:bookmarkStart w:id="554" w:name="_Toc7059"/>
      <w:bookmarkStart w:id="555" w:name="_Toc200513172"/>
      <w:bookmarkStart w:id="556" w:name="_Toc30342"/>
      <w:bookmarkStart w:id="557" w:name="_Toc287607792"/>
      <w:bookmarkStart w:id="558" w:name="_Toc277082598"/>
      <w:bookmarkStart w:id="559" w:name="_Toc287620731"/>
      <w:bookmarkStart w:id="560" w:name="_Toc509218756"/>
      <w:bookmarkStart w:id="561" w:name="_Toc430530481"/>
      <w:bookmarkStart w:id="562" w:name="_Toc224103363"/>
      <w:bookmarkStart w:id="563" w:name="_Toc32459"/>
      <w:r>
        <w:rPr>
          <w:rFonts w:hint="eastAsia" w:ascii="宋体" w:hAnsi="宋体" w:cs="宋体"/>
          <w:b w:val="0"/>
          <w:snapToGrid w:val="0"/>
          <w:color w:val="auto"/>
          <w:sz w:val="24"/>
          <w:szCs w:val="24"/>
          <w:highlight w:val="none"/>
        </w:rPr>
        <w:t>9.  纪律和监督</w:t>
      </w:r>
      <w:bookmarkEnd w:id="554"/>
      <w:bookmarkEnd w:id="555"/>
      <w:bookmarkEnd w:id="556"/>
      <w:bookmarkEnd w:id="557"/>
      <w:bookmarkEnd w:id="558"/>
      <w:bookmarkEnd w:id="559"/>
      <w:bookmarkEnd w:id="560"/>
      <w:bookmarkEnd w:id="561"/>
      <w:bookmarkEnd w:id="562"/>
      <w:bookmarkEnd w:id="563"/>
    </w:p>
    <w:p w14:paraId="4293A3AE">
      <w:pPr>
        <w:pStyle w:val="4"/>
        <w:snapToGrid w:val="0"/>
        <w:spacing w:before="0" w:after="0" w:line="360" w:lineRule="auto"/>
        <w:rPr>
          <w:rFonts w:ascii="宋体" w:hAnsi="宋体" w:cs="宋体"/>
          <w:b w:val="0"/>
          <w:snapToGrid w:val="0"/>
          <w:color w:val="auto"/>
          <w:sz w:val="24"/>
          <w:szCs w:val="24"/>
          <w:highlight w:val="none"/>
        </w:rPr>
      </w:pPr>
      <w:bookmarkStart w:id="564" w:name="_Toc15838"/>
      <w:bookmarkStart w:id="565" w:name="_Toc430530482"/>
      <w:bookmarkStart w:id="566" w:name="_Toc287607793"/>
      <w:bookmarkStart w:id="567" w:name="_Toc40569090"/>
      <w:bookmarkStart w:id="568" w:name="_Toc14823"/>
      <w:bookmarkStart w:id="569" w:name="_Toc509218757"/>
      <w:bookmarkStart w:id="570" w:name="_Toc287620732"/>
      <w:bookmarkStart w:id="571" w:name="_Toc20555"/>
      <w:bookmarkStart w:id="572" w:name="_Toc277082599"/>
      <w:bookmarkStart w:id="573" w:name="_Toc200513173"/>
      <w:bookmarkStart w:id="574" w:name="_Toc40569185"/>
      <w:bookmarkStart w:id="575" w:name="_Toc224103364"/>
      <w:r>
        <w:rPr>
          <w:rFonts w:hint="eastAsia" w:ascii="宋体" w:hAnsi="宋体" w:cs="宋体"/>
          <w:b w:val="0"/>
          <w:snapToGrid w:val="0"/>
          <w:color w:val="auto"/>
          <w:sz w:val="24"/>
          <w:szCs w:val="24"/>
          <w:highlight w:val="none"/>
        </w:rPr>
        <w:t>9.1  对比选人的纪律要求</w:t>
      </w:r>
      <w:bookmarkEnd w:id="564"/>
      <w:bookmarkEnd w:id="565"/>
      <w:bookmarkEnd w:id="566"/>
      <w:bookmarkEnd w:id="567"/>
      <w:bookmarkEnd w:id="568"/>
      <w:bookmarkEnd w:id="569"/>
      <w:bookmarkEnd w:id="570"/>
      <w:bookmarkEnd w:id="571"/>
      <w:bookmarkEnd w:id="572"/>
      <w:bookmarkEnd w:id="573"/>
      <w:bookmarkEnd w:id="574"/>
      <w:bookmarkEnd w:id="575"/>
    </w:p>
    <w:p w14:paraId="05096501">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snapToGrid w:val="0"/>
          <w:color w:val="auto"/>
          <w:kern w:val="0"/>
          <w:szCs w:val="21"/>
          <w:highlight w:val="none"/>
        </w:rPr>
        <w:t>比选人不得泄漏比选活动中应当保密的情况和资料，不得与竞选人串通损害国家利 益、社会公共利益或者他人合法权益，</w:t>
      </w:r>
      <w:r>
        <w:rPr>
          <w:rFonts w:hint="eastAsia" w:ascii="宋体" w:hAnsi="宋体" w:cs="宋体"/>
          <w:color w:val="auto"/>
          <w:highlight w:val="none"/>
        </w:rPr>
        <w:t>禁止比选人与竞选人串通投标。</w:t>
      </w:r>
    </w:p>
    <w:p w14:paraId="7176219B">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有下列情形之一的，属于比选人与竞选人串通投标：</w:t>
      </w:r>
    </w:p>
    <w:p w14:paraId="3B3BB0F6">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（1）比选人在评选开始前开启竞选文件并将有关信息泄露给其他竞选人；</w:t>
      </w:r>
    </w:p>
    <w:p w14:paraId="15DE7BE9">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（2）比选人直接或者间接向竞选人泄露标底、评选委员会成员等信息；</w:t>
      </w:r>
    </w:p>
    <w:p w14:paraId="30996ABA">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（3）比选人明示或者暗示竞选人压低或者抬高竞选总报价；</w:t>
      </w:r>
    </w:p>
    <w:p w14:paraId="3920F042">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（4）比选人授意竞选人撤换、修改竞选文件；</w:t>
      </w:r>
    </w:p>
    <w:p w14:paraId="3BD0BBF1">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（5）比选人明示或者暗示竞选人为特定竞选人中选提供方便；</w:t>
      </w:r>
    </w:p>
    <w:p w14:paraId="690D7241">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color w:val="auto"/>
          <w:highlight w:val="none"/>
        </w:rPr>
        <w:t>（6）比选人与竞选人为谋求特定竞选人中选而采取的其他串通行为。</w:t>
      </w:r>
    </w:p>
    <w:p w14:paraId="45E7C29C">
      <w:pPr>
        <w:pStyle w:val="4"/>
        <w:snapToGrid w:val="0"/>
        <w:spacing w:before="0" w:after="0" w:line="360" w:lineRule="auto"/>
        <w:rPr>
          <w:rFonts w:ascii="宋体" w:hAnsi="宋体" w:cs="宋体"/>
          <w:b w:val="0"/>
          <w:snapToGrid w:val="0"/>
          <w:color w:val="auto"/>
          <w:sz w:val="24"/>
          <w:szCs w:val="24"/>
          <w:highlight w:val="none"/>
        </w:rPr>
      </w:pPr>
      <w:bookmarkStart w:id="576" w:name="_Toc13914"/>
      <w:bookmarkStart w:id="577" w:name="_Toc277082600"/>
      <w:bookmarkStart w:id="578" w:name="_Toc287607794"/>
      <w:bookmarkStart w:id="579" w:name="_Toc40569091"/>
      <w:bookmarkStart w:id="580" w:name="_Toc509218758"/>
      <w:bookmarkStart w:id="581" w:name="_Toc26842"/>
      <w:bookmarkStart w:id="582" w:name="_Toc430530483"/>
      <w:bookmarkStart w:id="583" w:name="_Toc40569186"/>
      <w:bookmarkStart w:id="584" w:name="_Toc200513174"/>
      <w:bookmarkStart w:id="585" w:name="_Toc287620733"/>
      <w:bookmarkStart w:id="586" w:name="_Toc1612"/>
      <w:bookmarkStart w:id="587" w:name="_Toc224103365"/>
      <w:r>
        <w:rPr>
          <w:rFonts w:hint="eastAsia" w:ascii="宋体" w:hAnsi="宋体" w:cs="宋体"/>
          <w:b w:val="0"/>
          <w:snapToGrid w:val="0"/>
          <w:color w:val="auto"/>
          <w:sz w:val="24"/>
          <w:szCs w:val="24"/>
          <w:highlight w:val="none"/>
        </w:rPr>
        <w:t>9.2  对竞选人的纪律要求</w:t>
      </w:r>
      <w:bookmarkEnd w:id="576"/>
      <w:bookmarkEnd w:id="577"/>
      <w:bookmarkEnd w:id="578"/>
      <w:bookmarkEnd w:id="579"/>
      <w:bookmarkEnd w:id="580"/>
      <w:bookmarkEnd w:id="581"/>
      <w:bookmarkEnd w:id="582"/>
      <w:bookmarkEnd w:id="583"/>
      <w:bookmarkEnd w:id="584"/>
      <w:bookmarkEnd w:id="585"/>
      <w:bookmarkEnd w:id="586"/>
      <w:bookmarkEnd w:id="587"/>
    </w:p>
    <w:p w14:paraId="0171B626">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snapToGrid w:val="0"/>
          <w:color w:val="auto"/>
          <w:kern w:val="0"/>
          <w:szCs w:val="21"/>
          <w:highlight w:val="none"/>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auto"/>
          <w:highlight w:val="none"/>
        </w:rPr>
        <w:t>有下列情形之一的，属于竞选人相互串通投标：</w:t>
      </w:r>
    </w:p>
    <w:p w14:paraId="01AEAE9A">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（1）竞选人之间协商竞选总报价等竞选文件的实质性内容；</w:t>
      </w:r>
    </w:p>
    <w:p w14:paraId="4049FB72">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（2）竞选人之间约定中选人；</w:t>
      </w:r>
    </w:p>
    <w:p w14:paraId="3CF0CC57">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（3）竞选人之间约定部分竞选人放弃投标或者中选；</w:t>
      </w:r>
    </w:p>
    <w:p w14:paraId="38FDC86A">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（4）属于同一集团、协会、商会等组织成员的竞选人按照该组织要求协同投标；</w:t>
      </w:r>
    </w:p>
    <w:p w14:paraId="2EFFD8D6">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（5）竞选人之间为谋取中选或者排斥特定竞选人而采取的其他联合行动。</w:t>
      </w:r>
    </w:p>
    <w:p w14:paraId="45100002">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有下列情形之一的，视为竞选人相互串通投标：</w:t>
      </w:r>
    </w:p>
    <w:p w14:paraId="4D1A5AF0">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（1）不同竞选人的竞选文件由同一单位或者个人编制；</w:t>
      </w:r>
    </w:p>
    <w:p w14:paraId="06531F1D">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（2）不同竞选人委托同一单位或者个人办理投标事宜；</w:t>
      </w:r>
    </w:p>
    <w:p w14:paraId="6D6A7B10">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（3）不同竞选人的竞选文件载明的项目管理成员为同一人；</w:t>
      </w:r>
    </w:p>
    <w:p w14:paraId="26634FDB">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（4）不同竞选人的竞选文件异常一致或者竞选总报价呈规律性差异；</w:t>
      </w:r>
    </w:p>
    <w:p w14:paraId="38797BF5">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（5）不同竞选人的竞选文件相互混装；</w:t>
      </w:r>
    </w:p>
    <w:p w14:paraId="72B91757">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（6）不同竞选人的比选保证金从同一单位或者个人的账户转出。</w:t>
      </w:r>
    </w:p>
    <w:p w14:paraId="0C5F2A57">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使用通过受让或者租借等方式获取的资格、资质证书投标的，属于以他人名义投标。</w:t>
      </w:r>
    </w:p>
    <w:p w14:paraId="5DD9E4B1">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竞选人有下列情形之一的，属于以其他方式弄虚作假的行为：</w:t>
      </w:r>
    </w:p>
    <w:p w14:paraId="077E4495">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（一）使用伪造、变造的许可证件；</w:t>
      </w:r>
    </w:p>
    <w:p w14:paraId="68720466">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（二）提供虚假的财务状况或者业绩；</w:t>
      </w:r>
    </w:p>
    <w:p w14:paraId="13E223CC">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（三）提供虚假的项目负责人或者主要技术人员简历、劳动关系证明；</w:t>
      </w:r>
    </w:p>
    <w:p w14:paraId="2744D815">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（四）提供虚假的信用状况；</w:t>
      </w:r>
    </w:p>
    <w:p w14:paraId="1A4F8AB0">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highlight w:val="none"/>
        </w:rPr>
        <w:t>（五）其他弄虚作假的行为。</w:t>
      </w:r>
    </w:p>
    <w:p w14:paraId="4C23C46F">
      <w:pPr>
        <w:pStyle w:val="4"/>
        <w:snapToGrid w:val="0"/>
        <w:spacing w:before="0" w:after="0" w:line="360" w:lineRule="auto"/>
        <w:rPr>
          <w:rFonts w:ascii="宋体" w:hAnsi="宋体" w:cs="宋体"/>
          <w:b w:val="0"/>
          <w:snapToGrid w:val="0"/>
          <w:color w:val="auto"/>
          <w:sz w:val="24"/>
          <w:szCs w:val="24"/>
          <w:highlight w:val="none"/>
        </w:rPr>
      </w:pPr>
      <w:bookmarkStart w:id="588" w:name="_Toc40569092"/>
      <w:bookmarkStart w:id="589" w:name="_Toc287607795"/>
      <w:bookmarkStart w:id="590" w:name="_Toc509218759"/>
      <w:bookmarkStart w:id="591" w:name="_Toc430530484"/>
      <w:bookmarkStart w:id="592" w:name="_Toc15322"/>
      <w:bookmarkStart w:id="593" w:name="_Toc40569187"/>
      <w:bookmarkStart w:id="594" w:name="_Toc3385"/>
      <w:bookmarkStart w:id="595" w:name="_Toc30347"/>
      <w:bookmarkStart w:id="596" w:name="_Toc277082601"/>
      <w:bookmarkStart w:id="597" w:name="_Toc287620734"/>
      <w:bookmarkStart w:id="598" w:name="_Toc224103366"/>
      <w:bookmarkStart w:id="599" w:name="_Toc200513175"/>
      <w:r>
        <w:rPr>
          <w:rFonts w:hint="eastAsia" w:ascii="宋体" w:hAnsi="宋体" w:cs="宋体"/>
          <w:b w:val="0"/>
          <w:snapToGrid w:val="0"/>
          <w:color w:val="auto"/>
          <w:sz w:val="24"/>
          <w:szCs w:val="24"/>
          <w:highlight w:val="none"/>
        </w:rPr>
        <w:t>9.3  对评选委员会成员的纪律要求</w:t>
      </w:r>
      <w:bookmarkEnd w:id="588"/>
      <w:bookmarkEnd w:id="589"/>
      <w:bookmarkEnd w:id="590"/>
      <w:bookmarkEnd w:id="591"/>
      <w:bookmarkEnd w:id="592"/>
      <w:bookmarkEnd w:id="593"/>
      <w:bookmarkEnd w:id="594"/>
      <w:bookmarkEnd w:id="595"/>
      <w:bookmarkEnd w:id="596"/>
      <w:bookmarkEnd w:id="597"/>
      <w:bookmarkEnd w:id="598"/>
      <w:bookmarkEnd w:id="599"/>
    </w:p>
    <w:p w14:paraId="2C02A2D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14:paraId="3C398958">
      <w:pPr>
        <w:pStyle w:val="4"/>
        <w:snapToGrid w:val="0"/>
        <w:spacing w:before="0" w:after="0" w:line="360" w:lineRule="auto"/>
        <w:rPr>
          <w:rFonts w:ascii="宋体" w:hAnsi="宋体" w:cs="宋体"/>
          <w:b w:val="0"/>
          <w:snapToGrid w:val="0"/>
          <w:color w:val="auto"/>
          <w:sz w:val="24"/>
          <w:szCs w:val="24"/>
          <w:highlight w:val="none"/>
        </w:rPr>
      </w:pPr>
      <w:bookmarkStart w:id="600" w:name="_Toc19795"/>
      <w:bookmarkStart w:id="601" w:name="_Toc14712"/>
      <w:bookmarkStart w:id="602" w:name="_Toc200513176"/>
      <w:bookmarkStart w:id="603" w:name="_Toc24901"/>
      <w:bookmarkStart w:id="604" w:name="_Toc509218760"/>
      <w:bookmarkStart w:id="605" w:name="_Toc277082602"/>
      <w:bookmarkStart w:id="606" w:name="_Toc40569093"/>
      <w:bookmarkStart w:id="607" w:name="_Toc40569188"/>
      <w:bookmarkStart w:id="608" w:name="_Toc430530485"/>
      <w:bookmarkStart w:id="609" w:name="_Toc287620735"/>
      <w:bookmarkStart w:id="610" w:name="_Toc224103367"/>
      <w:bookmarkStart w:id="611" w:name="_Toc287607796"/>
      <w:r>
        <w:rPr>
          <w:rFonts w:hint="eastAsia" w:ascii="宋体" w:hAnsi="宋体" w:cs="宋体"/>
          <w:b w:val="0"/>
          <w:snapToGrid w:val="0"/>
          <w:color w:val="auto"/>
          <w:sz w:val="24"/>
          <w:szCs w:val="24"/>
          <w:highlight w:val="none"/>
        </w:rPr>
        <w:t>9.4  对与评选活动有关的工作人员的纪律要求</w:t>
      </w:r>
      <w:bookmarkEnd w:id="600"/>
      <w:bookmarkEnd w:id="601"/>
      <w:bookmarkEnd w:id="602"/>
      <w:bookmarkEnd w:id="603"/>
      <w:bookmarkEnd w:id="604"/>
      <w:bookmarkEnd w:id="605"/>
      <w:bookmarkEnd w:id="606"/>
      <w:bookmarkEnd w:id="607"/>
      <w:bookmarkEnd w:id="608"/>
      <w:bookmarkEnd w:id="609"/>
      <w:bookmarkEnd w:id="610"/>
      <w:bookmarkEnd w:id="611"/>
    </w:p>
    <w:p w14:paraId="2920AA3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14:paraId="25B4185A">
      <w:pPr>
        <w:pStyle w:val="4"/>
        <w:snapToGrid w:val="0"/>
        <w:spacing w:before="0" w:after="0" w:line="360" w:lineRule="auto"/>
        <w:rPr>
          <w:rFonts w:ascii="宋体" w:hAnsi="宋体" w:cs="宋体"/>
          <w:b w:val="0"/>
          <w:snapToGrid w:val="0"/>
          <w:color w:val="auto"/>
          <w:sz w:val="24"/>
          <w:szCs w:val="24"/>
          <w:highlight w:val="none"/>
        </w:rPr>
      </w:pPr>
      <w:bookmarkStart w:id="612" w:name="_Toc9443"/>
      <w:bookmarkStart w:id="613" w:name="_Toc509218761"/>
      <w:bookmarkStart w:id="614" w:name="_Toc40569189"/>
      <w:bookmarkStart w:id="615" w:name="_Toc287607797"/>
      <w:bookmarkStart w:id="616" w:name="_Toc7152"/>
      <w:bookmarkStart w:id="617" w:name="_Toc24405"/>
      <w:bookmarkStart w:id="618" w:name="_Toc277082603"/>
      <w:bookmarkStart w:id="619" w:name="_Toc200513177"/>
      <w:bookmarkStart w:id="620" w:name="_Toc430530486"/>
      <w:bookmarkStart w:id="621" w:name="_Toc40569094"/>
      <w:bookmarkStart w:id="622" w:name="_Toc287620736"/>
      <w:bookmarkStart w:id="623" w:name="_Toc224103368"/>
      <w:r>
        <w:rPr>
          <w:rFonts w:hint="eastAsia" w:ascii="宋体" w:hAnsi="宋体" w:cs="宋体"/>
          <w:b w:val="0"/>
          <w:snapToGrid w:val="0"/>
          <w:color w:val="auto"/>
          <w:sz w:val="24"/>
          <w:szCs w:val="24"/>
          <w:highlight w:val="none"/>
        </w:rPr>
        <w:t>9.5  投诉</w:t>
      </w:r>
      <w:bookmarkEnd w:id="612"/>
      <w:bookmarkEnd w:id="613"/>
      <w:bookmarkEnd w:id="614"/>
      <w:bookmarkEnd w:id="615"/>
      <w:bookmarkEnd w:id="616"/>
      <w:bookmarkEnd w:id="617"/>
      <w:bookmarkEnd w:id="618"/>
      <w:bookmarkEnd w:id="619"/>
      <w:bookmarkEnd w:id="620"/>
      <w:bookmarkEnd w:id="621"/>
      <w:bookmarkEnd w:id="622"/>
      <w:bookmarkEnd w:id="623"/>
    </w:p>
    <w:p w14:paraId="2122E9A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竞选人和其他利害关系人认为本次比选活动违反法律、法规和规章规定的，有权向有关行政监督部门投诉。</w:t>
      </w:r>
    </w:p>
    <w:p w14:paraId="548900A2">
      <w:pPr>
        <w:pStyle w:val="4"/>
        <w:snapToGrid w:val="0"/>
        <w:spacing w:before="0" w:after="0" w:line="360" w:lineRule="auto"/>
        <w:rPr>
          <w:rFonts w:ascii="宋体" w:hAnsi="宋体" w:cs="宋体"/>
          <w:b w:val="0"/>
          <w:snapToGrid w:val="0"/>
          <w:color w:val="auto"/>
          <w:sz w:val="24"/>
          <w:szCs w:val="24"/>
          <w:highlight w:val="none"/>
        </w:rPr>
      </w:pPr>
      <w:bookmarkStart w:id="624" w:name="_Toc277082604"/>
      <w:bookmarkStart w:id="625" w:name="_Toc287620737"/>
      <w:bookmarkStart w:id="626" w:name="_Toc224103369"/>
      <w:bookmarkStart w:id="627" w:name="_Toc509218762"/>
      <w:bookmarkStart w:id="628" w:name="_Toc287607798"/>
      <w:bookmarkStart w:id="629" w:name="_Toc18945"/>
      <w:bookmarkStart w:id="630" w:name="_Toc430530487"/>
      <w:bookmarkStart w:id="631" w:name="_Toc200513178"/>
      <w:bookmarkStart w:id="632" w:name="_Toc32650"/>
      <w:bookmarkStart w:id="633" w:name="_Toc6297"/>
      <w:r>
        <w:rPr>
          <w:rFonts w:hint="eastAsia" w:ascii="宋体" w:hAnsi="宋体" w:cs="宋体"/>
          <w:b w:val="0"/>
          <w:snapToGrid w:val="0"/>
          <w:color w:val="auto"/>
          <w:sz w:val="24"/>
          <w:szCs w:val="24"/>
          <w:highlight w:val="none"/>
        </w:rPr>
        <w:t>10. 需要补充的其他内容</w:t>
      </w:r>
      <w:bookmarkEnd w:id="624"/>
      <w:bookmarkEnd w:id="625"/>
      <w:bookmarkEnd w:id="626"/>
      <w:bookmarkEnd w:id="627"/>
      <w:bookmarkEnd w:id="628"/>
      <w:bookmarkEnd w:id="629"/>
      <w:bookmarkEnd w:id="630"/>
      <w:bookmarkEnd w:id="631"/>
      <w:bookmarkEnd w:id="632"/>
      <w:bookmarkEnd w:id="633"/>
    </w:p>
    <w:p w14:paraId="08611429">
      <w:pPr>
        <w:pStyle w:val="4"/>
        <w:snapToGrid w:val="0"/>
        <w:spacing w:before="0" w:after="0" w:line="360" w:lineRule="auto"/>
        <w:ind w:firstLine="480" w:firstLineChars="200"/>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见竞选人须知前附表。</w:t>
      </w:r>
    </w:p>
    <w:p w14:paraId="3A017790">
      <w:pPr>
        <w:widowControl/>
        <w:jc w:val="left"/>
        <w:rPr>
          <w:rFonts w:ascii="宋体" w:hAnsi="宋体" w:cs="宋体"/>
          <w:b/>
          <w:snapToGrid w:val="0"/>
          <w:color w:val="auto"/>
          <w:kern w:val="0"/>
          <w:highlight w:val="none"/>
        </w:rPr>
      </w:pPr>
      <w:r>
        <w:rPr>
          <w:rFonts w:ascii="宋体" w:hAnsi="宋体" w:cs="宋体"/>
          <w:b/>
          <w:snapToGrid w:val="0"/>
          <w:color w:val="auto"/>
          <w:kern w:val="0"/>
          <w:highlight w:val="none"/>
        </w:rPr>
        <w:br w:type="page"/>
      </w:r>
    </w:p>
    <w:p w14:paraId="2A1896E5">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附表一：报价记录表</w:t>
      </w:r>
    </w:p>
    <w:p w14:paraId="649E7BC2">
      <w:pPr>
        <w:autoSpaceDE w:val="0"/>
        <w:autoSpaceDN w:val="0"/>
        <w:adjustRightInd w:val="0"/>
        <w:snapToGrid w:val="0"/>
        <w:spacing w:line="360" w:lineRule="auto"/>
        <w:jc w:val="left"/>
        <w:rPr>
          <w:rFonts w:ascii="宋体" w:hAnsi="宋体" w:cs="宋体"/>
          <w:b/>
          <w:snapToGrid w:val="0"/>
          <w:color w:val="auto"/>
          <w:kern w:val="0"/>
          <w:highlight w:val="none"/>
        </w:rPr>
      </w:pPr>
    </w:p>
    <w:p w14:paraId="46B86BE5">
      <w:pPr>
        <w:spacing w:line="360" w:lineRule="auto"/>
        <w:rPr>
          <w:rFonts w:ascii="宋体" w:hAnsi="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rPr>
        <w:t>（项目名称）报价记录表</w:t>
      </w:r>
    </w:p>
    <w:p w14:paraId="649BC4DC">
      <w:pPr>
        <w:tabs>
          <w:tab w:val="left" w:pos="2260"/>
          <w:tab w:val="left" w:pos="5060"/>
        </w:tabs>
        <w:autoSpaceDE w:val="0"/>
        <w:autoSpaceDN w:val="0"/>
        <w:adjustRightInd w:val="0"/>
        <w:snapToGrid w:val="0"/>
        <w:spacing w:line="360" w:lineRule="auto"/>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时间：年月日时分</w:t>
      </w:r>
    </w:p>
    <w:tbl>
      <w:tblPr>
        <w:tblStyle w:val="28"/>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14:paraId="6055F2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14:paraId="04BB0185">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628" w:type="dxa"/>
            <w:vAlign w:val="center"/>
          </w:tcPr>
          <w:p w14:paraId="07AB125E">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w:t>
            </w:r>
          </w:p>
        </w:tc>
        <w:tc>
          <w:tcPr>
            <w:tcW w:w="695" w:type="dxa"/>
            <w:vAlign w:val="center"/>
          </w:tcPr>
          <w:p w14:paraId="024AE401">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密封</w:t>
            </w:r>
          </w:p>
          <w:p w14:paraId="26B2DA60">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情况</w:t>
            </w:r>
          </w:p>
        </w:tc>
        <w:tc>
          <w:tcPr>
            <w:tcW w:w="800" w:type="dxa"/>
            <w:vAlign w:val="center"/>
          </w:tcPr>
          <w:p w14:paraId="020AB925">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比选保</w:t>
            </w:r>
          </w:p>
          <w:p w14:paraId="3AA123F5">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证金</w:t>
            </w:r>
          </w:p>
        </w:tc>
        <w:tc>
          <w:tcPr>
            <w:tcW w:w="642" w:type="dxa"/>
            <w:tcBorders>
              <w:right w:val="single" w:color="auto" w:sz="4" w:space="0"/>
            </w:tcBorders>
            <w:vAlign w:val="center"/>
          </w:tcPr>
          <w:p w14:paraId="0BC4035D">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w:t>
            </w:r>
          </w:p>
          <w:p w14:paraId="31C34B68">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报价</w:t>
            </w:r>
          </w:p>
        </w:tc>
        <w:tc>
          <w:tcPr>
            <w:tcW w:w="866" w:type="dxa"/>
            <w:tcBorders>
              <w:left w:val="single" w:color="auto" w:sz="4" w:space="0"/>
            </w:tcBorders>
            <w:vAlign w:val="center"/>
          </w:tcPr>
          <w:p w14:paraId="6619CF8B">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质量目标</w:t>
            </w:r>
          </w:p>
        </w:tc>
        <w:tc>
          <w:tcPr>
            <w:tcW w:w="1079" w:type="dxa"/>
            <w:vAlign w:val="center"/>
          </w:tcPr>
          <w:p w14:paraId="4890908A">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服务期</w:t>
            </w:r>
          </w:p>
        </w:tc>
        <w:tc>
          <w:tcPr>
            <w:tcW w:w="845" w:type="dxa"/>
            <w:vAlign w:val="center"/>
          </w:tcPr>
          <w:p w14:paraId="1859F3F2">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项目负责人</w:t>
            </w:r>
          </w:p>
        </w:tc>
        <w:tc>
          <w:tcPr>
            <w:tcW w:w="1435" w:type="dxa"/>
            <w:vAlign w:val="center"/>
          </w:tcPr>
          <w:p w14:paraId="0D89E92A">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竞选人代表</w:t>
            </w:r>
          </w:p>
          <w:p w14:paraId="7976E5C4">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签名</w:t>
            </w:r>
          </w:p>
        </w:tc>
        <w:tc>
          <w:tcPr>
            <w:tcW w:w="1435" w:type="dxa"/>
            <w:vAlign w:val="center"/>
          </w:tcPr>
          <w:p w14:paraId="4A74EE66">
            <w:pPr>
              <w:autoSpaceDE w:val="0"/>
              <w:autoSpaceDN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14:paraId="45FC8B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7EC8D4E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1F35F3D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22BD761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247810EE">
            <w:pPr>
              <w:autoSpaceDE w:val="0"/>
              <w:autoSpaceDN w:val="0"/>
              <w:adjustRightInd w:val="0"/>
              <w:snapToGrid w:val="0"/>
              <w:spacing w:line="360" w:lineRule="auto"/>
              <w:jc w:val="left"/>
              <w:rPr>
                <w:rFonts w:ascii="宋体" w:hAnsi="宋体" w:cs="宋体"/>
                <w:snapToGrid w:val="0"/>
                <w:color w:val="auto"/>
                <w:kern w:val="0"/>
                <w:szCs w:val="21"/>
                <w:highlight w:val="none"/>
              </w:rPr>
            </w:pPr>
          </w:p>
        </w:tc>
        <w:tc>
          <w:tcPr>
            <w:tcW w:w="642" w:type="dxa"/>
            <w:tcBorders>
              <w:right w:val="single" w:color="auto" w:sz="4" w:space="0"/>
            </w:tcBorders>
            <w:vAlign w:val="center"/>
          </w:tcPr>
          <w:p w14:paraId="453CE78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222BEC2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055C6F0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4654D47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6F56E63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7F04D3D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24DFD1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2F3F7D7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3443F61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0F28A8E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4A411F8F">
            <w:pPr>
              <w:autoSpaceDE w:val="0"/>
              <w:autoSpaceDN w:val="0"/>
              <w:adjustRightInd w:val="0"/>
              <w:snapToGrid w:val="0"/>
              <w:spacing w:line="360" w:lineRule="auto"/>
              <w:jc w:val="left"/>
              <w:rPr>
                <w:rFonts w:ascii="宋体" w:hAnsi="宋体" w:cs="宋体"/>
                <w:snapToGrid w:val="0"/>
                <w:color w:val="auto"/>
                <w:kern w:val="0"/>
                <w:szCs w:val="21"/>
                <w:highlight w:val="none"/>
              </w:rPr>
            </w:pPr>
          </w:p>
        </w:tc>
        <w:tc>
          <w:tcPr>
            <w:tcW w:w="642" w:type="dxa"/>
            <w:tcBorders>
              <w:right w:val="single" w:color="auto" w:sz="4" w:space="0"/>
            </w:tcBorders>
            <w:vAlign w:val="center"/>
          </w:tcPr>
          <w:p w14:paraId="6A4D151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4019A1A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7C02B77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661B928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6259A13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61955D6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1BCCC1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7F6C15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1A07E41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07BC1BB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51F1ECF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369C720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6A18DA9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1F38262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6CEE228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45B3EB7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62B5521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BB840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29DA199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36ACC63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35360FE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1E28E3A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237C61E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19CD882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714D32C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5F1953C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08BBFF1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1F6D2DE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4DC892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74D3DCF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3F394D7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3E3EA4D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24AAB0C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371D1FC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02D5509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4AAE47B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418331D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0079F7D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72155FA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6D6DAD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4246C9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6C34EA7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380C8C3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105091D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290C196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1C2BBCA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726479A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6403CDF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2948922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32A21DB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6FBEC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C453DD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1CFA6A9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667C050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309BDC9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757A402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7AB2F38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142A848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6BECD4D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07D027E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3BDCD84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47240F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6C9373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02A3A43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5BD7945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0F89AED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59894D8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6598420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5ED4FE6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05D8516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427F258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0AC3BE7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8CC63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7DB052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196638A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66F9325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3E3A952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328F3CC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53FA8F8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7F351DD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5D3A729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5471030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3A21D3F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207BB2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194A3C6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14CBD6D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55D9D4D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5B41D3C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5A0F529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053723F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5F4A791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1781A53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652591B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1EABBCA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6D7220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090812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4D1E2A3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3DF3B1B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62FD54F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0B6E2C5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2291331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628617EA">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1903C85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56BFC9B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45EDF77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3C7C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1F2FFAE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6AD9B96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6AEC418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48E9CE9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7EBD663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7EC0095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380293AC">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168D768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49636A6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3115069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5EF536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2968243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3A7828B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48AD5A2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52AA1CC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0BF7134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0A272DE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67FE2F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6844F65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0176D46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3042831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1A3FE4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50798B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5DE1D26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5ED1AF7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1D3411A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336777A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67DE508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0B71BF8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42F7750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5B2990F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0D82097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73EB17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2D982DA7">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5C1BF01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7222636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2FD79DC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673A3089">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3051CE0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6337193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0ED6CAD1">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1B08C3F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24024BE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5F4ECC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14:paraId="170C21B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28" w:type="dxa"/>
            <w:vAlign w:val="center"/>
          </w:tcPr>
          <w:p w14:paraId="58F23802">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95" w:type="dxa"/>
            <w:vAlign w:val="center"/>
          </w:tcPr>
          <w:p w14:paraId="61A7D448">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00" w:type="dxa"/>
            <w:vAlign w:val="center"/>
          </w:tcPr>
          <w:p w14:paraId="7790B210">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642" w:type="dxa"/>
            <w:tcBorders>
              <w:right w:val="single" w:color="auto" w:sz="4" w:space="0"/>
            </w:tcBorders>
            <w:vAlign w:val="center"/>
          </w:tcPr>
          <w:p w14:paraId="256556E3">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66" w:type="dxa"/>
            <w:tcBorders>
              <w:left w:val="single" w:color="auto" w:sz="4" w:space="0"/>
            </w:tcBorders>
            <w:vAlign w:val="center"/>
          </w:tcPr>
          <w:p w14:paraId="1327AAF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079" w:type="dxa"/>
            <w:vAlign w:val="center"/>
          </w:tcPr>
          <w:p w14:paraId="0BD898B6">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845" w:type="dxa"/>
            <w:vAlign w:val="center"/>
          </w:tcPr>
          <w:p w14:paraId="7E2F966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635F1A3B">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47547FE4">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r w14:paraId="094650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14:paraId="49E4DA29">
            <w:pPr>
              <w:autoSpaceDE w:val="0"/>
              <w:autoSpaceDN w:val="0"/>
              <w:adjustRightInd w:val="0"/>
              <w:snapToGrid w:val="0"/>
              <w:spacing w:line="360" w:lineRule="auto"/>
              <w:jc w:val="center"/>
              <w:rPr>
                <w:rFonts w:ascii="宋体" w:hAnsi="宋体" w:cs="宋体"/>
                <w:snapToGrid w:val="0"/>
                <w:color w:val="auto"/>
                <w:kern w:val="0"/>
                <w:sz w:val="28"/>
                <w:szCs w:val="28"/>
                <w:highlight w:val="none"/>
              </w:rPr>
            </w:pPr>
            <w:r>
              <w:rPr>
                <w:rFonts w:hint="eastAsia" w:ascii="宋体" w:hAnsi="宋体" w:cs="宋体"/>
                <w:snapToGrid w:val="0"/>
                <w:color w:val="auto"/>
                <w:kern w:val="0"/>
                <w:sz w:val="28"/>
                <w:szCs w:val="28"/>
                <w:highlight w:val="none"/>
              </w:rPr>
              <w:t>最高限价</w:t>
            </w:r>
          </w:p>
        </w:tc>
        <w:tc>
          <w:tcPr>
            <w:tcW w:w="4232" w:type="dxa"/>
            <w:gridSpan w:val="5"/>
            <w:tcBorders>
              <w:right w:val="single" w:color="auto" w:sz="4" w:space="0"/>
            </w:tcBorders>
            <w:vAlign w:val="center"/>
          </w:tcPr>
          <w:p w14:paraId="25BA703F">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6F7631DD">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c>
          <w:tcPr>
            <w:tcW w:w="1435" w:type="dxa"/>
            <w:vAlign w:val="center"/>
          </w:tcPr>
          <w:p w14:paraId="2E0C32BE">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tc>
      </w:tr>
    </w:tbl>
    <w:p w14:paraId="209DACB3">
      <w:pPr>
        <w:tabs>
          <w:tab w:val="left" w:pos="2740"/>
          <w:tab w:val="left" w:pos="4940"/>
          <w:tab w:val="left" w:pos="7140"/>
        </w:tabs>
        <w:autoSpaceDE w:val="0"/>
        <w:autoSpaceDN w:val="0"/>
        <w:adjustRightInd w:val="0"/>
        <w:snapToGrid w:val="0"/>
        <w:spacing w:line="360" w:lineRule="auto"/>
        <w:jc w:val="left"/>
        <w:rPr>
          <w:rFonts w:ascii="宋体" w:hAnsi="宋体" w:cs="宋体"/>
          <w:snapToGrid w:val="0"/>
          <w:color w:val="auto"/>
          <w:kern w:val="0"/>
          <w:szCs w:val="21"/>
          <w:highlight w:val="none"/>
        </w:rPr>
      </w:pPr>
    </w:p>
    <w:p w14:paraId="329B09E7">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比选人代表：记录人： 监督人员：</w:t>
      </w:r>
    </w:p>
    <w:p w14:paraId="3E53F1CC">
      <w:pPr>
        <w:autoSpaceDE w:val="0"/>
        <w:autoSpaceDN w:val="0"/>
        <w:adjustRightInd w:val="0"/>
        <w:snapToGrid w:val="0"/>
        <w:spacing w:beforeLines="20" w:line="360" w:lineRule="auto"/>
        <w:jc w:val="right"/>
        <w:rPr>
          <w:rFonts w:ascii="宋体" w:hAnsi="宋体" w:cs="宋体"/>
          <w:snapToGrid w:val="0"/>
          <w:color w:val="auto"/>
          <w:kern w:val="0"/>
          <w:sz w:val="24"/>
          <w:highlight w:val="none"/>
        </w:rPr>
      </w:pPr>
    </w:p>
    <w:p w14:paraId="534D8B9D">
      <w:pPr>
        <w:autoSpaceDE w:val="0"/>
        <w:autoSpaceDN w:val="0"/>
        <w:adjustRightInd w:val="0"/>
        <w:snapToGrid w:val="0"/>
        <w:spacing w:beforeLines="20" w:line="360" w:lineRule="auto"/>
        <w:jc w:val="righ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年月日</w:t>
      </w:r>
    </w:p>
    <w:p w14:paraId="75814B1D">
      <w:pPr>
        <w:widowControl/>
        <w:jc w:val="left"/>
        <w:rPr>
          <w:rFonts w:ascii="宋体" w:hAnsi="宋体" w:cs="宋体"/>
          <w:b/>
          <w:snapToGrid w:val="0"/>
          <w:color w:val="auto"/>
          <w:kern w:val="0"/>
          <w:highlight w:val="none"/>
        </w:rPr>
      </w:pPr>
      <w:r>
        <w:rPr>
          <w:rFonts w:ascii="宋体" w:hAnsi="宋体" w:cs="宋体"/>
          <w:b/>
          <w:snapToGrid w:val="0"/>
          <w:color w:val="auto"/>
          <w:kern w:val="0"/>
          <w:highlight w:val="none"/>
        </w:rPr>
        <w:br w:type="page"/>
      </w:r>
    </w:p>
    <w:p w14:paraId="5CE56116">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附表二：问题澄清通知</w:t>
      </w:r>
    </w:p>
    <w:p w14:paraId="383BF3F4">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3C19D300">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问题澄清通知</w:t>
      </w:r>
    </w:p>
    <w:p w14:paraId="51E46EDA">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23BE066F">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p>
    <w:p w14:paraId="42AAB9CF">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6D3716AB">
      <w:pPr>
        <w:autoSpaceDE w:val="0"/>
        <w:autoSpaceDN w:val="0"/>
        <w:adjustRightInd w:val="0"/>
        <w:snapToGrid w:val="0"/>
        <w:spacing w:line="360" w:lineRule="auto"/>
        <w:ind w:firstLine="140" w:firstLineChars="50"/>
        <w:rPr>
          <w:rFonts w:ascii="宋体" w:hAnsi="宋体" w:cs="宋体"/>
          <w:snapToGrid w:val="0"/>
          <w:color w:val="auto"/>
          <w:kern w:val="0"/>
          <w:sz w:val="28"/>
          <w:szCs w:val="28"/>
          <w:highlight w:val="none"/>
        </w:rPr>
      </w:pPr>
    </w:p>
    <w:p w14:paraId="509FB169">
      <w:pPr>
        <w:tabs>
          <w:tab w:val="left" w:pos="1580"/>
        </w:tabs>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（竞选人名称）：</w:t>
      </w:r>
    </w:p>
    <w:p w14:paraId="230E45C9">
      <w:pPr>
        <w:tabs>
          <w:tab w:val="left" w:pos="2320"/>
        </w:tabs>
        <w:autoSpaceDE w:val="0"/>
        <w:autoSpaceDN w:val="0"/>
        <w:adjustRightInd w:val="0"/>
        <w:snapToGrid w:val="0"/>
        <w:spacing w:line="360" w:lineRule="auto"/>
        <w:ind w:firstLine="212" w:firstLineChars="10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（项目名称）的评选委员会，对你方的竞选文件进行了仔细的审查，现需你方对下列问题以书面形式予以澄清：</w:t>
      </w:r>
    </w:p>
    <w:p w14:paraId="0A4DEAB2">
      <w:pPr>
        <w:autoSpaceDE w:val="0"/>
        <w:autoSpaceDN w:val="0"/>
        <w:adjustRightInd w:val="0"/>
        <w:snapToGrid w:val="0"/>
        <w:spacing w:line="360" w:lineRule="auto"/>
        <w:jc w:val="left"/>
        <w:rPr>
          <w:rFonts w:ascii="宋体" w:hAnsi="宋体" w:cs="宋体"/>
          <w:snapToGrid w:val="0"/>
          <w:color w:val="auto"/>
          <w:kern w:val="0"/>
          <w:sz w:val="24"/>
          <w:highlight w:val="none"/>
        </w:rPr>
      </w:pPr>
    </w:p>
    <w:p w14:paraId="27D77144">
      <w:pPr>
        <w:autoSpaceDE w:val="0"/>
        <w:autoSpaceDN w:val="0"/>
        <w:adjustRightInd w:val="0"/>
        <w:snapToGrid w:val="0"/>
        <w:spacing w:line="360" w:lineRule="auto"/>
        <w:jc w:val="left"/>
        <w:rPr>
          <w:rFonts w:ascii="宋体" w:hAnsi="宋体" w:cs="宋体"/>
          <w:snapToGrid w:val="0"/>
          <w:color w:val="auto"/>
          <w:kern w:val="0"/>
          <w:sz w:val="24"/>
          <w:highlight w:val="none"/>
        </w:rPr>
      </w:pPr>
    </w:p>
    <w:p w14:paraId="5A03A6FD">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14:paraId="0E387D14">
      <w:pPr>
        <w:autoSpaceDE w:val="0"/>
        <w:autoSpaceDN w:val="0"/>
        <w:adjustRightInd w:val="0"/>
        <w:snapToGrid w:val="0"/>
        <w:spacing w:line="360" w:lineRule="auto"/>
        <w:jc w:val="left"/>
        <w:rPr>
          <w:rFonts w:ascii="宋体" w:hAnsi="宋体" w:cs="宋体"/>
          <w:snapToGrid w:val="0"/>
          <w:color w:val="auto"/>
          <w:kern w:val="0"/>
          <w:szCs w:val="21"/>
          <w:highlight w:val="none"/>
        </w:rPr>
      </w:pPr>
    </w:p>
    <w:p w14:paraId="3870247F">
      <w:pPr>
        <w:autoSpaceDE w:val="0"/>
        <w:autoSpaceDN w:val="0"/>
        <w:adjustRightInd w:val="0"/>
        <w:snapToGrid w:val="0"/>
        <w:spacing w:line="360" w:lineRule="auto"/>
        <w:jc w:val="left"/>
        <w:rPr>
          <w:rFonts w:ascii="宋体" w:hAnsi="宋体" w:cs="宋体"/>
          <w:snapToGrid w:val="0"/>
          <w:color w:val="auto"/>
          <w:kern w:val="0"/>
          <w:szCs w:val="21"/>
          <w:highlight w:val="none"/>
        </w:rPr>
      </w:pPr>
    </w:p>
    <w:p w14:paraId="7C7EA56F">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7BC8213B">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14:paraId="1B1F1935">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28064137">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14:paraId="0DEEED97">
      <w:pPr>
        <w:autoSpaceDE w:val="0"/>
        <w:autoSpaceDN w:val="0"/>
        <w:adjustRightInd w:val="0"/>
        <w:snapToGrid w:val="0"/>
        <w:spacing w:line="360" w:lineRule="auto"/>
        <w:jc w:val="left"/>
        <w:rPr>
          <w:rFonts w:ascii="宋体" w:hAnsi="宋体" w:cs="宋体"/>
          <w:snapToGrid w:val="0"/>
          <w:color w:val="auto"/>
          <w:kern w:val="0"/>
          <w:sz w:val="14"/>
          <w:szCs w:val="14"/>
          <w:highlight w:val="none"/>
        </w:rPr>
      </w:pPr>
    </w:p>
    <w:p w14:paraId="36A79404">
      <w:pPr>
        <w:autoSpaceDE w:val="0"/>
        <w:autoSpaceDN w:val="0"/>
        <w:adjustRightInd w:val="0"/>
        <w:snapToGrid w:val="0"/>
        <w:spacing w:line="360" w:lineRule="auto"/>
        <w:jc w:val="left"/>
        <w:rPr>
          <w:rFonts w:ascii="宋体" w:hAnsi="宋体" w:cs="宋体"/>
          <w:snapToGrid w:val="0"/>
          <w:color w:val="auto"/>
          <w:kern w:val="0"/>
          <w:sz w:val="14"/>
          <w:szCs w:val="14"/>
          <w:highlight w:val="none"/>
        </w:rPr>
      </w:pPr>
    </w:p>
    <w:p w14:paraId="2EE39679">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7BDD9697">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请将上述问题的澄清于年月日时前递交至（详细地址）或传真至（传真号码）。采用传真方式的，应在年月日时前将原件递交至</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（详细地址）。</w:t>
      </w:r>
    </w:p>
    <w:p w14:paraId="1E18C65D">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16E9BE15">
      <w:pPr>
        <w:autoSpaceDE w:val="0"/>
        <w:autoSpaceDN w:val="0"/>
        <w:adjustRightInd w:val="0"/>
        <w:snapToGrid w:val="0"/>
        <w:spacing w:line="360" w:lineRule="auto"/>
        <w:jc w:val="left"/>
        <w:rPr>
          <w:rFonts w:ascii="宋体" w:hAnsi="宋体" w:cs="宋体"/>
          <w:snapToGrid w:val="0"/>
          <w:color w:val="auto"/>
          <w:kern w:val="0"/>
          <w:sz w:val="28"/>
          <w:szCs w:val="28"/>
          <w:highlight w:val="none"/>
        </w:rPr>
      </w:pPr>
    </w:p>
    <w:p w14:paraId="1853A10B">
      <w:pPr>
        <w:tabs>
          <w:tab w:val="left" w:pos="6400"/>
        </w:tabs>
        <w:autoSpaceDE w:val="0"/>
        <w:autoSpaceDN w:val="0"/>
        <w:adjustRightInd w:val="0"/>
        <w:snapToGrid w:val="0"/>
        <w:spacing w:line="360" w:lineRule="auto"/>
        <w:jc w:val="right"/>
        <w:rPr>
          <w:rFonts w:ascii="宋体" w:hAnsi="宋体" w:cs="宋体"/>
          <w:snapToGrid w:val="0"/>
          <w:color w:val="auto"/>
          <w:kern w:val="0"/>
          <w:sz w:val="24"/>
          <w:highlight w:val="none"/>
        </w:rPr>
      </w:pPr>
      <w:r>
        <w:rPr>
          <w:rFonts w:hint="eastAsia" w:ascii="宋体" w:hAnsi="宋体" w:cs="宋体"/>
          <w:snapToGrid w:val="0"/>
          <w:color w:val="auto"/>
          <w:kern w:val="0"/>
          <w:szCs w:val="21"/>
          <w:highlight w:val="none"/>
        </w:rPr>
        <w:t xml:space="preserve">                             评选委员会：（签字）</w:t>
      </w:r>
    </w:p>
    <w:p w14:paraId="1682A0CB">
      <w:pPr>
        <w:autoSpaceDE w:val="0"/>
        <w:autoSpaceDN w:val="0"/>
        <w:adjustRightInd w:val="0"/>
        <w:snapToGrid w:val="0"/>
        <w:spacing w:line="360" w:lineRule="auto"/>
        <w:ind w:firstLine="315" w:firstLineChars="150"/>
        <w:jc w:val="right"/>
        <w:rPr>
          <w:rFonts w:ascii="宋体" w:hAnsi="宋体" w:cs="宋体"/>
          <w:snapToGrid w:val="0"/>
          <w:color w:val="auto"/>
          <w:kern w:val="0"/>
          <w:szCs w:val="21"/>
          <w:highlight w:val="none"/>
        </w:rPr>
      </w:pPr>
    </w:p>
    <w:p w14:paraId="311EFF1A">
      <w:pPr>
        <w:wordWrap w:val="0"/>
        <w:autoSpaceDE w:val="0"/>
        <w:autoSpaceDN w:val="0"/>
        <w:adjustRightInd w:val="0"/>
        <w:snapToGrid w:val="0"/>
        <w:spacing w:line="360" w:lineRule="auto"/>
        <w:ind w:firstLine="850" w:firstLineChars="40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年月日  </w:t>
      </w:r>
    </w:p>
    <w:p w14:paraId="76CF1290">
      <w:pPr>
        <w:autoSpaceDE w:val="0"/>
        <w:autoSpaceDN w:val="0"/>
        <w:adjustRightInd w:val="0"/>
        <w:snapToGrid w:val="0"/>
        <w:spacing w:line="360" w:lineRule="auto"/>
        <w:jc w:val="left"/>
        <w:rPr>
          <w:rFonts w:ascii="宋体" w:hAnsi="宋体" w:cs="宋体"/>
          <w:b/>
          <w:snapToGrid w:val="0"/>
          <w:color w:val="auto"/>
          <w:kern w:val="0"/>
          <w:highlight w:val="none"/>
        </w:rPr>
      </w:pPr>
    </w:p>
    <w:p w14:paraId="36E37584">
      <w:pPr>
        <w:autoSpaceDE w:val="0"/>
        <w:autoSpaceDN w:val="0"/>
        <w:adjustRightInd w:val="0"/>
        <w:snapToGrid w:val="0"/>
        <w:spacing w:line="360" w:lineRule="auto"/>
        <w:jc w:val="left"/>
        <w:rPr>
          <w:rFonts w:ascii="宋体" w:hAnsi="宋体" w:cs="宋体"/>
          <w:b/>
          <w:snapToGrid w:val="0"/>
          <w:color w:val="auto"/>
          <w:kern w:val="0"/>
          <w:highlight w:val="none"/>
        </w:rPr>
      </w:pPr>
    </w:p>
    <w:p w14:paraId="6C464029">
      <w:pPr>
        <w:autoSpaceDE w:val="0"/>
        <w:autoSpaceDN w:val="0"/>
        <w:adjustRightInd w:val="0"/>
        <w:snapToGrid w:val="0"/>
        <w:spacing w:line="360" w:lineRule="auto"/>
        <w:jc w:val="left"/>
        <w:rPr>
          <w:rFonts w:ascii="宋体" w:hAnsi="宋体" w:cs="宋体"/>
          <w:b/>
          <w:snapToGrid w:val="0"/>
          <w:color w:val="auto"/>
          <w:kern w:val="0"/>
          <w:highlight w:val="none"/>
        </w:rPr>
      </w:pPr>
    </w:p>
    <w:p w14:paraId="3ACADEB8">
      <w:pPr>
        <w:autoSpaceDE w:val="0"/>
        <w:autoSpaceDN w:val="0"/>
        <w:adjustRightInd w:val="0"/>
        <w:snapToGrid w:val="0"/>
        <w:spacing w:line="360" w:lineRule="auto"/>
        <w:jc w:val="left"/>
        <w:rPr>
          <w:rFonts w:ascii="宋体" w:hAnsi="宋体" w:cs="宋体"/>
          <w:b/>
          <w:snapToGrid w:val="0"/>
          <w:color w:val="auto"/>
          <w:kern w:val="0"/>
          <w:highlight w:val="none"/>
        </w:rPr>
      </w:pPr>
    </w:p>
    <w:p w14:paraId="0BD42A29">
      <w:pPr>
        <w:widowControl/>
        <w:jc w:val="left"/>
        <w:rPr>
          <w:rFonts w:ascii="宋体" w:hAnsi="宋体" w:cs="宋体"/>
          <w:b/>
          <w:snapToGrid w:val="0"/>
          <w:color w:val="auto"/>
          <w:kern w:val="0"/>
          <w:highlight w:val="none"/>
        </w:rPr>
      </w:pPr>
      <w:r>
        <w:rPr>
          <w:rFonts w:ascii="宋体" w:hAnsi="宋体" w:cs="宋体"/>
          <w:b/>
          <w:snapToGrid w:val="0"/>
          <w:color w:val="auto"/>
          <w:kern w:val="0"/>
          <w:highlight w:val="none"/>
        </w:rPr>
        <w:br w:type="page"/>
      </w:r>
    </w:p>
    <w:p w14:paraId="5B69D526">
      <w:pPr>
        <w:autoSpaceDE w:val="0"/>
        <w:autoSpaceDN w:val="0"/>
        <w:adjustRightInd w:val="0"/>
        <w:snapToGrid w:val="0"/>
        <w:spacing w:line="360" w:lineRule="auto"/>
        <w:jc w:val="left"/>
        <w:outlineLvl w:val="2"/>
        <w:rPr>
          <w:rFonts w:ascii="宋体" w:hAnsi="宋体" w:cs="宋体"/>
          <w:b/>
          <w:snapToGrid w:val="0"/>
          <w:color w:val="auto"/>
          <w:kern w:val="0"/>
          <w:highlight w:val="none"/>
        </w:rPr>
      </w:pPr>
      <w:r>
        <w:rPr>
          <w:rFonts w:hint="eastAsia" w:ascii="宋体" w:hAnsi="宋体" w:cs="宋体"/>
          <w:b/>
          <w:snapToGrid w:val="0"/>
          <w:color w:val="auto"/>
          <w:kern w:val="0"/>
          <w:highlight w:val="none"/>
        </w:rPr>
        <w:t>附表三：问题的澄清</w:t>
      </w:r>
    </w:p>
    <w:p w14:paraId="239F3F18">
      <w:pPr>
        <w:autoSpaceDE w:val="0"/>
        <w:autoSpaceDN w:val="0"/>
        <w:adjustRightInd w:val="0"/>
        <w:snapToGrid w:val="0"/>
        <w:spacing w:line="360" w:lineRule="auto"/>
        <w:jc w:val="left"/>
        <w:rPr>
          <w:rFonts w:ascii="宋体" w:hAnsi="宋体" w:cs="宋体"/>
          <w:b/>
          <w:snapToGrid w:val="0"/>
          <w:color w:val="auto"/>
          <w:kern w:val="0"/>
          <w:sz w:val="10"/>
          <w:szCs w:val="10"/>
          <w:highlight w:val="none"/>
        </w:rPr>
      </w:pPr>
    </w:p>
    <w:p w14:paraId="4D97DD4A">
      <w:pPr>
        <w:autoSpaceDE w:val="0"/>
        <w:autoSpaceDN w:val="0"/>
        <w:adjustRightInd w:val="0"/>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w w:val="99"/>
          <w:kern w:val="0"/>
          <w:sz w:val="32"/>
          <w:szCs w:val="32"/>
          <w:highlight w:val="none"/>
        </w:rPr>
        <w:t>问题的澄清</w:t>
      </w:r>
    </w:p>
    <w:p w14:paraId="06C78017">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rPr>
      </w:pPr>
    </w:p>
    <w:p w14:paraId="32C4046A">
      <w:pPr>
        <w:autoSpaceDE w:val="0"/>
        <w:autoSpaceDN w:val="0"/>
        <w:adjustRightInd w:val="0"/>
        <w:snapToGrid w:val="0"/>
        <w:spacing w:line="360" w:lineRule="auto"/>
        <w:ind w:firstLine="3255" w:firstLineChars="155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编号：</w:t>
      </w:r>
    </w:p>
    <w:p w14:paraId="228092D8">
      <w:pPr>
        <w:autoSpaceDE w:val="0"/>
        <w:autoSpaceDN w:val="0"/>
        <w:adjustRightInd w:val="0"/>
        <w:snapToGrid w:val="0"/>
        <w:spacing w:line="360" w:lineRule="auto"/>
        <w:ind w:firstLine="3150" w:firstLineChars="1500"/>
        <w:rPr>
          <w:rFonts w:ascii="宋体" w:hAnsi="宋体" w:cs="宋体"/>
          <w:snapToGrid w:val="0"/>
          <w:color w:val="auto"/>
          <w:kern w:val="0"/>
          <w:szCs w:val="21"/>
          <w:highlight w:val="none"/>
        </w:rPr>
      </w:pPr>
    </w:p>
    <w:p w14:paraId="3EE0F2DE">
      <w:pPr>
        <w:autoSpaceDE w:val="0"/>
        <w:autoSpaceDN w:val="0"/>
        <w:adjustRightInd w:val="0"/>
        <w:snapToGrid w:val="0"/>
        <w:spacing w:line="360" w:lineRule="auto"/>
        <w:ind w:firstLine="3150" w:firstLineChars="1500"/>
        <w:rPr>
          <w:rFonts w:ascii="宋体" w:hAnsi="宋体" w:cs="宋体"/>
          <w:snapToGrid w:val="0"/>
          <w:color w:val="auto"/>
          <w:kern w:val="0"/>
          <w:szCs w:val="21"/>
          <w:highlight w:val="none"/>
        </w:rPr>
      </w:pPr>
    </w:p>
    <w:p w14:paraId="33564B85">
      <w:pPr>
        <w:tabs>
          <w:tab w:val="left" w:pos="2415"/>
          <w:tab w:val="left" w:pos="3480"/>
          <w:tab w:val="left" w:pos="4200"/>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（项目名称）评选委员会：</w:t>
      </w:r>
    </w:p>
    <w:p w14:paraId="376DC676">
      <w:pPr>
        <w:tabs>
          <w:tab w:val="left" w:pos="2000"/>
          <w:tab w:val="left" w:pos="3480"/>
          <w:tab w:val="left" w:pos="4200"/>
        </w:tabs>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问题澄清通知（编号：</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）已收悉，现澄清如下：</w:t>
      </w:r>
    </w:p>
    <w:p w14:paraId="47E8C772">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 </w:t>
      </w:r>
    </w:p>
    <w:p w14:paraId="69FC17D0">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6317985C">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0513477C">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29874983">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 </w:t>
      </w:r>
    </w:p>
    <w:p w14:paraId="42F4B9C5">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5D9D5D48">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7C25632C">
      <w:pPr>
        <w:autoSpaceDE w:val="0"/>
        <w:autoSpaceDN w:val="0"/>
        <w:adjustRightInd w:val="0"/>
        <w:snapToGrid w:val="0"/>
        <w:spacing w:line="360" w:lineRule="auto"/>
        <w:jc w:val="left"/>
        <w:rPr>
          <w:rFonts w:ascii="宋体" w:hAnsi="宋体" w:cs="宋体"/>
          <w:snapToGrid w:val="0"/>
          <w:color w:val="auto"/>
          <w:kern w:val="0"/>
          <w:sz w:val="22"/>
          <w:szCs w:val="22"/>
          <w:highlight w:val="none"/>
        </w:rPr>
      </w:pPr>
    </w:p>
    <w:p w14:paraId="5B8D2689">
      <w:pPr>
        <w:autoSpaceDE w:val="0"/>
        <w:autoSpaceDN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14:paraId="136E221E">
      <w:pPr>
        <w:autoSpaceDE w:val="0"/>
        <w:autoSpaceDN w:val="0"/>
        <w:adjustRightInd w:val="0"/>
        <w:snapToGrid w:val="0"/>
        <w:spacing w:line="360" w:lineRule="auto"/>
        <w:jc w:val="left"/>
        <w:rPr>
          <w:rFonts w:ascii="宋体" w:hAnsi="宋体" w:cs="宋体"/>
          <w:snapToGrid w:val="0"/>
          <w:color w:val="auto"/>
          <w:kern w:val="0"/>
          <w:sz w:val="18"/>
          <w:szCs w:val="18"/>
          <w:highlight w:val="none"/>
        </w:rPr>
      </w:pPr>
    </w:p>
    <w:p w14:paraId="42E50DD9">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5BD81F6C">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0231186B">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176AB29A">
      <w:pPr>
        <w:autoSpaceDE w:val="0"/>
        <w:autoSpaceDN w:val="0"/>
        <w:adjustRightInd w:val="0"/>
        <w:snapToGrid w:val="0"/>
        <w:spacing w:line="360" w:lineRule="auto"/>
        <w:jc w:val="left"/>
        <w:rPr>
          <w:rFonts w:ascii="宋体" w:hAnsi="宋体" w:cs="宋体"/>
          <w:snapToGrid w:val="0"/>
          <w:color w:val="auto"/>
          <w:kern w:val="0"/>
          <w:sz w:val="20"/>
          <w:szCs w:val="20"/>
          <w:highlight w:val="none"/>
        </w:rPr>
      </w:pPr>
    </w:p>
    <w:p w14:paraId="3825A64F">
      <w:pPr>
        <w:tabs>
          <w:tab w:val="left" w:pos="7035"/>
        </w:tabs>
        <w:autoSpaceDE w:val="0"/>
        <w:autoSpaceDN w:val="0"/>
        <w:adjustRightInd w:val="0"/>
        <w:snapToGrid w:val="0"/>
        <w:spacing w:line="360" w:lineRule="auto"/>
        <w:ind w:firstLine="2551" w:firstLineChars="121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竞选人：（盖单位公章） </w:t>
      </w:r>
    </w:p>
    <w:p w14:paraId="49CF1374">
      <w:pPr>
        <w:tabs>
          <w:tab w:val="left" w:pos="6620"/>
          <w:tab w:val="left" w:pos="7040"/>
        </w:tabs>
        <w:autoSpaceDE w:val="0"/>
        <w:autoSpaceDN w:val="0"/>
        <w:adjustRightInd w:val="0"/>
        <w:snapToGrid w:val="0"/>
        <w:spacing w:line="360" w:lineRule="auto"/>
        <w:ind w:firstLine="2551" w:firstLineChars="1215"/>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（签字或盖章）</w:t>
      </w:r>
    </w:p>
    <w:p w14:paraId="63BAAF09">
      <w:pPr>
        <w:autoSpaceDE w:val="0"/>
        <w:autoSpaceDN w:val="0"/>
        <w:adjustRightInd w:val="0"/>
        <w:snapToGrid w:val="0"/>
        <w:spacing w:line="360" w:lineRule="auto"/>
        <w:jc w:val="right"/>
        <w:rPr>
          <w:rFonts w:ascii="宋体" w:hAnsi="宋体" w:cs="宋体"/>
          <w:snapToGrid w:val="0"/>
          <w:color w:val="auto"/>
          <w:kern w:val="0"/>
          <w:sz w:val="20"/>
          <w:szCs w:val="20"/>
          <w:highlight w:val="none"/>
        </w:rPr>
      </w:pPr>
    </w:p>
    <w:p w14:paraId="490C1C34">
      <w:pPr>
        <w:wordWrap w:val="0"/>
        <w:autoSpaceDE w:val="0"/>
        <w:autoSpaceDN w:val="0"/>
        <w:adjustRightInd w:val="0"/>
        <w:snapToGrid w:val="0"/>
        <w:spacing w:line="360" w:lineRule="auto"/>
        <w:ind w:firstLine="315" w:firstLineChars="150"/>
        <w:jc w:val="righ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年月日 </w:t>
      </w:r>
    </w:p>
    <w:p w14:paraId="383462E2">
      <w:pPr>
        <w:autoSpaceDE w:val="0"/>
        <w:autoSpaceDN w:val="0"/>
        <w:adjustRightInd w:val="0"/>
        <w:snapToGrid w:val="0"/>
        <w:spacing w:line="360" w:lineRule="auto"/>
        <w:jc w:val="left"/>
        <w:rPr>
          <w:rFonts w:ascii="宋体" w:hAnsi="宋体" w:cs="宋体"/>
          <w:b/>
          <w:snapToGrid w:val="0"/>
          <w:color w:val="auto"/>
          <w:kern w:val="0"/>
          <w:sz w:val="24"/>
          <w:highlight w:val="none"/>
        </w:rPr>
      </w:pPr>
    </w:p>
    <w:p w14:paraId="79F1294E">
      <w:pPr>
        <w:autoSpaceDE w:val="0"/>
        <w:autoSpaceDN w:val="0"/>
        <w:adjustRightInd w:val="0"/>
        <w:snapToGrid w:val="0"/>
        <w:spacing w:line="360" w:lineRule="auto"/>
        <w:jc w:val="left"/>
        <w:rPr>
          <w:rFonts w:ascii="宋体" w:hAnsi="宋体" w:cs="宋体"/>
          <w:b/>
          <w:snapToGrid w:val="0"/>
          <w:color w:val="auto"/>
          <w:kern w:val="0"/>
          <w:highlight w:val="none"/>
        </w:rPr>
      </w:pPr>
    </w:p>
    <w:p w14:paraId="339187F4">
      <w:pPr>
        <w:widowControl/>
        <w:jc w:val="left"/>
        <w:rPr>
          <w:rFonts w:ascii="宋体" w:hAnsi="宋体" w:cs="宋体"/>
          <w:b/>
          <w:snapToGrid w:val="0"/>
          <w:color w:val="auto"/>
          <w:kern w:val="0"/>
          <w:highlight w:val="none"/>
        </w:rPr>
      </w:pPr>
      <w:r>
        <w:rPr>
          <w:rFonts w:ascii="宋体" w:hAnsi="宋体" w:cs="宋体"/>
          <w:b/>
          <w:snapToGrid w:val="0"/>
          <w:color w:val="auto"/>
          <w:kern w:val="0"/>
          <w:highlight w:val="none"/>
        </w:rPr>
        <w:br w:type="page"/>
      </w:r>
    </w:p>
    <w:p w14:paraId="5C6DE6F2">
      <w:pPr>
        <w:autoSpaceDE w:val="0"/>
        <w:autoSpaceDN w:val="0"/>
        <w:adjustRightInd w:val="0"/>
        <w:snapToGrid w:val="0"/>
        <w:spacing w:line="360" w:lineRule="auto"/>
        <w:jc w:val="left"/>
        <w:outlineLvl w:val="2"/>
        <w:rPr>
          <w:rFonts w:ascii="宋体" w:hAnsi="宋体" w:cs="宋体"/>
          <w:snapToGrid w:val="0"/>
          <w:color w:val="auto"/>
          <w:kern w:val="0"/>
          <w:sz w:val="20"/>
          <w:szCs w:val="20"/>
          <w:highlight w:val="none"/>
        </w:rPr>
      </w:pPr>
      <w:r>
        <w:rPr>
          <w:rFonts w:hint="eastAsia" w:ascii="宋体" w:hAnsi="宋体" w:cs="宋体"/>
          <w:b/>
          <w:snapToGrid w:val="0"/>
          <w:color w:val="auto"/>
          <w:kern w:val="0"/>
          <w:highlight w:val="none"/>
        </w:rPr>
        <w:t>附表四：中选通知书</w:t>
      </w:r>
    </w:p>
    <w:p w14:paraId="40A59040">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p>
    <w:p w14:paraId="70DB7F12">
      <w:pPr>
        <w:autoSpaceDE w:val="0"/>
        <w:autoSpaceDN w:val="0"/>
        <w:adjustRightInd w:val="0"/>
        <w:snapToGrid w:val="0"/>
        <w:spacing w:line="360" w:lineRule="auto"/>
        <w:jc w:val="center"/>
        <w:rPr>
          <w:rFonts w:ascii="宋体" w:hAnsi="宋体" w:cs="宋体"/>
          <w:b/>
          <w:snapToGrid w:val="0"/>
          <w:color w:val="auto"/>
          <w:w w:val="99"/>
          <w:kern w:val="0"/>
          <w:sz w:val="32"/>
          <w:szCs w:val="32"/>
          <w:highlight w:val="none"/>
        </w:rPr>
      </w:pPr>
      <w:r>
        <w:rPr>
          <w:rFonts w:hint="eastAsia" w:ascii="宋体" w:hAnsi="宋体" w:cs="宋体"/>
          <w:b/>
          <w:snapToGrid w:val="0"/>
          <w:color w:val="auto"/>
          <w:w w:val="99"/>
          <w:kern w:val="0"/>
          <w:sz w:val="32"/>
          <w:szCs w:val="32"/>
          <w:highlight w:val="none"/>
        </w:rPr>
        <w:t>中选通知书</w:t>
      </w:r>
    </w:p>
    <w:p w14:paraId="47C9BB9F">
      <w:pPr>
        <w:autoSpaceDE w:val="0"/>
        <w:autoSpaceDN w:val="0"/>
        <w:adjustRightInd w:val="0"/>
        <w:spacing w:line="360" w:lineRule="auto"/>
        <w:jc w:val="left"/>
        <w:rPr>
          <w:rFonts w:ascii="宋体" w:hAnsi="宋体" w:cs="宋体"/>
          <w:snapToGrid w:val="0"/>
          <w:color w:val="auto"/>
          <w:kern w:val="0"/>
          <w:sz w:val="20"/>
          <w:szCs w:val="20"/>
          <w:highlight w:val="none"/>
        </w:rPr>
      </w:pPr>
    </w:p>
    <w:p w14:paraId="4F000288">
      <w:pPr>
        <w:spacing w:line="360" w:lineRule="auto"/>
        <w:rPr>
          <w:rFonts w:ascii="宋体" w:hAnsi="宋体" w:cs="宋体"/>
          <w:bCs/>
          <w:color w:val="auto"/>
          <w:kern w:val="0"/>
          <w:szCs w:val="21"/>
          <w:highlight w:val="none"/>
          <w:u w:val="single"/>
        </w:rPr>
      </w:pPr>
      <w:r>
        <w:rPr>
          <w:rFonts w:hint="eastAsia" w:ascii="宋体" w:hAnsi="宋体" w:cs="宋体"/>
          <w:color w:val="auto"/>
          <w:kern w:val="0"/>
          <w:szCs w:val="21"/>
          <w:highlight w:val="none"/>
          <w:u w:val="single"/>
        </w:rPr>
        <w:t>中选单位</w:t>
      </w:r>
      <w:r>
        <w:rPr>
          <w:rFonts w:hint="eastAsia" w:ascii="宋体" w:hAnsi="宋体" w:cs="宋体"/>
          <w:bCs/>
          <w:color w:val="auto"/>
          <w:kern w:val="0"/>
          <w:szCs w:val="21"/>
          <w:highlight w:val="none"/>
        </w:rPr>
        <w:t>：</w:t>
      </w:r>
    </w:p>
    <w:p w14:paraId="3EA996C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我单位拟建的 于年月日进行竞争性比选，经评选委员会评定，确定你单位为中选人，中选暂定总价为</w:t>
      </w:r>
      <w:r>
        <w:rPr>
          <w:rFonts w:hint="eastAsia" w:ascii="宋体" w:hAnsi="宋体" w:cs="宋体"/>
          <w:bCs/>
          <w:color w:val="auto"/>
          <w:kern w:val="0"/>
          <w:szCs w:val="21"/>
          <w:highlight w:val="none"/>
        </w:rPr>
        <w:t xml:space="preserve"> ，取费折扣比例为，</w:t>
      </w:r>
      <w:r>
        <w:rPr>
          <w:rFonts w:hint="eastAsia" w:ascii="宋体" w:hAnsi="宋体" w:cs="宋体"/>
          <w:color w:val="auto"/>
          <w:kern w:val="0"/>
          <w:szCs w:val="21"/>
          <w:highlight w:val="none"/>
        </w:rPr>
        <w:t>中选项目范围：，工程规模为 ，中选服务期，质量要求：。</w:t>
      </w:r>
    </w:p>
    <w:p w14:paraId="48BFBC3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你单位收到中选通知书后，在 日内到我单位签订施工合同。</w:t>
      </w:r>
    </w:p>
    <w:p w14:paraId="78FE4B6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特此通知。</w:t>
      </w:r>
    </w:p>
    <w:p w14:paraId="63A47F2A">
      <w:pPr>
        <w:spacing w:line="360" w:lineRule="auto"/>
        <w:rPr>
          <w:rFonts w:ascii="宋体" w:hAnsi="宋体" w:cs="宋体"/>
          <w:color w:val="auto"/>
          <w:kern w:val="0"/>
          <w:sz w:val="24"/>
          <w:highlight w:val="none"/>
        </w:rPr>
      </w:pPr>
    </w:p>
    <w:p w14:paraId="3A759117">
      <w:pPr>
        <w:spacing w:line="360" w:lineRule="auto"/>
        <w:rPr>
          <w:rFonts w:ascii="宋体" w:hAnsi="宋体" w:cs="宋体"/>
          <w:color w:val="auto"/>
          <w:kern w:val="0"/>
          <w:sz w:val="24"/>
          <w:highlight w:val="none"/>
        </w:rPr>
      </w:pPr>
    </w:p>
    <w:p w14:paraId="3CD3CBA8">
      <w:pPr>
        <w:spacing w:line="360" w:lineRule="auto"/>
        <w:rPr>
          <w:rFonts w:ascii="宋体" w:hAnsi="宋体" w:cs="宋体"/>
          <w:color w:val="auto"/>
          <w:kern w:val="0"/>
          <w:sz w:val="24"/>
          <w:highlight w:val="none"/>
        </w:rPr>
      </w:pPr>
    </w:p>
    <w:p w14:paraId="50D64813">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比选人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w:t>
      </w:r>
      <w:r>
        <w:rPr>
          <w:rFonts w:hint="eastAsia" w:ascii="宋体" w:hAnsi="宋体" w:cs="宋体"/>
          <w:snapToGrid w:val="0"/>
          <w:color w:val="auto"/>
          <w:kern w:val="0"/>
          <w:szCs w:val="21"/>
          <w:highlight w:val="none"/>
        </w:rPr>
        <w:t>盖单位公章</w:t>
      </w:r>
      <w:r>
        <w:rPr>
          <w:rFonts w:hint="eastAsia" w:ascii="宋体" w:hAnsi="宋体" w:cs="宋体"/>
          <w:color w:val="auto"/>
          <w:kern w:val="0"/>
          <w:szCs w:val="21"/>
          <w:highlight w:val="none"/>
        </w:rPr>
        <w:t>）</w:t>
      </w:r>
    </w:p>
    <w:p w14:paraId="2218CB6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比选代理机构：（</w:t>
      </w:r>
      <w:r>
        <w:rPr>
          <w:rFonts w:hint="eastAsia" w:ascii="宋体" w:hAnsi="宋体" w:cs="宋体"/>
          <w:snapToGrid w:val="0"/>
          <w:color w:val="auto"/>
          <w:kern w:val="0"/>
          <w:szCs w:val="21"/>
          <w:highlight w:val="none"/>
        </w:rPr>
        <w:t>盖单位公章</w:t>
      </w:r>
      <w:r>
        <w:rPr>
          <w:rFonts w:hint="eastAsia" w:ascii="宋体" w:hAnsi="宋体" w:cs="宋体"/>
          <w:color w:val="auto"/>
          <w:kern w:val="0"/>
          <w:szCs w:val="21"/>
          <w:highlight w:val="none"/>
        </w:rPr>
        <w:t xml:space="preserve">）                                    </w:t>
      </w:r>
    </w:p>
    <w:p w14:paraId="10FC9C45">
      <w:pPr>
        <w:spacing w:line="360" w:lineRule="auto"/>
        <w:ind w:firstLine="3780" w:firstLineChars="18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（签字或盖章）</w:t>
      </w:r>
    </w:p>
    <w:p w14:paraId="6518DC32">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联系人</w:t>
      </w:r>
      <w:r>
        <w:rPr>
          <w:rFonts w:hint="eastAsia" w:ascii="宋体" w:hAnsi="宋体" w:cs="宋体"/>
          <w:snapToGrid w:val="0"/>
          <w:color w:val="auto"/>
          <w:kern w:val="0"/>
          <w:szCs w:val="21"/>
          <w:highlight w:val="none"/>
        </w:rPr>
        <w:t>：</w:t>
      </w:r>
    </w:p>
    <w:p w14:paraId="0DA9D28F">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联系电话</w:t>
      </w:r>
      <w:r>
        <w:rPr>
          <w:rFonts w:hint="eastAsia" w:ascii="宋体" w:hAnsi="宋体" w:cs="宋体"/>
          <w:snapToGrid w:val="0"/>
          <w:color w:val="auto"/>
          <w:kern w:val="0"/>
          <w:szCs w:val="21"/>
          <w:highlight w:val="none"/>
        </w:rPr>
        <w:t>：</w:t>
      </w:r>
    </w:p>
    <w:p w14:paraId="5DEE57B6">
      <w:pPr>
        <w:spacing w:line="360" w:lineRule="auto"/>
        <w:ind w:firstLine="3780" w:firstLineChars="1800"/>
        <w:rPr>
          <w:rFonts w:ascii="宋体" w:hAnsi="宋体" w:cs="宋体"/>
          <w:color w:val="auto"/>
          <w:kern w:val="0"/>
          <w:szCs w:val="21"/>
          <w:highlight w:val="none"/>
        </w:rPr>
      </w:pPr>
      <w:r>
        <w:rPr>
          <w:rFonts w:hint="eastAsia" w:ascii="宋体" w:hAnsi="宋体" w:cs="宋体"/>
          <w:color w:val="auto"/>
          <w:kern w:val="0"/>
          <w:szCs w:val="21"/>
          <w:highlight w:val="none"/>
        </w:rPr>
        <w:t>签发日期</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年月日</w:t>
      </w:r>
    </w:p>
    <w:p w14:paraId="5895EA90">
      <w:pPr>
        <w:spacing w:line="360" w:lineRule="auto"/>
        <w:ind w:firstLine="883"/>
        <w:jc w:val="center"/>
        <w:rPr>
          <w:rFonts w:ascii="宋体" w:hAnsi="宋体" w:cs="宋体"/>
          <w:color w:val="auto"/>
          <w:kern w:val="1"/>
          <w:highlight w:val="none"/>
        </w:rPr>
      </w:pPr>
      <w:bookmarkStart w:id="634" w:name="_Toc21320"/>
      <w:bookmarkStart w:id="635" w:name="_Toc29866"/>
    </w:p>
    <w:p w14:paraId="3929AFBB">
      <w:pPr>
        <w:spacing w:line="360" w:lineRule="auto"/>
        <w:ind w:firstLine="883"/>
        <w:jc w:val="center"/>
        <w:rPr>
          <w:rFonts w:ascii="宋体" w:hAnsi="宋体" w:cs="宋体"/>
          <w:color w:val="auto"/>
          <w:kern w:val="1"/>
          <w:highlight w:val="none"/>
        </w:rPr>
      </w:pPr>
    </w:p>
    <w:p w14:paraId="536381FE">
      <w:pPr>
        <w:rPr>
          <w:rFonts w:ascii="宋体" w:hAnsi="宋体" w:cs="宋体"/>
          <w:color w:val="auto"/>
          <w:kern w:val="1"/>
          <w:highlight w:val="none"/>
        </w:rPr>
      </w:pPr>
    </w:p>
    <w:p w14:paraId="5919AC8C">
      <w:pPr>
        <w:spacing w:line="360" w:lineRule="auto"/>
        <w:jc w:val="center"/>
        <w:rPr>
          <w:rFonts w:ascii="宋体" w:hAnsi="宋体" w:cs="宋体"/>
          <w:color w:val="auto"/>
          <w:kern w:val="1"/>
          <w:highlight w:val="none"/>
        </w:rPr>
      </w:pPr>
    </w:p>
    <w:p w14:paraId="175C2307">
      <w:pPr>
        <w:rPr>
          <w:rFonts w:ascii="宋体" w:hAnsi="宋体"/>
          <w:color w:val="auto"/>
          <w:highlight w:val="none"/>
        </w:rPr>
      </w:pPr>
    </w:p>
    <w:p w14:paraId="0CA54A94">
      <w:pPr>
        <w:rPr>
          <w:rFonts w:ascii="宋体" w:hAnsi="宋体" w:cs="宋体"/>
          <w:color w:val="auto"/>
          <w:kern w:val="1"/>
          <w:highlight w:val="none"/>
        </w:rPr>
      </w:pPr>
    </w:p>
    <w:p w14:paraId="63EB4D81">
      <w:pPr>
        <w:pStyle w:val="8"/>
        <w:rPr>
          <w:rFonts w:ascii="宋体" w:hAnsi="宋体" w:cs="宋体"/>
          <w:color w:val="auto"/>
          <w:kern w:val="1"/>
          <w:highlight w:val="none"/>
        </w:rPr>
      </w:pPr>
    </w:p>
    <w:p w14:paraId="35C293BF">
      <w:pPr>
        <w:rPr>
          <w:rFonts w:ascii="宋体" w:hAnsi="宋体"/>
          <w:color w:val="auto"/>
          <w:highlight w:val="none"/>
        </w:rPr>
      </w:pPr>
    </w:p>
    <w:p w14:paraId="155D0C6A">
      <w:pPr>
        <w:spacing w:line="360" w:lineRule="auto"/>
        <w:jc w:val="center"/>
        <w:rPr>
          <w:rFonts w:ascii="宋体" w:hAnsi="宋体" w:cs="宋体"/>
          <w:color w:val="auto"/>
          <w:kern w:val="1"/>
          <w:highlight w:val="none"/>
        </w:rPr>
      </w:pPr>
    </w:p>
    <w:p w14:paraId="2B5A5F0B">
      <w:pPr>
        <w:pStyle w:val="8"/>
        <w:rPr>
          <w:rFonts w:ascii="宋体" w:hAnsi="宋体" w:cs="宋体"/>
          <w:color w:val="auto"/>
          <w:kern w:val="1"/>
          <w:highlight w:val="none"/>
        </w:rPr>
      </w:pPr>
    </w:p>
    <w:p w14:paraId="6207750F">
      <w:pPr>
        <w:rPr>
          <w:rFonts w:ascii="宋体" w:hAnsi="宋体" w:cs="宋体"/>
          <w:color w:val="auto"/>
          <w:kern w:val="1"/>
          <w:highlight w:val="none"/>
        </w:rPr>
      </w:pPr>
      <w:r>
        <w:rPr>
          <w:rFonts w:hint="eastAsia" w:ascii="宋体" w:hAnsi="宋体" w:cs="宋体"/>
          <w:color w:val="auto"/>
          <w:kern w:val="1"/>
          <w:highlight w:val="none"/>
        </w:rPr>
        <w:br w:type="page"/>
      </w:r>
    </w:p>
    <w:p w14:paraId="0FA5205C">
      <w:pPr>
        <w:pStyle w:val="2"/>
        <w:spacing w:line="360" w:lineRule="auto"/>
        <w:jc w:val="center"/>
        <w:rPr>
          <w:rFonts w:ascii="宋体" w:hAnsi="宋体" w:cs="宋体"/>
          <w:color w:val="auto"/>
          <w:kern w:val="1"/>
          <w:highlight w:val="none"/>
        </w:rPr>
      </w:pPr>
      <w:r>
        <w:rPr>
          <w:rFonts w:hint="eastAsia" w:ascii="宋体" w:hAnsi="宋体" w:cs="宋体"/>
          <w:color w:val="auto"/>
          <w:kern w:val="1"/>
          <w:highlight w:val="none"/>
        </w:rPr>
        <w:t>第三章  评选办法（综合评估法）</w:t>
      </w:r>
      <w:bookmarkEnd w:id="634"/>
      <w:bookmarkEnd w:id="635"/>
    </w:p>
    <w:p w14:paraId="652CC2B5">
      <w:pPr>
        <w:pStyle w:val="3"/>
        <w:spacing w:before="100" w:after="100"/>
        <w:rPr>
          <w:rFonts w:ascii="宋体" w:hAnsi="宋体"/>
          <w:color w:val="auto"/>
          <w:highlight w:val="none"/>
        </w:rPr>
      </w:pPr>
      <w:bookmarkStart w:id="636" w:name="_Toc721"/>
      <w:bookmarkStart w:id="637" w:name="_Toc509218775"/>
      <w:bookmarkStart w:id="638" w:name="_Toc122515229"/>
      <w:bookmarkStart w:id="639" w:name="_Toc32462"/>
      <w:bookmarkStart w:id="640" w:name="_Toc29600"/>
      <w:r>
        <w:rPr>
          <w:rFonts w:hint="eastAsia" w:ascii="宋体" w:hAnsi="宋体"/>
          <w:color w:val="auto"/>
          <w:highlight w:val="none"/>
        </w:rPr>
        <w:t>评标办法前附表</w:t>
      </w:r>
      <w:bookmarkEnd w:id="636"/>
      <w:bookmarkEnd w:id="637"/>
      <w:bookmarkEnd w:id="638"/>
    </w:p>
    <w:p w14:paraId="584A2111">
      <w:pPr>
        <w:spacing w:line="360" w:lineRule="auto"/>
        <w:ind w:firstLine="420" w:firstLineChars="200"/>
        <w:rPr>
          <w:rFonts w:ascii="宋体" w:hAnsi="宋体"/>
          <w:color w:val="auto"/>
          <w:szCs w:val="21"/>
          <w:highlight w:val="none"/>
        </w:rPr>
      </w:pPr>
      <w:r>
        <w:rPr>
          <w:rFonts w:ascii="宋体" w:hAnsi="宋体"/>
          <w:color w:val="auto"/>
          <w:szCs w:val="21"/>
          <w:highlight w:val="none"/>
        </w:rPr>
        <w:t>评标办法中的评审内容必须和竞选人须知中的对应内容一致，若竞选人须知中未作要求的内容，不得列入评标办法作为评定依据。</w:t>
      </w:r>
    </w:p>
    <w:tbl>
      <w:tblPr>
        <w:tblStyle w:val="28"/>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14:paraId="3D06DB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08A37FB2">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14:paraId="01F4FF41">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728" w:type="dxa"/>
            <w:vAlign w:val="center"/>
          </w:tcPr>
          <w:p w14:paraId="6C021C50">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C2140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14:paraId="7DEC20E7">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852" w:type="dxa"/>
            <w:tcBorders>
              <w:left w:val="single" w:color="auto" w:sz="4" w:space="0"/>
            </w:tcBorders>
            <w:vAlign w:val="center"/>
          </w:tcPr>
          <w:p w14:paraId="41A7B59B">
            <w:pPr>
              <w:spacing w:line="400" w:lineRule="exact"/>
              <w:jc w:val="center"/>
              <w:rPr>
                <w:rFonts w:ascii="宋体" w:hAnsi="宋体"/>
                <w:color w:val="auto"/>
                <w:kern w:val="0"/>
                <w:highlight w:val="none"/>
              </w:rPr>
            </w:pPr>
            <w:r>
              <w:rPr>
                <w:rFonts w:hint="eastAsia" w:ascii="宋体" w:hAnsi="宋体"/>
                <w:color w:val="auto"/>
                <w:kern w:val="0"/>
                <w:highlight w:val="none"/>
              </w:rPr>
              <w:t>评标办法</w:t>
            </w:r>
          </w:p>
        </w:tc>
        <w:tc>
          <w:tcPr>
            <w:tcW w:w="2492" w:type="dxa"/>
            <w:vAlign w:val="center"/>
          </w:tcPr>
          <w:p w14:paraId="7B8B4745">
            <w:pPr>
              <w:spacing w:line="400" w:lineRule="exact"/>
              <w:jc w:val="center"/>
              <w:rPr>
                <w:rFonts w:ascii="宋体" w:hAnsi="宋体"/>
                <w:color w:val="auto"/>
                <w:kern w:val="0"/>
                <w:highlight w:val="none"/>
              </w:rPr>
            </w:pPr>
            <w:r>
              <w:rPr>
                <w:rFonts w:hint="eastAsia" w:ascii="宋体" w:hAnsi="宋体"/>
                <w:color w:val="auto"/>
                <w:kern w:val="0"/>
                <w:highlight w:val="none"/>
              </w:rPr>
              <w:t>中标候选人排序方法</w:t>
            </w:r>
          </w:p>
        </w:tc>
        <w:tc>
          <w:tcPr>
            <w:tcW w:w="5728" w:type="dxa"/>
            <w:vAlign w:val="center"/>
          </w:tcPr>
          <w:p w14:paraId="0FAAE000">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auto"/>
                <w:kern w:val="0"/>
                <w:highlight w:val="none"/>
                <w:u w:val="single"/>
                <w:lang w:val="en-US" w:eastAsia="zh-CN"/>
              </w:rPr>
              <w:t>抽签</w:t>
            </w:r>
            <w:r>
              <w:rPr>
                <w:rFonts w:hint="eastAsia" w:ascii="宋体" w:hAnsi="宋体"/>
                <w:color w:val="auto"/>
                <w:kern w:val="0"/>
                <w:highlight w:val="none"/>
              </w:rPr>
              <w:t>原则排序。</w:t>
            </w:r>
          </w:p>
        </w:tc>
      </w:tr>
      <w:tr w14:paraId="2C9CB1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14:paraId="6A5490C9">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852" w:type="dxa"/>
            <w:vMerge w:val="restart"/>
            <w:tcBorders>
              <w:right w:val="single" w:color="auto" w:sz="4" w:space="0"/>
            </w:tcBorders>
            <w:vAlign w:val="center"/>
          </w:tcPr>
          <w:p w14:paraId="09BF5D07">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492" w:type="dxa"/>
            <w:tcBorders>
              <w:left w:val="single" w:color="auto" w:sz="4" w:space="0"/>
            </w:tcBorders>
            <w:vAlign w:val="center"/>
          </w:tcPr>
          <w:p w14:paraId="11165741">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728" w:type="dxa"/>
            <w:vAlign w:val="center"/>
          </w:tcPr>
          <w:p w14:paraId="7CBB690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符合第二章“竞选人须知”第1.4.1项规定</w:t>
            </w:r>
          </w:p>
        </w:tc>
      </w:tr>
      <w:tr w14:paraId="20AFD1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26F0B024">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58329B9C">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14:paraId="4EBB8F04">
            <w:pPr>
              <w:spacing w:line="400" w:lineRule="exact"/>
              <w:jc w:val="left"/>
              <w:rPr>
                <w:rFonts w:ascii="宋体" w:hAnsi="宋体"/>
                <w:color w:val="auto"/>
                <w:kern w:val="0"/>
                <w:highlight w:val="none"/>
              </w:rPr>
            </w:pPr>
            <w:r>
              <w:rPr>
                <w:rFonts w:ascii="宋体" w:hAnsi="宋体"/>
                <w:color w:val="auto"/>
                <w:kern w:val="0"/>
                <w:highlight w:val="none"/>
              </w:rPr>
              <w:t>财务</w:t>
            </w:r>
            <w:r>
              <w:rPr>
                <w:rFonts w:hint="eastAsia" w:ascii="宋体" w:hAnsi="宋体"/>
                <w:color w:val="auto"/>
                <w:kern w:val="0"/>
                <w:highlight w:val="none"/>
              </w:rPr>
              <w:t>要求</w:t>
            </w:r>
          </w:p>
        </w:tc>
        <w:tc>
          <w:tcPr>
            <w:tcW w:w="5728" w:type="dxa"/>
            <w:vAlign w:val="center"/>
          </w:tcPr>
          <w:p w14:paraId="747F6B38">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符合第二章“竞选人须知”第1.4.1项规定</w:t>
            </w:r>
          </w:p>
        </w:tc>
      </w:tr>
      <w:tr w14:paraId="1673D9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51FF6E64">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0E1242F9">
            <w:pPr>
              <w:spacing w:line="400" w:lineRule="exact"/>
              <w:jc w:val="center"/>
              <w:rPr>
                <w:rFonts w:ascii="宋体" w:hAnsi="宋体"/>
                <w:color w:val="auto"/>
                <w:kern w:val="0"/>
                <w:highlight w:val="none"/>
              </w:rPr>
            </w:pPr>
          </w:p>
        </w:tc>
        <w:tc>
          <w:tcPr>
            <w:tcW w:w="2492" w:type="dxa"/>
            <w:tcBorders>
              <w:left w:val="single" w:color="auto" w:sz="4" w:space="0"/>
            </w:tcBorders>
          </w:tcPr>
          <w:p w14:paraId="04338330">
            <w:pPr>
              <w:spacing w:line="400" w:lineRule="exact"/>
              <w:jc w:val="left"/>
              <w:rPr>
                <w:rFonts w:ascii="宋体" w:hAnsi="宋体"/>
                <w:color w:val="auto"/>
                <w:kern w:val="0"/>
                <w:highlight w:val="none"/>
              </w:rPr>
            </w:pPr>
            <w:r>
              <w:rPr>
                <w:rFonts w:hint="eastAsia" w:ascii="宋体" w:hAnsi="宋体"/>
                <w:color w:val="auto"/>
                <w:kern w:val="0"/>
                <w:highlight w:val="none"/>
              </w:rPr>
              <w:t>比选截止日比选资格情况</w:t>
            </w:r>
          </w:p>
        </w:tc>
        <w:tc>
          <w:tcPr>
            <w:tcW w:w="5728" w:type="dxa"/>
            <w:vAlign w:val="center"/>
          </w:tcPr>
          <w:p w14:paraId="1BBC84C7">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符合第二章“竞选人须知”第1.4.1项规定</w:t>
            </w:r>
          </w:p>
        </w:tc>
      </w:tr>
      <w:tr w14:paraId="534CC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7DBA02FE">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3F6EC300">
            <w:pPr>
              <w:spacing w:line="400" w:lineRule="exact"/>
              <w:jc w:val="center"/>
              <w:rPr>
                <w:rFonts w:ascii="宋体" w:hAnsi="宋体"/>
                <w:color w:val="auto"/>
                <w:kern w:val="0"/>
                <w:highlight w:val="none"/>
              </w:rPr>
            </w:pPr>
          </w:p>
        </w:tc>
        <w:tc>
          <w:tcPr>
            <w:tcW w:w="2492" w:type="dxa"/>
            <w:tcBorders>
              <w:left w:val="single" w:color="auto" w:sz="4" w:space="0"/>
            </w:tcBorders>
          </w:tcPr>
          <w:p w14:paraId="28798A87">
            <w:pPr>
              <w:spacing w:line="400" w:lineRule="exact"/>
              <w:jc w:val="left"/>
              <w:rPr>
                <w:rFonts w:ascii="宋体" w:hAnsi="宋体"/>
                <w:color w:val="auto"/>
                <w:kern w:val="0"/>
                <w:highlight w:val="none"/>
              </w:rPr>
            </w:pPr>
            <w:r>
              <w:rPr>
                <w:rFonts w:ascii="宋体" w:hAnsi="宋体"/>
                <w:color w:val="auto"/>
                <w:kern w:val="0"/>
                <w:highlight w:val="none"/>
              </w:rPr>
              <w:t>拟派项目人员</w:t>
            </w:r>
          </w:p>
        </w:tc>
        <w:tc>
          <w:tcPr>
            <w:tcW w:w="5728" w:type="dxa"/>
            <w:vAlign w:val="center"/>
          </w:tcPr>
          <w:p w14:paraId="1DA61102">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符合第二章“竞选人须知”第1.4.1项规定</w:t>
            </w:r>
          </w:p>
        </w:tc>
      </w:tr>
      <w:tr w14:paraId="0EDC2D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FA9B9AF">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852" w:type="dxa"/>
            <w:vMerge w:val="restart"/>
            <w:tcBorders>
              <w:right w:val="single" w:color="auto" w:sz="4" w:space="0"/>
            </w:tcBorders>
            <w:vAlign w:val="center"/>
          </w:tcPr>
          <w:p w14:paraId="7ECD016E">
            <w:pPr>
              <w:spacing w:line="400" w:lineRule="exact"/>
              <w:jc w:val="center"/>
              <w:rPr>
                <w:rFonts w:ascii="宋体" w:hAnsi="宋体"/>
                <w:color w:val="auto"/>
                <w:kern w:val="0"/>
                <w:highlight w:val="none"/>
              </w:rPr>
            </w:pPr>
            <w:r>
              <w:rPr>
                <w:rFonts w:ascii="宋体" w:hAnsi="宋体"/>
                <w:color w:val="auto"/>
                <w:kern w:val="0"/>
                <w:highlight w:val="none"/>
              </w:rPr>
              <w:t>形式评审标准</w:t>
            </w:r>
          </w:p>
        </w:tc>
        <w:tc>
          <w:tcPr>
            <w:tcW w:w="2492" w:type="dxa"/>
            <w:tcBorders>
              <w:left w:val="single" w:color="auto" w:sz="4" w:space="0"/>
            </w:tcBorders>
            <w:vAlign w:val="center"/>
          </w:tcPr>
          <w:p w14:paraId="5690BCD6">
            <w:pPr>
              <w:spacing w:line="400" w:lineRule="exact"/>
              <w:jc w:val="left"/>
              <w:rPr>
                <w:rFonts w:ascii="宋体" w:hAnsi="宋体"/>
                <w:color w:val="auto"/>
                <w:kern w:val="0"/>
                <w:highlight w:val="none"/>
              </w:rPr>
            </w:pPr>
            <w:r>
              <w:rPr>
                <w:rFonts w:ascii="宋体" w:hAnsi="宋体"/>
                <w:color w:val="auto"/>
                <w:kern w:val="0"/>
                <w:highlight w:val="none"/>
              </w:rPr>
              <w:t>竞选人名称</w:t>
            </w:r>
          </w:p>
        </w:tc>
        <w:tc>
          <w:tcPr>
            <w:tcW w:w="5728" w:type="dxa"/>
            <w:vAlign w:val="center"/>
          </w:tcPr>
          <w:p w14:paraId="746E2C8B">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32EFD3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02FDB49">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3661F68A">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14:paraId="605A04CA">
            <w:pPr>
              <w:spacing w:line="400" w:lineRule="exact"/>
              <w:jc w:val="left"/>
              <w:rPr>
                <w:rFonts w:ascii="宋体" w:hAnsi="宋体"/>
                <w:color w:val="auto"/>
                <w:kern w:val="0"/>
                <w:highlight w:val="none"/>
              </w:rPr>
            </w:pPr>
            <w:r>
              <w:rPr>
                <w:rFonts w:ascii="宋体" w:hAnsi="宋体"/>
                <w:color w:val="auto"/>
                <w:kern w:val="0"/>
                <w:highlight w:val="none"/>
              </w:rPr>
              <w:t>竞选文件格式</w:t>
            </w:r>
          </w:p>
        </w:tc>
        <w:tc>
          <w:tcPr>
            <w:tcW w:w="5728" w:type="dxa"/>
            <w:vAlign w:val="center"/>
          </w:tcPr>
          <w:p w14:paraId="26D35A56">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二</w:t>
            </w:r>
            <w:r>
              <w:rPr>
                <w:rFonts w:ascii="宋体" w:hAnsi="宋体"/>
                <w:color w:val="auto"/>
                <w:kern w:val="0"/>
                <w:highlight w:val="none"/>
              </w:rPr>
              <w:t>章“竞选人</w:t>
            </w:r>
            <w:r>
              <w:rPr>
                <w:rFonts w:hint="eastAsia" w:ascii="宋体" w:hAnsi="宋体"/>
                <w:color w:val="auto"/>
                <w:kern w:val="0"/>
                <w:highlight w:val="none"/>
              </w:rPr>
              <w:t>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r>
              <w:rPr>
                <w:rFonts w:hint="eastAsia" w:ascii="宋体" w:hAnsi="宋体"/>
                <w:color w:val="auto"/>
                <w:kern w:val="0"/>
                <w:highlight w:val="none"/>
              </w:rPr>
              <w:t>（不含竞选函部分）</w:t>
            </w:r>
            <w:r>
              <w:rPr>
                <w:rFonts w:ascii="宋体" w:hAnsi="宋体"/>
                <w:color w:val="auto"/>
                <w:kern w:val="0"/>
                <w:highlight w:val="none"/>
              </w:rPr>
              <w:t>。</w:t>
            </w:r>
          </w:p>
        </w:tc>
      </w:tr>
      <w:tr w14:paraId="7D4EDA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14:paraId="6EB8F6A0">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101B29B2">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14:paraId="231212F5">
            <w:pPr>
              <w:spacing w:line="400" w:lineRule="exact"/>
              <w:jc w:val="left"/>
              <w:rPr>
                <w:rFonts w:ascii="宋体" w:hAnsi="宋体"/>
                <w:color w:val="auto"/>
                <w:kern w:val="0"/>
                <w:highlight w:val="none"/>
              </w:rPr>
            </w:pPr>
            <w:r>
              <w:rPr>
                <w:rFonts w:ascii="宋体" w:hAnsi="宋体"/>
                <w:color w:val="auto"/>
                <w:kern w:val="0"/>
                <w:highlight w:val="none"/>
              </w:rPr>
              <w:t>竞选文件的签署</w:t>
            </w:r>
          </w:p>
        </w:tc>
        <w:tc>
          <w:tcPr>
            <w:tcW w:w="5728" w:type="dxa"/>
            <w:vAlign w:val="center"/>
          </w:tcPr>
          <w:p w14:paraId="30B6B01E">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第六章 </w:t>
            </w:r>
            <w:r>
              <w:rPr>
                <w:rFonts w:ascii="宋体" w:hAnsi="宋体"/>
                <w:color w:val="auto"/>
                <w:kern w:val="0"/>
                <w:highlight w:val="none"/>
              </w:rPr>
              <w:t>竞选文件</w:t>
            </w:r>
            <w:r>
              <w:rPr>
                <w:rFonts w:hint="eastAsia" w:ascii="宋体" w:hAnsi="宋体"/>
                <w:color w:val="auto"/>
                <w:kern w:val="0"/>
                <w:highlight w:val="none"/>
              </w:rPr>
              <w:t>格式（不含竞选函部分）要求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r>
              <w:rPr>
                <w:rFonts w:hint="eastAsia" w:ascii="宋体" w:hAnsi="宋体"/>
                <w:color w:val="auto"/>
                <w:szCs w:val="21"/>
                <w:highlight w:val="none"/>
              </w:rPr>
              <w:t>要求签名的，</w:t>
            </w:r>
            <w:r>
              <w:rPr>
                <w:rFonts w:hint="eastAsia" w:ascii="宋体" w:hAnsi="宋体"/>
                <w:color w:val="auto"/>
                <w:kern w:val="0"/>
                <w:highlight w:val="none"/>
              </w:rPr>
              <w:t>签名采用手写签名</w:t>
            </w:r>
            <w:r>
              <w:rPr>
                <w:rFonts w:hint="eastAsia" w:ascii="宋体" w:hAnsi="宋体"/>
                <w:color w:val="auto"/>
                <w:szCs w:val="21"/>
                <w:highlight w:val="none"/>
              </w:rPr>
              <w:t>或签章</w:t>
            </w:r>
            <w:r>
              <w:rPr>
                <w:rFonts w:hint="eastAsia" w:ascii="宋体" w:hAnsi="宋体"/>
                <w:color w:val="auto"/>
                <w:kern w:val="0"/>
                <w:highlight w:val="none"/>
              </w:rPr>
              <w:t>均可。</w:t>
            </w:r>
          </w:p>
        </w:tc>
      </w:tr>
      <w:tr w14:paraId="0AD318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4FA0F168">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2FCF5957">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14:paraId="21D90967">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728" w:type="dxa"/>
            <w:vAlign w:val="center"/>
          </w:tcPr>
          <w:p w14:paraId="0F07E027">
            <w:pPr>
              <w:spacing w:line="400" w:lineRule="exact"/>
              <w:ind w:firstLine="420" w:firstLineChars="200"/>
              <w:rPr>
                <w:rFonts w:ascii="宋体" w:hAnsi="宋体"/>
                <w:color w:val="auto"/>
                <w:kern w:val="0"/>
                <w:highlight w:val="none"/>
              </w:rPr>
            </w:pPr>
            <w:r>
              <w:rPr>
                <w:rFonts w:ascii="宋体" w:hAnsi="宋体"/>
                <w:color w:val="auto"/>
                <w:kern w:val="0"/>
                <w:highlight w:val="none"/>
              </w:rPr>
              <w:t>竞选人法定代表人的委托代理人有法定代表人签署的授权委托书</w:t>
            </w:r>
            <w:r>
              <w:rPr>
                <w:rFonts w:hint="eastAsia" w:ascii="宋体" w:hAnsi="宋体"/>
                <w:color w:val="auto"/>
                <w:kern w:val="0"/>
                <w:highlight w:val="none"/>
              </w:rPr>
              <w:t>。</w:t>
            </w:r>
          </w:p>
        </w:tc>
      </w:tr>
      <w:tr w14:paraId="716EF8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24704E53">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2E55C44F">
            <w:pPr>
              <w:spacing w:line="400" w:lineRule="exact"/>
              <w:jc w:val="center"/>
              <w:rPr>
                <w:rFonts w:ascii="宋体" w:hAnsi="宋体"/>
                <w:color w:val="auto"/>
                <w:kern w:val="0"/>
                <w:highlight w:val="none"/>
              </w:rPr>
            </w:pPr>
          </w:p>
        </w:tc>
        <w:tc>
          <w:tcPr>
            <w:tcW w:w="2492" w:type="dxa"/>
            <w:tcBorders>
              <w:left w:val="single" w:color="auto" w:sz="4" w:space="0"/>
            </w:tcBorders>
            <w:vAlign w:val="center"/>
          </w:tcPr>
          <w:p w14:paraId="4BA4A847">
            <w:pPr>
              <w:spacing w:line="400" w:lineRule="exact"/>
              <w:jc w:val="left"/>
              <w:rPr>
                <w:rFonts w:ascii="宋体" w:hAnsi="宋体"/>
                <w:color w:val="auto"/>
                <w:kern w:val="0"/>
                <w:highlight w:val="none"/>
              </w:rPr>
            </w:pPr>
            <w:r>
              <w:rPr>
                <w:rFonts w:ascii="宋体" w:hAnsi="宋体"/>
                <w:color w:val="auto"/>
                <w:highlight w:val="none"/>
              </w:rPr>
              <w:t>备选投标方案</w:t>
            </w:r>
          </w:p>
        </w:tc>
        <w:tc>
          <w:tcPr>
            <w:tcW w:w="5728" w:type="dxa"/>
            <w:vAlign w:val="center"/>
          </w:tcPr>
          <w:p w14:paraId="6CE95ED4">
            <w:pPr>
              <w:spacing w:line="400" w:lineRule="exact"/>
              <w:ind w:firstLine="420" w:firstLineChars="200"/>
              <w:rPr>
                <w:rFonts w:ascii="宋体" w:hAnsi="宋体"/>
                <w:color w:val="auto"/>
                <w:kern w:val="0"/>
                <w:highlight w:val="none"/>
              </w:rPr>
            </w:pPr>
            <w:r>
              <w:rPr>
                <w:rFonts w:ascii="宋体" w:hAnsi="宋体"/>
                <w:color w:val="auto"/>
                <w:kern w:val="0"/>
                <w:highlight w:val="none"/>
              </w:rPr>
              <w:t>除竞争性比选明确允许提交备选投标方案外，竞选人不得提交备选投标方案</w:t>
            </w:r>
          </w:p>
        </w:tc>
      </w:tr>
      <w:tr w14:paraId="6CDBC8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4CF1DBB6">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3</w:t>
            </w:r>
          </w:p>
        </w:tc>
        <w:tc>
          <w:tcPr>
            <w:tcW w:w="852" w:type="dxa"/>
            <w:vMerge w:val="restart"/>
            <w:vAlign w:val="center"/>
          </w:tcPr>
          <w:p w14:paraId="1DA3DAC5">
            <w:pPr>
              <w:spacing w:line="400" w:lineRule="exact"/>
              <w:jc w:val="center"/>
              <w:rPr>
                <w:rFonts w:ascii="宋体" w:hAnsi="宋体"/>
                <w:color w:val="auto"/>
                <w:kern w:val="0"/>
                <w:highlight w:val="none"/>
              </w:rPr>
            </w:pPr>
            <w:r>
              <w:rPr>
                <w:rFonts w:hint="eastAsia" w:ascii="宋体" w:hAnsi="宋体"/>
                <w:color w:val="auto"/>
                <w:kern w:val="0"/>
                <w:highlight w:val="none"/>
              </w:rPr>
              <w:t>响应性</w:t>
            </w:r>
            <w:r>
              <w:rPr>
                <w:rFonts w:ascii="宋体" w:hAnsi="宋体"/>
                <w:color w:val="auto"/>
                <w:kern w:val="0"/>
                <w:highlight w:val="none"/>
              </w:rPr>
              <w:t>评审标准</w:t>
            </w:r>
          </w:p>
        </w:tc>
        <w:tc>
          <w:tcPr>
            <w:tcW w:w="2492" w:type="dxa"/>
            <w:vAlign w:val="center"/>
          </w:tcPr>
          <w:p w14:paraId="2750036E">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728" w:type="dxa"/>
            <w:vAlign w:val="center"/>
          </w:tcPr>
          <w:p w14:paraId="5DD4594F">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符合第二章“竞选人须知”第1.3.1项规定</w:t>
            </w:r>
          </w:p>
        </w:tc>
      </w:tr>
      <w:tr w14:paraId="16AD0B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6EE30C5F">
            <w:pPr>
              <w:spacing w:line="400" w:lineRule="exact"/>
              <w:jc w:val="center"/>
              <w:rPr>
                <w:rFonts w:ascii="宋体" w:hAnsi="宋体"/>
                <w:color w:val="auto"/>
                <w:kern w:val="0"/>
                <w:highlight w:val="none"/>
              </w:rPr>
            </w:pPr>
          </w:p>
        </w:tc>
        <w:tc>
          <w:tcPr>
            <w:tcW w:w="852" w:type="dxa"/>
            <w:vMerge w:val="continue"/>
            <w:textDirection w:val="tbRlV"/>
            <w:vAlign w:val="center"/>
          </w:tcPr>
          <w:p w14:paraId="696F4881">
            <w:pPr>
              <w:spacing w:line="400" w:lineRule="exact"/>
              <w:jc w:val="center"/>
              <w:rPr>
                <w:rFonts w:ascii="宋体" w:hAnsi="宋体"/>
                <w:color w:val="auto"/>
                <w:kern w:val="0"/>
                <w:highlight w:val="none"/>
              </w:rPr>
            </w:pPr>
          </w:p>
        </w:tc>
        <w:tc>
          <w:tcPr>
            <w:tcW w:w="2492" w:type="dxa"/>
            <w:tcBorders>
              <w:top w:val="single" w:color="auto" w:sz="4" w:space="0"/>
            </w:tcBorders>
            <w:vAlign w:val="center"/>
          </w:tcPr>
          <w:p w14:paraId="3F97EE80">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728" w:type="dxa"/>
            <w:vAlign w:val="center"/>
          </w:tcPr>
          <w:p w14:paraId="673BCE3D">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符合第二章“竞选人须知”</w:t>
            </w:r>
            <w:r>
              <w:rPr>
                <w:rFonts w:ascii="宋体" w:hAnsi="宋体"/>
                <w:color w:val="auto"/>
                <w:kern w:val="0"/>
                <w:szCs w:val="21"/>
                <w:highlight w:val="none"/>
              </w:rPr>
              <w:t>第3.4</w:t>
            </w:r>
            <w:r>
              <w:rPr>
                <w:rFonts w:hint="eastAsia" w:ascii="宋体" w:hAnsi="宋体"/>
                <w:color w:val="auto"/>
                <w:kern w:val="0"/>
                <w:szCs w:val="21"/>
                <w:highlight w:val="none"/>
              </w:rPr>
              <w:t>.1项</w:t>
            </w:r>
            <w:r>
              <w:rPr>
                <w:rFonts w:ascii="宋体" w:hAnsi="宋体"/>
                <w:color w:val="auto"/>
                <w:kern w:val="0"/>
                <w:highlight w:val="none"/>
              </w:rPr>
              <w:t>规定</w:t>
            </w:r>
          </w:p>
        </w:tc>
      </w:tr>
      <w:tr w14:paraId="7A945E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14:paraId="3846E55A">
            <w:pPr>
              <w:spacing w:line="400" w:lineRule="exact"/>
              <w:jc w:val="center"/>
              <w:rPr>
                <w:rFonts w:ascii="宋体" w:hAnsi="宋体"/>
                <w:color w:val="auto"/>
                <w:highlight w:val="none"/>
              </w:rPr>
            </w:pPr>
          </w:p>
        </w:tc>
        <w:tc>
          <w:tcPr>
            <w:tcW w:w="852" w:type="dxa"/>
            <w:vMerge w:val="continue"/>
          </w:tcPr>
          <w:p w14:paraId="22F54B69">
            <w:pPr>
              <w:spacing w:line="400" w:lineRule="exact"/>
              <w:jc w:val="center"/>
              <w:rPr>
                <w:rFonts w:ascii="宋体" w:hAnsi="宋体"/>
                <w:color w:val="auto"/>
                <w:highlight w:val="none"/>
              </w:rPr>
            </w:pPr>
          </w:p>
        </w:tc>
        <w:tc>
          <w:tcPr>
            <w:tcW w:w="2492" w:type="dxa"/>
            <w:vAlign w:val="center"/>
          </w:tcPr>
          <w:p w14:paraId="648ACC8C">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728" w:type="dxa"/>
            <w:vAlign w:val="center"/>
          </w:tcPr>
          <w:p w14:paraId="4E4DC6B3">
            <w:pPr>
              <w:spacing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（由竞选人承诺，承诺书格式详见第六章竞选文件格式。）</w:t>
            </w:r>
          </w:p>
        </w:tc>
      </w:tr>
      <w:tr w14:paraId="1EECA3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3B29A938">
            <w:pPr>
              <w:spacing w:line="400" w:lineRule="exact"/>
              <w:rPr>
                <w:rFonts w:ascii="宋体" w:hAnsi="宋体"/>
                <w:color w:val="auto"/>
                <w:highlight w:val="none"/>
              </w:rPr>
            </w:pPr>
          </w:p>
        </w:tc>
        <w:tc>
          <w:tcPr>
            <w:tcW w:w="852" w:type="dxa"/>
            <w:vMerge w:val="continue"/>
          </w:tcPr>
          <w:p w14:paraId="7EDE269D">
            <w:pPr>
              <w:spacing w:line="400" w:lineRule="exact"/>
              <w:rPr>
                <w:rFonts w:ascii="宋体" w:hAnsi="宋体"/>
                <w:color w:val="auto"/>
                <w:highlight w:val="none"/>
              </w:rPr>
            </w:pPr>
          </w:p>
        </w:tc>
        <w:tc>
          <w:tcPr>
            <w:tcW w:w="2492" w:type="dxa"/>
            <w:vAlign w:val="center"/>
          </w:tcPr>
          <w:p w14:paraId="1EEFE5AD">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728" w:type="dxa"/>
            <w:vAlign w:val="center"/>
          </w:tcPr>
          <w:p w14:paraId="1A8A029A">
            <w:pPr>
              <w:spacing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符合第二章“竞选人须知”第1.4.3项规定。</w:t>
            </w:r>
          </w:p>
          <w:p w14:paraId="19E3F000">
            <w:pPr>
              <w:spacing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6B8C6987">
            <w:pPr>
              <w:spacing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768CC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75A5B3C3">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14:paraId="1DFE98E5">
            <w:pPr>
              <w:spacing w:line="400" w:lineRule="exact"/>
              <w:jc w:val="center"/>
              <w:rPr>
                <w:rFonts w:ascii="宋体" w:hAnsi="宋体"/>
                <w:b/>
                <w:color w:val="auto"/>
                <w:kern w:val="0"/>
                <w:highlight w:val="none"/>
              </w:rPr>
            </w:pPr>
            <w:r>
              <w:rPr>
                <w:rFonts w:hint="eastAsia" w:ascii="宋体" w:hAnsi="宋体"/>
                <w:b/>
                <w:color w:val="auto"/>
                <w:kern w:val="0"/>
                <w:highlight w:val="none"/>
              </w:rPr>
              <w:t>条款内容</w:t>
            </w:r>
          </w:p>
        </w:tc>
        <w:tc>
          <w:tcPr>
            <w:tcW w:w="5728" w:type="dxa"/>
            <w:vAlign w:val="center"/>
          </w:tcPr>
          <w:p w14:paraId="20D7560B">
            <w:pPr>
              <w:spacing w:line="400" w:lineRule="exact"/>
              <w:jc w:val="center"/>
              <w:rPr>
                <w:rFonts w:ascii="宋体" w:hAnsi="宋体"/>
                <w:b/>
                <w:color w:val="auto"/>
                <w:kern w:val="0"/>
                <w:highlight w:val="none"/>
              </w:rPr>
            </w:pPr>
            <w:r>
              <w:rPr>
                <w:rFonts w:hint="eastAsia" w:ascii="宋体" w:hAnsi="宋体"/>
                <w:b/>
                <w:color w:val="auto"/>
                <w:kern w:val="0"/>
                <w:highlight w:val="none"/>
              </w:rPr>
              <w:t>编列内容</w:t>
            </w:r>
          </w:p>
        </w:tc>
      </w:tr>
      <w:tr w14:paraId="58B060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14:paraId="0C059B28">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492" w:type="dxa"/>
            <w:vAlign w:val="center"/>
          </w:tcPr>
          <w:p w14:paraId="61E76A4C">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w:t>
            </w:r>
          </w:p>
          <w:p w14:paraId="6276D01E">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 xml:space="preserve"> （总分1</w:t>
            </w:r>
            <w:r>
              <w:rPr>
                <w:rFonts w:hint="eastAsia" w:ascii="宋体" w:hAnsi="宋体"/>
                <w:color w:val="auto"/>
                <w:kern w:val="0"/>
                <w:highlight w:val="none"/>
              </w:rPr>
              <w:t>00</w:t>
            </w:r>
            <w:r>
              <w:rPr>
                <w:rFonts w:ascii="宋体" w:hAnsi="宋体"/>
                <w:color w:val="auto"/>
                <w:kern w:val="0"/>
                <w:highlight w:val="none"/>
              </w:rPr>
              <w:t>分）</w:t>
            </w:r>
          </w:p>
        </w:tc>
        <w:tc>
          <w:tcPr>
            <w:tcW w:w="5728" w:type="dxa"/>
            <w:vAlign w:val="center"/>
          </w:tcPr>
          <w:p w14:paraId="416E17CC">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技术部分</w:t>
            </w:r>
            <w:r>
              <w:rPr>
                <w:rFonts w:hint="eastAsia" w:ascii="宋体" w:hAnsi="宋体"/>
                <w:color w:val="auto"/>
                <w:kern w:val="0"/>
                <w:highlight w:val="none"/>
                <w:u w:val="single"/>
                <w:lang w:val="en-US" w:eastAsia="zh-CN"/>
              </w:rPr>
              <w:t>7</w:t>
            </w:r>
            <w:r>
              <w:rPr>
                <w:rFonts w:hint="eastAsia" w:ascii="宋体" w:hAnsi="宋体"/>
                <w:color w:val="auto"/>
                <w:kern w:val="0"/>
                <w:highlight w:val="none"/>
                <w:u w:val="single"/>
              </w:rPr>
              <w:t>0</w:t>
            </w:r>
            <w:r>
              <w:rPr>
                <w:rFonts w:ascii="宋体" w:hAnsi="宋体"/>
                <w:color w:val="auto"/>
                <w:kern w:val="0"/>
                <w:highlight w:val="none"/>
              </w:rPr>
              <w:t>分</w:t>
            </w:r>
            <w:r>
              <w:rPr>
                <w:rFonts w:hint="eastAsia" w:ascii="宋体" w:hAnsi="宋体"/>
                <w:color w:val="auto"/>
                <w:kern w:val="0"/>
                <w:highlight w:val="none"/>
              </w:rPr>
              <w:t>；（服务方案）</w:t>
            </w:r>
          </w:p>
          <w:p w14:paraId="7C698CA8">
            <w:pPr>
              <w:snapToGrid w:val="0"/>
              <w:spacing w:line="400" w:lineRule="exact"/>
              <w:ind w:firstLine="420" w:firstLineChars="200"/>
              <w:rPr>
                <w:rFonts w:ascii="宋体" w:hAnsi="宋体"/>
                <w:i/>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.投标报价</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3</w:t>
            </w:r>
            <w:r>
              <w:rPr>
                <w:rFonts w:hint="eastAsia" w:ascii="宋体" w:hAnsi="宋体"/>
                <w:color w:val="auto"/>
                <w:kern w:val="0"/>
                <w:highlight w:val="none"/>
                <w:u w:val="single"/>
              </w:rPr>
              <w:t xml:space="preserve">0 </w:t>
            </w:r>
            <w:r>
              <w:rPr>
                <w:rFonts w:hint="eastAsia" w:ascii="宋体" w:hAnsi="宋体"/>
                <w:color w:val="auto"/>
                <w:kern w:val="0"/>
                <w:highlight w:val="none"/>
              </w:rPr>
              <w:t>分。</w:t>
            </w:r>
          </w:p>
        </w:tc>
      </w:tr>
      <w:tr w14:paraId="5B75A7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14:paraId="672F304F">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2</w:t>
            </w:r>
          </w:p>
        </w:tc>
        <w:tc>
          <w:tcPr>
            <w:tcW w:w="2492" w:type="dxa"/>
            <w:vAlign w:val="center"/>
          </w:tcPr>
          <w:p w14:paraId="3880C683">
            <w:pPr>
              <w:tabs>
                <w:tab w:val="left" w:pos="1875"/>
              </w:tabs>
              <w:spacing w:line="400" w:lineRule="exact"/>
              <w:jc w:val="center"/>
              <w:rPr>
                <w:rFonts w:ascii="宋体" w:hAnsi="宋体"/>
                <w:color w:val="auto"/>
                <w:kern w:val="0"/>
                <w:highlight w:val="none"/>
              </w:rPr>
            </w:pPr>
            <w:r>
              <w:rPr>
                <w:rFonts w:ascii="宋体" w:hAnsi="宋体"/>
                <w:color w:val="auto"/>
                <w:highlight w:val="none"/>
              </w:rPr>
              <w:t>评标基准价计算方法</w:t>
            </w:r>
          </w:p>
        </w:tc>
        <w:tc>
          <w:tcPr>
            <w:tcW w:w="5728" w:type="dxa"/>
            <w:vAlign w:val="center"/>
          </w:tcPr>
          <w:p w14:paraId="6E7155EF">
            <w:pPr>
              <w:snapToGrid w:val="0"/>
              <w:spacing w:line="400" w:lineRule="exact"/>
              <w:ind w:firstLine="420" w:firstLineChars="200"/>
              <w:jc w:val="left"/>
              <w:rPr>
                <w:rFonts w:ascii="宋体" w:hAnsi="宋体"/>
                <w:color w:val="auto"/>
                <w:highlight w:val="none"/>
              </w:rPr>
            </w:pPr>
            <w:r>
              <w:rPr>
                <w:rFonts w:ascii="宋体" w:hAnsi="宋体"/>
                <w:color w:val="auto"/>
                <w:highlight w:val="none"/>
              </w:rPr>
              <w:t>所有通过初步评审</w:t>
            </w:r>
            <w:r>
              <w:rPr>
                <w:rFonts w:hint="eastAsia" w:ascii="宋体" w:hAnsi="宋体"/>
                <w:color w:val="auto"/>
                <w:highlight w:val="none"/>
              </w:rPr>
              <w:t>和本章第2.2.</w:t>
            </w:r>
            <w:r>
              <w:rPr>
                <w:rFonts w:ascii="宋体" w:hAnsi="宋体"/>
                <w:color w:val="auto"/>
                <w:highlight w:val="none"/>
              </w:rPr>
              <w:t>4</w:t>
            </w: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）目评审</w:t>
            </w:r>
            <w:r>
              <w:rPr>
                <w:rFonts w:ascii="宋体" w:hAnsi="宋体"/>
                <w:color w:val="auto"/>
                <w:highlight w:val="none"/>
              </w:rPr>
              <w:t>合格的竞选人的投标总报价中去掉六分之一（不能整除的按小数点前整数取整，不足六家报价则不去掉）的最低价和相同家数的最高价后</w:t>
            </w:r>
            <w:r>
              <w:rPr>
                <w:rFonts w:hint="eastAsia" w:ascii="宋体" w:hAnsi="宋体"/>
                <w:color w:val="auto"/>
                <w:highlight w:val="none"/>
              </w:rPr>
              <w:t>计算出</w:t>
            </w:r>
            <w:r>
              <w:rPr>
                <w:rFonts w:ascii="宋体" w:hAnsi="宋体"/>
                <w:color w:val="auto"/>
                <w:highlight w:val="none"/>
              </w:rPr>
              <w:t>的算术平均值</w:t>
            </w:r>
            <w:r>
              <w:rPr>
                <w:rFonts w:hint="eastAsia" w:ascii="宋体" w:hAnsi="宋体"/>
                <w:color w:val="auto"/>
                <w:highlight w:val="none"/>
              </w:rPr>
              <w:t>，</w:t>
            </w:r>
            <w:r>
              <w:rPr>
                <w:rFonts w:ascii="宋体" w:hAnsi="宋体"/>
                <w:color w:val="auto"/>
                <w:highlight w:val="none"/>
              </w:rPr>
              <w:t>即为本项目投标总报价的评标基准价</w:t>
            </w:r>
            <w:r>
              <w:rPr>
                <w:rFonts w:hint="eastAsia" w:ascii="宋体" w:hAnsi="宋体"/>
                <w:color w:val="auto"/>
                <w:highlight w:val="none"/>
              </w:rPr>
              <w:t>。</w:t>
            </w:r>
          </w:p>
          <w:p w14:paraId="48BDEBE2">
            <w:pPr>
              <w:snapToGrid w:val="0"/>
              <w:spacing w:line="400" w:lineRule="exact"/>
              <w:ind w:firstLine="420" w:firstLineChars="200"/>
              <w:jc w:val="left"/>
              <w:rPr>
                <w:rFonts w:ascii="宋体" w:hAnsi="宋体"/>
                <w:color w:val="auto"/>
                <w:highlight w:val="none"/>
              </w:rPr>
            </w:pPr>
            <w:r>
              <w:rPr>
                <w:rFonts w:hint="eastAsia" w:ascii="宋体" w:hAnsi="宋体"/>
                <w:color w:val="auto"/>
                <w:highlight w:val="none"/>
              </w:rPr>
              <w:t>评标基准价计算的最终</w:t>
            </w:r>
            <w:r>
              <w:rPr>
                <w:rFonts w:ascii="宋体" w:hAnsi="宋体"/>
                <w:color w:val="auto"/>
                <w:highlight w:val="none"/>
              </w:rPr>
              <w:t>结果取小数点后两位，第三位四舍五入。在评标基准价计算完成后（除计算错误外），在后续的评审中不得再对其做出调整。</w:t>
            </w:r>
          </w:p>
        </w:tc>
      </w:tr>
      <w:tr w14:paraId="08A366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5082DD5D">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3</w:t>
            </w:r>
          </w:p>
        </w:tc>
        <w:tc>
          <w:tcPr>
            <w:tcW w:w="2492" w:type="dxa"/>
            <w:vAlign w:val="center"/>
          </w:tcPr>
          <w:p w14:paraId="0AB42BB9">
            <w:pPr>
              <w:tabs>
                <w:tab w:val="left" w:pos="1875"/>
              </w:tabs>
              <w:spacing w:line="400" w:lineRule="exact"/>
              <w:jc w:val="center"/>
              <w:rPr>
                <w:rFonts w:ascii="宋体" w:hAnsi="宋体"/>
                <w:color w:val="auto"/>
                <w:highlight w:val="none"/>
              </w:rPr>
            </w:pPr>
            <w:r>
              <w:rPr>
                <w:rFonts w:ascii="宋体" w:hAnsi="宋体"/>
                <w:color w:val="auto"/>
                <w:highlight w:val="none"/>
              </w:rPr>
              <w:t>投标报价的偏差率计算公式</w:t>
            </w:r>
          </w:p>
        </w:tc>
        <w:tc>
          <w:tcPr>
            <w:tcW w:w="5728" w:type="dxa"/>
            <w:vAlign w:val="center"/>
          </w:tcPr>
          <w:p w14:paraId="27D1BE54">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100％×（竞选人报价</w:t>
            </w:r>
            <w:r>
              <w:rPr>
                <w:rFonts w:hint="eastAsia" w:ascii="宋体" w:hAnsi="宋体"/>
                <w:color w:val="auto"/>
                <w:kern w:val="0"/>
                <w:highlight w:val="none"/>
              </w:rPr>
              <w:t>-</w:t>
            </w:r>
            <w:r>
              <w:rPr>
                <w:rFonts w:ascii="宋体" w:hAnsi="宋体"/>
                <w:color w:val="auto"/>
                <w:kern w:val="0"/>
                <w:highlight w:val="none"/>
              </w:rPr>
              <w:t>评标基准价）／评标基准价</w:t>
            </w:r>
          </w:p>
          <w:p w14:paraId="11DBDBBA">
            <w:pPr>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4E53A6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15C89A02">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vAlign w:val="center"/>
          </w:tcPr>
          <w:p w14:paraId="4BACF374">
            <w:pPr>
              <w:spacing w:line="400" w:lineRule="exact"/>
              <w:jc w:val="center"/>
              <w:rPr>
                <w:rFonts w:ascii="宋体" w:hAnsi="宋体"/>
                <w:b/>
                <w:color w:val="auto"/>
                <w:kern w:val="0"/>
                <w:highlight w:val="none"/>
              </w:rPr>
            </w:pPr>
            <w:r>
              <w:rPr>
                <w:rFonts w:hint="eastAsia" w:ascii="宋体" w:hAnsi="宋体"/>
                <w:b/>
                <w:color w:val="auto"/>
                <w:kern w:val="0"/>
                <w:highlight w:val="none"/>
              </w:rPr>
              <w:t>评分因素</w:t>
            </w:r>
          </w:p>
        </w:tc>
        <w:tc>
          <w:tcPr>
            <w:tcW w:w="5728" w:type="dxa"/>
            <w:vAlign w:val="center"/>
          </w:tcPr>
          <w:p w14:paraId="17BABC47">
            <w:pPr>
              <w:spacing w:line="400" w:lineRule="exact"/>
              <w:jc w:val="center"/>
              <w:rPr>
                <w:rFonts w:ascii="宋体" w:hAnsi="宋体"/>
                <w:b/>
                <w:color w:val="auto"/>
                <w:kern w:val="0"/>
                <w:highlight w:val="none"/>
              </w:rPr>
            </w:pPr>
            <w:r>
              <w:rPr>
                <w:rFonts w:hint="eastAsia" w:ascii="宋体" w:hAnsi="宋体"/>
                <w:b/>
                <w:color w:val="auto"/>
                <w:kern w:val="0"/>
                <w:highlight w:val="none"/>
              </w:rPr>
              <w:t>评分标准</w:t>
            </w:r>
          </w:p>
        </w:tc>
      </w:tr>
    </w:tbl>
    <w:p w14:paraId="6FB3B9EB">
      <w:pPr>
        <w:rPr>
          <w:rFonts w:ascii="宋体" w:hAnsi="宋体"/>
          <w:color w:val="auto"/>
          <w:highlight w:val="none"/>
        </w:rPr>
      </w:pPr>
    </w:p>
    <w:tbl>
      <w:tblPr>
        <w:tblStyle w:val="28"/>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14:paraId="6625F3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1F669572">
            <w:pPr>
              <w:spacing w:line="400" w:lineRule="exact"/>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（1）</w:t>
            </w:r>
          </w:p>
        </w:tc>
        <w:tc>
          <w:tcPr>
            <w:tcW w:w="852" w:type="dxa"/>
            <w:vMerge w:val="restart"/>
            <w:tcBorders>
              <w:left w:val="single" w:color="auto" w:sz="4" w:space="0"/>
            </w:tcBorders>
            <w:vAlign w:val="center"/>
          </w:tcPr>
          <w:p w14:paraId="44C08A81">
            <w:pPr>
              <w:pStyle w:val="8"/>
              <w:jc w:val="center"/>
              <w:rPr>
                <w:rFonts w:ascii="宋体" w:hAnsi="宋体"/>
                <w:color w:val="auto"/>
                <w:kern w:val="0"/>
                <w:highlight w:val="none"/>
              </w:rPr>
            </w:pPr>
            <w:r>
              <w:rPr>
                <w:rFonts w:hint="eastAsia" w:ascii="宋体" w:hAnsi="宋体"/>
                <w:color w:val="auto"/>
                <w:kern w:val="0"/>
                <w:highlight w:val="none"/>
              </w:rPr>
              <w:t>技术部分评分（</w:t>
            </w:r>
            <w:r>
              <w:rPr>
                <w:rFonts w:ascii="宋体" w:hAnsi="宋体"/>
                <w:color w:val="auto"/>
                <w:kern w:val="0"/>
                <w:highlight w:val="none"/>
              </w:rPr>
              <w:t>A</w:t>
            </w:r>
            <w:r>
              <w:rPr>
                <w:rFonts w:hint="eastAsia" w:ascii="宋体" w:hAnsi="宋体"/>
                <w:color w:val="auto"/>
                <w:kern w:val="0"/>
                <w:highlight w:val="none"/>
              </w:rPr>
              <w:t>）标准</w:t>
            </w:r>
          </w:p>
        </w:tc>
        <w:tc>
          <w:tcPr>
            <w:tcW w:w="2587" w:type="dxa"/>
            <w:tcBorders>
              <w:bottom w:val="single" w:color="auto" w:sz="4" w:space="0"/>
            </w:tcBorders>
            <w:vAlign w:val="center"/>
          </w:tcPr>
          <w:p w14:paraId="0E143E50">
            <w:pPr>
              <w:tabs>
                <w:tab w:val="left" w:pos="1875"/>
              </w:tabs>
              <w:spacing w:line="400" w:lineRule="exact"/>
              <w:jc w:val="center"/>
              <w:rPr>
                <w:rFonts w:ascii="宋体" w:hAnsi="宋体"/>
                <w:color w:val="auto"/>
                <w:kern w:val="0"/>
                <w:highlight w:val="none"/>
              </w:rPr>
            </w:pPr>
            <w:r>
              <w:rPr>
                <w:rFonts w:hint="eastAsia" w:ascii="宋体" w:hAnsi="宋体"/>
                <w:color w:val="auto"/>
                <w:kern w:val="0"/>
                <w:highlight w:val="none"/>
              </w:rPr>
              <w:t>服务方案总体评审标准</w:t>
            </w:r>
          </w:p>
        </w:tc>
        <w:tc>
          <w:tcPr>
            <w:tcW w:w="5738" w:type="dxa"/>
            <w:vAlign w:val="center"/>
          </w:tcPr>
          <w:p w14:paraId="189CE8CA">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取算术平均值为该竞选人</w:t>
            </w:r>
            <w:r>
              <w:rPr>
                <w:rFonts w:hint="eastAsia" w:ascii="宋体" w:hAnsi="宋体"/>
                <w:snapToGrid w:val="0"/>
                <w:color w:val="auto"/>
                <w:kern w:val="0"/>
                <w:szCs w:val="21"/>
                <w:highlight w:val="none"/>
              </w:rPr>
              <w:t>服务方案</w:t>
            </w:r>
            <w:r>
              <w:rPr>
                <w:rFonts w:ascii="宋体" w:hAnsi="宋体"/>
                <w:snapToGrid w:val="0"/>
                <w:color w:val="auto"/>
                <w:kern w:val="0"/>
                <w:szCs w:val="21"/>
                <w:highlight w:val="none"/>
              </w:rPr>
              <w:t>得分。</w:t>
            </w:r>
          </w:p>
          <w:p w14:paraId="4CC8D11C">
            <w:pPr>
              <w:snapToGrid w:val="0"/>
              <w:spacing w:line="400" w:lineRule="exact"/>
              <w:ind w:firstLine="420" w:firstLineChars="200"/>
              <w:rPr>
                <w:rFonts w:ascii="宋体" w:hAnsi="宋体"/>
                <w:color w:val="auto"/>
                <w:highlight w:val="none"/>
                <w:u w:val="single"/>
              </w:rPr>
            </w:pPr>
            <w:r>
              <w:rPr>
                <w:rFonts w:hint="eastAsia" w:ascii="宋体" w:hAnsi="宋体"/>
                <w:color w:val="auto"/>
                <w:kern w:val="0"/>
                <w:szCs w:val="21"/>
                <w:highlight w:val="none"/>
              </w:rPr>
              <w:t>服务</w:t>
            </w:r>
            <w:r>
              <w:rPr>
                <w:rFonts w:ascii="宋体" w:hAnsi="宋体"/>
                <w:color w:val="auto"/>
                <w:kern w:val="0"/>
                <w:szCs w:val="21"/>
                <w:highlight w:val="none"/>
              </w:rPr>
              <w:t>方案得分的最终结果取小数点后两位，第三位四舍五入。</w:t>
            </w:r>
          </w:p>
        </w:tc>
      </w:tr>
      <w:tr w14:paraId="7BDDF3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14:paraId="7C44B501">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4729E363">
            <w:pPr>
              <w:spacing w:line="400" w:lineRule="exact"/>
              <w:ind w:firstLine="210" w:firstLineChars="100"/>
              <w:jc w:val="center"/>
              <w:rPr>
                <w:rFonts w:ascii="宋体" w:hAnsi="宋体"/>
                <w:color w:val="auto"/>
                <w:kern w:val="0"/>
                <w:highlight w:val="none"/>
              </w:rPr>
            </w:pPr>
          </w:p>
        </w:tc>
        <w:tc>
          <w:tcPr>
            <w:tcW w:w="2587" w:type="dxa"/>
            <w:vAlign w:val="center"/>
          </w:tcPr>
          <w:p w14:paraId="1823A0F9">
            <w:pPr>
              <w:tabs>
                <w:tab w:val="left" w:pos="1875"/>
              </w:tabs>
              <w:spacing w:line="400" w:lineRule="exact"/>
              <w:jc w:val="center"/>
              <w:rPr>
                <w:rFonts w:ascii="宋体" w:hAnsi="宋体" w:cs="宋体"/>
                <w:color w:val="auto"/>
                <w:kern w:val="0"/>
                <w:highlight w:val="none"/>
              </w:rPr>
            </w:pPr>
            <w:r>
              <w:rPr>
                <w:rStyle w:val="55"/>
                <w:rFonts w:ascii="宋体" w:hAnsi="宋体"/>
                <w:color w:val="auto"/>
                <w:szCs w:val="21"/>
                <w:highlight w:val="none"/>
              </w:rPr>
              <w:t>造价控制咨询工作大纲（</w:t>
            </w:r>
            <w:r>
              <w:rPr>
                <w:rStyle w:val="55"/>
                <w:rFonts w:hint="eastAsia" w:ascii="宋体" w:hAnsi="宋体"/>
                <w:color w:val="auto"/>
                <w:szCs w:val="21"/>
                <w:highlight w:val="none"/>
                <w:lang w:val="en-US" w:eastAsia="zh-CN"/>
              </w:rPr>
              <w:t>15</w:t>
            </w:r>
            <w:r>
              <w:rPr>
                <w:rStyle w:val="55"/>
                <w:rFonts w:ascii="宋体" w:hAnsi="宋体"/>
                <w:color w:val="auto"/>
                <w:szCs w:val="21"/>
                <w:highlight w:val="none"/>
              </w:rPr>
              <w:t>分）</w:t>
            </w:r>
          </w:p>
        </w:tc>
        <w:tc>
          <w:tcPr>
            <w:tcW w:w="5738" w:type="dxa"/>
            <w:vAlign w:val="center"/>
          </w:tcPr>
          <w:p w14:paraId="73D9E4BC">
            <w:pPr>
              <w:snapToGrid w:val="0"/>
              <w:spacing w:line="400" w:lineRule="exact"/>
              <w:ind w:firstLine="420" w:firstLineChars="200"/>
              <w:rPr>
                <w:rFonts w:ascii="宋体" w:hAnsi="宋体"/>
                <w:color w:val="auto"/>
                <w:highlight w:val="none"/>
              </w:rPr>
            </w:pPr>
            <w:r>
              <w:rPr>
                <w:rStyle w:val="55"/>
                <w:rFonts w:hint="eastAsia" w:ascii="宋体" w:hAnsi="宋体"/>
                <w:color w:val="auto"/>
                <w:szCs w:val="21"/>
                <w:highlight w:val="none"/>
              </w:rPr>
              <w:t>编制要点：各有效竞选人针对本项目造价服务大纲编制内容的总体思路、内容是否完善等；优得</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w:t>
            </w:r>
            <w:r>
              <w:rPr>
                <w:rStyle w:val="55"/>
                <w:rFonts w:hint="eastAsia" w:ascii="宋体" w:hAnsi="宋体"/>
                <w:color w:val="auto"/>
                <w:szCs w:val="21"/>
                <w:highlight w:val="none"/>
              </w:rPr>
              <w:t>5分；良得</w:t>
            </w:r>
            <w:r>
              <w:rPr>
                <w:rStyle w:val="55"/>
                <w:rFonts w:hint="eastAsia" w:ascii="宋体" w:hAnsi="宋体"/>
                <w:color w:val="auto"/>
                <w:szCs w:val="21"/>
                <w:highlight w:val="none"/>
                <w:lang w:val="en-US" w:eastAsia="zh-CN"/>
              </w:rPr>
              <w:t>5</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0-5</w:t>
            </w:r>
            <w:r>
              <w:rPr>
                <w:rStyle w:val="55"/>
                <w:rFonts w:hint="eastAsia" w:ascii="宋体" w:hAnsi="宋体"/>
                <w:color w:val="auto"/>
                <w:szCs w:val="21"/>
                <w:highlight w:val="none"/>
              </w:rPr>
              <w:t>分；差不得分。</w:t>
            </w:r>
          </w:p>
        </w:tc>
      </w:tr>
      <w:tr w14:paraId="1E4872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808" w:type="dxa"/>
            <w:vMerge w:val="continue"/>
            <w:tcBorders>
              <w:right w:val="single" w:color="auto" w:sz="4" w:space="0"/>
            </w:tcBorders>
            <w:vAlign w:val="center"/>
          </w:tcPr>
          <w:p w14:paraId="4DEB9A95">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2AB1D593">
            <w:pPr>
              <w:spacing w:line="400" w:lineRule="exact"/>
              <w:ind w:firstLine="210" w:firstLineChars="100"/>
              <w:jc w:val="center"/>
              <w:rPr>
                <w:rFonts w:ascii="宋体" w:hAnsi="宋体"/>
                <w:color w:val="auto"/>
                <w:kern w:val="0"/>
                <w:highlight w:val="none"/>
              </w:rPr>
            </w:pPr>
          </w:p>
        </w:tc>
        <w:tc>
          <w:tcPr>
            <w:tcW w:w="2587" w:type="dxa"/>
            <w:tcBorders>
              <w:top w:val="single" w:color="auto" w:sz="4" w:space="0"/>
              <w:bottom w:val="single" w:color="auto" w:sz="4" w:space="0"/>
            </w:tcBorders>
            <w:vAlign w:val="center"/>
          </w:tcPr>
          <w:p w14:paraId="4EABDAFC">
            <w:pPr>
              <w:tabs>
                <w:tab w:val="left" w:pos="1875"/>
              </w:tabs>
              <w:spacing w:line="400" w:lineRule="exact"/>
              <w:jc w:val="center"/>
              <w:rPr>
                <w:rFonts w:ascii="宋体" w:hAnsi="宋体" w:cs="宋体"/>
                <w:color w:val="auto"/>
                <w:kern w:val="0"/>
                <w:highlight w:val="none"/>
              </w:rPr>
            </w:pPr>
            <w:r>
              <w:rPr>
                <w:rStyle w:val="55"/>
                <w:rFonts w:ascii="宋体" w:hAnsi="宋体"/>
                <w:color w:val="auto"/>
                <w:szCs w:val="21"/>
                <w:highlight w:val="none"/>
              </w:rPr>
              <w:t>造价控制岗位职责和职业守则（</w:t>
            </w:r>
            <w:r>
              <w:rPr>
                <w:rStyle w:val="55"/>
                <w:rFonts w:hint="eastAsia" w:ascii="宋体" w:hAnsi="宋体"/>
                <w:color w:val="auto"/>
                <w:szCs w:val="21"/>
                <w:highlight w:val="none"/>
                <w:lang w:val="en-US" w:eastAsia="zh-CN"/>
              </w:rPr>
              <w:t>15</w:t>
            </w:r>
            <w:r>
              <w:rPr>
                <w:rStyle w:val="55"/>
                <w:rFonts w:ascii="宋体" w:hAnsi="宋体"/>
                <w:color w:val="auto"/>
                <w:szCs w:val="21"/>
                <w:highlight w:val="none"/>
              </w:rPr>
              <w:t>分）</w:t>
            </w:r>
          </w:p>
        </w:tc>
        <w:tc>
          <w:tcPr>
            <w:tcW w:w="5738" w:type="dxa"/>
            <w:vAlign w:val="center"/>
          </w:tcPr>
          <w:p w14:paraId="6F618E77">
            <w:pPr>
              <w:snapToGrid w:val="0"/>
              <w:spacing w:line="400" w:lineRule="exact"/>
              <w:ind w:firstLine="420" w:firstLineChars="200"/>
              <w:rPr>
                <w:rFonts w:ascii="宋体" w:hAnsi="宋体"/>
                <w:color w:val="auto"/>
                <w:highlight w:val="none"/>
              </w:rPr>
            </w:pPr>
            <w:r>
              <w:rPr>
                <w:rStyle w:val="55"/>
                <w:rFonts w:hint="eastAsia" w:ascii="宋体" w:hAnsi="宋体"/>
                <w:color w:val="auto"/>
                <w:szCs w:val="21"/>
                <w:highlight w:val="none"/>
              </w:rPr>
              <w:t>编制要点：各有效竞选人针对造价控制咨询机构配置是否完整且合理，分工明确，造价控制人员岗位职责及制度是否健全，专业人员是否配置合理，优得</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w:t>
            </w:r>
            <w:r>
              <w:rPr>
                <w:rStyle w:val="55"/>
                <w:rFonts w:hint="eastAsia" w:ascii="宋体" w:hAnsi="宋体"/>
                <w:color w:val="auto"/>
                <w:szCs w:val="21"/>
                <w:highlight w:val="none"/>
              </w:rPr>
              <w:t>5分；良得</w:t>
            </w:r>
            <w:r>
              <w:rPr>
                <w:rStyle w:val="55"/>
                <w:rFonts w:hint="eastAsia" w:ascii="宋体" w:hAnsi="宋体"/>
                <w:color w:val="auto"/>
                <w:szCs w:val="21"/>
                <w:highlight w:val="none"/>
                <w:lang w:val="en-US" w:eastAsia="zh-CN"/>
              </w:rPr>
              <w:t>5</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0-5</w:t>
            </w:r>
            <w:r>
              <w:rPr>
                <w:rStyle w:val="55"/>
                <w:rFonts w:hint="eastAsia" w:ascii="宋体" w:hAnsi="宋体"/>
                <w:color w:val="auto"/>
                <w:szCs w:val="21"/>
                <w:highlight w:val="none"/>
              </w:rPr>
              <w:t>分；差不得分。</w:t>
            </w:r>
          </w:p>
        </w:tc>
      </w:tr>
      <w:tr w14:paraId="4B1F70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14:paraId="5071D4ED">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33305C0A">
            <w:pPr>
              <w:spacing w:line="400" w:lineRule="exact"/>
              <w:ind w:firstLine="210" w:firstLineChars="100"/>
              <w:jc w:val="center"/>
              <w:rPr>
                <w:rFonts w:ascii="宋体" w:hAnsi="宋体"/>
                <w:color w:val="auto"/>
                <w:kern w:val="0"/>
                <w:highlight w:val="none"/>
              </w:rPr>
            </w:pPr>
          </w:p>
        </w:tc>
        <w:tc>
          <w:tcPr>
            <w:tcW w:w="2587" w:type="dxa"/>
            <w:tcBorders>
              <w:top w:val="single" w:color="auto" w:sz="4" w:space="0"/>
              <w:bottom w:val="single" w:color="auto" w:sz="4" w:space="0"/>
            </w:tcBorders>
            <w:vAlign w:val="center"/>
          </w:tcPr>
          <w:p w14:paraId="5CF11441">
            <w:pPr>
              <w:tabs>
                <w:tab w:val="left" w:pos="1875"/>
              </w:tabs>
              <w:spacing w:line="400" w:lineRule="exact"/>
              <w:jc w:val="center"/>
              <w:rPr>
                <w:rFonts w:ascii="宋体" w:hAnsi="宋体" w:cs="宋体"/>
                <w:color w:val="auto"/>
                <w:kern w:val="0"/>
                <w:highlight w:val="none"/>
              </w:rPr>
            </w:pPr>
            <w:r>
              <w:rPr>
                <w:rStyle w:val="55"/>
                <w:rFonts w:ascii="宋体" w:hAnsi="宋体"/>
                <w:color w:val="auto"/>
                <w:szCs w:val="21"/>
                <w:highlight w:val="none"/>
              </w:rPr>
              <w:t>造价控制措施（含企业内部组织管理体系、对本工程造价控制的重难点分析）（</w:t>
            </w:r>
            <w:r>
              <w:rPr>
                <w:rStyle w:val="55"/>
                <w:rFonts w:hint="eastAsia" w:ascii="宋体" w:hAnsi="宋体"/>
                <w:color w:val="auto"/>
                <w:szCs w:val="21"/>
                <w:highlight w:val="none"/>
                <w:lang w:val="en-US" w:eastAsia="zh-CN"/>
              </w:rPr>
              <w:t>10</w:t>
            </w:r>
            <w:r>
              <w:rPr>
                <w:rStyle w:val="55"/>
                <w:rFonts w:ascii="宋体" w:hAnsi="宋体"/>
                <w:color w:val="auto"/>
                <w:szCs w:val="21"/>
                <w:highlight w:val="none"/>
              </w:rPr>
              <w:t>分）</w:t>
            </w:r>
          </w:p>
        </w:tc>
        <w:tc>
          <w:tcPr>
            <w:tcW w:w="5738" w:type="dxa"/>
            <w:vAlign w:val="center"/>
          </w:tcPr>
          <w:p w14:paraId="6E90EA69">
            <w:pPr>
              <w:snapToGrid w:val="0"/>
              <w:spacing w:line="400" w:lineRule="exact"/>
              <w:ind w:firstLine="420" w:firstLineChars="200"/>
              <w:rPr>
                <w:rFonts w:ascii="宋体" w:hAnsi="宋体"/>
                <w:color w:val="auto"/>
                <w:highlight w:val="none"/>
                <w:u w:val="single"/>
              </w:rPr>
            </w:pPr>
            <w:r>
              <w:rPr>
                <w:rStyle w:val="55"/>
                <w:rFonts w:hint="eastAsia" w:ascii="宋体" w:hAnsi="宋体"/>
                <w:color w:val="auto"/>
                <w:szCs w:val="21"/>
                <w:highlight w:val="none"/>
              </w:rPr>
              <w:t>编制要点：各有效竞选人针对本工程造价控制难点提出可行的措施，同时针对本工程分析重难点及合理化建议，提出问题的解决方法，以及企业内部组织管理体系等；优得</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分；良得</w:t>
            </w:r>
            <w:r>
              <w:rPr>
                <w:rStyle w:val="55"/>
                <w:rFonts w:hint="eastAsia" w:ascii="宋体" w:hAnsi="宋体"/>
                <w:color w:val="auto"/>
                <w:szCs w:val="21"/>
                <w:highlight w:val="none"/>
                <w:lang w:val="en-US" w:eastAsia="zh-CN"/>
              </w:rPr>
              <w:t>3</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0-3</w:t>
            </w:r>
            <w:r>
              <w:rPr>
                <w:rStyle w:val="55"/>
                <w:rFonts w:hint="eastAsia" w:ascii="宋体" w:hAnsi="宋体"/>
                <w:color w:val="auto"/>
                <w:szCs w:val="21"/>
                <w:highlight w:val="none"/>
              </w:rPr>
              <w:t>分；差不得分。</w:t>
            </w:r>
          </w:p>
        </w:tc>
      </w:tr>
      <w:tr w14:paraId="6EFCFD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7813CA2C">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743FD264">
            <w:pPr>
              <w:spacing w:line="400" w:lineRule="exact"/>
              <w:ind w:firstLine="210" w:firstLineChars="100"/>
              <w:jc w:val="center"/>
              <w:rPr>
                <w:rFonts w:ascii="宋体" w:hAnsi="宋体"/>
                <w:color w:val="auto"/>
                <w:kern w:val="0"/>
                <w:highlight w:val="none"/>
              </w:rPr>
            </w:pPr>
          </w:p>
        </w:tc>
        <w:tc>
          <w:tcPr>
            <w:tcW w:w="2587" w:type="dxa"/>
            <w:tcBorders>
              <w:top w:val="single" w:color="auto" w:sz="4" w:space="0"/>
              <w:bottom w:val="single" w:color="auto" w:sz="4" w:space="0"/>
            </w:tcBorders>
            <w:vAlign w:val="center"/>
          </w:tcPr>
          <w:p w14:paraId="755E7336">
            <w:pPr>
              <w:tabs>
                <w:tab w:val="left" w:pos="1875"/>
              </w:tabs>
              <w:spacing w:line="400" w:lineRule="exact"/>
              <w:jc w:val="center"/>
              <w:rPr>
                <w:rFonts w:ascii="宋体" w:hAnsi="宋体" w:cs="宋体"/>
                <w:color w:val="auto"/>
                <w:kern w:val="0"/>
                <w:highlight w:val="none"/>
              </w:rPr>
            </w:pPr>
            <w:r>
              <w:rPr>
                <w:rStyle w:val="55"/>
                <w:rFonts w:ascii="宋体" w:hAnsi="宋体"/>
                <w:color w:val="auto"/>
                <w:szCs w:val="21"/>
                <w:highlight w:val="none"/>
              </w:rPr>
              <w:t>工程投资的控制措施（</w:t>
            </w:r>
            <w:r>
              <w:rPr>
                <w:rStyle w:val="55"/>
                <w:rFonts w:hint="eastAsia" w:ascii="宋体" w:hAnsi="宋体"/>
                <w:color w:val="auto"/>
                <w:szCs w:val="21"/>
                <w:highlight w:val="none"/>
                <w:lang w:val="en-US" w:eastAsia="zh-CN"/>
              </w:rPr>
              <w:t>10</w:t>
            </w:r>
            <w:r>
              <w:rPr>
                <w:rStyle w:val="55"/>
                <w:rFonts w:ascii="宋体" w:hAnsi="宋体"/>
                <w:color w:val="auto"/>
                <w:szCs w:val="21"/>
                <w:highlight w:val="none"/>
              </w:rPr>
              <w:t>分）</w:t>
            </w:r>
          </w:p>
        </w:tc>
        <w:tc>
          <w:tcPr>
            <w:tcW w:w="5738" w:type="dxa"/>
            <w:vAlign w:val="center"/>
          </w:tcPr>
          <w:p w14:paraId="1AC62262">
            <w:pPr>
              <w:snapToGrid w:val="0"/>
              <w:spacing w:line="400" w:lineRule="exact"/>
              <w:ind w:firstLine="420" w:firstLineChars="200"/>
              <w:rPr>
                <w:rFonts w:ascii="宋体" w:hAnsi="宋体"/>
                <w:color w:val="auto"/>
                <w:highlight w:val="none"/>
              </w:rPr>
            </w:pPr>
            <w:r>
              <w:rPr>
                <w:rStyle w:val="55"/>
                <w:rFonts w:hint="eastAsia" w:ascii="宋体" w:hAnsi="宋体"/>
                <w:color w:val="auto"/>
                <w:szCs w:val="21"/>
                <w:highlight w:val="none"/>
              </w:rPr>
              <w:t>编制要点：各有效竞选人针对本工程造价</w:t>
            </w:r>
            <w:r>
              <w:rPr>
                <w:rStyle w:val="55"/>
                <w:rFonts w:ascii="宋体" w:hAnsi="宋体"/>
                <w:color w:val="auto"/>
                <w:szCs w:val="21"/>
                <w:highlight w:val="none"/>
              </w:rPr>
              <w:t>控制措施</w:t>
            </w:r>
            <w:r>
              <w:rPr>
                <w:rStyle w:val="55"/>
                <w:rFonts w:hint="eastAsia" w:ascii="宋体" w:hAnsi="宋体"/>
                <w:color w:val="auto"/>
                <w:szCs w:val="21"/>
                <w:highlight w:val="none"/>
              </w:rPr>
              <w:t>，合理管理、控制在施工过程中的投资，分析本项目的重要节点投资控制 、控制方法路线切实可行、理念思路清晰的；优得</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分；良得</w:t>
            </w:r>
            <w:r>
              <w:rPr>
                <w:rStyle w:val="55"/>
                <w:rFonts w:hint="eastAsia" w:ascii="宋体" w:hAnsi="宋体"/>
                <w:color w:val="auto"/>
                <w:szCs w:val="21"/>
                <w:highlight w:val="none"/>
                <w:lang w:val="en-US" w:eastAsia="zh-CN"/>
              </w:rPr>
              <w:t>3</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0-3</w:t>
            </w:r>
            <w:r>
              <w:rPr>
                <w:rStyle w:val="55"/>
                <w:rFonts w:hint="eastAsia" w:ascii="宋体" w:hAnsi="宋体"/>
                <w:color w:val="auto"/>
                <w:szCs w:val="21"/>
                <w:highlight w:val="none"/>
              </w:rPr>
              <w:t>分；差不得分。</w:t>
            </w:r>
          </w:p>
        </w:tc>
      </w:tr>
      <w:tr w14:paraId="0232C8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0BE62501">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3AD6EDC9">
            <w:pPr>
              <w:spacing w:line="400" w:lineRule="exact"/>
              <w:ind w:firstLine="210" w:firstLineChars="100"/>
              <w:jc w:val="center"/>
              <w:rPr>
                <w:rFonts w:ascii="宋体" w:hAnsi="宋体"/>
                <w:color w:val="auto"/>
                <w:kern w:val="0"/>
                <w:highlight w:val="none"/>
              </w:rPr>
            </w:pPr>
          </w:p>
        </w:tc>
        <w:tc>
          <w:tcPr>
            <w:tcW w:w="2587" w:type="dxa"/>
            <w:tcBorders>
              <w:top w:val="single" w:color="auto" w:sz="4" w:space="0"/>
              <w:bottom w:val="single" w:color="auto" w:sz="4" w:space="0"/>
            </w:tcBorders>
            <w:vAlign w:val="center"/>
          </w:tcPr>
          <w:p w14:paraId="1B71D1AD">
            <w:pPr>
              <w:tabs>
                <w:tab w:val="left" w:pos="1875"/>
              </w:tabs>
              <w:spacing w:line="400" w:lineRule="exact"/>
              <w:jc w:val="center"/>
              <w:rPr>
                <w:rFonts w:ascii="宋体" w:hAnsi="宋体"/>
                <w:color w:val="auto"/>
                <w:highlight w:val="none"/>
              </w:rPr>
            </w:pPr>
            <w:r>
              <w:rPr>
                <w:rStyle w:val="55"/>
                <w:rFonts w:ascii="宋体" w:hAnsi="宋体"/>
                <w:color w:val="auto"/>
                <w:szCs w:val="21"/>
                <w:highlight w:val="none"/>
              </w:rPr>
              <w:t>造价控制进度控制的措施（</w:t>
            </w:r>
            <w:r>
              <w:rPr>
                <w:rStyle w:val="55"/>
                <w:rFonts w:hint="eastAsia" w:ascii="宋体" w:hAnsi="宋体"/>
                <w:color w:val="auto"/>
                <w:szCs w:val="21"/>
                <w:highlight w:val="none"/>
                <w:lang w:val="en-US" w:eastAsia="zh-CN"/>
              </w:rPr>
              <w:t>10</w:t>
            </w:r>
            <w:r>
              <w:rPr>
                <w:rStyle w:val="55"/>
                <w:rFonts w:ascii="宋体" w:hAnsi="宋体"/>
                <w:color w:val="auto"/>
                <w:szCs w:val="21"/>
                <w:highlight w:val="none"/>
              </w:rPr>
              <w:t>分）</w:t>
            </w:r>
          </w:p>
        </w:tc>
        <w:tc>
          <w:tcPr>
            <w:tcW w:w="5738" w:type="dxa"/>
            <w:vAlign w:val="center"/>
          </w:tcPr>
          <w:p w14:paraId="13D3D924">
            <w:pPr>
              <w:snapToGrid w:val="0"/>
              <w:spacing w:line="400" w:lineRule="exact"/>
              <w:ind w:firstLine="420" w:firstLineChars="200"/>
              <w:rPr>
                <w:rFonts w:ascii="宋体" w:hAnsi="宋体"/>
                <w:color w:val="auto"/>
                <w:highlight w:val="none"/>
                <w:u w:val="single"/>
              </w:rPr>
            </w:pPr>
            <w:r>
              <w:rPr>
                <w:rStyle w:val="55"/>
                <w:rFonts w:hint="eastAsia" w:ascii="宋体" w:hAnsi="宋体"/>
                <w:color w:val="auto"/>
                <w:szCs w:val="21"/>
                <w:highlight w:val="none"/>
              </w:rPr>
              <w:t>编制要点：各有效竞选人针对本工程造价</w:t>
            </w:r>
            <w:r>
              <w:rPr>
                <w:rStyle w:val="55"/>
                <w:rFonts w:ascii="宋体" w:hAnsi="宋体"/>
                <w:color w:val="auto"/>
                <w:szCs w:val="21"/>
                <w:highlight w:val="none"/>
              </w:rPr>
              <w:t>控制</w:t>
            </w:r>
            <w:r>
              <w:rPr>
                <w:rStyle w:val="55"/>
                <w:rFonts w:hint="eastAsia" w:ascii="宋体" w:hAnsi="宋体"/>
                <w:color w:val="auto"/>
                <w:szCs w:val="21"/>
                <w:highlight w:val="none"/>
              </w:rPr>
              <w:t>进度，合理管理造价在施工过程中的进度控制，拟定整个方案和计划安排合理可行的；优得</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分；良得</w:t>
            </w:r>
            <w:r>
              <w:rPr>
                <w:rStyle w:val="55"/>
                <w:rFonts w:hint="eastAsia" w:ascii="宋体" w:hAnsi="宋体"/>
                <w:color w:val="auto"/>
                <w:szCs w:val="21"/>
                <w:highlight w:val="none"/>
                <w:lang w:val="en-US" w:eastAsia="zh-CN"/>
              </w:rPr>
              <w:t>3</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0-3</w:t>
            </w:r>
            <w:r>
              <w:rPr>
                <w:rStyle w:val="55"/>
                <w:rFonts w:hint="eastAsia" w:ascii="宋体" w:hAnsi="宋体"/>
                <w:color w:val="auto"/>
                <w:szCs w:val="21"/>
                <w:highlight w:val="none"/>
              </w:rPr>
              <w:t>分；差不得分。</w:t>
            </w:r>
          </w:p>
        </w:tc>
      </w:tr>
      <w:tr w14:paraId="0B3BC9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072EBEB2">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67380505">
            <w:pPr>
              <w:spacing w:line="400" w:lineRule="exact"/>
              <w:ind w:firstLine="210" w:firstLineChars="100"/>
              <w:jc w:val="center"/>
              <w:rPr>
                <w:rFonts w:ascii="宋体" w:hAnsi="宋体"/>
                <w:color w:val="auto"/>
                <w:kern w:val="0"/>
                <w:highlight w:val="none"/>
              </w:rPr>
            </w:pPr>
          </w:p>
        </w:tc>
        <w:tc>
          <w:tcPr>
            <w:tcW w:w="2587" w:type="dxa"/>
            <w:tcBorders>
              <w:top w:val="single" w:color="auto" w:sz="4" w:space="0"/>
            </w:tcBorders>
            <w:vAlign w:val="center"/>
          </w:tcPr>
          <w:p w14:paraId="378D8177">
            <w:pPr>
              <w:tabs>
                <w:tab w:val="left" w:pos="1875"/>
              </w:tabs>
              <w:spacing w:line="400" w:lineRule="exact"/>
              <w:jc w:val="center"/>
              <w:rPr>
                <w:rFonts w:ascii="宋体" w:hAnsi="宋体"/>
                <w:color w:val="auto"/>
                <w:szCs w:val="21"/>
                <w:highlight w:val="none"/>
              </w:rPr>
            </w:pPr>
            <w:r>
              <w:rPr>
                <w:rStyle w:val="55"/>
                <w:rFonts w:ascii="宋体" w:hAnsi="宋体"/>
                <w:color w:val="auto"/>
                <w:szCs w:val="21"/>
                <w:highlight w:val="none"/>
              </w:rPr>
              <w:t>成本管控方案（</w:t>
            </w:r>
            <w:r>
              <w:rPr>
                <w:rStyle w:val="55"/>
                <w:rFonts w:hint="eastAsia" w:ascii="宋体" w:hAnsi="宋体"/>
                <w:color w:val="auto"/>
                <w:szCs w:val="21"/>
                <w:highlight w:val="none"/>
                <w:lang w:val="en-US" w:eastAsia="zh-CN"/>
              </w:rPr>
              <w:t>10</w:t>
            </w:r>
            <w:r>
              <w:rPr>
                <w:rStyle w:val="55"/>
                <w:rFonts w:ascii="宋体" w:hAnsi="宋体"/>
                <w:color w:val="auto"/>
                <w:szCs w:val="21"/>
                <w:highlight w:val="none"/>
              </w:rPr>
              <w:t>分）</w:t>
            </w:r>
          </w:p>
        </w:tc>
        <w:tc>
          <w:tcPr>
            <w:tcW w:w="5738" w:type="dxa"/>
            <w:vAlign w:val="center"/>
          </w:tcPr>
          <w:p w14:paraId="4E3827F4">
            <w:pPr>
              <w:snapToGrid w:val="0"/>
              <w:spacing w:line="380" w:lineRule="exact"/>
              <w:ind w:firstLine="420" w:firstLineChars="200"/>
              <w:jc w:val="left"/>
              <w:rPr>
                <w:rFonts w:ascii="宋体" w:hAnsi="宋体"/>
                <w:color w:val="auto"/>
                <w:highlight w:val="none"/>
                <w:u w:val="single"/>
              </w:rPr>
            </w:pPr>
            <w:r>
              <w:rPr>
                <w:rStyle w:val="55"/>
                <w:rFonts w:hint="eastAsia" w:ascii="宋体" w:hAnsi="宋体"/>
                <w:color w:val="auto"/>
                <w:szCs w:val="21"/>
                <w:highlight w:val="none"/>
              </w:rPr>
              <w:t>编制要点：各有效竞选人针对本工程造价</w:t>
            </w:r>
            <w:r>
              <w:rPr>
                <w:rStyle w:val="55"/>
                <w:rFonts w:ascii="宋体" w:hAnsi="宋体"/>
                <w:color w:val="auto"/>
                <w:szCs w:val="21"/>
                <w:highlight w:val="none"/>
              </w:rPr>
              <w:t>成本管控方案</w:t>
            </w:r>
            <w:r>
              <w:rPr>
                <w:rStyle w:val="55"/>
                <w:rFonts w:hint="eastAsia" w:ascii="宋体" w:hAnsi="宋体"/>
                <w:color w:val="auto"/>
                <w:szCs w:val="21"/>
                <w:highlight w:val="none"/>
              </w:rPr>
              <w:t>，提出合理化建议、拟定</w:t>
            </w:r>
            <w:r>
              <w:rPr>
                <w:rStyle w:val="55"/>
                <w:rFonts w:ascii="宋体" w:hAnsi="宋体"/>
                <w:color w:val="auto"/>
                <w:szCs w:val="21"/>
                <w:highlight w:val="none"/>
              </w:rPr>
              <w:t>成本管控</w:t>
            </w:r>
            <w:r>
              <w:rPr>
                <w:rStyle w:val="55"/>
                <w:rFonts w:hint="eastAsia" w:ascii="宋体" w:hAnsi="宋体"/>
                <w:color w:val="auto"/>
                <w:szCs w:val="21"/>
                <w:highlight w:val="none"/>
              </w:rPr>
              <w:t>的方案和切实可行的；优得</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w:t>
            </w:r>
            <w:r>
              <w:rPr>
                <w:rStyle w:val="55"/>
                <w:rFonts w:hint="eastAsia" w:ascii="宋体" w:hAnsi="宋体"/>
                <w:color w:val="auto"/>
                <w:szCs w:val="21"/>
                <w:highlight w:val="none"/>
                <w:lang w:val="en-US" w:eastAsia="zh-CN"/>
              </w:rPr>
              <w:t>10</w:t>
            </w:r>
            <w:r>
              <w:rPr>
                <w:rStyle w:val="55"/>
                <w:rFonts w:hint="eastAsia" w:ascii="宋体" w:hAnsi="宋体"/>
                <w:color w:val="auto"/>
                <w:szCs w:val="21"/>
                <w:highlight w:val="none"/>
              </w:rPr>
              <w:t>分；良得</w:t>
            </w:r>
            <w:r>
              <w:rPr>
                <w:rStyle w:val="55"/>
                <w:rFonts w:hint="eastAsia" w:ascii="宋体" w:hAnsi="宋体"/>
                <w:color w:val="auto"/>
                <w:szCs w:val="21"/>
                <w:highlight w:val="none"/>
                <w:lang w:val="en-US" w:eastAsia="zh-CN"/>
              </w:rPr>
              <w:t>3</w:t>
            </w:r>
            <w:r>
              <w:rPr>
                <w:rStyle w:val="55"/>
                <w:rFonts w:ascii="宋体" w:hAnsi="宋体"/>
                <w:color w:val="auto"/>
                <w:szCs w:val="21"/>
                <w:highlight w:val="none"/>
              </w:rPr>
              <w:t>-</w:t>
            </w:r>
            <w:r>
              <w:rPr>
                <w:rStyle w:val="55"/>
                <w:rFonts w:hint="eastAsia" w:ascii="宋体" w:hAnsi="宋体"/>
                <w:color w:val="auto"/>
                <w:szCs w:val="21"/>
                <w:highlight w:val="none"/>
                <w:lang w:val="en-US" w:eastAsia="zh-CN"/>
              </w:rPr>
              <w:t>7</w:t>
            </w:r>
            <w:r>
              <w:rPr>
                <w:rStyle w:val="55"/>
                <w:rFonts w:hint="eastAsia" w:ascii="宋体" w:hAnsi="宋体"/>
                <w:color w:val="auto"/>
                <w:szCs w:val="21"/>
                <w:highlight w:val="none"/>
              </w:rPr>
              <w:t>；一般得</w:t>
            </w:r>
            <w:r>
              <w:rPr>
                <w:rStyle w:val="55"/>
                <w:rFonts w:hint="eastAsia" w:ascii="宋体" w:hAnsi="宋体"/>
                <w:color w:val="auto"/>
                <w:szCs w:val="21"/>
                <w:highlight w:val="none"/>
                <w:lang w:val="en-US" w:eastAsia="zh-CN"/>
              </w:rPr>
              <w:t>0-3</w:t>
            </w:r>
            <w:r>
              <w:rPr>
                <w:rStyle w:val="55"/>
                <w:rFonts w:hint="eastAsia" w:ascii="宋体" w:hAnsi="宋体"/>
                <w:color w:val="auto"/>
                <w:szCs w:val="21"/>
                <w:highlight w:val="none"/>
              </w:rPr>
              <w:t>分；差不得分。</w:t>
            </w:r>
          </w:p>
        </w:tc>
      </w:tr>
      <w:tr w14:paraId="0C284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680C1B80">
            <w:pPr>
              <w:spacing w:line="400" w:lineRule="exact"/>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.2.4（2）</w:t>
            </w:r>
          </w:p>
        </w:tc>
        <w:tc>
          <w:tcPr>
            <w:tcW w:w="852" w:type="dxa"/>
            <w:vAlign w:val="center"/>
          </w:tcPr>
          <w:p w14:paraId="5DAB364D">
            <w:pPr>
              <w:spacing w:line="400" w:lineRule="exact"/>
              <w:jc w:val="center"/>
              <w:rPr>
                <w:rFonts w:ascii="宋体" w:hAnsi="宋体"/>
                <w:color w:val="auto"/>
                <w:highlight w:val="none"/>
              </w:rPr>
            </w:pPr>
            <w:r>
              <w:rPr>
                <w:rFonts w:ascii="宋体" w:hAnsi="宋体"/>
                <w:color w:val="auto"/>
                <w:highlight w:val="none"/>
              </w:rPr>
              <w:t>投标报价</w:t>
            </w:r>
            <w:r>
              <w:rPr>
                <w:rFonts w:hint="eastAsia" w:ascii="宋体" w:hAnsi="宋体"/>
                <w:color w:val="auto"/>
                <w:highlight w:val="none"/>
              </w:rPr>
              <w:t>评分（</w:t>
            </w:r>
            <w:r>
              <w:rPr>
                <w:rFonts w:ascii="宋体" w:hAnsi="宋体"/>
                <w:color w:val="auto"/>
                <w:highlight w:val="none"/>
              </w:rPr>
              <w:t>B</w:t>
            </w:r>
            <w:r>
              <w:rPr>
                <w:rFonts w:hint="eastAsia" w:ascii="宋体" w:hAnsi="宋体"/>
                <w:color w:val="auto"/>
                <w:highlight w:val="none"/>
              </w:rPr>
              <w:t>）标准</w:t>
            </w:r>
          </w:p>
        </w:tc>
        <w:tc>
          <w:tcPr>
            <w:tcW w:w="2587" w:type="dxa"/>
            <w:tcBorders>
              <w:top w:val="single" w:color="auto" w:sz="4" w:space="0"/>
              <w:bottom w:val="single" w:color="auto" w:sz="4" w:space="0"/>
            </w:tcBorders>
            <w:vAlign w:val="center"/>
          </w:tcPr>
          <w:p w14:paraId="636EE29A">
            <w:pPr>
              <w:spacing w:line="400" w:lineRule="exact"/>
              <w:jc w:val="center"/>
              <w:rPr>
                <w:rFonts w:ascii="宋体" w:hAnsi="宋体"/>
                <w:color w:val="auto"/>
                <w:highlight w:val="none"/>
              </w:rPr>
            </w:pPr>
            <w:r>
              <w:rPr>
                <w:rFonts w:ascii="宋体" w:hAnsi="宋体"/>
                <w:color w:val="auto"/>
                <w:highlight w:val="none"/>
              </w:rPr>
              <w:t>投标报价</w:t>
            </w:r>
          </w:p>
        </w:tc>
        <w:tc>
          <w:tcPr>
            <w:tcW w:w="5738" w:type="dxa"/>
            <w:vAlign w:val="center"/>
          </w:tcPr>
          <w:p w14:paraId="2825FB61">
            <w:pPr>
              <w:spacing w:line="40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所有通过初步评审评审合格的比选申请人，比选申请报价得本附表第2.2.1项规定分值的满分</w:t>
            </w:r>
            <w:r>
              <w:rPr>
                <w:rFonts w:hint="eastAsia" w:ascii="宋体" w:hAnsi="宋体" w:cs="宋体"/>
                <w:color w:val="auto"/>
                <w:kern w:val="0"/>
                <w:sz w:val="22"/>
                <w:szCs w:val="22"/>
                <w:highlight w:val="none"/>
                <w:u w:val="single"/>
                <w:lang w:val="en-US" w:eastAsia="zh-CN"/>
              </w:rPr>
              <w:t>3</w:t>
            </w:r>
            <w:r>
              <w:rPr>
                <w:rFonts w:hint="eastAsia" w:ascii="宋体" w:hAnsi="宋体" w:cs="宋体"/>
                <w:color w:val="auto"/>
                <w:kern w:val="0"/>
                <w:sz w:val="22"/>
                <w:szCs w:val="22"/>
                <w:highlight w:val="none"/>
                <w:u w:val="single"/>
              </w:rPr>
              <w:t xml:space="preserve">0 </w:t>
            </w:r>
            <w:r>
              <w:rPr>
                <w:rFonts w:hint="eastAsia" w:ascii="宋体" w:hAnsi="宋体" w:cs="宋体"/>
                <w:color w:val="auto"/>
                <w:kern w:val="0"/>
                <w:sz w:val="22"/>
                <w:szCs w:val="22"/>
                <w:highlight w:val="none"/>
              </w:rPr>
              <w:t>分。</w:t>
            </w:r>
            <w:r>
              <w:rPr>
                <w:rFonts w:hint="eastAsia" w:ascii="宋体" w:hAnsi="宋体" w:cs="宋体"/>
                <w:color w:val="auto"/>
                <w:sz w:val="22"/>
                <w:szCs w:val="22"/>
                <w:highlight w:val="none"/>
              </w:rPr>
              <w:t>在此基础上，比选申请报价与评标基准价相比，每增加1%扣</w:t>
            </w:r>
            <w:r>
              <w:rPr>
                <w:rFonts w:hint="eastAsia" w:ascii="宋体" w:hAnsi="宋体" w:cs="宋体"/>
                <w:color w:val="auto"/>
                <w:sz w:val="22"/>
                <w:szCs w:val="22"/>
                <w:highlight w:val="none"/>
                <w:u w:val="single"/>
              </w:rPr>
              <w:t>　0.</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分，每减少1%扣</w:t>
            </w:r>
            <w:r>
              <w:rPr>
                <w:rFonts w:hint="eastAsia" w:ascii="宋体" w:hAnsi="宋体" w:cs="宋体"/>
                <w:color w:val="auto"/>
                <w:sz w:val="22"/>
                <w:szCs w:val="22"/>
                <w:highlight w:val="none"/>
                <w:u w:val="single"/>
              </w:rPr>
              <w:t>　0.2</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rPr>
              <w:t>分，最多扣</w:t>
            </w:r>
            <w:r>
              <w:rPr>
                <w:rFonts w:hint="eastAsia" w:ascii="宋体" w:hAnsi="宋体" w:cs="宋体"/>
                <w:color w:val="auto"/>
                <w:sz w:val="22"/>
                <w:szCs w:val="22"/>
                <w:highlight w:val="none"/>
                <w:u w:val="single"/>
              </w:rPr>
              <w:t>5</w:t>
            </w:r>
            <w:r>
              <w:rPr>
                <w:rFonts w:hint="eastAsia" w:ascii="宋体" w:hAnsi="宋体" w:cs="宋体"/>
                <w:color w:val="auto"/>
                <w:sz w:val="22"/>
                <w:szCs w:val="22"/>
                <w:highlight w:val="none"/>
              </w:rPr>
              <w:t>分。</w:t>
            </w:r>
          </w:p>
          <w:p w14:paraId="071532E8">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按插入法计算得分。</w:t>
            </w:r>
          </w:p>
          <w:p w14:paraId="55A90964">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未参与评标基准价计算的竞标报价，仍应参加计算相应分值。</w:t>
            </w:r>
          </w:p>
          <w:p w14:paraId="30CE9A33">
            <w:pPr>
              <w:spacing w:line="400" w:lineRule="exact"/>
              <w:ind w:firstLine="440" w:firstLineChars="200"/>
              <w:rPr>
                <w:rFonts w:ascii="宋体" w:hAnsi="宋体"/>
                <w:color w:val="auto"/>
                <w:highlight w:val="none"/>
              </w:rPr>
            </w:pPr>
            <w:r>
              <w:rPr>
                <w:rFonts w:hint="eastAsia" w:ascii="宋体" w:hAnsi="宋体" w:cs="宋体"/>
                <w:color w:val="auto"/>
                <w:kern w:val="0"/>
                <w:sz w:val="22"/>
                <w:szCs w:val="22"/>
                <w:highlight w:val="none"/>
              </w:rPr>
              <w:t>比选申请报价最终结果取小数点后两位，第三位四舍五入。</w:t>
            </w:r>
          </w:p>
        </w:tc>
      </w:tr>
      <w:tr w14:paraId="4D2C6C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30E65689">
            <w:pPr>
              <w:spacing w:line="400" w:lineRule="exact"/>
              <w:jc w:val="center"/>
              <w:rPr>
                <w:rFonts w:ascii="宋体" w:hAnsi="宋体"/>
                <w:color w:val="auto"/>
                <w:highlight w:val="none"/>
              </w:rPr>
            </w:pPr>
            <w:r>
              <w:rPr>
                <w:rFonts w:hint="eastAsia" w:ascii="宋体" w:hAnsi="宋体"/>
                <w:color w:val="auto"/>
                <w:highlight w:val="none"/>
              </w:rPr>
              <w:t>3</w:t>
            </w:r>
          </w:p>
        </w:tc>
        <w:tc>
          <w:tcPr>
            <w:tcW w:w="2587" w:type="dxa"/>
            <w:tcBorders>
              <w:top w:val="single" w:color="auto" w:sz="4" w:space="0"/>
              <w:bottom w:val="single" w:color="auto" w:sz="4" w:space="0"/>
            </w:tcBorders>
            <w:vAlign w:val="center"/>
          </w:tcPr>
          <w:p w14:paraId="7800B781">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5738" w:type="dxa"/>
            <w:vAlign w:val="center"/>
          </w:tcPr>
          <w:p w14:paraId="2D03DE09">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1.按本章评标办法第3.1款进行初步评审。未通过初步评审或评标委员会认定为无效的竞选文件的不再进行后续评审。</w:t>
            </w:r>
          </w:p>
          <w:p w14:paraId="06F519EE">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（1）目的规定对技术部分进行评审。</w:t>
            </w:r>
          </w:p>
          <w:p w14:paraId="3E62D4DA">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14:paraId="1550548E">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rPr>
              <w:t>.经评审合格的竞选人按照本章第2.2.</w:t>
            </w:r>
            <w:r>
              <w:rPr>
                <w:rFonts w:ascii="宋体" w:hAnsi="宋体"/>
                <w:color w:val="auto"/>
                <w:kern w:val="0"/>
                <w:szCs w:val="21"/>
                <w:highlight w:val="none"/>
              </w:rPr>
              <w:t>2</w:t>
            </w:r>
            <w:r>
              <w:rPr>
                <w:rFonts w:hint="eastAsia" w:ascii="宋体" w:hAnsi="宋体"/>
                <w:color w:val="auto"/>
                <w:kern w:val="0"/>
                <w:szCs w:val="21"/>
                <w:highlight w:val="none"/>
              </w:rPr>
              <w:t>项计算方法计算评标基准价，并按本附表第2.2.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）目规定的评分方法对投标报价进行评分。</w:t>
            </w:r>
          </w:p>
          <w:p w14:paraId="0ED8B023">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5</w:t>
            </w:r>
            <w:r>
              <w:rPr>
                <w:rFonts w:hint="eastAsia" w:ascii="宋体" w:hAnsi="宋体"/>
                <w:color w:val="auto"/>
                <w:kern w:val="0"/>
                <w:szCs w:val="21"/>
                <w:highlight w:val="none"/>
              </w:rPr>
              <w:t>.对技术部分、投标报价得分进行汇总，确定得分由高至低前三名竞选人为中标候选人。</w:t>
            </w:r>
          </w:p>
        </w:tc>
      </w:tr>
      <w:tr w14:paraId="62B364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64DBD083">
            <w:pPr>
              <w:spacing w:line="400" w:lineRule="exact"/>
              <w:jc w:val="center"/>
              <w:rPr>
                <w:rFonts w:ascii="宋体" w:hAnsi="宋体"/>
                <w:color w:val="auto"/>
                <w:highlight w:val="none"/>
              </w:rPr>
            </w:pPr>
            <w:r>
              <w:rPr>
                <w:rFonts w:hint="eastAsia" w:ascii="宋体" w:hAnsi="宋体"/>
                <w:color w:val="auto"/>
                <w:highlight w:val="none"/>
              </w:rPr>
              <w:t>3.2.3</w:t>
            </w:r>
          </w:p>
        </w:tc>
        <w:tc>
          <w:tcPr>
            <w:tcW w:w="2587" w:type="dxa"/>
            <w:tcBorders>
              <w:top w:val="single" w:color="auto" w:sz="4" w:space="0"/>
              <w:bottom w:val="single" w:color="auto" w:sz="4" w:space="0"/>
            </w:tcBorders>
            <w:vAlign w:val="center"/>
          </w:tcPr>
          <w:p w14:paraId="0BCB5442">
            <w:pPr>
              <w:spacing w:line="400" w:lineRule="exact"/>
              <w:jc w:val="center"/>
              <w:rPr>
                <w:rFonts w:ascii="宋体" w:hAnsi="宋体"/>
                <w:color w:val="auto"/>
                <w:highlight w:val="none"/>
              </w:rPr>
            </w:pPr>
            <w:r>
              <w:rPr>
                <w:rFonts w:hint="eastAsia" w:ascii="宋体" w:hAnsi="宋体"/>
                <w:color w:val="auto"/>
                <w:highlight w:val="none"/>
              </w:rPr>
              <w:t>竞选人得分</w:t>
            </w:r>
          </w:p>
        </w:tc>
        <w:tc>
          <w:tcPr>
            <w:tcW w:w="5738" w:type="dxa"/>
            <w:vAlign w:val="center"/>
          </w:tcPr>
          <w:p w14:paraId="4109C43C">
            <w:pPr>
              <w:spacing w:line="400" w:lineRule="exact"/>
              <w:ind w:firstLine="420" w:firstLineChars="200"/>
              <w:rPr>
                <w:rFonts w:ascii="宋体" w:hAnsi="宋体"/>
                <w:color w:val="auto"/>
                <w:kern w:val="0"/>
                <w:szCs w:val="21"/>
                <w:highlight w:val="none"/>
              </w:rPr>
            </w:pPr>
            <w:r>
              <w:rPr>
                <w:rFonts w:hint="eastAsia" w:ascii="宋体" w:hAnsi="宋体"/>
                <w:color w:val="auto"/>
                <w:highlight w:val="none"/>
              </w:rPr>
              <w:t>竞选人得分=</w:t>
            </w:r>
            <w:r>
              <w:rPr>
                <w:rFonts w:hint="eastAsia" w:ascii="宋体" w:hAnsi="宋体"/>
                <w:color w:val="auto"/>
                <w:kern w:val="0"/>
                <w:szCs w:val="21"/>
                <w:highlight w:val="none"/>
              </w:rPr>
              <w:t>A+</w:t>
            </w:r>
            <w:r>
              <w:rPr>
                <w:rFonts w:ascii="宋体" w:hAnsi="宋体"/>
                <w:color w:val="auto"/>
                <w:kern w:val="0"/>
                <w:szCs w:val="21"/>
                <w:highlight w:val="none"/>
              </w:rPr>
              <w:t>B</w:t>
            </w:r>
          </w:p>
        </w:tc>
      </w:tr>
      <w:tr w14:paraId="32A319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76C1AC3F">
            <w:pPr>
              <w:spacing w:line="400" w:lineRule="exact"/>
              <w:jc w:val="center"/>
              <w:rPr>
                <w:rFonts w:ascii="宋体" w:hAnsi="宋体"/>
                <w:color w:val="auto"/>
                <w:highlight w:val="none"/>
              </w:rPr>
            </w:pPr>
            <w:r>
              <w:rPr>
                <w:rFonts w:hint="eastAsia" w:ascii="宋体" w:hAnsi="宋体"/>
                <w:color w:val="auto"/>
                <w:highlight w:val="none"/>
              </w:rPr>
              <w:t>3.4</w:t>
            </w:r>
          </w:p>
        </w:tc>
        <w:tc>
          <w:tcPr>
            <w:tcW w:w="2587" w:type="dxa"/>
            <w:tcBorders>
              <w:top w:val="single" w:color="auto" w:sz="4" w:space="0"/>
            </w:tcBorders>
            <w:vAlign w:val="center"/>
          </w:tcPr>
          <w:p w14:paraId="1736092A">
            <w:pPr>
              <w:spacing w:line="400" w:lineRule="exact"/>
              <w:jc w:val="center"/>
              <w:rPr>
                <w:rFonts w:ascii="宋体" w:hAnsi="宋体"/>
                <w:color w:val="auto"/>
                <w:highlight w:val="none"/>
              </w:rPr>
            </w:pPr>
            <w:r>
              <w:rPr>
                <w:rFonts w:hint="eastAsia" w:ascii="宋体" w:hAnsi="宋体"/>
                <w:color w:val="auto"/>
                <w:highlight w:val="none"/>
              </w:rPr>
              <w:t>评标结果</w:t>
            </w:r>
          </w:p>
        </w:tc>
        <w:tc>
          <w:tcPr>
            <w:tcW w:w="5738" w:type="dxa"/>
            <w:vAlign w:val="center"/>
          </w:tcPr>
          <w:p w14:paraId="31196B83">
            <w:pPr>
              <w:spacing w:line="400" w:lineRule="exact"/>
              <w:ind w:firstLine="420" w:firstLineChars="200"/>
              <w:rPr>
                <w:rFonts w:ascii="宋体" w:hAnsi="宋体"/>
                <w:color w:val="auto"/>
                <w:highlight w:val="none"/>
              </w:rPr>
            </w:pPr>
            <w:r>
              <w:rPr>
                <w:rFonts w:hint="eastAsia" w:ascii="宋体" w:hAnsi="宋体"/>
                <w:color w:val="auto"/>
                <w:highlight w:val="none"/>
              </w:rPr>
              <w:t>3.4.1</w:t>
            </w:r>
            <w:r>
              <w:rPr>
                <w:rFonts w:ascii="宋体" w:hAnsi="宋体"/>
                <w:color w:val="auto"/>
                <w:highlight w:val="none"/>
              </w:rPr>
              <w:t>除第二章“竞选人须知”前附表授权直接确定中选人外，评标委员会按照得分由高到低的顺序推荐中标候选人，并标明排序。</w:t>
            </w:r>
          </w:p>
          <w:p w14:paraId="65CAC29B">
            <w:pPr>
              <w:spacing w:line="400" w:lineRule="exact"/>
              <w:ind w:firstLine="420" w:firstLineChars="200"/>
              <w:rPr>
                <w:rFonts w:ascii="宋体" w:hAnsi="宋体"/>
                <w:color w:val="auto"/>
                <w:highlight w:val="none"/>
              </w:rPr>
            </w:pPr>
            <w:r>
              <w:rPr>
                <w:rFonts w:ascii="宋体" w:hAnsi="宋体"/>
                <w:color w:val="auto"/>
                <w:highlight w:val="none"/>
              </w:rPr>
              <w:t>3.4.2 评标委员会完成评标后，应当向招标人提交书面评标报告和中标候选人名单。</w:t>
            </w:r>
          </w:p>
        </w:tc>
      </w:tr>
    </w:tbl>
    <w:p w14:paraId="454D06E3">
      <w:pPr>
        <w:pStyle w:val="3"/>
        <w:rPr>
          <w:rFonts w:ascii="宋体" w:hAnsi="宋体"/>
          <w:b w:val="0"/>
          <w:snapToGrid w:val="0"/>
          <w:color w:val="auto"/>
          <w:highlight w:val="none"/>
        </w:rPr>
      </w:pPr>
      <w:bookmarkStart w:id="641" w:name="_Toc509218776"/>
      <w:r>
        <w:rPr>
          <w:rFonts w:ascii="宋体" w:hAnsi="宋体"/>
          <w:b w:val="0"/>
          <w:snapToGrid w:val="0"/>
          <w:color w:val="auto"/>
          <w:highlight w:val="none"/>
        </w:rPr>
        <w:br w:type="page"/>
      </w:r>
      <w:bookmarkStart w:id="642" w:name="_Toc122515230"/>
      <w:bookmarkStart w:id="643" w:name="_Toc2468"/>
      <w:r>
        <w:rPr>
          <w:rFonts w:ascii="宋体" w:hAnsi="宋体"/>
          <w:b w:val="0"/>
          <w:snapToGrid w:val="0"/>
          <w:color w:val="auto"/>
          <w:highlight w:val="none"/>
        </w:rPr>
        <w:t>1.  评标方法</w:t>
      </w:r>
      <w:bookmarkEnd w:id="641"/>
      <w:bookmarkEnd w:id="642"/>
      <w:bookmarkEnd w:id="643"/>
    </w:p>
    <w:p w14:paraId="6A30A44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评标委员会对满足竞争性比选实质性要求的竞选文件，按照本章第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w:t>
      </w:r>
      <w:r>
        <w:rPr>
          <w:rFonts w:hint="eastAsia" w:ascii="宋体" w:hAnsi="宋体"/>
          <w:color w:val="auto"/>
          <w:kern w:val="0"/>
          <w:szCs w:val="21"/>
          <w:highlight w:val="none"/>
        </w:rPr>
        <w:t>并</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或根据招标人授权直接确定中选人。综合评分相等时，</w:t>
      </w:r>
      <w:r>
        <w:rPr>
          <w:rFonts w:hint="eastAsia" w:ascii="宋体" w:hAnsi="宋体"/>
          <w:color w:val="auto"/>
          <w:kern w:val="0"/>
          <w:szCs w:val="21"/>
          <w:highlight w:val="none"/>
        </w:rPr>
        <w:t>以评标办法前附表约定的原则确定</w:t>
      </w:r>
      <w:r>
        <w:rPr>
          <w:rFonts w:ascii="宋体" w:hAnsi="宋体"/>
          <w:color w:val="auto"/>
          <w:highlight w:val="none"/>
        </w:rPr>
        <w:t>中标候选人顺序</w:t>
      </w:r>
      <w:r>
        <w:rPr>
          <w:rFonts w:ascii="宋体" w:hAnsi="宋体"/>
          <w:color w:val="auto"/>
          <w:spacing w:val="-31"/>
          <w:kern w:val="0"/>
          <w:szCs w:val="21"/>
          <w:highlight w:val="none"/>
        </w:rPr>
        <w:t>。</w:t>
      </w:r>
    </w:p>
    <w:p w14:paraId="0EC5AA44">
      <w:pPr>
        <w:pStyle w:val="3"/>
        <w:rPr>
          <w:rFonts w:ascii="宋体" w:hAnsi="宋体"/>
          <w:b w:val="0"/>
          <w:snapToGrid w:val="0"/>
          <w:color w:val="auto"/>
          <w:highlight w:val="none"/>
        </w:rPr>
      </w:pPr>
      <w:bookmarkStart w:id="644" w:name="_Toc8451"/>
      <w:bookmarkStart w:id="645" w:name="_Toc509218777"/>
      <w:bookmarkStart w:id="646" w:name="_Toc122515231"/>
      <w:r>
        <w:rPr>
          <w:rFonts w:ascii="宋体" w:hAnsi="宋体"/>
          <w:b w:val="0"/>
          <w:snapToGrid w:val="0"/>
          <w:color w:val="auto"/>
          <w:highlight w:val="none"/>
        </w:rPr>
        <w:t>2.  评审标准</w:t>
      </w:r>
      <w:bookmarkEnd w:id="644"/>
      <w:bookmarkEnd w:id="645"/>
      <w:bookmarkEnd w:id="646"/>
    </w:p>
    <w:p w14:paraId="6DCBEC4D">
      <w:pPr>
        <w:pStyle w:val="4"/>
        <w:snapToGrid w:val="0"/>
        <w:spacing w:before="0" w:line="360" w:lineRule="auto"/>
        <w:rPr>
          <w:rFonts w:ascii="宋体" w:hAnsi="宋体"/>
          <w:b w:val="0"/>
          <w:snapToGrid w:val="0"/>
          <w:color w:val="auto"/>
          <w:szCs w:val="24"/>
          <w:highlight w:val="none"/>
        </w:rPr>
      </w:pPr>
      <w:bookmarkStart w:id="647" w:name="_Toc11473"/>
      <w:bookmarkStart w:id="648" w:name="_Toc122515232"/>
      <w:bookmarkStart w:id="649" w:name="_Toc509218778"/>
      <w:r>
        <w:rPr>
          <w:rFonts w:ascii="宋体" w:hAnsi="宋体"/>
          <w:b w:val="0"/>
          <w:snapToGrid w:val="0"/>
          <w:color w:val="auto"/>
          <w:szCs w:val="24"/>
          <w:highlight w:val="none"/>
        </w:rPr>
        <w:t>2.1  初步评审标准</w:t>
      </w:r>
      <w:bookmarkEnd w:id="647"/>
      <w:bookmarkEnd w:id="648"/>
      <w:bookmarkEnd w:id="649"/>
    </w:p>
    <w:p w14:paraId="0842858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资格评审标准：见评标办法前附表（适用于未进行资格预审的）。</w:t>
      </w:r>
    </w:p>
    <w:p w14:paraId="16EB66C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29C2C18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214A57D8">
      <w:pPr>
        <w:pStyle w:val="4"/>
        <w:snapToGrid w:val="0"/>
        <w:spacing w:before="0" w:line="360" w:lineRule="auto"/>
        <w:rPr>
          <w:rFonts w:ascii="宋体" w:hAnsi="宋体"/>
          <w:b w:val="0"/>
          <w:snapToGrid w:val="0"/>
          <w:color w:val="auto"/>
          <w:szCs w:val="24"/>
          <w:highlight w:val="none"/>
        </w:rPr>
      </w:pPr>
      <w:bookmarkStart w:id="650" w:name="_Toc21330"/>
      <w:bookmarkStart w:id="651" w:name="_Toc509218779"/>
      <w:bookmarkStart w:id="652" w:name="_Toc122515233"/>
      <w:r>
        <w:rPr>
          <w:rFonts w:ascii="宋体" w:hAnsi="宋体"/>
          <w:b w:val="0"/>
          <w:snapToGrid w:val="0"/>
          <w:color w:val="auto"/>
          <w:szCs w:val="24"/>
          <w:highlight w:val="none"/>
        </w:rPr>
        <w:t>2.2  分值构成与</w:t>
      </w:r>
      <w:r>
        <w:rPr>
          <w:rFonts w:hint="eastAsia" w:ascii="宋体" w:hAnsi="宋体"/>
          <w:b w:val="0"/>
          <w:snapToGrid w:val="0"/>
          <w:color w:val="auto"/>
          <w:szCs w:val="24"/>
          <w:highlight w:val="none"/>
        </w:rPr>
        <w:t>评审</w:t>
      </w:r>
      <w:r>
        <w:rPr>
          <w:rFonts w:ascii="宋体" w:hAnsi="宋体"/>
          <w:b w:val="0"/>
          <w:snapToGrid w:val="0"/>
          <w:color w:val="auto"/>
          <w:szCs w:val="24"/>
          <w:highlight w:val="none"/>
        </w:rPr>
        <w:t>标准</w:t>
      </w:r>
      <w:bookmarkEnd w:id="650"/>
      <w:bookmarkEnd w:id="651"/>
      <w:bookmarkEnd w:id="652"/>
    </w:p>
    <w:p w14:paraId="6454B35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5C8022B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23E36EA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）投标</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14:paraId="4D14489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 xml:space="preserve">2  </w:t>
      </w:r>
      <w:r>
        <w:rPr>
          <w:rFonts w:ascii="宋体" w:hAnsi="宋体"/>
          <w:color w:val="auto"/>
          <w:kern w:val="0"/>
          <w:szCs w:val="21"/>
          <w:highlight w:val="none"/>
        </w:rPr>
        <w:t>评标基准价计算</w:t>
      </w:r>
    </w:p>
    <w:p w14:paraId="030E1AF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6A659B9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2.2.3 投标报价的偏差率计算</w:t>
      </w:r>
    </w:p>
    <w:p w14:paraId="243FBF7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6D14E9F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.2.4  评</w:t>
      </w:r>
      <w:r>
        <w:rPr>
          <w:rFonts w:hint="eastAsia" w:ascii="宋体" w:hAnsi="宋体"/>
          <w:color w:val="auto"/>
          <w:kern w:val="0"/>
          <w:szCs w:val="21"/>
          <w:highlight w:val="none"/>
        </w:rPr>
        <w:t>审</w:t>
      </w:r>
      <w:r>
        <w:rPr>
          <w:rFonts w:ascii="宋体" w:hAnsi="宋体"/>
          <w:color w:val="auto"/>
          <w:kern w:val="0"/>
          <w:szCs w:val="21"/>
          <w:highlight w:val="none"/>
        </w:rPr>
        <w:t>标准</w:t>
      </w:r>
    </w:p>
    <w:p w14:paraId="24DD09B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技术部分</w:t>
      </w:r>
      <w:r>
        <w:rPr>
          <w:rFonts w:ascii="宋体" w:hAnsi="宋体"/>
          <w:color w:val="auto"/>
          <w:kern w:val="0"/>
          <w:szCs w:val="21"/>
          <w:highlight w:val="none"/>
        </w:rPr>
        <w:t>评分标准：见评标办法前附表；</w:t>
      </w:r>
    </w:p>
    <w:p w14:paraId="3397412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投标报价</w:t>
      </w:r>
      <w:r>
        <w:rPr>
          <w:rFonts w:ascii="宋体" w:hAnsi="宋体"/>
          <w:color w:val="auto"/>
          <w:kern w:val="0"/>
          <w:szCs w:val="21"/>
          <w:highlight w:val="none"/>
        </w:rPr>
        <w:t>评分标准：见评标办法前附表。</w:t>
      </w:r>
    </w:p>
    <w:p w14:paraId="6C13FE9F">
      <w:pPr>
        <w:pStyle w:val="3"/>
        <w:rPr>
          <w:rFonts w:ascii="宋体" w:hAnsi="宋体"/>
          <w:b w:val="0"/>
          <w:snapToGrid w:val="0"/>
          <w:color w:val="auto"/>
          <w:highlight w:val="none"/>
        </w:rPr>
      </w:pPr>
      <w:bookmarkStart w:id="653" w:name="_Toc122515234"/>
      <w:bookmarkStart w:id="654" w:name="_Toc509218780"/>
      <w:bookmarkStart w:id="655" w:name="_Toc765"/>
      <w:r>
        <w:rPr>
          <w:rFonts w:ascii="宋体" w:hAnsi="宋体"/>
          <w:b w:val="0"/>
          <w:snapToGrid w:val="0"/>
          <w:color w:val="auto"/>
          <w:highlight w:val="none"/>
        </w:rPr>
        <w:t>3.  评标程序</w:t>
      </w:r>
      <w:bookmarkEnd w:id="653"/>
      <w:bookmarkEnd w:id="654"/>
      <w:bookmarkEnd w:id="655"/>
    </w:p>
    <w:p w14:paraId="757C2AE9">
      <w:pPr>
        <w:pStyle w:val="4"/>
        <w:snapToGrid w:val="0"/>
        <w:spacing w:before="0" w:line="360" w:lineRule="auto"/>
        <w:rPr>
          <w:rFonts w:ascii="宋体" w:hAnsi="宋体"/>
          <w:b w:val="0"/>
          <w:snapToGrid w:val="0"/>
          <w:color w:val="auto"/>
          <w:szCs w:val="24"/>
          <w:highlight w:val="none"/>
        </w:rPr>
      </w:pPr>
      <w:bookmarkStart w:id="656" w:name="_Toc509218781"/>
      <w:bookmarkStart w:id="657" w:name="_Toc122515235"/>
      <w:bookmarkStart w:id="658" w:name="_Toc18340"/>
      <w:r>
        <w:rPr>
          <w:rFonts w:ascii="宋体" w:hAnsi="宋体"/>
          <w:b w:val="0"/>
          <w:snapToGrid w:val="0"/>
          <w:color w:val="auto"/>
          <w:szCs w:val="24"/>
          <w:highlight w:val="none"/>
        </w:rPr>
        <w:t>3.1  初步评审</w:t>
      </w:r>
      <w:bookmarkEnd w:id="656"/>
      <w:bookmarkEnd w:id="657"/>
      <w:bookmarkEnd w:id="658"/>
    </w:p>
    <w:p w14:paraId="6CA886C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款规定的标准对竞选文件进行初步评审。有一项不符合评审标准的，作否决投标处理。（适用于未进行资格预审的）</w:t>
      </w:r>
    </w:p>
    <w:p w14:paraId="3E7F263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评标委员会依据本章第2.1.2项</w:t>
      </w:r>
      <w:r>
        <w:rPr>
          <w:rFonts w:hint="eastAsia" w:ascii="宋体" w:hAnsi="宋体"/>
          <w:color w:val="auto"/>
          <w:kern w:val="0"/>
          <w:szCs w:val="21"/>
          <w:highlight w:val="none"/>
        </w:rPr>
        <w:t>、</w:t>
      </w:r>
      <w:r>
        <w:rPr>
          <w:rFonts w:ascii="宋体" w:hAnsi="宋体"/>
          <w:color w:val="auto"/>
          <w:kern w:val="0"/>
          <w:szCs w:val="21"/>
          <w:highlight w:val="none"/>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14:paraId="7AE6CAD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3.1.2  竞选人有以下情形之一的，其投标作否决投标处理：</w:t>
      </w:r>
    </w:p>
    <w:p w14:paraId="202818C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w:t>
      </w:r>
      <w:r>
        <w:rPr>
          <w:rFonts w:hint="eastAsia" w:ascii="宋体" w:hAnsi="宋体" w:cs="宋体"/>
          <w:color w:val="auto"/>
          <w:szCs w:val="21"/>
          <w:highlight w:val="none"/>
        </w:rPr>
        <w:t>有串通投标、弄虚作假等其他违反招投标相关法律、法规行为的</w:t>
      </w:r>
      <w:r>
        <w:rPr>
          <w:rFonts w:ascii="宋体" w:hAnsi="宋体"/>
          <w:color w:val="auto"/>
          <w:kern w:val="0"/>
          <w:szCs w:val="21"/>
          <w:highlight w:val="none"/>
        </w:rPr>
        <w:t>；</w:t>
      </w:r>
    </w:p>
    <w:p w14:paraId="1D6ABE0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7364BDE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投标报价有算术错误及其他错误的，评标委员会按以下原则要求竞选人对投标报价进行修正，并要求竞选人书面澄清确认。竞选人拒不澄清确认的，评标委员会应当否决其投标：</w:t>
      </w:r>
    </w:p>
    <w:p w14:paraId="550CF71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（1）竞选文件中的大写金额与小写金额不一致的，以大写金额为准；</w:t>
      </w:r>
    </w:p>
    <w:p w14:paraId="5368CE6B">
      <w:pPr>
        <w:spacing w:line="400" w:lineRule="exact"/>
        <w:ind w:firstLine="420" w:firstLineChars="200"/>
        <w:rPr>
          <w:rFonts w:ascii="宋体" w:hAnsi="宋体"/>
          <w:color w:val="auto"/>
          <w:szCs w:val="21"/>
          <w:highlight w:val="none"/>
        </w:rPr>
      </w:pPr>
      <w:bookmarkStart w:id="659" w:name="_Toc1832"/>
      <w:bookmarkStart w:id="660" w:name="_Toc509218782"/>
      <w:r>
        <w:rPr>
          <w:rFonts w:hint="eastAsia" w:ascii="宋体" w:hAnsi="宋体"/>
          <w:color w:val="auto"/>
          <w:szCs w:val="21"/>
          <w:highlight w:val="none"/>
        </w:rPr>
        <w:t>（2）竞选文件中用数字表示的数额与用文字表示的数额不一致时，以文字数额为准；</w:t>
      </w:r>
    </w:p>
    <w:p w14:paraId="56B2A924">
      <w:pPr>
        <w:pStyle w:val="4"/>
        <w:snapToGrid w:val="0"/>
        <w:spacing w:before="0" w:line="360" w:lineRule="auto"/>
        <w:rPr>
          <w:rFonts w:ascii="宋体" w:hAnsi="宋体"/>
          <w:b w:val="0"/>
          <w:snapToGrid w:val="0"/>
          <w:color w:val="auto"/>
          <w:szCs w:val="24"/>
          <w:highlight w:val="none"/>
        </w:rPr>
      </w:pPr>
      <w:bookmarkStart w:id="661" w:name="_Toc122515236"/>
      <w:r>
        <w:rPr>
          <w:rFonts w:ascii="宋体" w:hAnsi="宋体"/>
          <w:b w:val="0"/>
          <w:snapToGrid w:val="0"/>
          <w:color w:val="auto"/>
          <w:szCs w:val="24"/>
          <w:highlight w:val="none"/>
        </w:rPr>
        <w:t>3.2  详细评审</w:t>
      </w:r>
      <w:bookmarkEnd w:id="659"/>
      <w:bookmarkEnd w:id="660"/>
      <w:bookmarkEnd w:id="661"/>
    </w:p>
    <w:p w14:paraId="6E9B3E9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2F9ED13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（1）按本章第 2.2.4（1）目规定的评审因素和分值对</w:t>
      </w:r>
      <w:r>
        <w:rPr>
          <w:rFonts w:hint="eastAsia" w:ascii="宋体" w:hAnsi="宋体"/>
          <w:color w:val="auto"/>
          <w:kern w:val="0"/>
          <w:szCs w:val="21"/>
          <w:highlight w:val="none"/>
        </w:rPr>
        <w:t>技术</w:t>
      </w:r>
      <w:r>
        <w:rPr>
          <w:rFonts w:ascii="宋体" w:hAnsi="宋体"/>
          <w:color w:val="auto"/>
          <w:kern w:val="0"/>
          <w:szCs w:val="21"/>
          <w:highlight w:val="none"/>
        </w:rPr>
        <w:t>部分计算出得分 A；</w:t>
      </w:r>
    </w:p>
    <w:p w14:paraId="3D746DD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 2.2.4（2）目规定的评审因素和分值对投标报价计算出得分 B；</w:t>
      </w:r>
    </w:p>
    <w:p w14:paraId="3F5D072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51379CF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3.2.3  竞选人得分=A</w:t>
      </w:r>
      <w:r>
        <w:rPr>
          <w:rFonts w:hint="eastAsia" w:ascii="宋体" w:hAnsi="宋体"/>
          <w:color w:val="auto"/>
          <w:kern w:val="0"/>
          <w:szCs w:val="21"/>
          <w:highlight w:val="none"/>
        </w:rPr>
        <w:t>+</w:t>
      </w:r>
      <w:r>
        <w:rPr>
          <w:rFonts w:ascii="宋体" w:hAnsi="宋体"/>
          <w:color w:val="auto"/>
          <w:kern w:val="0"/>
          <w:szCs w:val="21"/>
          <w:highlight w:val="none"/>
        </w:rPr>
        <w:t>B</w:t>
      </w:r>
      <w:r>
        <w:rPr>
          <w:rFonts w:hint="eastAsia" w:ascii="宋体" w:hAnsi="宋体"/>
          <w:color w:val="auto"/>
          <w:kern w:val="0"/>
          <w:szCs w:val="21"/>
          <w:highlight w:val="none"/>
        </w:rPr>
        <w:t>。</w:t>
      </w:r>
    </w:p>
    <w:p w14:paraId="2DE8D518">
      <w:pPr>
        <w:pStyle w:val="4"/>
        <w:snapToGrid w:val="0"/>
        <w:spacing w:before="0" w:line="360" w:lineRule="auto"/>
        <w:rPr>
          <w:rFonts w:ascii="宋体" w:hAnsi="宋体"/>
          <w:b w:val="0"/>
          <w:snapToGrid w:val="0"/>
          <w:color w:val="auto"/>
          <w:szCs w:val="24"/>
          <w:highlight w:val="none"/>
        </w:rPr>
      </w:pPr>
      <w:bookmarkStart w:id="662" w:name="_Toc509218783"/>
      <w:bookmarkStart w:id="663" w:name="_Toc18143"/>
      <w:bookmarkStart w:id="664" w:name="_Toc122515237"/>
      <w:r>
        <w:rPr>
          <w:rFonts w:ascii="宋体" w:hAnsi="宋体"/>
          <w:b w:val="0"/>
          <w:snapToGrid w:val="0"/>
          <w:color w:val="auto"/>
          <w:szCs w:val="24"/>
          <w:highlight w:val="none"/>
        </w:rPr>
        <w:t>3.3  竞选文件的澄清</w:t>
      </w:r>
      <w:bookmarkEnd w:id="662"/>
      <w:bookmarkEnd w:id="663"/>
      <w:bookmarkEnd w:id="664"/>
    </w:p>
    <w:p w14:paraId="520B99F2">
      <w:pPr>
        <w:autoSpaceDE w:val="0"/>
        <w:autoSpaceDN w:val="0"/>
        <w:adjustRightInd w:val="0"/>
        <w:snapToGrid w:val="0"/>
        <w:spacing w:line="360" w:lineRule="auto"/>
        <w:ind w:firstLine="420" w:firstLineChars="200"/>
        <w:rPr>
          <w:rFonts w:ascii="宋体" w:hAnsi="宋体"/>
          <w:color w:val="auto"/>
          <w:kern w:val="0"/>
          <w:szCs w:val="21"/>
          <w:highlight w:val="none"/>
        </w:rPr>
      </w:pPr>
      <w:bookmarkStart w:id="665" w:name="_Hlk71569932"/>
      <w:r>
        <w:rPr>
          <w:rFonts w:ascii="宋体" w:hAnsi="宋体"/>
          <w:color w:val="auto"/>
          <w:kern w:val="0"/>
          <w:szCs w:val="21"/>
          <w:highlight w:val="none"/>
        </w:rPr>
        <w:t>3.3.1  在评标过程中，评标委员会可以书面形式要求竞选人对所提交竞选文件中</w:t>
      </w:r>
      <w:r>
        <w:rPr>
          <w:rFonts w:hint="eastAsia" w:ascii="宋体" w:hAnsi="宋体"/>
          <w:color w:val="auto"/>
          <w:kern w:val="0"/>
          <w:szCs w:val="21"/>
          <w:highlight w:val="none"/>
        </w:rPr>
        <w:t>含义不明确、对同类问题表述不一致或者有明显文字和计算错误的内容作必要的澄清、说明或补正。澄清、说明或补正应以书面方式进行。评标委员会不接受竞选人主动提出的澄清、说明或补正。</w:t>
      </w:r>
    </w:p>
    <w:p w14:paraId="1B964F2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澄清、说明或补正不得超出竞选文件的范围且不得改变竞选文件的实质性内容，并构成竞选文件的组成部分。</w:t>
      </w:r>
    </w:p>
    <w:p w14:paraId="2A5D301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评标委员会对竞选人提交的澄清、说明或补正有疑问的，可以要求竞选人进一步澄清、说明或补正，直至满足评标委员会的要求。</w:t>
      </w:r>
      <w:bookmarkEnd w:id="665"/>
    </w:p>
    <w:p w14:paraId="038E4494">
      <w:pPr>
        <w:pStyle w:val="4"/>
        <w:snapToGrid w:val="0"/>
        <w:spacing w:before="0" w:line="360" w:lineRule="auto"/>
        <w:rPr>
          <w:rFonts w:ascii="宋体" w:hAnsi="宋体"/>
          <w:b w:val="0"/>
          <w:snapToGrid w:val="0"/>
          <w:color w:val="auto"/>
          <w:szCs w:val="24"/>
          <w:highlight w:val="none"/>
        </w:rPr>
      </w:pPr>
      <w:bookmarkStart w:id="666" w:name="_Toc122515238"/>
      <w:bookmarkStart w:id="667" w:name="_Toc22756"/>
      <w:bookmarkStart w:id="668" w:name="_Toc509218784"/>
      <w:r>
        <w:rPr>
          <w:rFonts w:ascii="宋体" w:hAnsi="宋体"/>
          <w:b w:val="0"/>
          <w:snapToGrid w:val="0"/>
          <w:color w:val="auto"/>
          <w:szCs w:val="24"/>
          <w:highlight w:val="none"/>
        </w:rPr>
        <w:t>3.4  评标结果</w:t>
      </w:r>
      <w:bookmarkEnd w:id="666"/>
      <w:bookmarkEnd w:id="667"/>
      <w:bookmarkEnd w:id="668"/>
    </w:p>
    <w:p w14:paraId="157EE2C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 除第二章“竞选人须知”前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确定中选人外，评标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由高到低的顺序推荐中标候选人，并标明排序。</w:t>
      </w:r>
    </w:p>
    <w:p w14:paraId="60E0730B">
      <w:pPr>
        <w:autoSpaceDE w:val="0"/>
        <w:autoSpaceDN w:val="0"/>
        <w:adjustRightInd w:val="0"/>
        <w:snapToGrid w:val="0"/>
        <w:spacing w:line="360" w:lineRule="auto"/>
        <w:ind w:firstLine="424" w:firstLineChars="200"/>
        <w:rPr>
          <w:rFonts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评标委员会完成评标后，应当向招标人提交书面评标报告和中标候选人名单。</w:t>
      </w:r>
    </w:p>
    <w:p w14:paraId="7882BC74">
      <w:pPr>
        <w:pStyle w:val="8"/>
        <w:rPr>
          <w:rFonts w:ascii="宋体" w:hAnsi="宋体"/>
          <w:color w:val="auto"/>
          <w:highlight w:val="none"/>
        </w:rPr>
      </w:pPr>
    </w:p>
    <w:p w14:paraId="716BEDA9">
      <w:pPr>
        <w:spacing w:line="400" w:lineRule="atLeast"/>
        <w:rPr>
          <w:rFonts w:ascii="宋体" w:hAnsi="宋体"/>
          <w:color w:val="auto"/>
          <w:szCs w:val="20"/>
          <w:highlight w:val="none"/>
        </w:rPr>
      </w:pPr>
      <w:r>
        <w:rPr>
          <w:rFonts w:hint="eastAsia" w:ascii="宋体" w:hAnsi="宋体"/>
          <w:color w:val="auto"/>
          <w:kern w:val="0"/>
          <w:sz w:val="20"/>
          <w:szCs w:val="20"/>
          <w:highlight w:val="none"/>
        </w:rPr>
        <w:br w:type="page"/>
      </w:r>
      <w:r>
        <w:rPr>
          <w:rFonts w:hint="eastAsia" w:ascii="宋体" w:hAnsi="宋体"/>
          <w:color w:val="auto"/>
          <w:szCs w:val="20"/>
          <w:highlight w:val="none"/>
        </w:rPr>
        <w:t>附件A：否决竞选条件</w:t>
      </w:r>
    </w:p>
    <w:p w14:paraId="2F18A29A">
      <w:pPr>
        <w:pStyle w:val="21"/>
        <w:spacing w:line="360" w:lineRule="auto"/>
        <w:rPr>
          <w:rFonts w:ascii="宋体" w:hAnsi="宋体"/>
          <w:color w:val="auto"/>
          <w:sz w:val="28"/>
          <w:szCs w:val="28"/>
          <w:highlight w:val="none"/>
          <w:lang w:eastAsia="zh-CN"/>
        </w:rPr>
      </w:pPr>
      <w:bookmarkStart w:id="669" w:name="招标文件03章02评标办法综合评估法02附件02"/>
      <w:bookmarkEnd w:id="669"/>
      <w:bookmarkStart w:id="670" w:name="招标文件04章合同条款及格式"/>
      <w:bookmarkEnd w:id="670"/>
      <w:bookmarkStart w:id="671" w:name="_Toc230410480"/>
      <w:bookmarkStart w:id="672" w:name="_Toc277082627"/>
      <w:r>
        <w:rPr>
          <w:rFonts w:hint="eastAsia" w:ascii="宋体" w:hAnsi="宋体"/>
          <w:color w:val="auto"/>
          <w:sz w:val="28"/>
          <w:szCs w:val="28"/>
          <w:highlight w:val="none"/>
          <w:lang w:eastAsia="zh-CN"/>
        </w:rPr>
        <w:t>附件A：综合评估法否决竞选情况一览表</w:t>
      </w:r>
      <w:bookmarkEnd w:id="671"/>
    </w:p>
    <w:p w14:paraId="0379075C">
      <w:pPr>
        <w:pStyle w:val="21"/>
        <w:spacing w:line="360" w:lineRule="auto"/>
        <w:jc w:val="both"/>
        <w:rPr>
          <w:rFonts w:ascii="宋体" w:hAnsi="宋体"/>
          <w:b/>
          <w:color w:val="auto"/>
          <w:sz w:val="24"/>
          <w:highlight w:val="none"/>
          <w:lang w:eastAsia="zh-CN"/>
        </w:rPr>
      </w:pPr>
      <w:r>
        <w:rPr>
          <w:rFonts w:hint="eastAsia" w:ascii="宋体" w:hAnsi="宋体"/>
          <w:b/>
          <w:color w:val="auto"/>
          <w:sz w:val="24"/>
          <w:highlight w:val="none"/>
          <w:lang w:eastAsia="zh-CN"/>
        </w:rPr>
        <w:t>一览表否决竞选条件之外的评选委员会不得判为重大偏差。</w:t>
      </w:r>
    </w:p>
    <w:tbl>
      <w:tblPr>
        <w:tblStyle w:val="28"/>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14:paraId="3D1C0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14:paraId="391FBFA6">
            <w:pPr>
              <w:spacing w:line="360" w:lineRule="auto"/>
              <w:rPr>
                <w:rFonts w:ascii="宋体" w:hAnsi="宋体"/>
                <w:b/>
                <w:color w:val="auto"/>
                <w:szCs w:val="21"/>
                <w:highlight w:val="none"/>
              </w:rPr>
            </w:pPr>
            <w:r>
              <w:rPr>
                <w:rFonts w:hint="eastAsia" w:ascii="宋体" w:hAnsi="宋体"/>
                <w:b/>
                <w:color w:val="auto"/>
                <w:szCs w:val="21"/>
                <w:highlight w:val="none"/>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1571200A">
            <w:pPr>
              <w:spacing w:line="360"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14:paraId="5E2BA031">
            <w:pPr>
              <w:spacing w:line="360" w:lineRule="auto"/>
              <w:jc w:val="center"/>
              <w:rPr>
                <w:rFonts w:ascii="宋体" w:hAnsi="宋体"/>
                <w:b/>
                <w:color w:val="auto"/>
                <w:szCs w:val="21"/>
                <w:highlight w:val="none"/>
              </w:rPr>
            </w:pPr>
            <w:r>
              <w:rPr>
                <w:rFonts w:hint="eastAsia" w:ascii="宋体" w:hAnsi="宋体"/>
                <w:b/>
                <w:color w:val="auto"/>
                <w:szCs w:val="21"/>
                <w:highlight w:val="none"/>
              </w:rPr>
              <w:t>否决竞选条件</w:t>
            </w:r>
          </w:p>
        </w:tc>
      </w:tr>
      <w:tr w14:paraId="5987F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38C609F1">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327680B1">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14:paraId="4FE28B34">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只要有一条不满足比选文件第二章竞选人须知前附表要求即为否决竞选。</w:t>
            </w:r>
          </w:p>
        </w:tc>
      </w:tr>
      <w:tr w14:paraId="10347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0181F865">
            <w:pPr>
              <w:spacing w:line="360" w:lineRule="auto"/>
              <w:jc w:val="center"/>
              <w:rPr>
                <w:rFonts w:ascii="宋体" w:hAnsi="宋体"/>
                <w:color w:val="auto"/>
                <w:szCs w:val="21"/>
                <w:highlight w:val="none"/>
              </w:rPr>
            </w:pPr>
            <w:r>
              <w:rPr>
                <w:rFonts w:hint="eastAsia" w:ascii="宋体" w:hAnsi="宋体"/>
                <w:color w:val="auto"/>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16B599BE">
            <w:pPr>
              <w:spacing w:line="360" w:lineRule="auto"/>
              <w:jc w:val="center"/>
              <w:rPr>
                <w:rFonts w:ascii="宋体" w:hAnsi="宋体"/>
                <w:color w:val="auto"/>
                <w:szCs w:val="21"/>
                <w:highlight w:val="none"/>
              </w:rPr>
            </w:pPr>
            <w:r>
              <w:rPr>
                <w:rFonts w:hint="eastAsia" w:ascii="宋体" w:hAnsi="宋体"/>
                <w:color w:val="auto"/>
                <w:szCs w:val="21"/>
                <w:highlight w:val="none"/>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14:paraId="462C6FAC">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各竞选人所填报的竞选报价不得超过最高限价，否则将作否决竞选处理。</w:t>
            </w:r>
          </w:p>
        </w:tc>
      </w:tr>
      <w:tr w14:paraId="7F3CE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0724C52D">
            <w:pPr>
              <w:spacing w:line="360" w:lineRule="auto"/>
              <w:jc w:val="center"/>
              <w:rPr>
                <w:rFonts w:ascii="宋体" w:hAnsi="宋体"/>
                <w:color w:val="auto"/>
                <w:szCs w:val="21"/>
                <w:highlight w:val="none"/>
              </w:rPr>
            </w:pPr>
            <w:r>
              <w:rPr>
                <w:rFonts w:hint="eastAsia" w:ascii="宋体" w:hAnsi="宋体"/>
                <w:color w:val="auto"/>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5B4DAFD">
            <w:pPr>
              <w:spacing w:line="360" w:lineRule="auto"/>
              <w:jc w:val="center"/>
              <w:rPr>
                <w:rFonts w:ascii="宋体" w:hAnsi="宋体"/>
                <w:color w:val="auto"/>
                <w:szCs w:val="21"/>
                <w:highlight w:val="none"/>
              </w:rPr>
            </w:pPr>
            <w:r>
              <w:rPr>
                <w:rFonts w:hint="eastAsia" w:ascii="宋体" w:hAnsi="宋体" w:cs="宋体"/>
                <w:color w:val="auto"/>
                <w:kern w:val="0"/>
                <w:szCs w:val="21"/>
                <w:highlight w:val="none"/>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14:paraId="6488F987">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按本章竞选人须知前附表执行</w:t>
            </w:r>
            <w:r>
              <w:rPr>
                <w:rFonts w:hint="eastAsia" w:ascii="宋体" w:hAnsi="宋体"/>
                <w:color w:val="auto"/>
                <w:kern w:val="0"/>
                <w:szCs w:val="21"/>
                <w:highlight w:val="none"/>
              </w:rPr>
              <w:t>，否则，按</w:t>
            </w:r>
            <w:r>
              <w:rPr>
                <w:rFonts w:hint="eastAsia" w:ascii="宋体" w:hAnsi="宋体"/>
                <w:b/>
                <w:color w:val="auto"/>
                <w:kern w:val="0"/>
                <w:szCs w:val="21"/>
                <w:highlight w:val="none"/>
              </w:rPr>
              <w:t>否决竞选</w:t>
            </w:r>
            <w:r>
              <w:rPr>
                <w:rFonts w:hint="eastAsia" w:ascii="宋体" w:hAnsi="宋体"/>
                <w:color w:val="auto"/>
                <w:kern w:val="0"/>
                <w:szCs w:val="21"/>
                <w:highlight w:val="none"/>
              </w:rPr>
              <w:t>处理。</w:t>
            </w:r>
          </w:p>
        </w:tc>
      </w:tr>
      <w:tr w14:paraId="0A46B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193754F3">
            <w:pPr>
              <w:spacing w:line="360" w:lineRule="auto"/>
              <w:jc w:val="center"/>
              <w:rPr>
                <w:rFonts w:ascii="宋体" w:hAnsi="宋体"/>
                <w:color w:val="auto"/>
                <w:szCs w:val="21"/>
                <w:highlight w:val="none"/>
              </w:rPr>
            </w:pPr>
            <w:r>
              <w:rPr>
                <w:rFonts w:hint="eastAsia" w:ascii="宋体" w:hAnsi="宋体"/>
                <w:color w:val="auto"/>
                <w:szCs w:val="21"/>
                <w:highlight w:val="none"/>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7243E17C">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14:paraId="289E5BAF">
            <w:pPr>
              <w:autoSpaceDE w:val="0"/>
              <w:autoSpaceDN w:val="0"/>
              <w:adjustRightInd w:val="0"/>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按本章竞选人须知前附表执行</w:t>
            </w:r>
            <w:r>
              <w:rPr>
                <w:rFonts w:hint="eastAsia" w:ascii="宋体" w:hAnsi="宋体"/>
                <w:color w:val="auto"/>
                <w:kern w:val="0"/>
                <w:szCs w:val="21"/>
                <w:highlight w:val="none"/>
              </w:rPr>
              <w:t>，否则，按</w:t>
            </w:r>
            <w:r>
              <w:rPr>
                <w:rFonts w:hint="eastAsia" w:ascii="宋体" w:hAnsi="宋体"/>
                <w:b/>
                <w:color w:val="auto"/>
                <w:kern w:val="0"/>
                <w:szCs w:val="21"/>
                <w:highlight w:val="none"/>
              </w:rPr>
              <w:t>否决竞选</w:t>
            </w:r>
            <w:r>
              <w:rPr>
                <w:rFonts w:hint="eastAsia" w:ascii="宋体" w:hAnsi="宋体"/>
                <w:color w:val="auto"/>
                <w:kern w:val="0"/>
                <w:szCs w:val="21"/>
                <w:highlight w:val="none"/>
              </w:rPr>
              <w:t>处理。</w:t>
            </w:r>
          </w:p>
        </w:tc>
      </w:tr>
      <w:tr w14:paraId="50F52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14:paraId="38360781">
            <w:pPr>
              <w:spacing w:line="360" w:lineRule="auto"/>
              <w:jc w:val="center"/>
              <w:rPr>
                <w:rFonts w:ascii="宋体" w:hAnsi="宋体"/>
                <w:color w:val="auto"/>
                <w:szCs w:val="21"/>
                <w:highlight w:val="none"/>
              </w:rPr>
            </w:pPr>
            <w:r>
              <w:rPr>
                <w:rFonts w:hint="eastAsia" w:ascii="宋体" w:hAnsi="宋体"/>
                <w:color w:val="auto"/>
                <w:szCs w:val="21"/>
                <w:highlight w:val="none"/>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14:paraId="2E09F8B1">
            <w:pPr>
              <w:spacing w:line="360" w:lineRule="auto"/>
              <w:jc w:val="center"/>
              <w:rPr>
                <w:rFonts w:ascii="宋体" w:hAnsi="宋体"/>
                <w:color w:val="auto"/>
                <w:szCs w:val="21"/>
                <w:highlight w:val="none"/>
              </w:rPr>
            </w:pPr>
            <w:r>
              <w:rPr>
                <w:rFonts w:hint="eastAsia" w:ascii="宋体" w:hAnsi="宋体"/>
                <w:color w:val="auto"/>
                <w:szCs w:val="21"/>
                <w:highlight w:val="none"/>
              </w:rPr>
              <w:t>初步评审</w:t>
            </w:r>
          </w:p>
        </w:tc>
        <w:tc>
          <w:tcPr>
            <w:tcW w:w="6376" w:type="dxa"/>
            <w:tcBorders>
              <w:top w:val="single" w:color="000000" w:sz="4" w:space="0"/>
              <w:left w:val="single" w:color="000000" w:sz="4" w:space="0"/>
              <w:bottom w:val="single" w:color="000000" w:sz="4" w:space="0"/>
              <w:right w:val="single" w:color="000000" w:sz="4" w:space="0"/>
            </w:tcBorders>
          </w:tcPr>
          <w:p w14:paraId="6E33E2FD">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竞选人有以下情形之一的，</w:t>
            </w:r>
            <w:r>
              <w:rPr>
                <w:rFonts w:hint="eastAsia" w:ascii="宋体" w:hAnsi="宋体"/>
                <w:color w:val="auto"/>
                <w:kern w:val="0"/>
                <w:szCs w:val="21"/>
                <w:highlight w:val="none"/>
              </w:rPr>
              <w:t>评选</w:t>
            </w:r>
            <w:r>
              <w:rPr>
                <w:rFonts w:ascii="宋体" w:hAnsi="宋体"/>
                <w:color w:val="auto"/>
                <w:kern w:val="0"/>
                <w:szCs w:val="21"/>
                <w:highlight w:val="none"/>
              </w:rPr>
              <w:t>委员会应当否决其竞选：</w:t>
            </w:r>
          </w:p>
          <w:p w14:paraId="0EE1AE0B">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竞选文件没有对比选文件的实质性要求和条件作出响应，或者对比选文件的偏差超出比选文件规定的偏差范围；</w:t>
            </w:r>
          </w:p>
        </w:tc>
      </w:tr>
      <w:tr w14:paraId="780BC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0D19E3F2">
            <w:pPr>
              <w:widowControl/>
              <w:jc w:val="left"/>
              <w:rPr>
                <w:rFonts w:ascii="宋体" w:hAnsi="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21B60DD2">
            <w:pPr>
              <w:widowControl/>
              <w:jc w:val="left"/>
              <w:rPr>
                <w:rFonts w:ascii="宋体" w:hAnsi="宋体"/>
                <w:color w:val="auto"/>
                <w:szCs w:val="21"/>
                <w:highlight w:val="none"/>
              </w:rPr>
            </w:pPr>
          </w:p>
        </w:tc>
        <w:tc>
          <w:tcPr>
            <w:tcW w:w="6376" w:type="dxa"/>
            <w:tcBorders>
              <w:top w:val="single" w:color="000000" w:sz="4" w:space="0"/>
              <w:left w:val="single" w:color="000000" w:sz="4" w:space="0"/>
              <w:bottom w:val="single" w:color="000000" w:sz="4" w:space="0"/>
              <w:right w:val="single" w:color="000000" w:sz="4" w:space="0"/>
            </w:tcBorders>
          </w:tcPr>
          <w:p w14:paraId="340A7E08">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竞选报价有算术错误的，评选委员会按以下原则对竞选报价进行修正，修正的价格经竞选人书面确认后具有约束力。竞选人不接受修正价格的，其竞选作无效竞选处理。</w:t>
            </w:r>
          </w:p>
        </w:tc>
      </w:tr>
      <w:tr w14:paraId="6AD65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61272373">
            <w:pPr>
              <w:widowControl/>
              <w:jc w:val="left"/>
              <w:rPr>
                <w:rFonts w:ascii="宋体" w:hAnsi="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58547132">
            <w:pPr>
              <w:widowControl/>
              <w:jc w:val="left"/>
              <w:rPr>
                <w:rFonts w:ascii="宋体" w:hAnsi="宋体"/>
                <w:color w:val="auto"/>
                <w:szCs w:val="21"/>
                <w:highlight w:val="none"/>
              </w:rPr>
            </w:pPr>
          </w:p>
        </w:tc>
        <w:tc>
          <w:tcPr>
            <w:tcW w:w="6376" w:type="dxa"/>
            <w:tcBorders>
              <w:top w:val="single" w:color="000000" w:sz="4" w:space="0"/>
              <w:left w:val="single" w:color="000000" w:sz="4" w:space="0"/>
              <w:bottom w:val="single" w:color="000000" w:sz="4" w:space="0"/>
              <w:right w:val="single" w:color="000000" w:sz="4" w:space="0"/>
            </w:tcBorders>
          </w:tcPr>
          <w:p w14:paraId="546DDB3D">
            <w:pPr>
              <w:autoSpaceDE w:val="0"/>
              <w:autoSpaceDN w:val="0"/>
              <w:adjustRightInd w:val="0"/>
              <w:snapToGrid w:val="0"/>
              <w:spacing w:line="360" w:lineRule="auto"/>
              <w:ind w:firstLine="420" w:firstLineChars="200"/>
              <w:jc w:val="left"/>
              <w:rPr>
                <w:rFonts w:ascii="宋体" w:hAnsi="宋体" w:cs="MingLiU"/>
                <w:color w:val="auto"/>
                <w:kern w:val="0"/>
                <w:szCs w:val="21"/>
                <w:highlight w:val="none"/>
              </w:rPr>
            </w:pPr>
            <w:r>
              <w:rPr>
                <w:rFonts w:hint="eastAsia" w:ascii="宋体" w:hAnsi="宋体" w:cs="MingLiU"/>
                <w:color w:val="auto"/>
                <w:kern w:val="0"/>
                <w:szCs w:val="21"/>
                <w:highlight w:val="none"/>
              </w:rPr>
              <w:t>竞选人有以下情形之一的，其竞选作否决竞选处理：</w:t>
            </w:r>
          </w:p>
          <w:p w14:paraId="7B56FEB2">
            <w:pPr>
              <w:autoSpaceDE w:val="0"/>
              <w:autoSpaceDN w:val="0"/>
              <w:adjustRightInd w:val="0"/>
              <w:snapToGrid w:val="0"/>
              <w:spacing w:line="360" w:lineRule="auto"/>
              <w:ind w:firstLine="315" w:firstLineChars="150"/>
              <w:jc w:val="left"/>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hint="eastAsia" w:ascii="宋体" w:hAnsi="宋体"/>
                <w:color w:val="auto"/>
                <w:spacing w:val="1"/>
                <w:kern w:val="0"/>
                <w:szCs w:val="21"/>
                <w:highlight w:val="none"/>
              </w:rPr>
              <w:t>1</w:t>
            </w:r>
            <w:r>
              <w:rPr>
                <w:rFonts w:hint="eastAsia" w:ascii="宋体" w:hAnsi="宋体" w:cs="MingLiU"/>
                <w:color w:val="auto"/>
                <w:kern w:val="0"/>
                <w:szCs w:val="21"/>
                <w:highlight w:val="none"/>
              </w:rPr>
              <w:t>）第二</w:t>
            </w:r>
            <w:r>
              <w:rPr>
                <w:rFonts w:hint="eastAsia" w:ascii="宋体" w:hAnsi="宋体" w:cs="MingLiU"/>
                <w:color w:val="auto"/>
                <w:spacing w:val="-1"/>
                <w:kern w:val="0"/>
                <w:szCs w:val="21"/>
                <w:highlight w:val="none"/>
              </w:rPr>
              <w:t>章</w:t>
            </w:r>
            <w:r>
              <w:rPr>
                <w:rFonts w:hint="eastAsia" w:ascii="宋体" w:hAnsi="宋体" w:cs="MingLiU"/>
                <w:color w:val="auto"/>
                <w:kern w:val="0"/>
                <w:szCs w:val="21"/>
                <w:highlight w:val="none"/>
              </w:rPr>
              <w:t>“竞选人须知前附表”规定的任何一种情形的；</w:t>
            </w:r>
          </w:p>
          <w:p w14:paraId="5AD6E912">
            <w:pPr>
              <w:autoSpaceDE w:val="0"/>
              <w:autoSpaceDN w:val="0"/>
              <w:adjustRightInd w:val="0"/>
              <w:snapToGrid w:val="0"/>
              <w:spacing w:line="360" w:lineRule="auto"/>
              <w:ind w:firstLine="315" w:firstLineChars="150"/>
              <w:jc w:val="left"/>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hint="eastAsia" w:ascii="宋体" w:hAnsi="宋体"/>
                <w:color w:val="auto"/>
                <w:spacing w:val="1"/>
                <w:kern w:val="0"/>
                <w:szCs w:val="21"/>
                <w:highlight w:val="none"/>
              </w:rPr>
              <w:t>2</w:t>
            </w:r>
            <w:r>
              <w:rPr>
                <w:rFonts w:hint="eastAsia" w:ascii="宋体" w:hAnsi="宋体" w:cs="MingLiU"/>
                <w:color w:val="auto"/>
                <w:kern w:val="0"/>
                <w:szCs w:val="21"/>
                <w:highlight w:val="none"/>
              </w:rPr>
              <w:t>）串通</w:t>
            </w:r>
            <w:r>
              <w:rPr>
                <w:rFonts w:hint="eastAsia" w:ascii="宋体" w:hAnsi="宋体" w:cs="MingLiU"/>
                <w:color w:val="auto"/>
                <w:spacing w:val="-1"/>
                <w:kern w:val="0"/>
                <w:szCs w:val="21"/>
                <w:highlight w:val="none"/>
              </w:rPr>
              <w:t>竞选</w:t>
            </w:r>
            <w:r>
              <w:rPr>
                <w:rFonts w:hint="eastAsia" w:ascii="宋体" w:hAnsi="宋体" w:cs="MingLiU"/>
                <w:color w:val="auto"/>
                <w:kern w:val="0"/>
                <w:szCs w:val="21"/>
                <w:highlight w:val="none"/>
              </w:rPr>
              <w:t>或弄虚作假或有其他违法行为的；</w:t>
            </w:r>
          </w:p>
          <w:p w14:paraId="6FA64051">
            <w:pPr>
              <w:spacing w:line="360" w:lineRule="auto"/>
              <w:ind w:firstLine="315" w:firstLineChars="150"/>
              <w:rPr>
                <w:rFonts w:ascii="宋体" w:hAnsi="宋体" w:cs="MingLiU"/>
                <w:color w:val="auto"/>
                <w:kern w:val="0"/>
                <w:szCs w:val="21"/>
                <w:highlight w:val="none"/>
              </w:rPr>
            </w:pPr>
            <w:r>
              <w:rPr>
                <w:rFonts w:hint="eastAsia" w:ascii="宋体" w:hAnsi="宋体" w:cs="MingLiU"/>
                <w:color w:val="auto"/>
                <w:kern w:val="0"/>
                <w:szCs w:val="21"/>
                <w:highlight w:val="none"/>
              </w:rPr>
              <w:t>（</w:t>
            </w:r>
            <w:r>
              <w:rPr>
                <w:rFonts w:hint="eastAsia" w:ascii="宋体" w:hAnsi="宋体"/>
                <w:color w:val="auto"/>
                <w:spacing w:val="1"/>
                <w:kern w:val="0"/>
                <w:szCs w:val="21"/>
                <w:highlight w:val="none"/>
              </w:rPr>
              <w:t>3</w:t>
            </w:r>
            <w:r>
              <w:rPr>
                <w:rFonts w:hint="eastAsia" w:ascii="宋体" w:hAnsi="宋体" w:cs="MingLiU"/>
                <w:color w:val="auto"/>
                <w:kern w:val="0"/>
                <w:szCs w:val="21"/>
                <w:highlight w:val="none"/>
              </w:rPr>
              <w:t>）不按</w:t>
            </w:r>
            <w:r>
              <w:rPr>
                <w:rFonts w:hint="eastAsia" w:ascii="宋体" w:hAnsi="宋体" w:cs="MingLiU"/>
                <w:color w:val="auto"/>
                <w:spacing w:val="-1"/>
                <w:kern w:val="0"/>
                <w:szCs w:val="21"/>
                <w:highlight w:val="none"/>
              </w:rPr>
              <w:t>评选</w:t>
            </w:r>
            <w:r>
              <w:rPr>
                <w:rFonts w:hint="eastAsia" w:ascii="宋体" w:hAnsi="宋体" w:cs="MingLiU"/>
                <w:color w:val="auto"/>
                <w:kern w:val="0"/>
                <w:szCs w:val="21"/>
                <w:highlight w:val="none"/>
              </w:rPr>
              <w:t>委员会要求澄清、说明或补正的。</w:t>
            </w:r>
          </w:p>
          <w:p w14:paraId="0B65622B">
            <w:pPr>
              <w:spacing w:line="360" w:lineRule="auto"/>
              <w:ind w:firstLine="315" w:firstLineChars="150"/>
              <w:rPr>
                <w:rFonts w:ascii="宋体" w:hAnsi="宋体" w:cs="MingLiU"/>
                <w:color w:val="auto"/>
                <w:kern w:val="0"/>
                <w:szCs w:val="21"/>
                <w:highlight w:val="none"/>
              </w:rPr>
            </w:pPr>
            <w:r>
              <w:rPr>
                <w:rFonts w:hint="eastAsia" w:ascii="宋体" w:hAnsi="宋体" w:cs="MingLiU"/>
                <w:color w:val="auto"/>
                <w:kern w:val="0"/>
                <w:szCs w:val="21"/>
                <w:highlight w:val="none"/>
              </w:rPr>
              <w:t>（4）恶意低价竞选的</w:t>
            </w:r>
          </w:p>
          <w:p w14:paraId="2459A53B">
            <w:pPr>
              <w:spacing w:line="360" w:lineRule="auto"/>
              <w:ind w:firstLine="315" w:firstLineChars="150"/>
              <w:rPr>
                <w:rFonts w:ascii="宋体" w:hAnsi="宋体"/>
                <w:color w:val="auto"/>
                <w:sz w:val="18"/>
                <w:szCs w:val="18"/>
                <w:highlight w:val="none"/>
              </w:rPr>
            </w:pPr>
            <w:r>
              <w:rPr>
                <w:rFonts w:hint="eastAsia" w:ascii="宋体" w:hAnsi="宋体" w:cs="MingLiU"/>
                <w:color w:val="auto"/>
                <w:kern w:val="0"/>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auto"/>
                <w:highlight w:val="none"/>
              </w:rPr>
              <w:t>竞选</w:t>
            </w:r>
            <w:r>
              <w:rPr>
                <w:rFonts w:hint="eastAsia" w:ascii="宋体" w:hAnsi="宋体" w:cs="MingLiU"/>
                <w:color w:val="auto"/>
                <w:kern w:val="0"/>
                <w:szCs w:val="21"/>
                <w:highlight w:val="none"/>
              </w:rPr>
              <w:t>，其竞选作否决竞选处理。</w:t>
            </w:r>
          </w:p>
        </w:tc>
      </w:tr>
      <w:tr w14:paraId="179EC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7A8AE453">
            <w:pPr>
              <w:spacing w:line="360" w:lineRule="auto"/>
              <w:jc w:val="center"/>
              <w:rPr>
                <w:rFonts w:ascii="宋体" w:hAnsi="宋体"/>
                <w:color w:val="auto"/>
                <w:szCs w:val="21"/>
                <w:highlight w:val="none"/>
              </w:rPr>
            </w:pPr>
            <w:r>
              <w:rPr>
                <w:rFonts w:hint="eastAsia" w:ascii="宋体" w:hAnsi="宋体"/>
                <w:color w:val="auto"/>
                <w:szCs w:val="21"/>
                <w:highlight w:val="none"/>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12EFB504">
            <w:pPr>
              <w:spacing w:line="360" w:lineRule="auto"/>
              <w:jc w:val="center"/>
              <w:rPr>
                <w:rFonts w:ascii="宋体" w:hAnsi="宋体"/>
                <w:color w:val="auto"/>
                <w:szCs w:val="21"/>
                <w:highlight w:val="none"/>
              </w:rPr>
            </w:pPr>
            <w:r>
              <w:rPr>
                <w:rFonts w:hint="eastAsia" w:ascii="宋体" w:hAnsi="宋体"/>
                <w:color w:val="auto"/>
                <w:szCs w:val="21"/>
                <w:highlight w:val="none"/>
              </w:rPr>
              <w:t>详细评审</w:t>
            </w:r>
          </w:p>
        </w:tc>
        <w:tc>
          <w:tcPr>
            <w:tcW w:w="6376" w:type="dxa"/>
            <w:tcBorders>
              <w:top w:val="single" w:color="000000" w:sz="4" w:space="0"/>
              <w:left w:val="single" w:color="000000" w:sz="4" w:space="0"/>
              <w:bottom w:val="single" w:color="000000" w:sz="4" w:space="0"/>
              <w:right w:val="single" w:color="000000" w:sz="4" w:space="0"/>
            </w:tcBorders>
          </w:tcPr>
          <w:p w14:paraId="10B3EC27">
            <w:pPr>
              <w:autoSpaceDE w:val="0"/>
              <w:autoSpaceDN w:val="0"/>
              <w:adjustRightInd w:val="0"/>
              <w:snapToGrid w:val="0"/>
              <w:spacing w:line="360" w:lineRule="auto"/>
              <w:ind w:firstLine="420" w:firstLineChars="200"/>
              <w:jc w:val="left"/>
              <w:rPr>
                <w:rFonts w:ascii="宋体" w:hAnsi="宋体" w:cs="MingLiU"/>
                <w:color w:val="auto"/>
                <w:kern w:val="0"/>
                <w:sz w:val="18"/>
                <w:szCs w:val="18"/>
                <w:highlight w:val="none"/>
              </w:rPr>
            </w:pPr>
            <w:r>
              <w:rPr>
                <w:rFonts w:hint="eastAsia" w:ascii="宋体" w:hAnsi="宋体"/>
                <w:color w:val="auto"/>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auto"/>
                <w:highlight w:val="none"/>
              </w:rPr>
              <w:t>竞选</w:t>
            </w:r>
            <w:r>
              <w:rPr>
                <w:rFonts w:hint="eastAsia" w:ascii="宋体" w:hAnsi="宋体"/>
                <w:color w:val="auto"/>
                <w:szCs w:val="21"/>
                <w:highlight w:val="none"/>
              </w:rPr>
              <w:t>，其竞选作否决竞选处理。</w:t>
            </w:r>
          </w:p>
        </w:tc>
      </w:tr>
      <w:bookmarkEnd w:id="672"/>
    </w:tbl>
    <w:p w14:paraId="692FE385">
      <w:pPr>
        <w:pStyle w:val="2"/>
        <w:jc w:val="center"/>
        <w:rPr>
          <w:rFonts w:ascii="宋体" w:hAnsi="宋体"/>
          <w:color w:val="auto"/>
          <w:sz w:val="21"/>
          <w:szCs w:val="21"/>
          <w:highlight w:val="none"/>
        </w:rPr>
      </w:pPr>
    </w:p>
    <w:p w14:paraId="2097E848">
      <w:pPr>
        <w:pStyle w:val="2"/>
        <w:jc w:val="center"/>
        <w:rPr>
          <w:rFonts w:ascii="宋体" w:hAnsi="宋体"/>
          <w:color w:val="auto"/>
          <w:sz w:val="21"/>
          <w:szCs w:val="21"/>
          <w:highlight w:val="none"/>
        </w:rPr>
      </w:pPr>
    </w:p>
    <w:p w14:paraId="1782FD92">
      <w:pPr>
        <w:pStyle w:val="2"/>
        <w:jc w:val="center"/>
        <w:rPr>
          <w:rFonts w:ascii="宋体" w:hAnsi="宋体"/>
          <w:color w:val="auto"/>
          <w:sz w:val="21"/>
          <w:szCs w:val="21"/>
          <w:highlight w:val="none"/>
        </w:rPr>
      </w:pPr>
    </w:p>
    <w:p w14:paraId="3B1E448A">
      <w:pPr>
        <w:pStyle w:val="2"/>
        <w:jc w:val="center"/>
        <w:rPr>
          <w:rFonts w:ascii="宋体" w:hAnsi="宋体"/>
          <w:color w:val="auto"/>
          <w:sz w:val="21"/>
          <w:szCs w:val="21"/>
          <w:highlight w:val="none"/>
        </w:rPr>
      </w:pPr>
    </w:p>
    <w:p w14:paraId="3AA81E4A">
      <w:pPr>
        <w:pStyle w:val="2"/>
        <w:jc w:val="center"/>
        <w:rPr>
          <w:rFonts w:ascii="宋体" w:hAnsi="宋体"/>
          <w:color w:val="auto"/>
          <w:sz w:val="21"/>
          <w:szCs w:val="21"/>
          <w:highlight w:val="none"/>
        </w:rPr>
      </w:pPr>
    </w:p>
    <w:p w14:paraId="0D30946B">
      <w:pPr>
        <w:pStyle w:val="2"/>
        <w:jc w:val="center"/>
        <w:rPr>
          <w:rFonts w:ascii="宋体" w:hAnsi="宋体"/>
          <w:color w:val="auto"/>
          <w:sz w:val="21"/>
          <w:szCs w:val="21"/>
          <w:highlight w:val="none"/>
        </w:rPr>
      </w:pPr>
    </w:p>
    <w:p w14:paraId="33FEC1EA">
      <w:pPr>
        <w:pStyle w:val="2"/>
        <w:jc w:val="center"/>
        <w:rPr>
          <w:rFonts w:ascii="宋体" w:hAnsi="宋体"/>
          <w:color w:val="auto"/>
          <w:sz w:val="21"/>
          <w:szCs w:val="21"/>
          <w:highlight w:val="none"/>
        </w:rPr>
      </w:pPr>
    </w:p>
    <w:p w14:paraId="70ABD7D9">
      <w:pPr>
        <w:rPr>
          <w:rFonts w:ascii="宋体" w:hAnsi="宋体"/>
          <w:color w:val="auto"/>
          <w:highlight w:val="none"/>
        </w:rPr>
      </w:pPr>
    </w:p>
    <w:p w14:paraId="0C3AA31B">
      <w:pPr>
        <w:pStyle w:val="2"/>
        <w:jc w:val="center"/>
        <w:rPr>
          <w:rFonts w:ascii="宋体" w:hAnsi="宋体"/>
          <w:color w:val="auto"/>
          <w:sz w:val="21"/>
          <w:szCs w:val="21"/>
          <w:highlight w:val="none"/>
        </w:rPr>
      </w:pPr>
    </w:p>
    <w:p w14:paraId="2F1EB30C">
      <w:pPr>
        <w:rPr>
          <w:rFonts w:ascii="宋体" w:hAnsi="宋体"/>
          <w:color w:val="auto"/>
          <w:szCs w:val="21"/>
          <w:highlight w:val="none"/>
        </w:rPr>
      </w:pPr>
    </w:p>
    <w:p w14:paraId="44095E6E">
      <w:pPr>
        <w:pStyle w:val="8"/>
        <w:rPr>
          <w:rFonts w:ascii="宋体" w:hAnsi="宋体"/>
          <w:color w:val="auto"/>
          <w:szCs w:val="21"/>
          <w:highlight w:val="none"/>
        </w:rPr>
      </w:pPr>
    </w:p>
    <w:p w14:paraId="5EBEDC09">
      <w:pPr>
        <w:rPr>
          <w:rFonts w:ascii="宋体" w:hAnsi="宋体"/>
          <w:color w:val="auto"/>
          <w:highlight w:val="none"/>
        </w:rPr>
      </w:pPr>
    </w:p>
    <w:p w14:paraId="1D66BBEF">
      <w:pPr>
        <w:pStyle w:val="2"/>
        <w:jc w:val="center"/>
        <w:rPr>
          <w:rFonts w:ascii="宋体" w:hAnsi="宋体"/>
          <w:color w:val="auto"/>
          <w:sz w:val="21"/>
          <w:szCs w:val="21"/>
          <w:highlight w:val="none"/>
        </w:rPr>
      </w:pPr>
    </w:p>
    <w:p w14:paraId="33469234">
      <w:pPr>
        <w:pStyle w:val="2"/>
        <w:jc w:val="center"/>
        <w:rPr>
          <w:rFonts w:ascii="宋体" w:hAnsi="宋体"/>
          <w:color w:val="auto"/>
          <w:highlight w:val="none"/>
        </w:rPr>
      </w:pPr>
      <w:r>
        <w:rPr>
          <w:rFonts w:hint="eastAsia" w:ascii="宋体" w:hAnsi="宋体"/>
          <w:color w:val="auto"/>
          <w:highlight w:val="none"/>
        </w:rPr>
        <w:t>第四章  合同条款及格式</w:t>
      </w:r>
    </w:p>
    <w:p w14:paraId="14BD69E7">
      <w:pPr>
        <w:rPr>
          <w:rFonts w:ascii="宋体" w:hAnsi="宋体"/>
          <w:color w:val="auto"/>
          <w:highlight w:val="none"/>
        </w:rPr>
      </w:pPr>
    </w:p>
    <w:p w14:paraId="029F1AA9">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28526A76">
      <w:pPr>
        <w:pStyle w:val="13"/>
        <w:ind w:firstLine="6325" w:firstLineChars="1750"/>
        <w:rPr>
          <w:rFonts w:hAnsi="宋体"/>
          <w:b/>
          <w:color w:val="auto"/>
          <w:sz w:val="36"/>
          <w:szCs w:val="36"/>
          <w:highlight w:val="none"/>
        </w:rPr>
      </w:pPr>
      <w:bookmarkStart w:id="673" w:name="_Toc509218786"/>
      <w:bookmarkStart w:id="674" w:name="_Toc25082183"/>
      <w:bookmarkStart w:id="675" w:name="_Toc505679277"/>
      <w:bookmarkStart w:id="676" w:name="_Toc27983310"/>
      <w:bookmarkStart w:id="677" w:name="_Toc42694323"/>
      <w:bookmarkStart w:id="678" w:name="_Toc534185765"/>
      <w:r>
        <w:rPr>
          <w:rFonts w:hAnsi="宋体"/>
          <w:b/>
          <w:color w:val="auto"/>
          <w:sz w:val="36"/>
          <w:szCs w:val="36"/>
          <w:highlight w:val="none"/>
        </w:rPr>
        <w:br w:type="page"/>
      </w:r>
      <w:bookmarkEnd w:id="673"/>
      <w:bookmarkEnd w:id="674"/>
      <w:bookmarkEnd w:id="675"/>
      <w:bookmarkEnd w:id="676"/>
      <w:bookmarkEnd w:id="677"/>
      <w:bookmarkEnd w:id="678"/>
      <w:bookmarkStart w:id="679" w:name="_Toc351203494"/>
    </w:p>
    <w:bookmarkEnd w:id="639"/>
    <w:bookmarkEnd w:id="640"/>
    <w:bookmarkEnd w:id="679"/>
    <w:p w14:paraId="1D980B80">
      <w:pPr>
        <w:pStyle w:val="8"/>
        <w:rPr>
          <w:rFonts w:ascii="宋体" w:hAnsi="宋体"/>
          <w:color w:val="auto"/>
          <w:szCs w:val="21"/>
          <w:highlight w:val="none"/>
        </w:rPr>
      </w:pPr>
      <w:bookmarkStart w:id="680" w:name="_Toc30057"/>
      <w:bookmarkEnd w:id="680"/>
      <w:bookmarkStart w:id="681" w:name="招标文件06章图纸01"/>
      <w:bookmarkEnd w:id="681"/>
      <w:bookmarkStart w:id="682" w:name="招标文件06章图纸"/>
      <w:bookmarkEnd w:id="682"/>
      <w:bookmarkStart w:id="683" w:name="baidusnap7"/>
      <w:bookmarkEnd w:id="683"/>
      <w:bookmarkStart w:id="684" w:name="baidusnap3"/>
      <w:bookmarkEnd w:id="684"/>
      <w:bookmarkStart w:id="685" w:name="_Toc30930"/>
      <w:bookmarkStart w:id="686" w:name="_Toc7551"/>
      <w:bookmarkStart w:id="687" w:name="_Toc6677"/>
      <w:bookmarkStart w:id="688" w:name="_Toc430530520"/>
      <w:bookmarkStart w:id="689" w:name="_Toc287620804"/>
      <w:bookmarkStart w:id="690" w:name="_Toc351203480"/>
      <w:bookmarkStart w:id="691" w:name="_Toc296890982"/>
      <w:bookmarkStart w:id="692" w:name="_Toc296503025"/>
    </w:p>
    <w:p w14:paraId="65C9640E">
      <w:pPr>
        <w:wordWrap w:val="0"/>
        <w:ind w:right="1440" w:firstLine="720"/>
        <w:rPr>
          <w:color w:val="auto"/>
          <w:sz w:val="36"/>
          <w:szCs w:val="36"/>
          <w:highlight w:val="none"/>
          <w:u w:val="single"/>
        </w:rPr>
      </w:pPr>
      <w:r>
        <w:rPr>
          <w:rFonts w:hint="eastAsia"/>
          <w:color w:val="auto"/>
          <w:sz w:val="36"/>
          <w:szCs w:val="36"/>
          <w:highlight w:val="none"/>
        </w:rPr>
        <w:t>合同编号：</w:t>
      </w:r>
    </w:p>
    <w:p w14:paraId="4A9E2B1E">
      <w:pPr>
        <w:ind w:firstLine="720"/>
        <w:jc w:val="center"/>
        <w:rPr>
          <w:color w:val="auto"/>
          <w:sz w:val="36"/>
          <w:szCs w:val="36"/>
          <w:highlight w:val="none"/>
        </w:rPr>
      </w:pPr>
    </w:p>
    <w:p w14:paraId="6A40CDDB">
      <w:pPr>
        <w:ind w:firstLine="1440"/>
        <w:jc w:val="center"/>
        <w:rPr>
          <w:color w:val="auto"/>
          <w:sz w:val="72"/>
          <w:szCs w:val="72"/>
          <w:highlight w:val="none"/>
        </w:rPr>
      </w:pPr>
    </w:p>
    <w:p w14:paraId="59552A27">
      <w:pPr>
        <w:ind w:firstLine="1440"/>
        <w:jc w:val="center"/>
        <w:rPr>
          <w:color w:val="auto"/>
          <w:sz w:val="72"/>
          <w:szCs w:val="72"/>
          <w:highlight w:val="none"/>
        </w:rPr>
      </w:pPr>
    </w:p>
    <w:p w14:paraId="090B55B3">
      <w:pPr>
        <w:ind w:firstLine="1440"/>
        <w:jc w:val="center"/>
        <w:rPr>
          <w:color w:val="auto"/>
          <w:sz w:val="72"/>
          <w:szCs w:val="72"/>
          <w:highlight w:val="none"/>
        </w:rPr>
      </w:pPr>
      <w:r>
        <w:rPr>
          <w:rFonts w:hint="eastAsia"/>
          <w:color w:val="auto"/>
          <w:sz w:val="72"/>
          <w:szCs w:val="72"/>
          <w:highlight w:val="none"/>
        </w:rPr>
        <w:t>建设工程造价咨询合同</w:t>
      </w:r>
    </w:p>
    <w:p w14:paraId="5EDA6E48">
      <w:pPr>
        <w:ind w:firstLine="880"/>
        <w:jc w:val="center"/>
        <w:rPr>
          <w:color w:val="auto"/>
          <w:sz w:val="44"/>
          <w:szCs w:val="44"/>
          <w:highlight w:val="none"/>
        </w:rPr>
      </w:pPr>
    </w:p>
    <w:p w14:paraId="46D6ED9A">
      <w:pPr>
        <w:ind w:firstLine="880"/>
        <w:jc w:val="center"/>
        <w:rPr>
          <w:color w:val="auto"/>
          <w:sz w:val="44"/>
          <w:szCs w:val="44"/>
          <w:highlight w:val="none"/>
        </w:rPr>
      </w:pPr>
    </w:p>
    <w:p w14:paraId="35E3B01E">
      <w:pPr>
        <w:ind w:firstLine="880"/>
        <w:jc w:val="center"/>
        <w:rPr>
          <w:color w:val="auto"/>
          <w:sz w:val="44"/>
          <w:szCs w:val="44"/>
          <w:highlight w:val="none"/>
        </w:rPr>
      </w:pPr>
    </w:p>
    <w:p w14:paraId="302CF79D">
      <w:pPr>
        <w:ind w:firstLine="880"/>
        <w:jc w:val="center"/>
        <w:rPr>
          <w:color w:val="auto"/>
          <w:sz w:val="44"/>
          <w:szCs w:val="44"/>
          <w:highlight w:val="none"/>
        </w:rPr>
      </w:pPr>
    </w:p>
    <w:p w14:paraId="2A786596">
      <w:pPr>
        <w:ind w:firstLine="880"/>
        <w:jc w:val="center"/>
        <w:rPr>
          <w:color w:val="auto"/>
          <w:sz w:val="44"/>
          <w:szCs w:val="44"/>
          <w:highlight w:val="none"/>
        </w:rPr>
      </w:pPr>
    </w:p>
    <w:p w14:paraId="22353F44">
      <w:pPr>
        <w:ind w:firstLine="880"/>
        <w:jc w:val="center"/>
        <w:rPr>
          <w:color w:val="auto"/>
          <w:sz w:val="44"/>
          <w:szCs w:val="44"/>
          <w:highlight w:val="none"/>
        </w:rPr>
      </w:pPr>
    </w:p>
    <w:p w14:paraId="4182437F">
      <w:pPr>
        <w:pStyle w:val="13"/>
        <w:tabs>
          <w:tab w:val="left" w:pos="0"/>
          <w:tab w:val="left" w:pos="6300"/>
        </w:tabs>
        <w:spacing w:line="800" w:lineRule="exact"/>
        <w:ind w:right="-414" w:rightChars="-197" w:firstLine="255" w:firstLineChars="71"/>
        <w:rPr>
          <w:rFonts w:ascii="宋体" w:eastAsia="宋体" w:cs="宋体"/>
          <w:color w:val="auto"/>
          <w:sz w:val="36"/>
          <w:szCs w:val="36"/>
          <w:highlight w:val="none"/>
          <w:u w:val="single"/>
          <w:lang w:eastAsia="zh-CN"/>
        </w:rPr>
      </w:pPr>
      <w:r>
        <w:rPr>
          <w:rFonts w:hint="eastAsia" w:ascii="宋体" w:eastAsia="宋体" w:cs="宋体"/>
          <w:color w:val="auto"/>
          <w:sz w:val="36"/>
          <w:szCs w:val="36"/>
          <w:highlight w:val="none"/>
          <w:lang w:eastAsia="zh-CN"/>
        </w:rPr>
        <w:t>项目名称：</w:t>
      </w:r>
      <w:r>
        <w:rPr>
          <w:rFonts w:ascii="宋体" w:eastAsia="宋体" w:cs="宋体"/>
          <w:color w:val="auto"/>
          <w:sz w:val="36"/>
          <w:szCs w:val="36"/>
          <w:highlight w:val="none"/>
          <w:u w:val="single"/>
          <w:lang w:eastAsia="zh-CN"/>
        </w:rPr>
        <w:t xml:space="preserve">                            </w:t>
      </w:r>
    </w:p>
    <w:p w14:paraId="410E382A">
      <w:pPr>
        <w:pStyle w:val="13"/>
        <w:tabs>
          <w:tab w:val="left" w:pos="1575"/>
        </w:tabs>
        <w:spacing w:line="800" w:lineRule="exact"/>
        <w:ind w:right="-414" w:rightChars="-197" w:firstLine="255" w:firstLineChars="71"/>
        <w:rPr>
          <w:rFonts w:ascii="宋体" w:eastAsia="宋体" w:cs="宋体"/>
          <w:color w:val="auto"/>
          <w:sz w:val="36"/>
          <w:szCs w:val="36"/>
          <w:highlight w:val="none"/>
          <w:u w:val="single"/>
          <w:lang w:eastAsia="zh-CN"/>
        </w:rPr>
      </w:pPr>
      <w:r>
        <w:rPr>
          <w:rFonts w:hint="eastAsia" w:ascii="宋体" w:eastAsia="宋体" w:cs="宋体"/>
          <w:color w:val="auto"/>
          <w:sz w:val="36"/>
          <w:szCs w:val="36"/>
          <w:highlight w:val="none"/>
          <w:lang w:eastAsia="zh-CN"/>
        </w:rPr>
        <w:t>委</w:t>
      </w:r>
      <w:r>
        <w:rPr>
          <w:rFonts w:ascii="宋体" w:eastAsia="宋体" w:cs="宋体"/>
          <w:color w:val="auto"/>
          <w:sz w:val="36"/>
          <w:szCs w:val="36"/>
          <w:highlight w:val="none"/>
          <w:lang w:eastAsia="zh-CN"/>
        </w:rPr>
        <w:t xml:space="preserve"> </w:t>
      </w:r>
      <w:r>
        <w:rPr>
          <w:rFonts w:hint="eastAsia" w:ascii="宋体" w:eastAsia="宋体" w:cs="宋体"/>
          <w:color w:val="auto"/>
          <w:sz w:val="36"/>
          <w:szCs w:val="36"/>
          <w:highlight w:val="none"/>
          <w:lang w:eastAsia="zh-CN"/>
        </w:rPr>
        <w:t>托</w:t>
      </w:r>
      <w:r>
        <w:rPr>
          <w:rFonts w:ascii="宋体" w:eastAsia="宋体" w:cs="宋体"/>
          <w:color w:val="auto"/>
          <w:sz w:val="36"/>
          <w:szCs w:val="36"/>
          <w:highlight w:val="none"/>
          <w:lang w:eastAsia="zh-CN"/>
        </w:rPr>
        <w:t xml:space="preserve"> </w:t>
      </w:r>
      <w:r>
        <w:rPr>
          <w:rFonts w:hint="eastAsia" w:ascii="宋体" w:eastAsia="宋体" w:cs="宋体"/>
          <w:color w:val="auto"/>
          <w:sz w:val="36"/>
          <w:szCs w:val="36"/>
          <w:highlight w:val="none"/>
          <w:lang w:eastAsia="zh-CN"/>
        </w:rPr>
        <w:t>人：</w:t>
      </w:r>
      <w:r>
        <w:rPr>
          <w:rFonts w:ascii="宋体" w:eastAsia="宋体" w:cs="宋体"/>
          <w:color w:val="auto"/>
          <w:sz w:val="36"/>
          <w:szCs w:val="36"/>
          <w:highlight w:val="none"/>
          <w:u w:val="single"/>
          <w:lang w:eastAsia="zh-CN"/>
        </w:rPr>
        <w:t xml:space="preserve">                            </w:t>
      </w:r>
    </w:p>
    <w:p w14:paraId="4FFABFAD">
      <w:pPr>
        <w:pStyle w:val="13"/>
        <w:tabs>
          <w:tab w:val="left" w:pos="1470"/>
        </w:tabs>
        <w:spacing w:line="800" w:lineRule="exact"/>
        <w:ind w:right="-414" w:rightChars="-197" w:firstLine="255" w:firstLineChars="71"/>
        <w:rPr>
          <w:rFonts w:ascii="宋体" w:eastAsia="宋体" w:cs="宋体"/>
          <w:color w:val="auto"/>
          <w:sz w:val="36"/>
          <w:szCs w:val="36"/>
          <w:highlight w:val="none"/>
          <w:u w:val="single"/>
          <w:lang w:eastAsia="zh-CN"/>
        </w:rPr>
      </w:pPr>
      <w:r>
        <w:rPr>
          <w:rFonts w:hint="eastAsia" w:ascii="宋体" w:eastAsia="宋体" w:cs="宋体"/>
          <w:color w:val="auto"/>
          <w:sz w:val="36"/>
          <w:szCs w:val="36"/>
          <w:highlight w:val="none"/>
          <w:lang w:eastAsia="zh-CN"/>
        </w:rPr>
        <w:t>咨 询 人：</w:t>
      </w:r>
      <w:r>
        <w:rPr>
          <w:rFonts w:ascii="宋体" w:eastAsia="宋体" w:cs="宋体"/>
          <w:color w:val="auto"/>
          <w:sz w:val="36"/>
          <w:szCs w:val="36"/>
          <w:highlight w:val="none"/>
          <w:u w:val="single"/>
          <w:lang w:eastAsia="zh-CN"/>
        </w:rPr>
        <w:t xml:space="preserve">                            </w:t>
      </w:r>
    </w:p>
    <w:p w14:paraId="18F6B3BD">
      <w:pPr>
        <w:pStyle w:val="13"/>
        <w:tabs>
          <w:tab w:val="left" w:pos="1575"/>
        </w:tabs>
        <w:spacing w:line="800" w:lineRule="exact"/>
        <w:ind w:right="-414" w:rightChars="-197" w:firstLine="255" w:firstLineChars="71"/>
        <w:rPr>
          <w:rFonts w:ascii="宋体" w:eastAsia="宋体" w:cs="宋体"/>
          <w:color w:val="auto"/>
          <w:sz w:val="36"/>
          <w:szCs w:val="36"/>
          <w:highlight w:val="none"/>
          <w:lang w:eastAsia="zh-CN"/>
        </w:rPr>
      </w:pPr>
      <w:r>
        <w:rPr>
          <w:rFonts w:hint="eastAsia" w:ascii="宋体" w:eastAsia="宋体" w:cs="宋体"/>
          <w:color w:val="auto"/>
          <w:sz w:val="36"/>
          <w:szCs w:val="36"/>
          <w:highlight w:val="none"/>
          <w:lang w:eastAsia="zh-CN"/>
        </w:rPr>
        <w:t>日</w:t>
      </w:r>
      <w:r>
        <w:rPr>
          <w:rFonts w:ascii="宋体" w:eastAsia="宋体" w:cs="宋体"/>
          <w:color w:val="auto"/>
          <w:sz w:val="36"/>
          <w:szCs w:val="36"/>
          <w:highlight w:val="none"/>
          <w:lang w:eastAsia="zh-CN"/>
        </w:rPr>
        <w:t xml:space="preserve">    </w:t>
      </w:r>
      <w:r>
        <w:rPr>
          <w:rFonts w:hint="eastAsia" w:ascii="宋体" w:eastAsia="宋体" w:cs="宋体"/>
          <w:color w:val="auto"/>
          <w:sz w:val="36"/>
          <w:szCs w:val="36"/>
          <w:highlight w:val="none"/>
          <w:lang w:eastAsia="zh-CN"/>
        </w:rPr>
        <w:t>期：</w:t>
      </w:r>
      <w:r>
        <w:rPr>
          <w:rFonts w:ascii="宋体" w:eastAsia="宋体" w:cs="宋体"/>
          <w:color w:val="auto"/>
          <w:sz w:val="36"/>
          <w:szCs w:val="36"/>
          <w:highlight w:val="none"/>
          <w:u w:val="single"/>
          <w:lang w:eastAsia="zh-CN"/>
        </w:rPr>
        <w:t xml:space="preserve">     </w:t>
      </w:r>
      <w:r>
        <w:rPr>
          <w:rFonts w:hint="eastAsia" w:ascii="宋体" w:eastAsia="宋体" w:cs="宋体"/>
          <w:color w:val="auto"/>
          <w:sz w:val="36"/>
          <w:szCs w:val="36"/>
          <w:highlight w:val="none"/>
          <w:lang w:eastAsia="zh-CN"/>
        </w:rPr>
        <w:t>年</w:t>
      </w:r>
      <w:r>
        <w:rPr>
          <w:rFonts w:ascii="宋体" w:eastAsia="宋体" w:cs="宋体"/>
          <w:color w:val="auto"/>
          <w:sz w:val="36"/>
          <w:szCs w:val="36"/>
          <w:highlight w:val="none"/>
          <w:u w:val="single"/>
          <w:lang w:eastAsia="zh-CN"/>
        </w:rPr>
        <w:t xml:space="preserve">    </w:t>
      </w:r>
      <w:r>
        <w:rPr>
          <w:rFonts w:hint="eastAsia" w:ascii="宋体" w:eastAsia="宋体" w:cs="宋体"/>
          <w:color w:val="auto"/>
          <w:sz w:val="36"/>
          <w:szCs w:val="36"/>
          <w:highlight w:val="none"/>
          <w:lang w:eastAsia="zh-CN"/>
        </w:rPr>
        <w:t>月</w:t>
      </w:r>
      <w:r>
        <w:rPr>
          <w:rFonts w:ascii="宋体" w:eastAsia="宋体" w:cs="宋体"/>
          <w:color w:val="auto"/>
          <w:sz w:val="36"/>
          <w:szCs w:val="36"/>
          <w:highlight w:val="none"/>
          <w:u w:val="single"/>
          <w:lang w:eastAsia="zh-CN"/>
        </w:rPr>
        <w:t xml:space="preserve">     </w:t>
      </w:r>
      <w:r>
        <w:rPr>
          <w:rFonts w:hint="eastAsia" w:ascii="宋体" w:eastAsia="宋体" w:cs="宋体"/>
          <w:color w:val="auto"/>
          <w:sz w:val="36"/>
          <w:szCs w:val="36"/>
          <w:highlight w:val="none"/>
          <w:lang w:eastAsia="zh-CN"/>
        </w:rPr>
        <w:t>日</w:t>
      </w:r>
    </w:p>
    <w:p w14:paraId="37588518">
      <w:pPr>
        <w:rPr>
          <w:color w:val="auto"/>
          <w:highlight w:val="none"/>
        </w:rPr>
      </w:pPr>
    </w:p>
    <w:p w14:paraId="0198E9DA">
      <w:pPr>
        <w:rPr>
          <w:color w:val="auto"/>
          <w:highlight w:val="none"/>
        </w:rPr>
      </w:pPr>
    </w:p>
    <w:p w14:paraId="33B122BE">
      <w:pPr>
        <w:rPr>
          <w:color w:val="auto"/>
          <w:highlight w:val="none"/>
        </w:rPr>
      </w:pPr>
    </w:p>
    <w:p w14:paraId="1FBB647C">
      <w:pPr>
        <w:rPr>
          <w:color w:val="auto"/>
          <w:highlight w:val="none"/>
        </w:rPr>
      </w:pPr>
    </w:p>
    <w:p w14:paraId="13B75CC6">
      <w:pPr>
        <w:rPr>
          <w:color w:val="auto"/>
          <w:highlight w:val="none"/>
        </w:rPr>
      </w:pPr>
    </w:p>
    <w:p w14:paraId="1905D4FC">
      <w:pPr>
        <w:rPr>
          <w:color w:val="auto"/>
          <w:highlight w:val="none"/>
        </w:rPr>
      </w:pPr>
    </w:p>
    <w:p w14:paraId="245D1872">
      <w:pPr>
        <w:ind w:firstLine="880"/>
        <w:jc w:val="center"/>
        <w:rPr>
          <w:rFonts w:asciiTheme="minorEastAsia" w:hAnsiTheme="minorEastAsia"/>
          <w:color w:val="auto"/>
          <w:sz w:val="44"/>
          <w:szCs w:val="44"/>
          <w:highlight w:val="none"/>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auto"/>
          <w:highlight w:val="none"/>
        </w:rPr>
        <w:id w:val="147476762"/>
        <w:docPartObj>
          <w:docPartGallery w:val="Table of Contents"/>
          <w:docPartUnique/>
        </w:docPartObj>
      </w:sdtPr>
      <w:sdtEndPr>
        <w:rPr>
          <w:rFonts w:ascii="宋体" w:hAnsi="宋体" w:eastAsia="宋体"/>
          <w:color w:val="auto"/>
          <w:sz w:val="24"/>
          <w:szCs w:val="24"/>
          <w:highlight w:val="none"/>
        </w:rPr>
      </w:sdtEndPr>
      <w:sdtContent>
        <w:p w14:paraId="66AC20AD">
          <w:pPr>
            <w:jc w:val="center"/>
            <w:rPr>
              <w:color w:val="auto"/>
              <w:sz w:val="24"/>
              <w:szCs w:val="24"/>
              <w:highlight w:val="none"/>
            </w:rPr>
          </w:pPr>
          <w:r>
            <w:rPr>
              <w:rFonts w:ascii="宋体" w:hAnsi="宋体" w:eastAsia="宋体"/>
              <w:color w:val="auto"/>
              <w:sz w:val="24"/>
              <w:szCs w:val="24"/>
              <w:highlight w:val="none"/>
            </w:rPr>
            <w:t>目录</w:t>
          </w:r>
        </w:p>
        <w:p w14:paraId="66E23D6C">
          <w:pPr>
            <w:pStyle w:val="19"/>
            <w:tabs>
              <w:tab w:val="right" w:leader="dot" w:pos="8720"/>
            </w:tabs>
            <w:rPr>
              <w:color w:val="auto"/>
              <w:highlight w:val="none"/>
            </w:rPr>
          </w:pPr>
          <w:r>
            <w:rPr>
              <w:color w:val="auto"/>
              <w:sz w:val="24"/>
              <w:szCs w:val="24"/>
              <w:highlight w:val="none"/>
            </w:rPr>
            <w:fldChar w:fldCharType="begin"/>
          </w:r>
          <w:r>
            <w:rPr>
              <w:color w:val="auto"/>
              <w:sz w:val="24"/>
              <w:szCs w:val="24"/>
              <w:highlight w:val="none"/>
            </w:rPr>
            <w:instrText xml:space="preserve">TOC \o "1-3" \h \u </w:instrText>
          </w:r>
          <w:r>
            <w:rPr>
              <w:color w:val="auto"/>
              <w:sz w:val="24"/>
              <w:szCs w:val="24"/>
              <w:highlight w:val="none"/>
            </w:rPr>
            <w:fldChar w:fldCharType="separate"/>
          </w:r>
          <w:r>
            <w:rPr>
              <w:color w:val="auto"/>
              <w:highlight w:val="none"/>
            </w:rPr>
            <w:fldChar w:fldCharType="begin"/>
          </w:r>
          <w:r>
            <w:rPr>
              <w:color w:val="auto"/>
              <w:highlight w:val="none"/>
            </w:rPr>
            <w:instrText xml:space="preserve"> HYPERLINK \l "_Toc76398630" </w:instrText>
          </w:r>
          <w:r>
            <w:rPr>
              <w:color w:val="auto"/>
              <w:highlight w:val="none"/>
            </w:rPr>
            <w:fldChar w:fldCharType="separate"/>
          </w:r>
          <w:r>
            <w:rPr>
              <w:rStyle w:val="38"/>
              <w:rFonts w:hint="eastAsia"/>
              <w:b/>
              <w:color w:val="auto"/>
              <w:highlight w:val="none"/>
            </w:rPr>
            <w:t>第一部分协议书</w:t>
          </w:r>
          <w:r>
            <w:rPr>
              <w:color w:val="auto"/>
              <w:highlight w:val="none"/>
            </w:rPr>
            <w:tab/>
          </w:r>
          <w:r>
            <w:rPr>
              <w:color w:val="auto"/>
              <w:highlight w:val="none"/>
            </w:rPr>
            <w:fldChar w:fldCharType="begin"/>
          </w:r>
          <w:r>
            <w:rPr>
              <w:color w:val="auto"/>
              <w:highlight w:val="none"/>
            </w:rPr>
            <w:instrText xml:space="preserve"> PAGEREF _Toc76398630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0E64750">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"_Toc76398631" </w:instrText>
          </w:r>
          <w:r>
            <w:rPr>
              <w:color w:val="auto"/>
              <w:highlight w:val="none"/>
            </w:rPr>
            <w:fldChar w:fldCharType="separate"/>
          </w:r>
          <w:r>
            <w:rPr>
              <w:rStyle w:val="38"/>
              <w:rFonts w:hint="eastAsia" w:asciiTheme="minorEastAsia" w:hAnsiTheme="minorEastAsia"/>
              <w:color w:val="auto"/>
              <w:highlight w:val="none"/>
            </w:rPr>
            <w:t>一、工程概况</w:t>
          </w:r>
          <w:r>
            <w:rPr>
              <w:color w:val="auto"/>
              <w:highlight w:val="none"/>
            </w:rPr>
            <w:tab/>
          </w:r>
          <w:r>
            <w:rPr>
              <w:color w:val="auto"/>
              <w:highlight w:val="none"/>
            </w:rPr>
            <w:fldChar w:fldCharType="begin"/>
          </w:r>
          <w:r>
            <w:rPr>
              <w:color w:val="auto"/>
              <w:highlight w:val="none"/>
            </w:rPr>
            <w:instrText xml:space="preserve"> PAGEREF _Toc76398631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5A3B68B">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"_Toc76398632" </w:instrText>
          </w:r>
          <w:r>
            <w:rPr>
              <w:color w:val="auto"/>
              <w:highlight w:val="none"/>
            </w:rPr>
            <w:fldChar w:fldCharType="separate"/>
          </w:r>
          <w:r>
            <w:rPr>
              <w:rStyle w:val="38"/>
              <w:rFonts w:hint="eastAsia" w:asciiTheme="minorEastAsia" w:hAnsiTheme="minorEastAsia"/>
              <w:color w:val="auto"/>
              <w:highlight w:val="none"/>
            </w:rPr>
            <w:t>二、服务范围及工作内容</w:t>
          </w:r>
          <w:r>
            <w:rPr>
              <w:color w:val="auto"/>
              <w:highlight w:val="none"/>
            </w:rPr>
            <w:tab/>
          </w:r>
          <w:r>
            <w:rPr>
              <w:color w:val="auto"/>
              <w:highlight w:val="none"/>
            </w:rPr>
            <w:fldChar w:fldCharType="begin"/>
          </w:r>
          <w:r>
            <w:rPr>
              <w:color w:val="auto"/>
              <w:highlight w:val="none"/>
            </w:rPr>
            <w:instrText xml:space="preserve"> PAGEREF _Toc76398632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24F2C3E">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"_Toc76398633" </w:instrText>
          </w:r>
          <w:r>
            <w:rPr>
              <w:color w:val="auto"/>
              <w:highlight w:val="none"/>
            </w:rPr>
            <w:fldChar w:fldCharType="separate"/>
          </w:r>
          <w:r>
            <w:rPr>
              <w:rStyle w:val="38"/>
              <w:rFonts w:hint="eastAsia" w:asciiTheme="minorEastAsia" w:hAnsiTheme="minorEastAsia"/>
              <w:color w:val="auto"/>
              <w:highlight w:val="none"/>
            </w:rPr>
            <w:t>三、服务期限</w:t>
          </w:r>
          <w:r>
            <w:rPr>
              <w:color w:val="auto"/>
              <w:highlight w:val="none"/>
            </w:rPr>
            <w:tab/>
          </w:r>
          <w:r>
            <w:rPr>
              <w:color w:val="auto"/>
              <w:highlight w:val="none"/>
            </w:rPr>
            <w:fldChar w:fldCharType="begin"/>
          </w:r>
          <w:r>
            <w:rPr>
              <w:color w:val="auto"/>
              <w:highlight w:val="none"/>
            </w:rPr>
            <w:instrText xml:space="preserve"> PAGEREF _Toc76398633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1364F83">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"_Toc76398634" </w:instrText>
          </w:r>
          <w:r>
            <w:rPr>
              <w:color w:val="auto"/>
              <w:highlight w:val="none"/>
            </w:rPr>
            <w:fldChar w:fldCharType="separate"/>
          </w:r>
          <w:r>
            <w:rPr>
              <w:rStyle w:val="38"/>
              <w:rFonts w:hint="eastAsia" w:asciiTheme="minorEastAsia" w:hAnsiTheme="minorEastAsia"/>
              <w:color w:val="auto"/>
              <w:highlight w:val="none"/>
            </w:rPr>
            <w:t>四、质量标准</w:t>
          </w:r>
          <w:r>
            <w:rPr>
              <w:color w:val="auto"/>
              <w:highlight w:val="none"/>
            </w:rPr>
            <w:tab/>
          </w:r>
          <w:r>
            <w:rPr>
              <w:color w:val="auto"/>
              <w:highlight w:val="none"/>
            </w:rPr>
            <w:fldChar w:fldCharType="begin"/>
          </w:r>
          <w:r>
            <w:rPr>
              <w:color w:val="auto"/>
              <w:highlight w:val="none"/>
            </w:rPr>
            <w:instrText xml:space="preserve"> PAGEREF _Toc76398634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61364A9">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"_Toc76398635" </w:instrText>
          </w:r>
          <w:r>
            <w:rPr>
              <w:color w:val="auto"/>
              <w:highlight w:val="none"/>
            </w:rPr>
            <w:fldChar w:fldCharType="separate"/>
          </w:r>
          <w:r>
            <w:rPr>
              <w:rStyle w:val="38"/>
              <w:rFonts w:hint="eastAsia" w:asciiTheme="minorEastAsia" w:hAnsiTheme="minorEastAsia"/>
              <w:color w:val="auto"/>
              <w:highlight w:val="none"/>
            </w:rPr>
            <w:t>五、酬金或计取方式</w:t>
          </w:r>
          <w:r>
            <w:rPr>
              <w:color w:val="auto"/>
              <w:highlight w:val="none"/>
            </w:rPr>
            <w:tab/>
          </w:r>
          <w:r>
            <w:rPr>
              <w:color w:val="auto"/>
              <w:highlight w:val="none"/>
            </w:rPr>
            <w:fldChar w:fldCharType="begin"/>
          </w:r>
          <w:r>
            <w:rPr>
              <w:color w:val="auto"/>
              <w:highlight w:val="none"/>
            </w:rPr>
            <w:instrText xml:space="preserve"> PAGEREF _Toc76398635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2E4A60E">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"_Toc76398636" </w:instrText>
          </w:r>
          <w:r>
            <w:rPr>
              <w:color w:val="auto"/>
              <w:highlight w:val="none"/>
            </w:rPr>
            <w:fldChar w:fldCharType="separate"/>
          </w:r>
          <w:r>
            <w:rPr>
              <w:rStyle w:val="38"/>
              <w:rFonts w:hint="eastAsia" w:asciiTheme="minorEastAsia" w:hAnsiTheme="minorEastAsia"/>
              <w:color w:val="auto"/>
              <w:highlight w:val="none"/>
            </w:rPr>
            <w:t>六、合同文件的构成本协议书与下列文件一起构成合同文件</w:t>
          </w:r>
          <w:r>
            <w:rPr>
              <w:rStyle w:val="38"/>
              <w:rFonts w:asciiTheme="minorEastAsia" w:hAnsiTheme="minor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_Toc76398636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A3C1FC2">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"_Toc76398637" </w:instrText>
          </w:r>
          <w:r>
            <w:rPr>
              <w:color w:val="auto"/>
              <w:highlight w:val="none"/>
            </w:rPr>
            <w:fldChar w:fldCharType="separate"/>
          </w:r>
          <w:r>
            <w:rPr>
              <w:rStyle w:val="38"/>
              <w:rFonts w:hint="eastAsia" w:asciiTheme="minorEastAsia" w:hAnsiTheme="minorEastAsia"/>
              <w:color w:val="auto"/>
              <w:highlight w:val="none"/>
            </w:rPr>
            <w:t>七、词语定义</w:t>
          </w:r>
          <w:r>
            <w:rPr>
              <w:color w:val="auto"/>
              <w:highlight w:val="none"/>
            </w:rPr>
            <w:tab/>
          </w:r>
          <w:r>
            <w:rPr>
              <w:color w:val="auto"/>
              <w:highlight w:val="none"/>
            </w:rPr>
            <w:fldChar w:fldCharType="begin"/>
          </w:r>
          <w:r>
            <w:rPr>
              <w:color w:val="auto"/>
              <w:highlight w:val="none"/>
            </w:rPr>
            <w:instrText xml:space="preserve"> PAGEREF _Toc76398637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104EA4C">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"_Toc76398638" </w:instrText>
          </w:r>
          <w:r>
            <w:rPr>
              <w:color w:val="auto"/>
              <w:highlight w:val="none"/>
            </w:rPr>
            <w:fldChar w:fldCharType="separate"/>
          </w:r>
          <w:r>
            <w:rPr>
              <w:rStyle w:val="38"/>
              <w:rFonts w:hint="eastAsia" w:asciiTheme="minorEastAsia" w:hAnsiTheme="minorEastAsia"/>
              <w:color w:val="auto"/>
              <w:highlight w:val="none"/>
            </w:rPr>
            <w:t>八、合同订立</w:t>
          </w:r>
          <w:r>
            <w:rPr>
              <w:color w:val="auto"/>
              <w:highlight w:val="none"/>
            </w:rPr>
            <w:tab/>
          </w:r>
          <w:r>
            <w:rPr>
              <w:color w:val="auto"/>
              <w:highlight w:val="none"/>
            </w:rPr>
            <w:fldChar w:fldCharType="begin"/>
          </w:r>
          <w:r>
            <w:rPr>
              <w:color w:val="auto"/>
              <w:highlight w:val="none"/>
            </w:rPr>
            <w:instrText xml:space="preserve"> PAGEREF _Toc76398638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11A5478">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"_Toc76398639" </w:instrText>
          </w:r>
          <w:r>
            <w:rPr>
              <w:color w:val="auto"/>
              <w:highlight w:val="none"/>
            </w:rPr>
            <w:fldChar w:fldCharType="separate"/>
          </w:r>
          <w:r>
            <w:rPr>
              <w:rStyle w:val="38"/>
              <w:rFonts w:hint="eastAsia" w:asciiTheme="minorEastAsia" w:hAnsiTheme="minorEastAsia"/>
              <w:color w:val="auto"/>
              <w:highlight w:val="none"/>
            </w:rPr>
            <w:t>九、合同生效</w:t>
          </w:r>
          <w:r>
            <w:rPr>
              <w:color w:val="auto"/>
              <w:highlight w:val="none"/>
            </w:rPr>
            <w:tab/>
          </w:r>
          <w:r>
            <w:rPr>
              <w:color w:val="auto"/>
              <w:highlight w:val="none"/>
            </w:rPr>
            <w:fldChar w:fldCharType="begin"/>
          </w:r>
          <w:r>
            <w:rPr>
              <w:color w:val="auto"/>
              <w:highlight w:val="none"/>
            </w:rPr>
            <w:instrText xml:space="preserve"> PAGEREF _Toc76398639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69751CC">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"_Toc76398640" </w:instrText>
          </w:r>
          <w:r>
            <w:rPr>
              <w:color w:val="auto"/>
              <w:highlight w:val="none"/>
            </w:rPr>
            <w:fldChar w:fldCharType="separate"/>
          </w:r>
          <w:r>
            <w:rPr>
              <w:rStyle w:val="38"/>
              <w:rFonts w:hint="eastAsia" w:asciiTheme="minorEastAsia" w:hAnsiTheme="minorEastAsia"/>
              <w:color w:val="auto"/>
              <w:highlight w:val="none"/>
            </w:rPr>
            <w:t>十、合同份数</w:t>
          </w:r>
          <w:r>
            <w:rPr>
              <w:color w:val="auto"/>
              <w:highlight w:val="none"/>
            </w:rPr>
            <w:tab/>
          </w:r>
          <w:r>
            <w:rPr>
              <w:color w:val="auto"/>
              <w:highlight w:val="none"/>
            </w:rPr>
            <w:fldChar w:fldCharType="begin"/>
          </w:r>
          <w:r>
            <w:rPr>
              <w:color w:val="auto"/>
              <w:highlight w:val="none"/>
            </w:rPr>
            <w:instrText xml:space="preserve"> PAGEREF _Toc76398640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240FC65">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"_Toc76398641" </w:instrText>
          </w:r>
          <w:r>
            <w:rPr>
              <w:color w:val="auto"/>
              <w:highlight w:val="none"/>
            </w:rPr>
            <w:fldChar w:fldCharType="separate"/>
          </w:r>
          <w:r>
            <w:rPr>
              <w:rStyle w:val="38"/>
              <w:rFonts w:hint="eastAsia" w:asciiTheme="minorEastAsia" w:hAnsiTheme="minorEastAsia"/>
              <w:b/>
              <w:color w:val="auto"/>
              <w:highlight w:val="none"/>
            </w:rPr>
            <w:t>第二部分通用条件</w:t>
          </w:r>
          <w:r>
            <w:rPr>
              <w:color w:val="auto"/>
              <w:highlight w:val="none"/>
            </w:rPr>
            <w:tab/>
          </w:r>
          <w:r>
            <w:rPr>
              <w:color w:val="auto"/>
              <w:highlight w:val="none"/>
            </w:rPr>
            <w:fldChar w:fldCharType="begin"/>
          </w:r>
          <w:r>
            <w:rPr>
              <w:color w:val="auto"/>
              <w:highlight w:val="none"/>
            </w:rPr>
            <w:instrText xml:space="preserve"> PAGEREF _Toc76398641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AE863F1">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"_Toc76398642" </w:instrText>
          </w:r>
          <w:r>
            <w:rPr>
              <w:color w:val="auto"/>
              <w:highlight w:val="none"/>
            </w:rPr>
            <w:fldChar w:fldCharType="separate"/>
          </w:r>
          <w:r>
            <w:rPr>
              <w:rStyle w:val="38"/>
              <w:rFonts w:asciiTheme="minorEastAsia" w:hAnsiTheme="minorEastAsia"/>
              <w:color w:val="auto"/>
              <w:highlight w:val="none"/>
            </w:rPr>
            <w:t>1.</w:t>
          </w:r>
          <w:r>
            <w:rPr>
              <w:rStyle w:val="38"/>
              <w:rFonts w:hint="eastAsia" w:asciiTheme="minorEastAsia" w:hAnsiTheme="minorEastAsia"/>
              <w:color w:val="auto"/>
              <w:highlight w:val="none"/>
            </w:rPr>
            <w:t>词语定义、语言、解释顺序与适用法律</w:t>
          </w:r>
          <w:r>
            <w:rPr>
              <w:color w:val="auto"/>
              <w:highlight w:val="none"/>
            </w:rPr>
            <w:tab/>
          </w:r>
          <w:r>
            <w:rPr>
              <w:color w:val="auto"/>
              <w:highlight w:val="none"/>
            </w:rPr>
            <w:fldChar w:fldCharType="begin"/>
          </w:r>
          <w:r>
            <w:rPr>
              <w:color w:val="auto"/>
              <w:highlight w:val="none"/>
            </w:rPr>
            <w:instrText xml:space="preserve"> PAGEREF _Toc76398642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253FDFD">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"_Toc76398643" </w:instrText>
          </w:r>
          <w:r>
            <w:rPr>
              <w:color w:val="auto"/>
              <w:highlight w:val="none"/>
            </w:rPr>
            <w:fldChar w:fldCharType="separate"/>
          </w:r>
          <w:r>
            <w:rPr>
              <w:rStyle w:val="38"/>
              <w:rFonts w:asciiTheme="minorEastAsia" w:hAnsiTheme="minorEastAsia"/>
              <w:color w:val="auto"/>
              <w:highlight w:val="none"/>
            </w:rPr>
            <w:t xml:space="preserve">1.1 </w:t>
          </w:r>
          <w:r>
            <w:rPr>
              <w:rStyle w:val="38"/>
              <w:rFonts w:hint="eastAsia" w:asciiTheme="minorEastAsia" w:hAnsiTheme="minorEastAsia"/>
              <w:color w:val="auto"/>
              <w:highlight w:val="none"/>
            </w:rPr>
            <w:t>词语定义</w:t>
          </w:r>
          <w:r>
            <w:rPr>
              <w:color w:val="auto"/>
              <w:highlight w:val="none"/>
            </w:rPr>
            <w:tab/>
          </w:r>
          <w:r>
            <w:rPr>
              <w:color w:val="auto"/>
              <w:highlight w:val="none"/>
            </w:rPr>
            <w:fldChar w:fldCharType="begin"/>
          </w:r>
          <w:r>
            <w:rPr>
              <w:color w:val="auto"/>
              <w:highlight w:val="none"/>
            </w:rPr>
            <w:instrText xml:space="preserve"> PAGEREF _Toc76398643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36AB2B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"_Toc76398644" </w:instrText>
          </w:r>
          <w:r>
            <w:rPr>
              <w:color w:val="auto"/>
              <w:highlight w:val="none"/>
            </w:rPr>
            <w:fldChar w:fldCharType="separate"/>
          </w:r>
          <w:r>
            <w:rPr>
              <w:rStyle w:val="38"/>
              <w:rFonts w:asciiTheme="minorEastAsia" w:hAnsiTheme="minorEastAsia"/>
              <w:color w:val="auto"/>
              <w:highlight w:val="none"/>
            </w:rPr>
            <w:t xml:space="preserve">1.2 </w:t>
          </w:r>
          <w:r>
            <w:rPr>
              <w:rStyle w:val="38"/>
              <w:rFonts w:hint="eastAsia" w:asciiTheme="minorEastAsia" w:hAnsiTheme="minorEastAsia"/>
              <w:color w:val="auto"/>
              <w:highlight w:val="none"/>
            </w:rPr>
            <w:t>语言</w:t>
          </w:r>
          <w:r>
            <w:rPr>
              <w:color w:val="auto"/>
              <w:highlight w:val="none"/>
            </w:rPr>
            <w:tab/>
          </w:r>
          <w:r>
            <w:rPr>
              <w:color w:val="auto"/>
              <w:highlight w:val="none"/>
            </w:rPr>
            <w:fldChar w:fldCharType="begin"/>
          </w:r>
          <w:r>
            <w:rPr>
              <w:color w:val="auto"/>
              <w:highlight w:val="none"/>
            </w:rPr>
            <w:instrText xml:space="preserve"> PAGEREF _Toc76398644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2E2291B">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"_Toc76398645" </w:instrText>
          </w:r>
          <w:r>
            <w:rPr>
              <w:color w:val="auto"/>
              <w:highlight w:val="none"/>
            </w:rPr>
            <w:fldChar w:fldCharType="separate"/>
          </w:r>
          <w:r>
            <w:rPr>
              <w:rStyle w:val="38"/>
              <w:rFonts w:asciiTheme="minorEastAsia" w:hAnsiTheme="minorEastAsia"/>
              <w:color w:val="auto"/>
              <w:highlight w:val="none"/>
            </w:rPr>
            <w:t xml:space="preserve">1.3 </w:t>
          </w:r>
          <w:r>
            <w:rPr>
              <w:rStyle w:val="38"/>
              <w:rFonts w:hint="eastAsia" w:asciiTheme="minorEastAsia" w:hAnsiTheme="minorEastAsia"/>
              <w:color w:val="auto"/>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_Toc76398645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926B654">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"_Toc76398646" </w:instrText>
          </w:r>
          <w:r>
            <w:rPr>
              <w:color w:val="auto"/>
              <w:highlight w:val="none"/>
            </w:rPr>
            <w:fldChar w:fldCharType="separate"/>
          </w:r>
          <w:r>
            <w:rPr>
              <w:rStyle w:val="38"/>
              <w:rFonts w:asciiTheme="minorEastAsia" w:hAnsiTheme="minorEastAsia"/>
              <w:color w:val="auto"/>
              <w:highlight w:val="none"/>
            </w:rPr>
            <w:t xml:space="preserve">1.4 </w:t>
          </w:r>
          <w:r>
            <w:rPr>
              <w:rStyle w:val="38"/>
              <w:rFonts w:hint="eastAsia" w:asciiTheme="minorEastAsia" w:hAnsiTheme="minorEastAsia"/>
              <w:color w:val="auto"/>
              <w:highlight w:val="none"/>
            </w:rPr>
            <w:t>适用法律</w:t>
          </w:r>
          <w:r>
            <w:rPr>
              <w:color w:val="auto"/>
              <w:highlight w:val="none"/>
            </w:rPr>
            <w:tab/>
          </w:r>
          <w:r>
            <w:rPr>
              <w:color w:val="auto"/>
              <w:highlight w:val="none"/>
            </w:rPr>
            <w:fldChar w:fldCharType="begin"/>
          </w:r>
          <w:r>
            <w:rPr>
              <w:color w:val="auto"/>
              <w:highlight w:val="none"/>
            </w:rPr>
            <w:instrText xml:space="preserve"> PAGEREF _Toc76398646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126E02C">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"_Toc76398647" </w:instrText>
          </w:r>
          <w:r>
            <w:rPr>
              <w:color w:val="auto"/>
              <w:highlight w:val="none"/>
            </w:rPr>
            <w:fldChar w:fldCharType="separate"/>
          </w:r>
          <w:r>
            <w:rPr>
              <w:rStyle w:val="38"/>
              <w:rFonts w:asciiTheme="minorEastAsia" w:hAnsiTheme="minorEastAsia"/>
              <w:color w:val="auto"/>
              <w:highlight w:val="none"/>
            </w:rPr>
            <w:t>2.</w:t>
          </w:r>
          <w:r>
            <w:rPr>
              <w:rStyle w:val="38"/>
              <w:rFonts w:hint="eastAsia" w:asciiTheme="minorEastAsia" w:hAnsiTheme="minorEastAsia"/>
              <w:color w:val="auto"/>
              <w:highlight w:val="none"/>
            </w:rPr>
            <w:t>委托人的义务</w:t>
          </w:r>
          <w:r>
            <w:rPr>
              <w:color w:val="auto"/>
              <w:highlight w:val="none"/>
            </w:rPr>
            <w:tab/>
          </w:r>
          <w:r>
            <w:rPr>
              <w:color w:val="auto"/>
              <w:highlight w:val="none"/>
            </w:rPr>
            <w:fldChar w:fldCharType="begin"/>
          </w:r>
          <w:r>
            <w:rPr>
              <w:color w:val="auto"/>
              <w:highlight w:val="none"/>
            </w:rPr>
            <w:instrText xml:space="preserve"> PAGEREF _Toc76398647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41C18A8">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"_Toc76398648" </w:instrText>
          </w:r>
          <w:r>
            <w:rPr>
              <w:color w:val="auto"/>
              <w:highlight w:val="none"/>
            </w:rPr>
            <w:fldChar w:fldCharType="separate"/>
          </w:r>
          <w:r>
            <w:rPr>
              <w:rStyle w:val="38"/>
              <w:rFonts w:asciiTheme="minorEastAsia" w:hAnsiTheme="minorEastAsia"/>
              <w:color w:val="auto"/>
              <w:highlight w:val="none"/>
            </w:rPr>
            <w:t xml:space="preserve">2.1 </w:t>
          </w:r>
          <w:r>
            <w:rPr>
              <w:rStyle w:val="38"/>
              <w:rFonts w:hint="eastAsia" w:asciiTheme="minorEastAsia" w:hAnsiTheme="minorEastAsia"/>
              <w:color w:val="auto"/>
              <w:highlight w:val="none"/>
            </w:rPr>
            <w:t>提供资料</w:t>
          </w:r>
          <w:r>
            <w:rPr>
              <w:color w:val="auto"/>
              <w:highlight w:val="none"/>
            </w:rPr>
            <w:tab/>
          </w:r>
          <w:r>
            <w:rPr>
              <w:color w:val="auto"/>
              <w:highlight w:val="none"/>
            </w:rPr>
            <w:fldChar w:fldCharType="begin"/>
          </w:r>
          <w:r>
            <w:rPr>
              <w:color w:val="auto"/>
              <w:highlight w:val="none"/>
            </w:rPr>
            <w:instrText xml:space="preserve"> PAGEREF _Toc76398648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BDF89A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"_Toc76398649" </w:instrText>
          </w:r>
          <w:r>
            <w:rPr>
              <w:color w:val="auto"/>
              <w:highlight w:val="none"/>
            </w:rPr>
            <w:fldChar w:fldCharType="separate"/>
          </w:r>
          <w:r>
            <w:rPr>
              <w:rStyle w:val="38"/>
              <w:rFonts w:asciiTheme="minorEastAsia" w:hAnsiTheme="minorEastAsia"/>
              <w:color w:val="auto"/>
              <w:highlight w:val="none"/>
            </w:rPr>
            <w:t xml:space="preserve">2.2 </w:t>
          </w:r>
          <w:r>
            <w:rPr>
              <w:rStyle w:val="38"/>
              <w:rFonts w:hint="eastAsia" w:asciiTheme="minorEastAsia" w:hAnsiTheme="minorEastAsia"/>
              <w:color w:val="auto"/>
              <w:highlight w:val="none"/>
            </w:rPr>
            <w:t>提供工作条件</w:t>
          </w:r>
          <w:r>
            <w:rPr>
              <w:color w:val="auto"/>
              <w:highlight w:val="none"/>
            </w:rPr>
            <w:tab/>
          </w:r>
          <w:r>
            <w:rPr>
              <w:color w:val="auto"/>
              <w:highlight w:val="none"/>
            </w:rPr>
            <w:fldChar w:fldCharType="begin"/>
          </w:r>
          <w:r>
            <w:rPr>
              <w:color w:val="auto"/>
              <w:highlight w:val="none"/>
            </w:rPr>
            <w:instrText xml:space="preserve"> PAGEREF _Toc76398649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80EA83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"_Toc76398650" </w:instrText>
          </w:r>
          <w:r>
            <w:rPr>
              <w:color w:val="auto"/>
              <w:highlight w:val="none"/>
            </w:rPr>
            <w:fldChar w:fldCharType="separate"/>
          </w:r>
          <w:r>
            <w:rPr>
              <w:rStyle w:val="38"/>
              <w:rFonts w:asciiTheme="minorEastAsia" w:hAnsiTheme="minorEastAsia"/>
              <w:color w:val="auto"/>
              <w:highlight w:val="none"/>
            </w:rPr>
            <w:t xml:space="preserve">2.3 </w:t>
          </w:r>
          <w:r>
            <w:rPr>
              <w:rStyle w:val="38"/>
              <w:rFonts w:hint="eastAsia" w:asciiTheme="minorEastAsia" w:hAnsiTheme="minorEastAsia"/>
              <w:color w:val="auto"/>
              <w:highlight w:val="none"/>
            </w:rPr>
            <w:t>合理工作时限</w:t>
          </w:r>
          <w:r>
            <w:rPr>
              <w:color w:val="auto"/>
              <w:highlight w:val="none"/>
            </w:rPr>
            <w:tab/>
          </w:r>
          <w:r>
            <w:rPr>
              <w:color w:val="auto"/>
              <w:highlight w:val="none"/>
            </w:rPr>
            <w:fldChar w:fldCharType="begin"/>
          </w:r>
          <w:r>
            <w:rPr>
              <w:color w:val="auto"/>
              <w:highlight w:val="none"/>
            </w:rPr>
            <w:instrText xml:space="preserve"> PAGEREF _Toc76398650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9A99AA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"_Toc76398651" </w:instrText>
          </w:r>
          <w:r>
            <w:rPr>
              <w:color w:val="auto"/>
              <w:highlight w:val="none"/>
            </w:rPr>
            <w:fldChar w:fldCharType="separate"/>
          </w:r>
          <w:r>
            <w:rPr>
              <w:rStyle w:val="38"/>
              <w:rFonts w:asciiTheme="minorEastAsia" w:hAnsiTheme="minorEastAsia"/>
              <w:color w:val="auto"/>
              <w:highlight w:val="none"/>
            </w:rPr>
            <w:t xml:space="preserve">2.4 </w:t>
          </w:r>
          <w:r>
            <w:rPr>
              <w:rStyle w:val="38"/>
              <w:rFonts w:hint="eastAsia" w:asciiTheme="minorEastAsia" w:hAnsiTheme="minorEastAsia"/>
              <w:color w:val="auto"/>
              <w:highlight w:val="none"/>
            </w:rPr>
            <w:t>委托人代表</w:t>
          </w:r>
          <w:r>
            <w:rPr>
              <w:color w:val="auto"/>
              <w:highlight w:val="none"/>
            </w:rPr>
            <w:tab/>
          </w:r>
          <w:r>
            <w:rPr>
              <w:color w:val="auto"/>
              <w:highlight w:val="none"/>
            </w:rPr>
            <w:fldChar w:fldCharType="begin"/>
          </w:r>
          <w:r>
            <w:rPr>
              <w:color w:val="auto"/>
              <w:highlight w:val="none"/>
            </w:rPr>
            <w:instrText xml:space="preserve"> PAGEREF _Toc76398651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2CB1812">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"_Toc76398652" </w:instrText>
          </w:r>
          <w:r>
            <w:rPr>
              <w:color w:val="auto"/>
              <w:highlight w:val="none"/>
            </w:rPr>
            <w:fldChar w:fldCharType="separate"/>
          </w:r>
          <w:r>
            <w:rPr>
              <w:rStyle w:val="38"/>
              <w:rFonts w:asciiTheme="minorEastAsia" w:hAnsiTheme="minorEastAsia"/>
              <w:color w:val="auto"/>
              <w:highlight w:val="none"/>
            </w:rPr>
            <w:t xml:space="preserve">2.5 </w:t>
          </w:r>
          <w:r>
            <w:rPr>
              <w:rStyle w:val="38"/>
              <w:rFonts w:hint="eastAsia" w:asciiTheme="minorEastAsia" w:hAnsiTheme="minorEastAsia"/>
              <w:color w:val="auto"/>
              <w:highlight w:val="none"/>
            </w:rPr>
            <w:t>答复</w:t>
          </w:r>
          <w:r>
            <w:rPr>
              <w:color w:val="auto"/>
              <w:highlight w:val="none"/>
            </w:rPr>
            <w:tab/>
          </w:r>
          <w:r>
            <w:rPr>
              <w:color w:val="auto"/>
              <w:highlight w:val="none"/>
            </w:rPr>
            <w:fldChar w:fldCharType="begin"/>
          </w:r>
          <w:r>
            <w:rPr>
              <w:color w:val="auto"/>
              <w:highlight w:val="none"/>
            </w:rPr>
            <w:instrText xml:space="preserve"> PAGEREF _Toc76398652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D63A513">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"_Toc76398653" </w:instrText>
          </w:r>
          <w:r>
            <w:rPr>
              <w:color w:val="auto"/>
              <w:highlight w:val="none"/>
            </w:rPr>
            <w:fldChar w:fldCharType="separate"/>
          </w:r>
          <w:r>
            <w:rPr>
              <w:rStyle w:val="38"/>
              <w:rFonts w:asciiTheme="minorEastAsia" w:hAnsiTheme="minorEastAsia"/>
              <w:color w:val="auto"/>
              <w:highlight w:val="none"/>
            </w:rPr>
            <w:t xml:space="preserve">2.6 </w:t>
          </w:r>
          <w:r>
            <w:rPr>
              <w:rStyle w:val="38"/>
              <w:rFonts w:hint="eastAsia" w:asciiTheme="minorEastAsia" w:hAnsiTheme="minor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_Toc76398653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9EB0D2A">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"_Toc76398654" </w:instrText>
          </w:r>
          <w:r>
            <w:rPr>
              <w:color w:val="auto"/>
              <w:highlight w:val="none"/>
            </w:rPr>
            <w:fldChar w:fldCharType="separate"/>
          </w:r>
          <w:r>
            <w:rPr>
              <w:rStyle w:val="38"/>
              <w:rFonts w:asciiTheme="minorEastAsia" w:hAnsiTheme="minorEastAsia"/>
              <w:color w:val="auto"/>
              <w:highlight w:val="none"/>
            </w:rPr>
            <w:t>3.</w:t>
          </w:r>
          <w:r>
            <w:rPr>
              <w:rStyle w:val="38"/>
              <w:rFonts w:hint="eastAsia" w:asciiTheme="minorEastAsia" w:hAnsiTheme="minorEastAsia"/>
              <w:color w:val="auto"/>
              <w:highlight w:val="none"/>
            </w:rPr>
            <w:t>咨询人的义务</w:t>
          </w:r>
          <w:r>
            <w:rPr>
              <w:color w:val="auto"/>
              <w:highlight w:val="none"/>
            </w:rPr>
            <w:tab/>
          </w:r>
          <w:r>
            <w:rPr>
              <w:color w:val="auto"/>
              <w:highlight w:val="none"/>
            </w:rPr>
            <w:fldChar w:fldCharType="begin"/>
          </w:r>
          <w:r>
            <w:rPr>
              <w:color w:val="auto"/>
              <w:highlight w:val="none"/>
            </w:rPr>
            <w:instrText xml:space="preserve"> PAGEREF _Toc76398654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46F368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"_Toc76398655" </w:instrText>
          </w:r>
          <w:r>
            <w:rPr>
              <w:color w:val="auto"/>
              <w:highlight w:val="none"/>
            </w:rPr>
            <w:fldChar w:fldCharType="separate"/>
          </w:r>
          <w:r>
            <w:rPr>
              <w:rStyle w:val="38"/>
              <w:rFonts w:asciiTheme="minorEastAsia" w:hAnsiTheme="minorEastAsia"/>
              <w:color w:val="auto"/>
              <w:highlight w:val="none"/>
            </w:rPr>
            <w:t xml:space="preserve">3.1 </w:t>
          </w:r>
          <w:r>
            <w:rPr>
              <w:rStyle w:val="38"/>
              <w:rFonts w:hint="eastAsia" w:asciiTheme="minorEastAsia" w:hAnsiTheme="minorEastAsia"/>
              <w:color w:val="auto"/>
              <w:highlight w:val="none"/>
            </w:rPr>
            <w:t>项目咨询团队及人员</w:t>
          </w:r>
          <w:r>
            <w:rPr>
              <w:color w:val="auto"/>
              <w:highlight w:val="none"/>
            </w:rPr>
            <w:tab/>
          </w:r>
          <w:r>
            <w:rPr>
              <w:color w:val="auto"/>
              <w:highlight w:val="none"/>
            </w:rPr>
            <w:fldChar w:fldCharType="begin"/>
          </w:r>
          <w:r>
            <w:rPr>
              <w:color w:val="auto"/>
              <w:highlight w:val="none"/>
            </w:rPr>
            <w:instrText xml:space="preserve"> PAGEREF _Toc76398655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B33C9A9">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"_Toc76398656" </w:instrText>
          </w:r>
          <w:r>
            <w:rPr>
              <w:color w:val="auto"/>
              <w:highlight w:val="none"/>
            </w:rPr>
            <w:fldChar w:fldCharType="separate"/>
          </w:r>
          <w:r>
            <w:rPr>
              <w:rStyle w:val="38"/>
              <w:rFonts w:asciiTheme="minorEastAsia" w:hAnsiTheme="minorEastAsia"/>
              <w:color w:val="auto"/>
              <w:highlight w:val="none"/>
            </w:rPr>
            <w:t xml:space="preserve">3.2 </w:t>
          </w:r>
          <w:r>
            <w:rPr>
              <w:rStyle w:val="38"/>
              <w:rFonts w:hint="eastAsia" w:asciiTheme="minorEastAsia" w:hAnsiTheme="minorEastAsia"/>
              <w:color w:val="auto"/>
              <w:highlight w:val="none"/>
            </w:rPr>
            <w:t>咨询人的工作要求</w:t>
          </w:r>
          <w:r>
            <w:rPr>
              <w:color w:val="auto"/>
              <w:highlight w:val="none"/>
            </w:rPr>
            <w:tab/>
          </w:r>
          <w:r>
            <w:rPr>
              <w:color w:val="auto"/>
              <w:highlight w:val="none"/>
            </w:rPr>
            <w:fldChar w:fldCharType="begin"/>
          </w:r>
          <w:r>
            <w:rPr>
              <w:color w:val="auto"/>
              <w:highlight w:val="none"/>
            </w:rPr>
            <w:instrText xml:space="preserve"> PAGEREF _Toc76398656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7DE75BB">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"_Toc76398657" </w:instrText>
          </w:r>
          <w:r>
            <w:rPr>
              <w:color w:val="auto"/>
              <w:highlight w:val="none"/>
            </w:rPr>
            <w:fldChar w:fldCharType="separate"/>
          </w:r>
          <w:r>
            <w:rPr>
              <w:rStyle w:val="38"/>
              <w:rFonts w:asciiTheme="minorEastAsia" w:hAnsiTheme="minorEastAsia"/>
              <w:color w:val="auto"/>
              <w:highlight w:val="none"/>
            </w:rPr>
            <w:t xml:space="preserve">3.3 </w:t>
          </w:r>
          <w:r>
            <w:rPr>
              <w:rStyle w:val="38"/>
              <w:rFonts w:hint="eastAsia" w:asciiTheme="minorEastAsia" w:hAnsiTheme="minorEastAsia"/>
              <w:color w:val="auto"/>
              <w:highlight w:val="none"/>
            </w:rPr>
            <w:t>咨询人的工作依据</w:t>
          </w:r>
          <w:r>
            <w:rPr>
              <w:color w:val="auto"/>
              <w:highlight w:val="none"/>
            </w:rPr>
            <w:tab/>
          </w:r>
          <w:r>
            <w:rPr>
              <w:color w:val="auto"/>
              <w:highlight w:val="none"/>
            </w:rPr>
            <w:fldChar w:fldCharType="begin"/>
          </w:r>
          <w:r>
            <w:rPr>
              <w:color w:val="auto"/>
              <w:highlight w:val="none"/>
            </w:rPr>
            <w:instrText xml:space="preserve"> PAGEREF _Toc76398657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90BCD68">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"_Toc76398658" </w:instrText>
          </w:r>
          <w:r>
            <w:rPr>
              <w:color w:val="auto"/>
              <w:highlight w:val="none"/>
            </w:rPr>
            <w:fldChar w:fldCharType="separate"/>
          </w:r>
          <w:r>
            <w:rPr>
              <w:rStyle w:val="38"/>
              <w:rFonts w:asciiTheme="minorEastAsia" w:hAnsiTheme="minorEastAsia"/>
              <w:color w:val="auto"/>
              <w:highlight w:val="none"/>
            </w:rPr>
            <w:t xml:space="preserve">3.4 </w:t>
          </w:r>
          <w:r>
            <w:rPr>
              <w:rStyle w:val="38"/>
              <w:rFonts w:hint="eastAsia" w:asciiTheme="minorEastAsia" w:hAnsiTheme="minorEastAsia"/>
              <w:color w:val="auto"/>
              <w:highlight w:val="none"/>
            </w:rPr>
            <w:t>使用委托人房屋及设备的返还</w:t>
          </w:r>
          <w:r>
            <w:rPr>
              <w:color w:val="auto"/>
              <w:highlight w:val="none"/>
            </w:rPr>
            <w:tab/>
          </w:r>
          <w:r>
            <w:rPr>
              <w:color w:val="auto"/>
              <w:highlight w:val="none"/>
            </w:rPr>
            <w:fldChar w:fldCharType="begin"/>
          </w:r>
          <w:r>
            <w:rPr>
              <w:color w:val="auto"/>
              <w:highlight w:val="none"/>
            </w:rPr>
            <w:instrText xml:space="preserve"> PAGEREF _Toc76398658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4711A22">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"_Toc76398659" </w:instrText>
          </w:r>
          <w:r>
            <w:rPr>
              <w:color w:val="auto"/>
              <w:highlight w:val="none"/>
            </w:rPr>
            <w:fldChar w:fldCharType="separate"/>
          </w:r>
          <w:r>
            <w:rPr>
              <w:rStyle w:val="38"/>
              <w:rFonts w:asciiTheme="minorEastAsia" w:hAnsiTheme="minorEastAsia"/>
              <w:color w:val="auto"/>
              <w:highlight w:val="none"/>
            </w:rPr>
            <w:t>4.</w:t>
          </w:r>
          <w:r>
            <w:rPr>
              <w:rStyle w:val="38"/>
              <w:rFonts w:hint="eastAsia" w:asciiTheme="minorEastAsia" w:hAnsiTheme="minor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_Toc76398659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82825D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"_Toc76398660" </w:instrText>
          </w:r>
          <w:r>
            <w:rPr>
              <w:color w:val="auto"/>
              <w:highlight w:val="none"/>
            </w:rPr>
            <w:fldChar w:fldCharType="separate"/>
          </w:r>
          <w:r>
            <w:rPr>
              <w:rStyle w:val="38"/>
              <w:rFonts w:asciiTheme="minorEastAsia" w:hAnsiTheme="minorEastAsia"/>
              <w:color w:val="auto"/>
              <w:highlight w:val="none"/>
            </w:rPr>
            <w:t xml:space="preserve">4.1 </w:t>
          </w:r>
          <w:r>
            <w:rPr>
              <w:rStyle w:val="38"/>
              <w:rFonts w:hint="eastAsia" w:asciiTheme="minorEastAsia" w:hAnsiTheme="minorEastAsia"/>
              <w:color w:val="auto"/>
              <w:highlight w:val="none"/>
            </w:rPr>
            <w:t>委托人的违约责任</w:t>
          </w:r>
          <w:r>
            <w:rPr>
              <w:color w:val="auto"/>
              <w:highlight w:val="none"/>
            </w:rPr>
            <w:tab/>
          </w:r>
          <w:r>
            <w:rPr>
              <w:color w:val="auto"/>
              <w:highlight w:val="none"/>
            </w:rPr>
            <w:fldChar w:fldCharType="begin"/>
          </w:r>
          <w:r>
            <w:rPr>
              <w:color w:val="auto"/>
              <w:highlight w:val="none"/>
            </w:rPr>
            <w:instrText xml:space="preserve"> PAGEREF _Toc76398660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6EE52B4">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"_Toc76398661" </w:instrText>
          </w:r>
          <w:r>
            <w:rPr>
              <w:color w:val="auto"/>
              <w:highlight w:val="none"/>
            </w:rPr>
            <w:fldChar w:fldCharType="separate"/>
          </w:r>
          <w:r>
            <w:rPr>
              <w:rStyle w:val="38"/>
              <w:rFonts w:asciiTheme="minorEastAsia" w:hAnsiTheme="minorEastAsia"/>
              <w:color w:val="auto"/>
              <w:highlight w:val="none"/>
            </w:rPr>
            <w:t xml:space="preserve">4.2 </w:t>
          </w:r>
          <w:r>
            <w:rPr>
              <w:rStyle w:val="38"/>
              <w:rFonts w:hint="eastAsia" w:asciiTheme="minorEastAsia" w:hAnsiTheme="minorEastAsia"/>
              <w:color w:val="auto"/>
              <w:highlight w:val="none"/>
            </w:rPr>
            <w:t>咨询人的违约责任</w:t>
          </w:r>
          <w:r>
            <w:rPr>
              <w:color w:val="auto"/>
              <w:highlight w:val="none"/>
            </w:rPr>
            <w:tab/>
          </w:r>
          <w:r>
            <w:rPr>
              <w:color w:val="auto"/>
              <w:highlight w:val="none"/>
            </w:rPr>
            <w:fldChar w:fldCharType="begin"/>
          </w:r>
          <w:r>
            <w:rPr>
              <w:color w:val="auto"/>
              <w:highlight w:val="none"/>
            </w:rPr>
            <w:instrText xml:space="preserve"> PAGEREF _Toc76398661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AECCBC7">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"_Toc76398662" </w:instrText>
          </w:r>
          <w:r>
            <w:rPr>
              <w:color w:val="auto"/>
              <w:highlight w:val="none"/>
            </w:rPr>
            <w:fldChar w:fldCharType="separate"/>
          </w:r>
          <w:r>
            <w:rPr>
              <w:rStyle w:val="38"/>
              <w:rFonts w:asciiTheme="minorEastAsia" w:hAnsiTheme="minorEastAsia"/>
              <w:color w:val="auto"/>
              <w:highlight w:val="none"/>
            </w:rPr>
            <w:t>5.</w:t>
          </w:r>
          <w:r>
            <w:rPr>
              <w:rStyle w:val="38"/>
              <w:rFonts w:hint="eastAsia" w:asciiTheme="minorEastAsia" w:hAnsiTheme="minor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_Toc76398662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F969DED">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"_Toc76398663" </w:instrText>
          </w:r>
          <w:r>
            <w:rPr>
              <w:color w:val="auto"/>
              <w:highlight w:val="none"/>
            </w:rPr>
            <w:fldChar w:fldCharType="separate"/>
          </w:r>
          <w:r>
            <w:rPr>
              <w:rStyle w:val="38"/>
              <w:rFonts w:asciiTheme="minorEastAsia" w:hAnsiTheme="minorEastAsia"/>
              <w:color w:val="auto"/>
              <w:highlight w:val="none"/>
            </w:rPr>
            <w:t xml:space="preserve">5.1 </w:t>
          </w:r>
          <w:r>
            <w:rPr>
              <w:rStyle w:val="38"/>
              <w:rFonts w:hint="eastAsia" w:asciiTheme="minorEastAsia" w:hAnsiTheme="minorEastAsia"/>
              <w:color w:val="auto"/>
              <w:highlight w:val="none"/>
            </w:rPr>
            <w:t>支付货币</w:t>
          </w:r>
          <w:r>
            <w:rPr>
              <w:color w:val="auto"/>
              <w:highlight w:val="none"/>
            </w:rPr>
            <w:tab/>
          </w:r>
          <w:r>
            <w:rPr>
              <w:color w:val="auto"/>
              <w:highlight w:val="none"/>
            </w:rPr>
            <w:fldChar w:fldCharType="begin"/>
          </w:r>
          <w:r>
            <w:rPr>
              <w:color w:val="auto"/>
              <w:highlight w:val="none"/>
            </w:rPr>
            <w:instrText xml:space="preserve"> PAGEREF _Toc76398663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E0F7DF1">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"_Toc76398664" </w:instrText>
          </w:r>
          <w:r>
            <w:rPr>
              <w:color w:val="auto"/>
              <w:highlight w:val="none"/>
            </w:rPr>
            <w:fldChar w:fldCharType="separate"/>
          </w:r>
          <w:r>
            <w:rPr>
              <w:rStyle w:val="38"/>
              <w:rFonts w:asciiTheme="minorEastAsia" w:hAnsiTheme="minorEastAsia"/>
              <w:color w:val="auto"/>
              <w:highlight w:val="none"/>
            </w:rPr>
            <w:t xml:space="preserve">5.2 </w:t>
          </w:r>
          <w:r>
            <w:rPr>
              <w:rStyle w:val="38"/>
              <w:rFonts w:hint="eastAsia" w:asciiTheme="minorEastAsia" w:hAnsiTheme="minorEastAsia"/>
              <w:color w:val="auto"/>
              <w:highlight w:val="none"/>
            </w:rPr>
            <w:t>支付申请</w:t>
          </w:r>
          <w:r>
            <w:rPr>
              <w:color w:val="auto"/>
              <w:highlight w:val="none"/>
            </w:rPr>
            <w:tab/>
          </w:r>
          <w:r>
            <w:rPr>
              <w:color w:val="auto"/>
              <w:highlight w:val="none"/>
            </w:rPr>
            <w:fldChar w:fldCharType="begin"/>
          </w:r>
          <w:r>
            <w:rPr>
              <w:color w:val="auto"/>
              <w:highlight w:val="none"/>
            </w:rPr>
            <w:instrText xml:space="preserve"> PAGEREF _Toc76398664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32CF149">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"_Toc76398665" </w:instrText>
          </w:r>
          <w:r>
            <w:rPr>
              <w:color w:val="auto"/>
              <w:highlight w:val="none"/>
            </w:rPr>
            <w:fldChar w:fldCharType="separate"/>
          </w:r>
          <w:r>
            <w:rPr>
              <w:rStyle w:val="38"/>
              <w:rFonts w:asciiTheme="minorEastAsia" w:hAnsiTheme="minorEastAsia"/>
              <w:color w:val="auto"/>
              <w:highlight w:val="none"/>
            </w:rPr>
            <w:t xml:space="preserve">5.3 </w:t>
          </w:r>
          <w:r>
            <w:rPr>
              <w:rStyle w:val="38"/>
              <w:rFonts w:hint="eastAsia" w:asciiTheme="minorEastAsia" w:hAnsiTheme="minorEastAsia"/>
              <w:color w:val="auto"/>
              <w:highlight w:val="none"/>
            </w:rPr>
            <w:t>支付酬金</w:t>
          </w:r>
          <w:r>
            <w:rPr>
              <w:color w:val="auto"/>
              <w:highlight w:val="none"/>
            </w:rPr>
            <w:tab/>
          </w:r>
          <w:r>
            <w:rPr>
              <w:color w:val="auto"/>
              <w:highlight w:val="none"/>
            </w:rPr>
            <w:fldChar w:fldCharType="begin"/>
          </w:r>
          <w:r>
            <w:rPr>
              <w:color w:val="auto"/>
              <w:highlight w:val="none"/>
            </w:rPr>
            <w:instrText xml:space="preserve"> PAGEREF _Toc76398665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FC6D22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"_Toc76398666" </w:instrText>
          </w:r>
          <w:r>
            <w:rPr>
              <w:color w:val="auto"/>
              <w:highlight w:val="none"/>
            </w:rPr>
            <w:fldChar w:fldCharType="separate"/>
          </w:r>
          <w:r>
            <w:rPr>
              <w:rStyle w:val="38"/>
              <w:rFonts w:asciiTheme="minorEastAsia" w:hAnsiTheme="minorEastAsia"/>
              <w:color w:val="auto"/>
              <w:highlight w:val="none"/>
            </w:rPr>
            <w:t xml:space="preserve">5.4 </w:t>
          </w:r>
          <w:r>
            <w:rPr>
              <w:rStyle w:val="38"/>
              <w:rFonts w:hint="eastAsia" w:asciiTheme="minorEastAsia" w:hAnsiTheme="minorEastAsia"/>
              <w:color w:val="auto"/>
              <w:highlight w:val="none"/>
            </w:rPr>
            <w:t>有异议部分的支付</w:t>
          </w:r>
          <w:r>
            <w:rPr>
              <w:color w:val="auto"/>
              <w:highlight w:val="none"/>
            </w:rPr>
            <w:tab/>
          </w:r>
          <w:r>
            <w:rPr>
              <w:color w:val="auto"/>
              <w:highlight w:val="none"/>
            </w:rPr>
            <w:fldChar w:fldCharType="begin"/>
          </w:r>
          <w:r>
            <w:rPr>
              <w:color w:val="auto"/>
              <w:highlight w:val="none"/>
            </w:rPr>
            <w:instrText xml:space="preserve"> PAGEREF _Toc76398666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803F10A">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"_Toc76398667" </w:instrText>
          </w:r>
          <w:r>
            <w:rPr>
              <w:color w:val="auto"/>
              <w:highlight w:val="none"/>
            </w:rPr>
            <w:fldChar w:fldCharType="separate"/>
          </w:r>
          <w:r>
            <w:rPr>
              <w:rStyle w:val="38"/>
              <w:rFonts w:asciiTheme="minorEastAsia" w:hAnsiTheme="minorEastAsia"/>
              <w:color w:val="auto"/>
              <w:highlight w:val="none"/>
            </w:rPr>
            <w:t>6.</w:t>
          </w:r>
          <w:r>
            <w:rPr>
              <w:rStyle w:val="38"/>
              <w:rFonts w:hint="eastAsia" w:asciiTheme="minorEastAsia" w:hAnsiTheme="minorEastAsia"/>
              <w:color w:val="auto"/>
              <w:highlight w:val="none"/>
            </w:rPr>
            <w:t>合同变更、解除与终止</w:t>
          </w:r>
          <w:r>
            <w:rPr>
              <w:color w:val="auto"/>
              <w:highlight w:val="none"/>
            </w:rPr>
            <w:tab/>
          </w:r>
          <w:r>
            <w:rPr>
              <w:color w:val="auto"/>
              <w:highlight w:val="none"/>
            </w:rPr>
            <w:fldChar w:fldCharType="begin"/>
          </w:r>
          <w:r>
            <w:rPr>
              <w:color w:val="auto"/>
              <w:highlight w:val="none"/>
            </w:rPr>
            <w:instrText xml:space="preserve"> PAGEREF _Toc76398667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6A9CBCB">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"_Toc76398668" </w:instrText>
          </w:r>
          <w:r>
            <w:rPr>
              <w:color w:val="auto"/>
              <w:highlight w:val="none"/>
            </w:rPr>
            <w:fldChar w:fldCharType="separate"/>
          </w:r>
          <w:r>
            <w:rPr>
              <w:rStyle w:val="38"/>
              <w:rFonts w:asciiTheme="minorEastAsia" w:hAnsiTheme="minorEastAsia"/>
              <w:color w:val="auto"/>
              <w:highlight w:val="none"/>
            </w:rPr>
            <w:t xml:space="preserve">6.1 </w:t>
          </w:r>
          <w:r>
            <w:rPr>
              <w:rStyle w:val="38"/>
              <w:rFonts w:hint="eastAsia" w:asciiTheme="minorEastAsia" w:hAnsiTheme="minorEastAsia"/>
              <w:color w:val="auto"/>
              <w:highlight w:val="none"/>
            </w:rPr>
            <w:t>合同变更</w:t>
          </w:r>
          <w:r>
            <w:rPr>
              <w:color w:val="auto"/>
              <w:highlight w:val="none"/>
            </w:rPr>
            <w:tab/>
          </w:r>
          <w:r>
            <w:rPr>
              <w:color w:val="auto"/>
              <w:highlight w:val="none"/>
            </w:rPr>
            <w:fldChar w:fldCharType="begin"/>
          </w:r>
          <w:r>
            <w:rPr>
              <w:color w:val="auto"/>
              <w:highlight w:val="none"/>
            </w:rPr>
            <w:instrText xml:space="preserve"> PAGEREF _Toc76398668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87F70B2">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"_Toc76398669" </w:instrText>
          </w:r>
          <w:r>
            <w:rPr>
              <w:color w:val="auto"/>
              <w:highlight w:val="none"/>
            </w:rPr>
            <w:fldChar w:fldCharType="separate"/>
          </w:r>
          <w:r>
            <w:rPr>
              <w:rStyle w:val="38"/>
              <w:rFonts w:asciiTheme="minorEastAsia" w:hAnsiTheme="minorEastAsia"/>
              <w:color w:val="auto"/>
              <w:highlight w:val="none"/>
            </w:rPr>
            <w:t xml:space="preserve">6.2 </w:t>
          </w:r>
          <w:r>
            <w:rPr>
              <w:rStyle w:val="38"/>
              <w:rFonts w:hint="eastAsia" w:asciiTheme="minorEastAsia" w:hAnsiTheme="minorEastAsia"/>
              <w:color w:val="auto"/>
              <w:highlight w:val="none"/>
            </w:rPr>
            <w:t>合同解除</w:t>
          </w:r>
          <w:r>
            <w:rPr>
              <w:color w:val="auto"/>
              <w:highlight w:val="none"/>
            </w:rPr>
            <w:tab/>
          </w:r>
          <w:r>
            <w:rPr>
              <w:color w:val="auto"/>
              <w:highlight w:val="none"/>
            </w:rPr>
            <w:fldChar w:fldCharType="begin"/>
          </w:r>
          <w:r>
            <w:rPr>
              <w:color w:val="auto"/>
              <w:highlight w:val="none"/>
            </w:rPr>
            <w:instrText xml:space="preserve"> PAGEREF _Toc76398669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310F477">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"_Toc76398670" </w:instrText>
          </w:r>
          <w:r>
            <w:rPr>
              <w:color w:val="auto"/>
              <w:highlight w:val="none"/>
            </w:rPr>
            <w:fldChar w:fldCharType="separate"/>
          </w:r>
          <w:r>
            <w:rPr>
              <w:rStyle w:val="38"/>
              <w:rFonts w:asciiTheme="minorEastAsia" w:hAnsiTheme="minorEastAsia"/>
              <w:color w:val="auto"/>
              <w:highlight w:val="none"/>
            </w:rPr>
            <w:t xml:space="preserve">6.3 </w:t>
          </w:r>
          <w:r>
            <w:rPr>
              <w:rStyle w:val="38"/>
              <w:rFonts w:hint="eastAsia" w:asciiTheme="minorEastAsia" w:hAnsiTheme="minorEastAsia"/>
              <w:color w:val="auto"/>
              <w:highlight w:val="none"/>
            </w:rPr>
            <w:t>合同终止</w:t>
          </w:r>
          <w:r>
            <w:rPr>
              <w:color w:val="auto"/>
              <w:highlight w:val="none"/>
            </w:rPr>
            <w:tab/>
          </w:r>
          <w:r>
            <w:rPr>
              <w:color w:val="auto"/>
              <w:highlight w:val="none"/>
            </w:rPr>
            <w:fldChar w:fldCharType="begin"/>
          </w:r>
          <w:r>
            <w:rPr>
              <w:color w:val="auto"/>
              <w:highlight w:val="none"/>
            </w:rPr>
            <w:instrText xml:space="preserve"> PAGEREF _Toc76398670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0B661BC2">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"_Toc76398671" </w:instrText>
          </w:r>
          <w:r>
            <w:rPr>
              <w:color w:val="auto"/>
              <w:highlight w:val="none"/>
            </w:rPr>
            <w:fldChar w:fldCharType="separate"/>
          </w:r>
          <w:r>
            <w:rPr>
              <w:rStyle w:val="38"/>
              <w:rFonts w:asciiTheme="minorEastAsia" w:hAnsiTheme="minorEastAsia"/>
              <w:color w:val="auto"/>
              <w:highlight w:val="none"/>
            </w:rPr>
            <w:t>7.</w:t>
          </w:r>
          <w:r>
            <w:rPr>
              <w:rStyle w:val="38"/>
              <w:rFonts w:hint="eastAsia" w:asciiTheme="minorEastAsia" w:hAnsiTheme="minorEastAsia"/>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_Toc76398671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CBA2514">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"_Toc76398672" </w:instrText>
          </w:r>
          <w:r>
            <w:rPr>
              <w:color w:val="auto"/>
              <w:highlight w:val="none"/>
            </w:rPr>
            <w:fldChar w:fldCharType="separate"/>
          </w:r>
          <w:r>
            <w:rPr>
              <w:rStyle w:val="38"/>
              <w:rFonts w:asciiTheme="minorEastAsia" w:hAnsiTheme="minorEastAsia"/>
              <w:color w:val="auto"/>
              <w:highlight w:val="none"/>
            </w:rPr>
            <w:t xml:space="preserve">7.1 </w:t>
          </w:r>
          <w:r>
            <w:rPr>
              <w:rStyle w:val="38"/>
              <w:rFonts w:hint="eastAsia" w:asciiTheme="minorEastAsia" w:hAnsiTheme="minorEastAsia"/>
              <w:color w:val="auto"/>
              <w:highlight w:val="none"/>
            </w:rPr>
            <w:t>协商</w:t>
          </w:r>
          <w:r>
            <w:rPr>
              <w:color w:val="auto"/>
              <w:highlight w:val="none"/>
            </w:rPr>
            <w:tab/>
          </w:r>
          <w:r>
            <w:rPr>
              <w:color w:val="auto"/>
              <w:highlight w:val="none"/>
            </w:rPr>
            <w:fldChar w:fldCharType="begin"/>
          </w:r>
          <w:r>
            <w:rPr>
              <w:color w:val="auto"/>
              <w:highlight w:val="none"/>
            </w:rPr>
            <w:instrText xml:space="preserve"> PAGEREF _Toc76398672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077922F1">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"_Toc76398673" </w:instrText>
          </w:r>
          <w:r>
            <w:rPr>
              <w:color w:val="auto"/>
              <w:highlight w:val="none"/>
            </w:rPr>
            <w:fldChar w:fldCharType="separate"/>
          </w:r>
          <w:r>
            <w:rPr>
              <w:rStyle w:val="38"/>
              <w:rFonts w:asciiTheme="minorEastAsia" w:hAnsiTheme="minorEastAsia"/>
              <w:color w:val="auto"/>
              <w:highlight w:val="none"/>
            </w:rPr>
            <w:t xml:space="preserve">7.2 </w:t>
          </w:r>
          <w:r>
            <w:rPr>
              <w:rStyle w:val="38"/>
              <w:rFonts w:hint="eastAsia" w:asciiTheme="minorEastAsia" w:hAnsiTheme="minorEastAsia"/>
              <w:color w:val="auto"/>
              <w:highlight w:val="none"/>
            </w:rPr>
            <w:t>调解</w:t>
          </w:r>
          <w:r>
            <w:rPr>
              <w:color w:val="auto"/>
              <w:highlight w:val="none"/>
            </w:rPr>
            <w:tab/>
          </w:r>
          <w:r>
            <w:rPr>
              <w:color w:val="auto"/>
              <w:highlight w:val="none"/>
            </w:rPr>
            <w:fldChar w:fldCharType="begin"/>
          </w:r>
          <w:r>
            <w:rPr>
              <w:color w:val="auto"/>
              <w:highlight w:val="none"/>
            </w:rPr>
            <w:instrText xml:space="preserve"> PAGEREF _Toc76398673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3295EF8">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"_Toc76398674" </w:instrText>
          </w:r>
          <w:r>
            <w:rPr>
              <w:color w:val="auto"/>
              <w:highlight w:val="none"/>
            </w:rPr>
            <w:fldChar w:fldCharType="separate"/>
          </w:r>
          <w:r>
            <w:rPr>
              <w:rStyle w:val="38"/>
              <w:rFonts w:asciiTheme="minorEastAsia" w:hAnsiTheme="minorEastAsia"/>
              <w:color w:val="auto"/>
              <w:highlight w:val="none"/>
            </w:rPr>
            <w:t xml:space="preserve">7.3 </w:t>
          </w:r>
          <w:r>
            <w:rPr>
              <w:rStyle w:val="38"/>
              <w:rFonts w:hint="eastAsia" w:asciiTheme="minorEastAsia" w:hAnsiTheme="minorEastAsia"/>
              <w:color w:val="auto"/>
              <w:highlight w:val="none"/>
            </w:rPr>
            <w:t>仲裁或诉讼</w:t>
          </w:r>
          <w:r>
            <w:rPr>
              <w:color w:val="auto"/>
              <w:highlight w:val="none"/>
            </w:rPr>
            <w:tab/>
          </w:r>
          <w:r>
            <w:rPr>
              <w:color w:val="auto"/>
              <w:highlight w:val="none"/>
            </w:rPr>
            <w:fldChar w:fldCharType="begin"/>
          </w:r>
          <w:r>
            <w:rPr>
              <w:color w:val="auto"/>
              <w:highlight w:val="none"/>
            </w:rPr>
            <w:instrText xml:space="preserve"> PAGEREF _Toc76398674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0999067">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"_Toc76398675" </w:instrText>
          </w:r>
          <w:r>
            <w:rPr>
              <w:color w:val="auto"/>
              <w:highlight w:val="none"/>
            </w:rPr>
            <w:fldChar w:fldCharType="separate"/>
          </w:r>
          <w:r>
            <w:rPr>
              <w:rStyle w:val="38"/>
              <w:rFonts w:asciiTheme="minorEastAsia" w:hAnsiTheme="minorEastAsia"/>
              <w:color w:val="auto"/>
              <w:highlight w:val="none"/>
            </w:rPr>
            <w:t>8.</w:t>
          </w:r>
          <w:r>
            <w:rPr>
              <w:rStyle w:val="38"/>
              <w:rFonts w:hint="eastAsia" w:asciiTheme="minorEastAsia" w:hAnsiTheme="minorEastAsia"/>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_Toc76398675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1AEA166">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"_Toc76398676" </w:instrText>
          </w:r>
          <w:r>
            <w:rPr>
              <w:color w:val="auto"/>
              <w:highlight w:val="none"/>
            </w:rPr>
            <w:fldChar w:fldCharType="separate"/>
          </w:r>
          <w:r>
            <w:rPr>
              <w:rStyle w:val="38"/>
              <w:rFonts w:asciiTheme="minorEastAsia" w:hAnsiTheme="minorEastAsia"/>
              <w:color w:val="auto"/>
              <w:highlight w:val="none"/>
            </w:rPr>
            <w:t xml:space="preserve">8.1 </w:t>
          </w:r>
          <w:r>
            <w:rPr>
              <w:rStyle w:val="38"/>
              <w:rFonts w:hint="eastAsia" w:asciiTheme="minorEastAsia" w:hAnsiTheme="minorEastAsia"/>
              <w:color w:val="auto"/>
              <w:highlight w:val="none"/>
            </w:rPr>
            <w:t>考察及相关费用</w:t>
          </w:r>
          <w:r>
            <w:rPr>
              <w:color w:val="auto"/>
              <w:highlight w:val="none"/>
            </w:rPr>
            <w:tab/>
          </w:r>
          <w:r>
            <w:rPr>
              <w:color w:val="auto"/>
              <w:highlight w:val="none"/>
            </w:rPr>
            <w:fldChar w:fldCharType="begin"/>
          </w:r>
          <w:r>
            <w:rPr>
              <w:color w:val="auto"/>
              <w:highlight w:val="none"/>
            </w:rPr>
            <w:instrText xml:space="preserve"> PAGEREF _Toc76398676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ADFEB3E">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"_Toc76398677" </w:instrText>
          </w:r>
          <w:r>
            <w:rPr>
              <w:color w:val="auto"/>
              <w:highlight w:val="none"/>
            </w:rPr>
            <w:fldChar w:fldCharType="separate"/>
          </w:r>
          <w:r>
            <w:rPr>
              <w:rStyle w:val="38"/>
              <w:rFonts w:asciiTheme="minorEastAsia" w:hAnsiTheme="minorEastAsia"/>
              <w:color w:val="auto"/>
              <w:highlight w:val="none"/>
            </w:rPr>
            <w:t xml:space="preserve">8.2 </w:t>
          </w:r>
          <w:r>
            <w:rPr>
              <w:rStyle w:val="38"/>
              <w:rFonts w:hint="eastAsia" w:asciiTheme="minorEastAsia" w:hAnsiTheme="minorEastAsia"/>
              <w:color w:val="auto"/>
              <w:highlight w:val="none"/>
            </w:rPr>
            <w:t>奖励</w:t>
          </w:r>
          <w:r>
            <w:rPr>
              <w:color w:val="auto"/>
              <w:highlight w:val="none"/>
            </w:rPr>
            <w:tab/>
          </w:r>
          <w:r>
            <w:rPr>
              <w:color w:val="auto"/>
              <w:highlight w:val="none"/>
            </w:rPr>
            <w:fldChar w:fldCharType="begin"/>
          </w:r>
          <w:r>
            <w:rPr>
              <w:color w:val="auto"/>
              <w:highlight w:val="none"/>
            </w:rPr>
            <w:instrText xml:space="preserve"> PAGEREF _Toc76398677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D2FA899">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"_Toc76398678" </w:instrText>
          </w:r>
          <w:r>
            <w:rPr>
              <w:color w:val="auto"/>
              <w:highlight w:val="none"/>
            </w:rPr>
            <w:fldChar w:fldCharType="separate"/>
          </w:r>
          <w:r>
            <w:rPr>
              <w:rStyle w:val="38"/>
              <w:rFonts w:asciiTheme="minorEastAsia" w:hAnsiTheme="minorEastAsia"/>
              <w:color w:val="auto"/>
              <w:highlight w:val="none"/>
            </w:rPr>
            <w:t xml:space="preserve">8.3 </w:t>
          </w:r>
          <w:r>
            <w:rPr>
              <w:rStyle w:val="38"/>
              <w:rFonts w:hint="eastAsia" w:asciiTheme="minorEastAsia" w:hAnsiTheme="minorEastAsia"/>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_Toc76398678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FF7A732">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"_Toc76398679" </w:instrText>
          </w:r>
          <w:r>
            <w:rPr>
              <w:color w:val="auto"/>
              <w:highlight w:val="none"/>
            </w:rPr>
            <w:fldChar w:fldCharType="separate"/>
          </w:r>
          <w:r>
            <w:rPr>
              <w:rStyle w:val="38"/>
              <w:rFonts w:asciiTheme="minorEastAsia" w:hAnsiTheme="minorEastAsia"/>
              <w:color w:val="auto"/>
              <w:highlight w:val="none"/>
            </w:rPr>
            <w:t xml:space="preserve">8.4 </w:t>
          </w:r>
          <w:r>
            <w:rPr>
              <w:rStyle w:val="38"/>
              <w:rFonts w:hint="eastAsia" w:asciiTheme="minorEastAsia" w:hAnsiTheme="minorEastAsia"/>
              <w:color w:val="auto"/>
              <w:highlight w:val="none"/>
            </w:rPr>
            <w:t>联络</w:t>
          </w:r>
          <w:r>
            <w:rPr>
              <w:color w:val="auto"/>
              <w:highlight w:val="none"/>
            </w:rPr>
            <w:tab/>
          </w:r>
          <w:r>
            <w:rPr>
              <w:color w:val="auto"/>
              <w:highlight w:val="none"/>
            </w:rPr>
            <w:fldChar w:fldCharType="begin"/>
          </w:r>
          <w:r>
            <w:rPr>
              <w:color w:val="auto"/>
              <w:highlight w:val="none"/>
            </w:rPr>
            <w:instrText xml:space="preserve"> PAGEREF _Toc76398679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EFB4E81">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"_Toc76398680" </w:instrText>
          </w:r>
          <w:r>
            <w:rPr>
              <w:color w:val="auto"/>
              <w:highlight w:val="none"/>
            </w:rPr>
            <w:fldChar w:fldCharType="separate"/>
          </w:r>
          <w:r>
            <w:rPr>
              <w:rStyle w:val="38"/>
              <w:rFonts w:asciiTheme="minorEastAsia" w:hAnsiTheme="minorEastAsia"/>
              <w:color w:val="auto"/>
              <w:highlight w:val="none"/>
            </w:rPr>
            <w:t xml:space="preserve">8.5 </w:t>
          </w:r>
          <w:r>
            <w:rPr>
              <w:rStyle w:val="38"/>
              <w:rFonts w:hint="eastAsia" w:asciiTheme="minorEastAsia" w:hAnsiTheme="minor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_Toc76398680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01FB62F">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"_Toc76398681" </w:instrText>
          </w:r>
          <w:r>
            <w:rPr>
              <w:color w:val="auto"/>
              <w:highlight w:val="none"/>
            </w:rPr>
            <w:fldChar w:fldCharType="separate"/>
          </w:r>
          <w:r>
            <w:rPr>
              <w:rStyle w:val="38"/>
              <w:rFonts w:hint="eastAsia" w:asciiTheme="minorEastAsia" w:hAnsiTheme="minorEastAsia"/>
              <w:b/>
              <w:color w:val="auto"/>
              <w:highlight w:val="none"/>
            </w:rPr>
            <w:t>第三部分专用条件</w:t>
          </w:r>
          <w:r>
            <w:rPr>
              <w:color w:val="auto"/>
              <w:highlight w:val="none"/>
            </w:rPr>
            <w:tab/>
          </w:r>
          <w:r>
            <w:rPr>
              <w:color w:val="auto"/>
              <w:highlight w:val="none"/>
            </w:rPr>
            <w:fldChar w:fldCharType="begin"/>
          </w:r>
          <w:r>
            <w:rPr>
              <w:color w:val="auto"/>
              <w:highlight w:val="none"/>
            </w:rPr>
            <w:instrText xml:space="preserve"> PAGEREF _Toc76398681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1BC62A5">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"_Toc76398682" </w:instrText>
          </w:r>
          <w:r>
            <w:rPr>
              <w:color w:val="auto"/>
              <w:highlight w:val="none"/>
            </w:rPr>
            <w:fldChar w:fldCharType="separate"/>
          </w:r>
          <w:r>
            <w:rPr>
              <w:rStyle w:val="38"/>
              <w:rFonts w:asciiTheme="minorEastAsia" w:hAnsiTheme="minorEastAsia"/>
              <w:color w:val="auto"/>
              <w:highlight w:val="none"/>
            </w:rPr>
            <w:t>1.</w:t>
          </w:r>
          <w:r>
            <w:rPr>
              <w:rStyle w:val="38"/>
              <w:rFonts w:hint="eastAsia" w:asciiTheme="minorEastAsia" w:hAnsiTheme="minorEastAsia"/>
              <w:color w:val="auto"/>
              <w:highlight w:val="none"/>
            </w:rPr>
            <w:t>词语定义、语言、解释顺序与适用法律</w:t>
          </w:r>
          <w:r>
            <w:rPr>
              <w:color w:val="auto"/>
              <w:highlight w:val="none"/>
            </w:rPr>
            <w:tab/>
          </w:r>
          <w:r>
            <w:rPr>
              <w:color w:val="auto"/>
              <w:highlight w:val="none"/>
            </w:rPr>
            <w:fldChar w:fldCharType="begin"/>
          </w:r>
          <w:r>
            <w:rPr>
              <w:color w:val="auto"/>
              <w:highlight w:val="none"/>
            </w:rPr>
            <w:instrText xml:space="preserve"> PAGEREF _Toc76398682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7372D2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"_Toc76398683" </w:instrText>
          </w:r>
          <w:r>
            <w:rPr>
              <w:color w:val="auto"/>
              <w:highlight w:val="none"/>
            </w:rPr>
            <w:fldChar w:fldCharType="separate"/>
          </w:r>
          <w:r>
            <w:rPr>
              <w:rStyle w:val="38"/>
              <w:rFonts w:asciiTheme="minorEastAsia" w:hAnsiTheme="minorEastAsia"/>
              <w:color w:val="auto"/>
              <w:highlight w:val="none"/>
            </w:rPr>
            <w:t xml:space="preserve">1.2 </w:t>
          </w:r>
          <w:r>
            <w:rPr>
              <w:rStyle w:val="38"/>
              <w:rFonts w:hint="eastAsia" w:asciiTheme="minorEastAsia" w:hAnsiTheme="minorEastAsia"/>
              <w:color w:val="auto"/>
              <w:highlight w:val="none"/>
            </w:rPr>
            <w:t>语言</w:t>
          </w:r>
          <w:r>
            <w:rPr>
              <w:color w:val="auto"/>
              <w:highlight w:val="none"/>
            </w:rPr>
            <w:tab/>
          </w:r>
          <w:r>
            <w:rPr>
              <w:color w:val="auto"/>
              <w:highlight w:val="none"/>
            </w:rPr>
            <w:fldChar w:fldCharType="begin"/>
          </w:r>
          <w:r>
            <w:rPr>
              <w:color w:val="auto"/>
              <w:highlight w:val="none"/>
            </w:rPr>
            <w:instrText xml:space="preserve"> PAGEREF _Toc76398683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FD0DDAE">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"_Toc76398684" </w:instrText>
          </w:r>
          <w:r>
            <w:rPr>
              <w:color w:val="auto"/>
              <w:highlight w:val="none"/>
            </w:rPr>
            <w:fldChar w:fldCharType="separate"/>
          </w:r>
          <w:r>
            <w:rPr>
              <w:rStyle w:val="38"/>
              <w:rFonts w:asciiTheme="minorEastAsia" w:hAnsiTheme="minorEastAsia"/>
              <w:color w:val="auto"/>
              <w:highlight w:val="none"/>
            </w:rPr>
            <w:t xml:space="preserve">1.3 </w:t>
          </w:r>
          <w:r>
            <w:rPr>
              <w:rStyle w:val="38"/>
              <w:rFonts w:hint="eastAsia" w:asciiTheme="minorEastAsia" w:hAnsiTheme="minorEastAsia"/>
              <w:color w:val="auto"/>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_Toc76398684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4706751">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"_Toc76398685" </w:instrText>
          </w:r>
          <w:r>
            <w:rPr>
              <w:color w:val="auto"/>
              <w:highlight w:val="none"/>
            </w:rPr>
            <w:fldChar w:fldCharType="separate"/>
          </w:r>
          <w:r>
            <w:rPr>
              <w:rStyle w:val="38"/>
              <w:rFonts w:asciiTheme="minorEastAsia" w:hAnsiTheme="minorEastAsia"/>
              <w:color w:val="auto"/>
              <w:highlight w:val="none"/>
            </w:rPr>
            <w:t xml:space="preserve">1.4 </w:t>
          </w:r>
          <w:r>
            <w:rPr>
              <w:rStyle w:val="38"/>
              <w:rFonts w:hint="eastAsia" w:asciiTheme="minorEastAsia" w:hAnsiTheme="minorEastAsia"/>
              <w:color w:val="auto"/>
              <w:highlight w:val="none"/>
            </w:rPr>
            <w:t>适用法律</w:t>
          </w:r>
          <w:r>
            <w:rPr>
              <w:color w:val="auto"/>
              <w:highlight w:val="none"/>
            </w:rPr>
            <w:tab/>
          </w:r>
          <w:r>
            <w:rPr>
              <w:color w:val="auto"/>
              <w:highlight w:val="none"/>
            </w:rPr>
            <w:fldChar w:fldCharType="begin"/>
          </w:r>
          <w:r>
            <w:rPr>
              <w:color w:val="auto"/>
              <w:highlight w:val="none"/>
            </w:rPr>
            <w:instrText xml:space="preserve"> PAGEREF _Toc76398685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AE88DB4">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"_Toc76398686" </w:instrText>
          </w:r>
          <w:r>
            <w:rPr>
              <w:color w:val="auto"/>
              <w:highlight w:val="none"/>
            </w:rPr>
            <w:fldChar w:fldCharType="separate"/>
          </w:r>
          <w:r>
            <w:rPr>
              <w:rStyle w:val="38"/>
              <w:rFonts w:asciiTheme="minorEastAsia" w:hAnsiTheme="minorEastAsia"/>
              <w:color w:val="auto"/>
              <w:highlight w:val="none"/>
            </w:rPr>
            <w:t>2.</w:t>
          </w:r>
          <w:r>
            <w:rPr>
              <w:rStyle w:val="38"/>
              <w:rFonts w:hint="eastAsia" w:asciiTheme="minorEastAsia" w:hAnsiTheme="minorEastAsia"/>
              <w:color w:val="auto"/>
              <w:highlight w:val="none"/>
            </w:rPr>
            <w:t>委托人的义务</w:t>
          </w:r>
          <w:r>
            <w:rPr>
              <w:color w:val="auto"/>
              <w:highlight w:val="none"/>
            </w:rPr>
            <w:tab/>
          </w:r>
          <w:r>
            <w:rPr>
              <w:color w:val="auto"/>
              <w:highlight w:val="none"/>
            </w:rPr>
            <w:fldChar w:fldCharType="begin"/>
          </w:r>
          <w:r>
            <w:rPr>
              <w:color w:val="auto"/>
              <w:highlight w:val="none"/>
            </w:rPr>
            <w:instrText xml:space="preserve"> PAGEREF _Toc76398686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5C0562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"_Toc76398687" </w:instrText>
          </w:r>
          <w:r>
            <w:rPr>
              <w:color w:val="auto"/>
              <w:highlight w:val="none"/>
            </w:rPr>
            <w:fldChar w:fldCharType="separate"/>
          </w:r>
          <w:r>
            <w:rPr>
              <w:rStyle w:val="38"/>
              <w:rFonts w:asciiTheme="minorEastAsia" w:hAnsiTheme="minorEastAsia"/>
              <w:color w:val="auto"/>
              <w:highlight w:val="none"/>
            </w:rPr>
            <w:t xml:space="preserve">2.1 </w:t>
          </w:r>
          <w:r>
            <w:rPr>
              <w:rStyle w:val="38"/>
              <w:rFonts w:hint="eastAsia" w:asciiTheme="minorEastAsia" w:hAnsiTheme="minorEastAsia"/>
              <w:color w:val="auto"/>
              <w:highlight w:val="none"/>
            </w:rPr>
            <w:t>提供资料</w:t>
          </w:r>
          <w:r>
            <w:rPr>
              <w:color w:val="auto"/>
              <w:highlight w:val="none"/>
            </w:rPr>
            <w:tab/>
          </w:r>
          <w:r>
            <w:rPr>
              <w:color w:val="auto"/>
              <w:highlight w:val="none"/>
            </w:rPr>
            <w:fldChar w:fldCharType="begin"/>
          </w:r>
          <w:r>
            <w:rPr>
              <w:color w:val="auto"/>
              <w:highlight w:val="none"/>
            </w:rPr>
            <w:instrText xml:space="preserve"> PAGEREF _Toc76398687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D642FBF">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"_Toc76398688" </w:instrText>
          </w:r>
          <w:r>
            <w:rPr>
              <w:color w:val="auto"/>
              <w:highlight w:val="none"/>
            </w:rPr>
            <w:fldChar w:fldCharType="separate"/>
          </w:r>
          <w:r>
            <w:rPr>
              <w:rStyle w:val="38"/>
              <w:rFonts w:asciiTheme="minorEastAsia" w:hAnsiTheme="minorEastAsia"/>
              <w:color w:val="auto"/>
              <w:highlight w:val="none"/>
            </w:rPr>
            <w:t xml:space="preserve">2.2 </w:t>
          </w:r>
          <w:r>
            <w:rPr>
              <w:rStyle w:val="38"/>
              <w:rFonts w:hint="eastAsia" w:asciiTheme="minorEastAsia" w:hAnsiTheme="minorEastAsia"/>
              <w:color w:val="auto"/>
              <w:highlight w:val="none"/>
            </w:rPr>
            <w:t>提供工作条件</w:t>
          </w:r>
          <w:r>
            <w:rPr>
              <w:color w:val="auto"/>
              <w:highlight w:val="none"/>
            </w:rPr>
            <w:tab/>
          </w:r>
          <w:r>
            <w:rPr>
              <w:color w:val="auto"/>
              <w:highlight w:val="none"/>
            </w:rPr>
            <w:fldChar w:fldCharType="begin"/>
          </w:r>
          <w:r>
            <w:rPr>
              <w:color w:val="auto"/>
              <w:highlight w:val="none"/>
            </w:rPr>
            <w:instrText xml:space="preserve"> PAGEREF _Toc76398688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1EC6F9B">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"_Toc76398689" </w:instrText>
          </w:r>
          <w:r>
            <w:rPr>
              <w:color w:val="auto"/>
              <w:highlight w:val="none"/>
            </w:rPr>
            <w:fldChar w:fldCharType="separate"/>
          </w:r>
          <w:r>
            <w:rPr>
              <w:rStyle w:val="38"/>
              <w:rFonts w:asciiTheme="minorEastAsia" w:hAnsiTheme="minorEastAsia"/>
              <w:color w:val="auto"/>
              <w:highlight w:val="none"/>
            </w:rPr>
            <w:t xml:space="preserve">2.4 </w:t>
          </w:r>
          <w:r>
            <w:rPr>
              <w:rStyle w:val="38"/>
              <w:rFonts w:hint="eastAsia" w:asciiTheme="minorEastAsia" w:hAnsiTheme="minorEastAsia"/>
              <w:color w:val="auto"/>
              <w:highlight w:val="none"/>
            </w:rPr>
            <w:t>委托人代表</w:t>
          </w:r>
          <w:r>
            <w:rPr>
              <w:color w:val="auto"/>
              <w:highlight w:val="none"/>
            </w:rPr>
            <w:tab/>
          </w:r>
          <w:r>
            <w:rPr>
              <w:color w:val="auto"/>
              <w:highlight w:val="none"/>
            </w:rPr>
            <w:fldChar w:fldCharType="begin"/>
          </w:r>
          <w:r>
            <w:rPr>
              <w:color w:val="auto"/>
              <w:highlight w:val="none"/>
            </w:rPr>
            <w:instrText xml:space="preserve"> PAGEREF _Toc76398689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A92BD2D">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"_Toc76398690" </w:instrText>
          </w:r>
          <w:r>
            <w:rPr>
              <w:color w:val="auto"/>
              <w:highlight w:val="none"/>
            </w:rPr>
            <w:fldChar w:fldCharType="separate"/>
          </w:r>
          <w:r>
            <w:rPr>
              <w:rStyle w:val="38"/>
              <w:rFonts w:asciiTheme="minorEastAsia" w:hAnsiTheme="minorEastAsia"/>
              <w:color w:val="auto"/>
              <w:highlight w:val="none"/>
            </w:rPr>
            <w:t xml:space="preserve">2.5 </w:t>
          </w:r>
          <w:r>
            <w:rPr>
              <w:rStyle w:val="38"/>
              <w:rFonts w:hint="eastAsia" w:asciiTheme="minorEastAsia" w:hAnsiTheme="minorEastAsia"/>
              <w:color w:val="auto"/>
              <w:highlight w:val="none"/>
            </w:rPr>
            <w:t>答复</w:t>
          </w:r>
          <w:r>
            <w:rPr>
              <w:color w:val="auto"/>
              <w:highlight w:val="none"/>
            </w:rPr>
            <w:tab/>
          </w:r>
          <w:r>
            <w:rPr>
              <w:color w:val="auto"/>
              <w:highlight w:val="none"/>
            </w:rPr>
            <w:fldChar w:fldCharType="begin"/>
          </w:r>
          <w:r>
            <w:rPr>
              <w:color w:val="auto"/>
              <w:highlight w:val="none"/>
            </w:rPr>
            <w:instrText xml:space="preserve"> PAGEREF _Toc76398690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CB2B092">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"_Toc76398691" </w:instrText>
          </w:r>
          <w:r>
            <w:rPr>
              <w:color w:val="auto"/>
              <w:highlight w:val="none"/>
            </w:rPr>
            <w:fldChar w:fldCharType="separate"/>
          </w:r>
          <w:r>
            <w:rPr>
              <w:rStyle w:val="38"/>
              <w:rFonts w:asciiTheme="minorEastAsia" w:hAnsiTheme="minorEastAsia"/>
              <w:color w:val="auto"/>
              <w:highlight w:val="none"/>
            </w:rPr>
            <w:t>3.</w:t>
          </w:r>
          <w:r>
            <w:rPr>
              <w:rStyle w:val="38"/>
              <w:rFonts w:hint="eastAsia" w:asciiTheme="minorEastAsia" w:hAnsiTheme="minorEastAsia"/>
              <w:color w:val="auto"/>
              <w:highlight w:val="none"/>
            </w:rPr>
            <w:t>咨询人的义务</w:t>
          </w:r>
          <w:r>
            <w:rPr>
              <w:color w:val="auto"/>
              <w:highlight w:val="none"/>
            </w:rPr>
            <w:tab/>
          </w:r>
          <w:r>
            <w:rPr>
              <w:color w:val="auto"/>
              <w:highlight w:val="none"/>
            </w:rPr>
            <w:fldChar w:fldCharType="begin"/>
          </w:r>
          <w:r>
            <w:rPr>
              <w:color w:val="auto"/>
              <w:highlight w:val="none"/>
            </w:rPr>
            <w:instrText xml:space="preserve"> PAGEREF _Toc76398691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6BA73E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"_Toc76398692" </w:instrText>
          </w:r>
          <w:r>
            <w:rPr>
              <w:color w:val="auto"/>
              <w:highlight w:val="none"/>
            </w:rPr>
            <w:fldChar w:fldCharType="separate"/>
          </w:r>
          <w:r>
            <w:rPr>
              <w:rStyle w:val="38"/>
              <w:rFonts w:asciiTheme="minorEastAsia" w:hAnsiTheme="minorEastAsia"/>
              <w:color w:val="auto"/>
              <w:highlight w:val="none"/>
            </w:rPr>
            <w:t xml:space="preserve">3.1 </w:t>
          </w:r>
          <w:r>
            <w:rPr>
              <w:rStyle w:val="38"/>
              <w:rFonts w:hint="eastAsia" w:asciiTheme="minorEastAsia" w:hAnsiTheme="minorEastAsia"/>
              <w:color w:val="auto"/>
              <w:highlight w:val="none"/>
            </w:rPr>
            <w:t>项目咨询团队及人员</w:t>
          </w:r>
          <w:r>
            <w:rPr>
              <w:color w:val="auto"/>
              <w:highlight w:val="none"/>
            </w:rPr>
            <w:tab/>
          </w:r>
          <w:r>
            <w:rPr>
              <w:color w:val="auto"/>
              <w:highlight w:val="none"/>
            </w:rPr>
            <w:fldChar w:fldCharType="begin"/>
          </w:r>
          <w:r>
            <w:rPr>
              <w:color w:val="auto"/>
              <w:highlight w:val="none"/>
            </w:rPr>
            <w:instrText xml:space="preserve"> PAGEREF _Toc76398692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121278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"_Toc76398693" </w:instrText>
          </w:r>
          <w:r>
            <w:rPr>
              <w:color w:val="auto"/>
              <w:highlight w:val="none"/>
            </w:rPr>
            <w:fldChar w:fldCharType="separate"/>
          </w:r>
          <w:r>
            <w:rPr>
              <w:rStyle w:val="38"/>
              <w:rFonts w:asciiTheme="minorEastAsia" w:hAnsiTheme="minorEastAsia"/>
              <w:color w:val="auto"/>
              <w:highlight w:val="none"/>
            </w:rPr>
            <w:t xml:space="preserve">3.2 </w:t>
          </w:r>
          <w:r>
            <w:rPr>
              <w:rStyle w:val="38"/>
              <w:rFonts w:hint="eastAsia" w:asciiTheme="minorEastAsia" w:hAnsiTheme="minorEastAsia"/>
              <w:color w:val="auto"/>
              <w:highlight w:val="none"/>
            </w:rPr>
            <w:t>咨询人的工作要求</w:t>
          </w:r>
          <w:r>
            <w:rPr>
              <w:color w:val="auto"/>
              <w:highlight w:val="none"/>
            </w:rPr>
            <w:tab/>
          </w:r>
          <w:r>
            <w:rPr>
              <w:color w:val="auto"/>
              <w:highlight w:val="none"/>
            </w:rPr>
            <w:fldChar w:fldCharType="begin"/>
          </w:r>
          <w:r>
            <w:rPr>
              <w:color w:val="auto"/>
              <w:highlight w:val="none"/>
            </w:rPr>
            <w:instrText xml:space="preserve"> PAGEREF _Toc76398693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B06C001">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"_Toc76398694" </w:instrText>
          </w:r>
          <w:r>
            <w:rPr>
              <w:color w:val="auto"/>
              <w:highlight w:val="none"/>
            </w:rPr>
            <w:fldChar w:fldCharType="separate"/>
          </w:r>
          <w:r>
            <w:rPr>
              <w:rStyle w:val="38"/>
              <w:rFonts w:asciiTheme="minorEastAsia" w:hAnsiTheme="minorEastAsia"/>
              <w:color w:val="auto"/>
              <w:highlight w:val="none"/>
            </w:rPr>
            <w:t xml:space="preserve">3.3 </w:t>
          </w:r>
          <w:r>
            <w:rPr>
              <w:rStyle w:val="38"/>
              <w:rFonts w:hint="eastAsia" w:asciiTheme="minorEastAsia" w:hAnsiTheme="minorEastAsia"/>
              <w:color w:val="auto"/>
              <w:highlight w:val="none"/>
            </w:rPr>
            <w:t>咨询人的工作依据</w:t>
          </w:r>
          <w:r>
            <w:rPr>
              <w:color w:val="auto"/>
              <w:highlight w:val="none"/>
            </w:rPr>
            <w:tab/>
          </w:r>
          <w:r>
            <w:rPr>
              <w:color w:val="auto"/>
              <w:highlight w:val="none"/>
            </w:rPr>
            <w:fldChar w:fldCharType="begin"/>
          </w:r>
          <w:r>
            <w:rPr>
              <w:color w:val="auto"/>
              <w:highlight w:val="none"/>
            </w:rPr>
            <w:instrText xml:space="preserve"> PAGEREF _Toc76398694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DCCAA87">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"_Toc76398695" </w:instrText>
          </w:r>
          <w:r>
            <w:rPr>
              <w:color w:val="auto"/>
              <w:highlight w:val="none"/>
            </w:rPr>
            <w:fldChar w:fldCharType="separate"/>
          </w:r>
          <w:r>
            <w:rPr>
              <w:rStyle w:val="38"/>
              <w:rFonts w:asciiTheme="minorEastAsia" w:hAnsiTheme="minorEastAsia"/>
              <w:color w:val="auto"/>
              <w:highlight w:val="none"/>
            </w:rPr>
            <w:t xml:space="preserve">3.4 </w:t>
          </w:r>
          <w:r>
            <w:rPr>
              <w:rStyle w:val="38"/>
              <w:rFonts w:hint="eastAsia" w:asciiTheme="minorEastAsia" w:hAnsiTheme="minorEastAsia"/>
              <w:color w:val="auto"/>
              <w:highlight w:val="none"/>
            </w:rPr>
            <w:t>使用委托人房屋及设备的返还</w:t>
          </w:r>
          <w:r>
            <w:rPr>
              <w:color w:val="auto"/>
              <w:highlight w:val="none"/>
            </w:rPr>
            <w:tab/>
          </w:r>
          <w:r>
            <w:rPr>
              <w:color w:val="auto"/>
              <w:highlight w:val="none"/>
            </w:rPr>
            <w:fldChar w:fldCharType="begin"/>
          </w:r>
          <w:r>
            <w:rPr>
              <w:color w:val="auto"/>
              <w:highlight w:val="none"/>
            </w:rPr>
            <w:instrText xml:space="preserve"> PAGEREF _Toc76398695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7F16D41">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"_Toc76398696" </w:instrText>
          </w:r>
          <w:r>
            <w:rPr>
              <w:color w:val="auto"/>
              <w:highlight w:val="none"/>
            </w:rPr>
            <w:fldChar w:fldCharType="separate"/>
          </w:r>
          <w:r>
            <w:rPr>
              <w:rStyle w:val="38"/>
              <w:rFonts w:asciiTheme="minorEastAsia" w:hAnsiTheme="minorEastAsia"/>
              <w:color w:val="auto"/>
              <w:highlight w:val="none"/>
            </w:rPr>
            <w:t xml:space="preserve">4. </w:t>
          </w:r>
          <w:r>
            <w:rPr>
              <w:rStyle w:val="38"/>
              <w:rFonts w:hint="eastAsia" w:asciiTheme="minorEastAsia" w:hAnsiTheme="minorEastAsia"/>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_Toc76398696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325BA3A">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"_Toc76398697" </w:instrText>
          </w:r>
          <w:r>
            <w:rPr>
              <w:color w:val="auto"/>
              <w:highlight w:val="none"/>
            </w:rPr>
            <w:fldChar w:fldCharType="separate"/>
          </w:r>
          <w:r>
            <w:rPr>
              <w:rStyle w:val="38"/>
              <w:rFonts w:asciiTheme="minorEastAsia" w:hAnsiTheme="minorEastAsia"/>
              <w:color w:val="auto"/>
              <w:highlight w:val="none"/>
            </w:rPr>
            <w:t xml:space="preserve">4.1 </w:t>
          </w:r>
          <w:r>
            <w:rPr>
              <w:rStyle w:val="38"/>
              <w:rFonts w:hint="eastAsia" w:asciiTheme="minorEastAsia" w:hAnsiTheme="minorEastAsia"/>
              <w:color w:val="auto"/>
              <w:highlight w:val="none"/>
            </w:rPr>
            <w:t>委托人的违约责任</w:t>
          </w:r>
          <w:r>
            <w:rPr>
              <w:color w:val="auto"/>
              <w:highlight w:val="none"/>
            </w:rPr>
            <w:tab/>
          </w:r>
          <w:r>
            <w:rPr>
              <w:color w:val="auto"/>
              <w:highlight w:val="none"/>
            </w:rPr>
            <w:fldChar w:fldCharType="begin"/>
          </w:r>
          <w:r>
            <w:rPr>
              <w:color w:val="auto"/>
              <w:highlight w:val="none"/>
            </w:rPr>
            <w:instrText xml:space="preserve"> PAGEREF _Toc76398697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3339B72">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"_Toc76398698" </w:instrText>
          </w:r>
          <w:r>
            <w:rPr>
              <w:color w:val="auto"/>
              <w:highlight w:val="none"/>
            </w:rPr>
            <w:fldChar w:fldCharType="separate"/>
          </w:r>
          <w:r>
            <w:rPr>
              <w:rStyle w:val="38"/>
              <w:rFonts w:asciiTheme="minorEastAsia" w:hAnsiTheme="minorEastAsia"/>
              <w:color w:val="auto"/>
              <w:highlight w:val="none"/>
            </w:rPr>
            <w:t xml:space="preserve">4.2 </w:t>
          </w:r>
          <w:r>
            <w:rPr>
              <w:rStyle w:val="38"/>
              <w:rFonts w:hint="eastAsia" w:asciiTheme="minorEastAsia" w:hAnsiTheme="minorEastAsia"/>
              <w:color w:val="auto"/>
              <w:highlight w:val="none"/>
            </w:rPr>
            <w:t>咨询人的违约责任</w:t>
          </w:r>
          <w:r>
            <w:rPr>
              <w:color w:val="auto"/>
              <w:highlight w:val="none"/>
            </w:rPr>
            <w:tab/>
          </w:r>
          <w:r>
            <w:rPr>
              <w:color w:val="auto"/>
              <w:highlight w:val="none"/>
            </w:rPr>
            <w:fldChar w:fldCharType="begin"/>
          </w:r>
          <w:r>
            <w:rPr>
              <w:color w:val="auto"/>
              <w:highlight w:val="none"/>
            </w:rPr>
            <w:instrText xml:space="preserve"> PAGEREF _Toc76398698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2EC6290">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"_Toc76398699" </w:instrText>
          </w:r>
          <w:r>
            <w:rPr>
              <w:color w:val="auto"/>
              <w:highlight w:val="none"/>
            </w:rPr>
            <w:fldChar w:fldCharType="separate"/>
          </w:r>
          <w:r>
            <w:rPr>
              <w:rStyle w:val="38"/>
              <w:rFonts w:asciiTheme="minorEastAsia" w:hAnsiTheme="minorEastAsia"/>
              <w:color w:val="auto"/>
              <w:highlight w:val="none"/>
            </w:rPr>
            <w:t xml:space="preserve">5. </w:t>
          </w:r>
          <w:r>
            <w:rPr>
              <w:rStyle w:val="38"/>
              <w:rFonts w:hint="eastAsia" w:asciiTheme="minorEastAsia" w:hAnsiTheme="minor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_Toc76398699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D256FF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"_Toc76398700" </w:instrText>
          </w:r>
          <w:r>
            <w:rPr>
              <w:color w:val="auto"/>
              <w:highlight w:val="none"/>
            </w:rPr>
            <w:fldChar w:fldCharType="separate"/>
          </w:r>
          <w:r>
            <w:rPr>
              <w:rStyle w:val="38"/>
              <w:rFonts w:asciiTheme="minorEastAsia" w:hAnsiTheme="minorEastAsia"/>
              <w:color w:val="auto"/>
              <w:highlight w:val="none"/>
            </w:rPr>
            <w:t xml:space="preserve">5.1 </w:t>
          </w:r>
          <w:r>
            <w:rPr>
              <w:rStyle w:val="38"/>
              <w:rFonts w:hint="eastAsia" w:asciiTheme="minorEastAsia" w:hAnsiTheme="minorEastAsia"/>
              <w:color w:val="auto"/>
              <w:highlight w:val="none"/>
            </w:rPr>
            <w:t>支付货币</w:t>
          </w:r>
          <w:r>
            <w:rPr>
              <w:color w:val="auto"/>
              <w:highlight w:val="none"/>
            </w:rPr>
            <w:tab/>
          </w:r>
          <w:r>
            <w:rPr>
              <w:color w:val="auto"/>
              <w:highlight w:val="none"/>
            </w:rPr>
            <w:fldChar w:fldCharType="begin"/>
          </w:r>
          <w:r>
            <w:rPr>
              <w:color w:val="auto"/>
              <w:highlight w:val="none"/>
            </w:rPr>
            <w:instrText xml:space="preserve"> PAGEREF _Toc76398700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40AAB0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"_Toc76398701" </w:instrText>
          </w:r>
          <w:r>
            <w:rPr>
              <w:color w:val="auto"/>
              <w:highlight w:val="none"/>
            </w:rPr>
            <w:fldChar w:fldCharType="separate"/>
          </w:r>
          <w:r>
            <w:rPr>
              <w:rStyle w:val="38"/>
              <w:rFonts w:asciiTheme="minorEastAsia" w:hAnsiTheme="minorEastAsia"/>
              <w:color w:val="auto"/>
              <w:highlight w:val="none"/>
            </w:rPr>
            <w:t xml:space="preserve">5.2 </w:t>
          </w:r>
          <w:r>
            <w:rPr>
              <w:rStyle w:val="38"/>
              <w:rFonts w:hint="eastAsia" w:asciiTheme="minorEastAsia" w:hAnsiTheme="minorEastAsia"/>
              <w:color w:val="auto"/>
              <w:highlight w:val="none"/>
            </w:rPr>
            <w:t>支付申请</w:t>
          </w:r>
          <w:r>
            <w:rPr>
              <w:color w:val="auto"/>
              <w:highlight w:val="none"/>
            </w:rPr>
            <w:tab/>
          </w:r>
          <w:r>
            <w:rPr>
              <w:color w:val="auto"/>
              <w:highlight w:val="none"/>
            </w:rPr>
            <w:fldChar w:fldCharType="begin"/>
          </w:r>
          <w:r>
            <w:rPr>
              <w:color w:val="auto"/>
              <w:highlight w:val="none"/>
            </w:rPr>
            <w:instrText xml:space="preserve"> PAGEREF _Toc76398701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981B2BB">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"_Toc76398702" </w:instrText>
          </w:r>
          <w:r>
            <w:rPr>
              <w:color w:val="auto"/>
              <w:highlight w:val="none"/>
            </w:rPr>
            <w:fldChar w:fldCharType="separate"/>
          </w:r>
          <w:r>
            <w:rPr>
              <w:rStyle w:val="38"/>
              <w:rFonts w:asciiTheme="minorEastAsia" w:hAnsiTheme="minorEastAsia"/>
              <w:color w:val="auto"/>
              <w:highlight w:val="none"/>
            </w:rPr>
            <w:t xml:space="preserve">5.3 </w:t>
          </w:r>
          <w:r>
            <w:rPr>
              <w:rStyle w:val="38"/>
              <w:rFonts w:hint="eastAsia" w:asciiTheme="minorEastAsia" w:hAnsiTheme="minorEastAsia"/>
              <w:color w:val="auto"/>
              <w:highlight w:val="none"/>
            </w:rPr>
            <w:t>支付酬金</w:t>
          </w:r>
          <w:r>
            <w:rPr>
              <w:color w:val="auto"/>
              <w:highlight w:val="none"/>
            </w:rPr>
            <w:tab/>
          </w:r>
          <w:r>
            <w:rPr>
              <w:color w:val="auto"/>
              <w:highlight w:val="none"/>
            </w:rPr>
            <w:fldChar w:fldCharType="begin"/>
          </w:r>
          <w:r>
            <w:rPr>
              <w:color w:val="auto"/>
              <w:highlight w:val="none"/>
            </w:rPr>
            <w:instrText xml:space="preserve"> PAGEREF _Toc76398702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B48AB23">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"_Toc76398703" </w:instrText>
          </w:r>
          <w:r>
            <w:rPr>
              <w:color w:val="auto"/>
              <w:highlight w:val="none"/>
            </w:rPr>
            <w:fldChar w:fldCharType="separate"/>
          </w:r>
          <w:r>
            <w:rPr>
              <w:rStyle w:val="38"/>
              <w:rFonts w:asciiTheme="minorEastAsia" w:hAnsiTheme="minorEastAsia"/>
              <w:color w:val="auto"/>
              <w:highlight w:val="none"/>
            </w:rPr>
            <w:t xml:space="preserve">6. </w:t>
          </w:r>
          <w:r>
            <w:rPr>
              <w:rStyle w:val="38"/>
              <w:rFonts w:hint="eastAsia" w:asciiTheme="minorEastAsia" w:hAnsiTheme="minorEastAsia"/>
              <w:color w:val="auto"/>
              <w:highlight w:val="none"/>
            </w:rPr>
            <w:t>合同变更、解除与终止</w:t>
          </w:r>
          <w:r>
            <w:rPr>
              <w:color w:val="auto"/>
              <w:highlight w:val="none"/>
            </w:rPr>
            <w:tab/>
          </w:r>
          <w:r>
            <w:rPr>
              <w:color w:val="auto"/>
              <w:highlight w:val="none"/>
            </w:rPr>
            <w:fldChar w:fldCharType="begin"/>
          </w:r>
          <w:r>
            <w:rPr>
              <w:color w:val="auto"/>
              <w:highlight w:val="none"/>
            </w:rPr>
            <w:instrText xml:space="preserve"> PAGEREF _Toc76398703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502BCAE">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"_Toc76398704" </w:instrText>
          </w:r>
          <w:r>
            <w:rPr>
              <w:color w:val="auto"/>
              <w:highlight w:val="none"/>
            </w:rPr>
            <w:fldChar w:fldCharType="separate"/>
          </w:r>
          <w:r>
            <w:rPr>
              <w:rStyle w:val="38"/>
              <w:rFonts w:asciiTheme="minorEastAsia" w:hAnsiTheme="minorEastAsia"/>
              <w:color w:val="auto"/>
              <w:highlight w:val="none"/>
            </w:rPr>
            <w:t xml:space="preserve">6.1 </w:t>
          </w:r>
          <w:r>
            <w:rPr>
              <w:rStyle w:val="38"/>
              <w:rFonts w:hint="eastAsia" w:asciiTheme="minorEastAsia" w:hAnsiTheme="minorEastAsia"/>
              <w:color w:val="auto"/>
              <w:highlight w:val="none"/>
            </w:rPr>
            <w:t>合同变更</w:t>
          </w:r>
          <w:r>
            <w:rPr>
              <w:color w:val="auto"/>
              <w:highlight w:val="none"/>
            </w:rPr>
            <w:tab/>
          </w:r>
          <w:r>
            <w:rPr>
              <w:color w:val="auto"/>
              <w:highlight w:val="none"/>
            </w:rPr>
            <w:fldChar w:fldCharType="begin"/>
          </w:r>
          <w:r>
            <w:rPr>
              <w:color w:val="auto"/>
              <w:highlight w:val="none"/>
            </w:rPr>
            <w:instrText xml:space="preserve"> PAGEREF _Toc76398704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635C930">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"_Toc76398705" </w:instrText>
          </w:r>
          <w:r>
            <w:rPr>
              <w:color w:val="auto"/>
              <w:highlight w:val="none"/>
            </w:rPr>
            <w:fldChar w:fldCharType="separate"/>
          </w:r>
          <w:r>
            <w:rPr>
              <w:rStyle w:val="38"/>
              <w:rFonts w:asciiTheme="minorEastAsia" w:hAnsiTheme="minorEastAsia"/>
              <w:color w:val="auto"/>
              <w:highlight w:val="none"/>
            </w:rPr>
            <w:t xml:space="preserve">6.2 </w:t>
          </w:r>
          <w:r>
            <w:rPr>
              <w:rStyle w:val="38"/>
              <w:rFonts w:hint="eastAsia" w:asciiTheme="minorEastAsia" w:hAnsiTheme="minorEastAsia"/>
              <w:color w:val="auto"/>
              <w:highlight w:val="none"/>
            </w:rPr>
            <w:t>合同解除</w:t>
          </w:r>
          <w:r>
            <w:rPr>
              <w:color w:val="auto"/>
              <w:highlight w:val="none"/>
            </w:rPr>
            <w:tab/>
          </w:r>
          <w:r>
            <w:rPr>
              <w:color w:val="auto"/>
              <w:highlight w:val="none"/>
            </w:rPr>
            <w:fldChar w:fldCharType="begin"/>
          </w:r>
          <w:r>
            <w:rPr>
              <w:color w:val="auto"/>
              <w:highlight w:val="none"/>
            </w:rPr>
            <w:instrText xml:space="preserve"> PAGEREF _Toc76398705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87770AC">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"_Toc76398706" </w:instrText>
          </w:r>
          <w:r>
            <w:rPr>
              <w:color w:val="auto"/>
              <w:highlight w:val="none"/>
            </w:rPr>
            <w:fldChar w:fldCharType="separate"/>
          </w:r>
          <w:r>
            <w:rPr>
              <w:rStyle w:val="38"/>
              <w:rFonts w:asciiTheme="minorEastAsia" w:hAnsiTheme="minorEastAsia"/>
              <w:color w:val="auto"/>
              <w:highlight w:val="none"/>
            </w:rPr>
            <w:t xml:space="preserve">7. </w:t>
          </w:r>
          <w:r>
            <w:rPr>
              <w:rStyle w:val="38"/>
              <w:rFonts w:hint="eastAsia" w:asciiTheme="minorEastAsia" w:hAnsiTheme="minorEastAsia"/>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_Toc76398706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7BFB567">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"_Toc76398707" </w:instrText>
          </w:r>
          <w:r>
            <w:rPr>
              <w:color w:val="auto"/>
              <w:highlight w:val="none"/>
            </w:rPr>
            <w:fldChar w:fldCharType="separate"/>
          </w:r>
          <w:r>
            <w:rPr>
              <w:rStyle w:val="38"/>
              <w:rFonts w:asciiTheme="minorEastAsia" w:hAnsiTheme="minorEastAsia"/>
              <w:color w:val="auto"/>
              <w:highlight w:val="none"/>
            </w:rPr>
            <w:t xml:space="preserve">7.2 </w:t>
          </w:r>
          <w:r>
            <w:rPr>
              <w:rStyle w:val="38"/>
              <w:rFonts w:hint="eastAsia" w:asciiTheme="minorEastAsia" w:hAnsiTheme="minorEastAsia"/>
              <w:color w:val="auto"/>
              <w:highlight w:val="none"/>
            </w:rPr>
            <w:t>调解</w:t>
          </w:r>
          <w:r>
            <w:rPr>
              <w:color w:val="auto"/>
              <w:highlight w:val="none"/>
            </w:rPr>
            <w:tab/>
          </w:r>
          <w:r>
            <w:rPr>
              <w:color w:val="auto"/>
              <w:highlight w:val="none"/>
            </w:rPr>
            <w:fldChar w:fldCharType="begin"/>
          </w:r>
          <w:r>
            <w:rPr>
              <w:color w:val="auto"/>
              <w:highlight w:val="none"/>
            </w:rPr>
            <w:instrText xml:space="preserve"> PAGEREF _Toc76398707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B58B138">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"_Toc76398708" </w:instrText>
          </w:r>
          <w:r>
            <w:rPr>
              <w:color w:val="auto"/>
              <w:highlight w:val="none"/>
            </w:rPr>
            <w:fldChar w:fldCharType="separate"/>
          </w:r>
          <w:r>
            <w:rPr>
              <w:rStyle w:val="38"/>
              <w:rFonts w:asciiTheme="minorEastAsia" w:hAnsiTheme="minorEastAsia"/>
              <w:color w:val="auto"/>
              <w:highlight w:val="none"/>
            </w:rPr>
            <w:t xml:space="preserve">7.3 </w:t>
          </w:r>
          <w:r>
            <w:rPr>
              <w:rStyle w:val="38"/>
              <w:rFonts w:hint="eastAsia" w:asciiTheme="minorEastAsia" w:hAnsiTheme="minorEastAsia"/>
              <w:color w:val="auto"/>
              <w:highlight w:val="none"/>
            </w:rPr>
            <w:t>仲裁或诉讼</w:t>
          </w:r>
          <w:r>
            <w:rPr>
              <w:color w:val="auto"/>
              <w:highlight w:val="none"/>
            </w:rPr>
            <w:tab/>
          </w:r>
          <w:r>
            <w:rPr>
              <w:color w:val="auto"/>
              <w:highlight w:val="none"/>
            </w:rPr>
            <w:fldChar w:fldCharType="begin"/>
          </w:r>
          <w:r>
            <w:rPr>
              <w:color w:val="auto"/>
              <w:highlight w:val="none"/>
            </w:rPr>
            <w:instrText xml:space="preserve"> PAGEREF _Toc76398708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4B0F822">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"_Toc76398709" </w:instrText>
          </w:r>
          <w:r>
            <w:rPr>
              <w:color w:val="auto"/>
              <w:highlight w:val="none"/>
            </w:rPr>
            <w:fldChar w:fldCharType="separate"/>
          </w:r>
          <w:r>
            <w:rPr>
              <w:rStyle w:val="38"/>
              <w:rFonts w:asciiTheme="minorEastAsia" w:hAnsiTheme="minorEastAsia"/>
              <w:color w:val="auto"/>
              <w:highlight w:val="none"/>
            </w:rPr>
            <w:t xml:space="preserve">8. </w:t>
          </w:r>
          <w:r>
            <w:rPr>
              <w:rStyle w:val="38"/>
              <w:rFonts w:hint="eastAsia" w:asciiTheme="minorEastAsia" w:hAnsiTheme="minorEastAsia"/>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_Toc76398709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0090B3C">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"_Toc76398710" </w:instrText>
          </w:r>
          <w:r>
            <w:rPr>
              <w:color w:val="auto"/>
              <w:highlight w:val="none"/>
            </w:rPr>
            <w:fldChar w:fldCharType="separate"/>
          </w:r>
          <w:r>
            <w:rPr>
              <w:rStyle w:val="38"/>
              <w:rFonts w:asciiTheme="minorEastAsia" w:hAnsiTheme="minorEastAsia"/>
              <w:color w:val="auto"/>
              <w:highlight w:val="none"/>
            </w:rPr>
            <w:t xml:space="preserve">8.1 </w:t>
          </w:r>
          <w:r>
            <w:rPr>
              <w:rStyle w:val="38"/>
              <w:rFonts w:hint="eastAsia" w:asciiTheme="minorEastAsia" w:hAnsiTheme="minorEastAsia"/>
              <w:color w:val="auto"/>
              <w:highlight w:val="none"/>
            </w:rPr>
            <w:t>考察及相关费用咨询人经委托人同意进行考察发生的费用由</w:t>
          </w:r>
          <w:r>
            <w:rPr>
              <w:rStyle w:val="38"/>
              <w:rFonts w:asciiTheme="minorEastAsia" w:hAnsiTheme="minorEastAsia"/>
              <w:color w:val="auto"/>
              <w:highlight w:val="none"/>
            </w:rPr>
            <w:t xml:space="preserve">  /  </w:t>
          </w:r>
          <w:r>
            <w:rPr>
              <w:rStyle w:val="38"/>
              <w:rFonts w:hint="eastAsia" w:asciiTheme="minorEastAsia" w:hAnsiTheme="minorEastAsia"/>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_Toc76398710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97564CE">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"_Toc76398711" </w:instrText>
          </w:r>
          <w:r>
            <w:rPr>
              <w:color w:val="auto"/>
              <w:highlight w:val="none"/>
            </w:rPr>
            <w:fldChar w:fldCharType="separate"/>
          </w:r>
          <w:r>
            <w:rPr>
              <w:rStyle w:val="38"/>
              <w:rFonts w:asciiTheme="minorEastAsia" w:hAnsiTheme="minorEastAsia"/>
              <w:color w:val="auto"/>
              <w:highlight w:val="none"/>
            </w:rPr>
            <w:t xml:space="preserve">8.2 </w:t>
          </w:r>
          <w:r>
            <w:rPr>
              <w:rStyle w:val="38"/>
              <w:rFonts w:hint="eastAsia" w:asciiTheme="minorEastAsia" w:hAnsiTheme="minorEastAsia"/>
              <w:color w:val="auto"/>
              <w:highlight w:val="none"/>
            </w:rPr>
            <w:t>奖励</w:t>
          </w:r>
          <w:r>
            <w:rPr>
              <w:color w:val="auto"/>
              <w:highlight w:val="none"/>
            </w:rPr>
            <w:tab/>
          </w:r>
          <w:r>
            <w:rPr>
              <w:color w:val="auto"/>
              <w:highlight w:val="none"/>
            </w:rPr>
            <w:fldChar w:fldCharType="begin"/>
          </w:r>
          <w:r>
            <w:rPr>
              <w:color w:val="auto"/>
              <w:highlight w:val="none"/>
            </w:rPr>
            <w:instrText xml:space="preserve"> PAGEREF _Toc76398711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C677EF2">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"_Toc76398712" </w:instrText>
          </w:r>
          <w:r>
            <w:rPr>
              <w:color w:val="auto"/>
              <w:highlight w:val="none"/>
            </w:rPr>
            <w:fldChar w:fldCharType="separate"/>
          </w:r>
          <w:r>
            <w:rPr>
              <w:rStyle w:val="38"/>
              <w:rFonts w:asciiTheme="minorEastAsia" w:hAnsiTheme="minorEastAsia"/>
              <w:color w:val="auto"/>
              <w:highlight w:val="none"/>
            </w:rPr>
            <w:t xml:space="preserve">8.3 </w:t>
          </w:r>
          <w:r>
            <w:rPr>
              <w:rStyle w:val="38"/>
              <w:rFonts w:hint="eastAsia" w:asciiTheme="minorEastAsia" w:hAnsiTheme="minorEastAsia"/>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_Toc76398712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AD2AF45">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"_Toc76398713" </w:instrText>
          </w:r>
          <w:r>
            <w:rPr>
              <w:color w:val="auto"/>
              <w:highlight w:val="none"/>
            </w:rPr>
            <w:fldChar w:fldCharType="separate"/>
          </w:r>
          <w:r>
            <w:rPr>
              <w:rStyle w:val="38"/>
              <w:rFonts w:asciiTheme="minorEastAsia" w:hAnsiTheme="minorEastAsia"/>
              <w:color w:val="auto"/>
              <w:highlight w:val="none"/>
            </w:rPr>
            <w:t xml:space="preserve">8.4 </w:t>
          </w:r>
          <w:r>
            <w:rPr>
              <w:rStyle w:val="38"/>
              <w:rFonts w:hint="eastAsia" w:asciiTheme="minorEastAsia" w:hAnsiTheme="minorEastAsia"/>
              <w:color w:val="auto"/>
              <w:highlight w:val="none"/>
            </w:rPr>
            <w:t>联络</w:t>
          </w:r>
          <w:r>
            <w:rPr>
              <w:color w:val="auto"/>
              <w:highlight w:val="none"/>
            </w:rPr>
            <w:tab/>
          </w:r>
          <w:r>
            <w:rPr>
              <w:color w:val="auto"/>
              <w:highlight w:val="none"/>
            </w:rPr>
            <w:fldChar w:fldCharType="begin"/>
          </w:r>
          <w:r>
            <w:rPr>
              <w:color w:val="auto"/>
              <w:highlight w:val="none"/>
            </w:rPr>
            <w:instrText xml:space="preserve"> PAGEREF _Toc76398713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BE877A9">
          <w:pPr>
            <w:pStyle w:val="23"/>
            <w:tabs>
              <w:tab w:val="right" w:leader="dot" w:pos="8720"/>
            </w:tabs>
            <w:rPr>
              <w:color w:val="auto"/>
              <w:highlight w:val="none"/>
            </w:rPr>
          </w:pPr>
          <w:r>
            <w:rPr>
              <w:color w:val="auto"/>
              <w:highlight w:val="none"/>
            </w:rPr>
            <w:fldChar w:fldCharType="begin"/>
          </w:r>
          <w:r>
            <w:rPr>
              <w:color w:val="auto"/>
              <w:highlight w:val="none"/>
            </w:rPr>
            <w:instrText xml:space="preserve"> HYPERLINK \l "_Toc76398714" </w:instrText>
          </w:r>
          <w:r>
            <w:rPr>
              <w:color w:val="auto"/>
              <w:highlight w:val="none"/>
            </w:rPr>
            <w:fldChar w:fldCharType="separate"/>
          </w:r>
          <w:r>
            <w:rPr>
              <w:rStyle w:val="38"/>
              <w:rFonts w:asciiTheme="minorEastAsia" w:hAnsiTheme="minorEastAsia"/>
              <w:color w:val="auto"/>
              <w:highlight w:val="none"/>
            </w:rPr>
            <w:t xml:space="preserve">8.5 </w:t>
          </w:r>
          <w:r>
            <w:rPr>
              <w:rStyle w:val="38"/>
              <w:rFonts w:hint="eastAsia" w:asciiTheme="minorEastAsia" w:hAnsiTheme="minor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_Toc76398714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1E7D51A">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"_Toc76398715" </w:instrText>
          </w:r>
          <w:r>
            <w:rPr>
              <w:color w:val="auto"/>
              <w:highlight w:val="none"/>
            </w:rPr>
            <w:fldChar w:fldCharType="separate"/>
          </w:r>
          <w:r>
            <w:rPr>
              <w:rStyle w:val="38"/>
              <w:rFonts w:asciiTheme="minorEastAsia" w:hAnsiTheme="minorEastAsia"/>
              <w:color w:val="auto"/>
              <w:highlight w:val="none"/>
            </w:rPr>
            <w:t>9.</w:t>
          </w:r>
          <w:r>
            <w:rPr>
              <w:rStyle w:val="38"/>
              <w:rFonts w:hint="eastAsia" w:asciiTheme="minorEastAsia" w:hAnsiTheme="minorEastAsia"/>
              <w:color w:val="auto"/>
              <w:highlight w:val="none"/>
            </w:rPr>
            <w:t>补充条款</w:t>
          </w:r>
          <w:r>
            <w:rPr>
              <w:color w:val="auto"/>
              <w:highlight w:val="none"/>
            </w:rPr>
            <w:tab/>
          </w:r>
          <w:r>
            <w:rPr>
              <w:color w:val="auto"/>
              <w:highlight w:val="none"/>
            </w:rPr>
            <w:fldChar w:fldCharType="begin"/>
          </w:r>
          <w:r>
            <w:rPr>
              <w:color w:val="auto"/>
              <w:highlight w:val="none"/>
            </w:rPr>
            <w:instrText xml:space="preserve"> PAGEREF _Toc76398715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1CB00B9">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"_Toc76398716" </w:instrText>
          </w:r>
          <w:r>
            <w:rPr>
              <w:color w:val="auto"/>
              <w:highlight w:val="none"/>
            </w:rPr>
            <w:fldChar w:fldCharType="separate"/>
          </w:r>
          <w:r>
            <w:rPr>
              <w:rStyle w:val="38"/>
              <w:rFonts w:hint="eastAsia"/>
              <w:color w:val="auto"/>
              <w:highlight w:val="none"/>
            </w:rPr>
            <w:t>附录</w:t>
          </w:r>
          <w:r>
            <w:rPr>
              <w:rStyle w:val="38"/>
              <w:color w:val="auto"/>
              <w:highlight w:val="none"/>
            </w:rPr>
            <w:t xml:space="preserve"> A</w:t>
          </w:r>
          <w:r>
            <w:rPr>
              <w:rFonts w:hint="eastAsia"/>
              <w:color w:val="auto"/>
              <w:highlight w:val="none"/>
            </w:rPr>
            <w:t>咨询人人员配置一览表</w:t>
          </w:r>
          <w:r>
            <w:rPr>
              <w:color w:val="auto"/>
              <w:highlight w:val="none"/>
            </w:rPr>
            <w:tab/>
          </w:r>
          <w:r>
            <w:rPr>
              <w:color w:val="auto"/>
              <w:highlight w:val="none"/>
            </w:rPr>
            <w:fldChar w:fldCharType="begin"/>
          </w:r>
          <w:r>
            <w:rPr>
              <w:color w:val="auto"/>
              <w:highlight w:val="none"/>
            </w:rPr>
            <w:instrText xml:space="preserve"> PAGEREF _Toc76398716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2C804A0">
          <w:pPr>
            <w:pStyle w:val="19"/>
            <w:tabs>
              <w:tab w:val="right" w:leader="dot" w:pos="8720"/>
            </w:tabs>
            <w:rPr>
              <w:color w:val="auto"/>
              <w:highlight w:val="none"/>
            </w:rPr>
          </w:pPr>
          <w:r>
            <w:rPr>
              <w:color w:val="auto"/>
              <w:highlight w:val="none"/>
            </w:rPr>
            <w:fldChar w:fldCharType="begin"/>
          </w:r>
          <w:r>
            <w:rPr>
              <w:color w:val="auto"/>
              <w:highlight w:val="none"/>
            </w:rPr>
            <w:instrText xml:space="preserve"> HYPERLINK \l "_Toc76398717" </w:instrText>
          </w:r>
          <w:r>
            <w:rPr>
              <w:color w:val="auto"/>
              <w:highlight w:val="none"/>
            </w:rPr>
            <w:fldChar w:fldCharType="separate"/>
          </w:r>
          <w:r>
            <w:rPr>
              <w:rStyle w:val="38"/>
              <w:rFonts w:hint="eastAsia"/>
              <w:color w:val="auto"/>
              <w:highlight w:val="none"/>
            </w:rPr>
            <w:t>附录</w:t>
          </w:r>
          <w:r>
            <w:rPr>
              <w:rStyle w:val="38"/>
              <w:color w:val="auto"/>
              <w:highlight w:val="none"/>
            </w:rPr>
            <w:t xml:space="preserve"> B </w:t>
          </w:r>
          <w:r>
            <w:rPr>
              <w:rStyle w:val="38"/>
              <w:rFonts w:hint="eastAsia"/>
              <w:color w:val="auto"/>
              <w:highlight w:val="none"/>
            </w:rPr>
            <w:t>咨询人提交成果文件一览表</w:t>
          </w:r>
          <w:r>
            <w:rPr>
              <w:color w:val="auto"/>
              <w:highlight w:val="none"/>
            </w:rPr>
            <w:tab/>
          </w:r>
          <w:r>
            <w:rPr>
              <w:color w:val="auto"/>
              <w:highlight w:val="none"/>
            </w:rPr>
            <w:fldChar w:fldCharType="begin"/>
          </w:r>
          <w:r>
            <w:rPr>
              <w:color w:val="auto"/>
              <w:highlight w:val="none"/>
            </w:rPr>
            <w:instrText xml:space="preserve"> PAGEREF _Toc76398717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ED73A51">
          <w:pPr>
            <w:pStyle w:val="19"/>
            <w:tabs>
              <w:tab w:val="right" w:leader="dot" w:pos="8720"/>
            </w:tabs>
            <w:rPr>
              <w:color w:val="auto"/>
              <w:sz w:val="24"/>
              <w:szCs w:val="24"/>
              <w:highlight w:val="none"/>
            </w:rPr>
          </w:pPr>
          <w:r>
            <w:rPr>
              <w:color w:val="auto"/>
              <w:highlight w:val="none"/>
            </w:rPr>
            <w:fldChar w:fldCharType="begin"/>
          </w:r>
          <w:r>
            <w:rPr>
              <w:color w:val="auto"/>
              <w:highlight w:val="none"/>
            </w:rPr>
            <w:instrText xml:space="preserve"> HYPERLINK \l "_Toc76398718" </w:instrText>
          </w:r>
          <w:r>
            <w:rPr>
              <w:color w:val="auto"/>
              <w:highlight w:val="none"/>
            </w:rPr>
            <w:fldChar w:fldCharType="separate"/>
          </w:r>
          <w:r>
            <w:rPr>
              <w:rStyle w:val="38"/>
              <w:rFonts w:hint="eastAsia"/>
              <w:color w:val="auto"/>
              <w:highlight w:val="none"/>
            </w:rPr>
            <w:t>附录</w:t>
          </w:r>
          <w:r>
            <w:rPr>
              <w:rStyle w:val="38"/>
              <w:color w:val="auto"/>
              <w:highlight w:val="none"/>
            </w:rPr>
            <w:t xml:space="preserve"> C</w:t>
          </w:r>
          <w:r>
            <w:rPr>
              <w:rStyle w:val="38"/>
              <w:rFonts w:hint="eastAsia"/>
              <w:color w:val="auto"/>
              <w:highlight w:val="none"/>
            </w:rPr>
            <w:t>委托人提供资料一览表</w:t>
          </w:r>
          <w:r>
            <w:rPr>
              <w:color w:val="auto"/>
              <w:highlight w:val="none"/>
            </w:rPr>
            <w:tab/>
          </w:r>
          <w:r>
            <w:rPr>
              <w:color w:val="auto"/>
              <w:highlight w:val="none"/>
            </w:rPr>
            <w:fldChar w:fldCharType="begin"/>
          </w:r>
          <w:r>
            <w:rPr>
              <w:color w:val="auto"/>
              <w:highlight w:val="none"/>
            </w:rPr>
            <w:instrText xml:space="preserve"> PAGEREF _Toc76398718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r>
            <w:rPr>
              <w:color w:val="auto"/>
              <w:sz w:val="24"/>
              <w:szCs w:val="24"/>
              <w:highlight w:val="none"/>
            </w:rPr>
            <w:fldChar w:fldCharType="end"/>
          </w:r>
        </w:p>
      </w:sdtContent>
    </w:sdt>
    <w:p w14:paraId="0163D39E">
      <w:pPr>
        <w:spacing w:line="360" w:lineRule="auto"/>
        <w:ind w:firstLine="643"/>
        <w:jc w:val="center"/>
        <w:outlineLvl w:val="0"/>
        <w:rPr>
          <w:rFonts w:hint="eastAsia"/>
          <w:b/>
          <w:color w:val="auto"/>
          <w:sz w:val="32"/>
          <w:szCs w:val="32"/>
          <w:highlight w:val="none"/>
        </w:rPr>
      </w:pPr>
      <w:bookmarkStart w:id="693" w:name="_Toc76398630"/>
    </w:p>
    <w:p w14:paraId="54B09476">
      <w:pPr>
        <w:spacing w:line="360" w:lineRule="auto"/>
        <w:ind w:firstLine="643"/>
        <w:jc w:val="center"/>
        <w:outlineLvl w:val="0"/>
        <w:rPr>
          <w:rFonts w:hint="eastAsia"/>
          <w:b/>
          <w:color w:val="auto"/>
          <w:sz w:val="32"/>
          <w:szCs w:val="32"/>
          <w:highlight w:val="none"/>
        </w:rPr>
      </w:pPr>
    </w:p>
    <w:p w14:paraId="5DA2EDE7">
      <w:pPr>
        <w:spacing w:line="360" w:lineRule="auto"/>
        <w:ind w:firstLine="643"/>
        <w:jc w:val="center"/>
        <w:outlineLvl w:val="0"/>
        <w:rPr>
          <w:rFonts w:hint="eastAsia"/>
          <w:b/>
          <w:color w:val="auto"/>
          <w:sz w:val="32"/>
          <w:szCs w:val="32"/>
          <w:highlight w:val="none"/>
        </w:rPr>
      </w:pPr>
    </w:p>
    <w:p w14:paraId="2A469542">
      <w:pPr>
        <w:spacing w:line="360" w:lineRule="auto"/>
        <w:ind w:firstLine="643"/>
        <w:jc w:val="center"/>
        <w:outlineLvl w:val="0"/>
        <w:rPr>
          <w:rFonts w:hint="eastAsia"/>
          <w:b/>
          <w:color w:val="auto"/>
          <w:sz w:val="32"/>
          <w:szCs w:val="32"/>
          <w:highlight w:val="none"/>
        </w:rPr>
      </w:pPr>
    </w:p>
    <w:p w14:paraId="1B8018F4">
      <w:pPr>
        <w:spacing w:line="360" w:lineRule="auto"/>
        <w:ind w:firstLine="643"/>
        <w:jc w:val="center"/>
        <w:outlineLvl w:val="0"/>
        <w:rPr>
          <w:rFonts w:hint="eastAsia"/>
          <w:b/>
          <w:color w:val="auto"/>
          <w:sz w:val="32"/>
          <w:szCs w:val="32"/>
          <w:highlight w:val="none"/>
        </w:rPr>
      </w:pPr>
    </w:p>
    <w:p w14:paraId="24A1810D">
      <w:pPr>
        <w:spacing w:line="360" w:lineRule="auto"/>
        <w:ind w:firstLine="643"/>
        <w:jc w:val="center"/>
        <w:outlineLvl w:val="0"/>
        <w:rPr>
          <w:rFonts w:hint="eastAsia"/>
          <w:b/>
          <w:color w:val="auto"/>
          <w:sz w:val="32"/>
          <w:szCs w:val="32"/>
          <w:highlight w:val="none"/>
        </w:rPr>
      </w:pPr>
    </w:p>
    <w:p w14:paraId="16D9E57E">
      <w:pPr>
        <w:spacing w:line="360" w:lineRule="auto"/>
        <w:ind w:firstLine="643"/>
        <w:jc w:val="center"/>
        <w:outlineLvl w:val="0"/>
        <w:rPr>
          <w:rFonts w:hint="eastAsia"/>
          <w:b/>
          <w:color w:val="auto"/>
          <w:sz w:val="32"/>
          <w:szCs w:val="32"/>
          <w:highlight w:val="none"/>
        </w:rPr>
      </w:pPr>
    </w:p>
    <w:p w14:paraId="47619379">
      <w:pPr>
        <w:spacing w:line="360" w:lineRule="auto"/>
        <w:ind w:firstLine="643"/>
        <w:jc w:val="center"/>
        <w:outlineLvl w:val="0"/>
        <w:rPr>
          <w:rFonts w:hint="eastAsia"/>
          <w:b/>
          <w:color w:val="auto"/>
          <w:sz w:val="32"/>
          <w:szCs w:val="32"/>
          <w:highlight w:val="none"/>
        </w:rPr>
      </w:pPr>
    </w:p>
    <w:p w14:paraId="4506C641">
      <w:pPr>
        <w:spacing w:line="360" w:lineRule="auto"/>
        <w:ind w:firstLine="643"/>
        <w:jc w:val="center"/>
        <w:outlineLvl w:val="0"/>
        <w:rPr>
          <w:rFonts w:hint="eastAsia"/>
          <w:b/>
          <w:color w:val="auto"/>
          <w:sz w:val="32"/>
          <w:szCs w:val="32"/>
          <w:highlight w:val="none"/>
        </w:rPr>
      </w:pPr>
    </w:p>
    <w:p w14:paraId="5161C828">
      <w:pPr>
        <w:spacing w:line="360" w:lineRule="auto"/>
        <w:ind w:firstLine="643"/>
        <w:jc w:val="center"/>
        <w:outlineLvl w:val="0"/>
        <w:rPr>
          <w:rFonts w:hint="eastAsia"/>
          <w:b/>
          <w:color w:val="auto"/>
          <w:sz w:val="32"/>
          <w:szCs w:val="32"/>
          <w:highlight w:val="none"/>
        </w:rPr>
      </w:pPr>
    </w:p>
    <w:p w14:paraId="200753B6">
      <w:pPr>
        <w:spacing w:line="360" w:lineRule="auto"/>
        <w:ind w:firstLine="643"/>
        <w:jc w:val="center"/>
        <w:outlineLvl w:val="0"/>
        <w:rPr>
          <w:rFonts w:hint="eastAsia"/>
          <w:b/>
          <w:color w:val="auto"/>
          <w:sz w:val="32"/>
          <w:szCs w:val="32"/>
          <w:highlight w:val="none"/>
        </w:rPr>
      </w:pPr>
    </w:p>
    <w:p w14:paraId="1C623AD6">
      <w:pPr>
        <w:spacing w:line="360" w:lineRule="auto"/>
        <w:ind w:firstLine="643"/>
        <w:jc w:val="center"/>
        <w:outlineLvl w:val="0"/>
        <w:rPr>
          <w:rFonts w:hint="eastAsia"/>
          <w:b/>
          <w:color w:val="auto"/>
          <w:sz w:val="32"/>
          <w:szCs w:val="32"/>
          <w:highlight w:val="none"/>
        </w:rPr>
      </w:pPr>
    </w:p>
    <w:p w14:paraId="3E3DF478">
      <w:pPr>
        <w:spacing w:line="360" w:lineRule="auto"/>
        <w:jc w:val="both"/>
        <w:outlineLvl w:val="0"/>
        <w:rPr>
          <w:rFonts w:hint="eastAsia"/>
          <w:b/>
          <w:color w:val="auto"/>
          <w:sz w:val="32"/>
          <w:szCs w:val="32"/>
          <w:highlight w:val="none"/>
        </w:rPr>
      </w:pPr>
    </w:p>
    <w:p w14:paraId="73866664">
      <w:pPr>
        <w:spacing w:line="360" w:lineRule="auto"/>
        <w:ind w:firstLine="643"/>
        <w:jc w:val="center"/>
        <w:outlineLvl w:val="0"/>
        <w:rPr>
          <w:b/>
          <w:color w:val="auto"/>
          <w:sz w:val="32"/>
          <w:szCs w:val="32"/>
          <w:highlight w:val="none"/>
        </w:rPr>
      </w:pPr>
      <w:r>
        <w:rPr>
          <w:rFonts w:hint="eastAsia"/>
          <w:b/>
          <w:color w:val="auto"/>
          <w:sz w:val="32"/>
          <w:szCs w:val="32"/>
          <w:highlight w:val="none"/>
        </w:rPr>
        <w:t>第一部分 协议书</w:t>
      </w:r>
      <w:bookmarkEnd w:id="693"/>
    </w:p>
    <w:p w14:paraId="376B4C37">
      <w:pPr>
        <w:spacing w:line="360" w:lineRule="auto"/>
        <w:ind w:firstLine="480" w:firstLineChars="20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委托人（全称）：</w:t>
      </w:r>
      <w:r>
        <w:rPr>
          <w:rFonts w:hint="eastAsia" w:asciiTheme="minorEastAsia" w:hAnsiTheme="minorEastAsia"/>
          <w:color w:val="auto"/>
          <w:sz w:val="24"/>
          <w:szCs w:val="24"/>
          <w:highlight w:val="none"/>
          <w:u w:val="single"/>
        </w:rPr>
        <w:t xml:space="preserve">                     </w:t>
      </w:r>
    </w:p>
    <w:p w14:paraId="4B629E06">
      <w:pPr>
        <w:spacing w:line="360" w:lineRule="auto"/>
        <w:ind w:firstLine="480" w:firstLineChars="200"/>
        <w:jc w:val="left"/>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咨询人（全称）：</w:t>
      </w:r>
      <w:r>
        <w:rPr>
          <w:rFonts w:hint="eastAsia" w:asciiTheme="minorEastAsia" w:hAnsiTheme="minorEastAsia"/>
          <w:color w:val="auto"/>
          <w:sz w:val="24"/>
          <w:szCs w:val="24"/>
          <w:highlight w:val="none"/>
          <w:u w:val="single"/>
        </w:rPr>
        <w:t xml:space="preserve">                     </w:t>
      </w:r>
    </w:p>
    <w:p w14:paraId="3E5D510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根据《中华人民共和国民法典》及其他有关法律、法规，遵循平等、自愿、公平和诚实信用的原则，双方就下述建设工程委托造价咨询与其他服务事项协商一致，订立本合同。</w:t>
      </w:r>
    </w:p>
    <w:p w14:paraId="19E2A4B4">
      <w:pPr>
        <w:spacing w:line="360" w:lineRule="auto"/>
        <w:ind w:firstLine="480" w:firstLineChars="200"/>
        <w:outlineLvl w:val="0"/>
        <w:rPr>
          <w:rFonts w:asciiTheme="minorEastAsia" w:hAnsiTheme="minorEastAsia"/>
          <w:color w:val="auto"/>
          <w:sz w:val="24"/>
          <w:szCs w:val="24"/>
          <w:highlight w:val="none"/>
        </w:rPr>
      </w:pPr>
      <w:bookmarkStart w:id="694" w:name="_Toc76398631"/>
      <w:r>
        <w:rPr>
          <w:rFonts w:hint="eastAsia" w:asciiTheme="minorEastAsia" w:hAnsiTheme="minorEastAsia"/>
          <w:color w:val="auto"/>
          <w:sz w:val="24"/>
          <w:szCs w:val="24"/>
          <w:highlight w:val="none"/>
        </w:rPr>
        <w:t>一、工程概况</w:t>
      </w:r>
      <w:bookmarkEnd w:id="694"/>
    </w:p>
    <w:p w14:paraId="1F81BE1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1.工程名称：</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 xml:space="preserve">     </w:t>
      </w:r>
    </w:p>
    <w:p w14:paraId="1AD3E14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2.工程地点：</w:t>
      </w:r>
      <w:r>
        <w:rPr>
          <w:rFonts w:hint="eastAsia" w:asciiTheme="minorEastAsia" w:hAnsiTheme="minorEastAsia"/>
          <w:color w:val="auto"/>
          <w:sz w:val="24"/>
          <w:szCs w:val="24"/>
          <w:highlight w:val="none"/>
          <w:u w:val="single"/>
        </w:rPr>
        <w:t xml:space="preserve">                     </w:t>
      </w:r>
      <w:r>
        <w:rPr>
          <w:rFonts w:hint="eastAsia" w:ascii="宋体" w:hAnsi="宋体"/>
          <w:snapToGrid w:val="0"/>
          <w:color w:val="auto"/>
          <w:kern w:val="0"/>
          <w:sz w:val="24"/>
          <w:highlight w:val="none"/>
        </w:rPr>
        <w:t xml:space="preserve">                         </w:t>
      </w:r>
    </w:p>
    <w:p w14:paraId="7A06AB64">
      <w:pPr>
        <w:adjustRightInd w:val="0"/>
        <w:snapToGrid w:val="0"/>
        <w:spacing w:line="360" w:lineRule="auto"/>
        <w:ind w:firstLine="475" w:firstLineChars="198"/>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3.工程规模：</w:t>
      </w:r>
      <w:r>
        <w:rPr>
          <w:rFonts w:hint="eastAsia" w:asciiTheme="minorEastAsia" w:hAnsiTheme="minorEastAsia"/>
          <w:color w:val="auto"/>
          <w:sz w:val="24"/>
          <w:szCs w:val="24"/>
          <w:highlight w:val="none"/>
          <w:u w:val="single"/>
        </w:rPr>
        <w:t xml:space="preserve">                     </w:t>
      </w:r>
      <w:r>
        <w:rPr>
          <w:rFonts w:hint="eastAsia" w:ascii="宋体" w:hAnsi="宋体"/>
          <w:snapToGrid w:val="0"/>
          <w:color w:val="auto"/>
          <w:kern w:val="0"/>
          <w:sz w:val="24"/>
          <w:highlight w:val="none"/>
        </w:rPr>
        <w:t xml:space="preserve">                          。</w:t>
      </w:r>
    </w:p>
    <w:p w14:paraId="1E01F40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4.投资金额：</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万元。</w:t>
      </w:r>
    </w:p>
    <w:p w14:paraId="364A696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5.资金来源：</w:t>
      </w:r>
      <w:r>
        <w:rPr>
          <w:rFonts w:hint="eastAsia" w:asciiTheme="minorEastAsia" w:hAnsiTheme="minorEastAsia"/>
          <w:color w:val="auto"/>
          <w:sz w:val="24"/>
          <w:szCs w:val="24"/>
          <w:highlight w:val="none"/>
          <w:u w:val="single"/>
        </w:rPr>
        <w:t xml:space="preserve">                     </w:t>
      </w:r>
    </w:p>
    <w:p w14:paraId="5935158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6.建设工期或周期：</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日历天。</w:t>
      </w:r>
    </w:p>
    <w:p w14:paraId="048910C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7.其他：</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70B06F80">
      <w:pPr>
        <w:spacing w:line="360" w:lineRule="auto"/>
        <w:ind w:firstLine="480" w:firstLineChars="200"/>
        <w:outlineLvl w:val="0"/>
        <w:rPr>
          <w:rFonts w:asciiTheme="minorEastAsia" w:hAnsiTheme="minorEastAsia"/>
          <w:color w:val="auto"/>
          <w:sz w:val="24"/>
          <w:szCs w:val="24"/>
          <w:highlight w:val="none"/>
        </w:rPr>
      </w:pPr>
      <w:bookmarkStart w:id="695" w:name="_Toc76398632"/>
      <w:r>
        <w:rPr>
          <w:rFonts w:hint="eastAsia" w:asciiTheme="minorEastAsia" w:hAnsiTheme="minorEastAsia"/>
          <w:color w:val="auto"/>
          <w:sz w:val="24"/>
          <w:szCs w:val="24"/>
          <w:highlight w:val="none"/>
        </w:rPr>
        <w:t>二、服务范围及工作内容</w:t>
      </w:r>
      <w:bookmarkEnd w:id="695"/>
    </w:p>
    <w:p w14:paraId="61EB1EB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双方约定的服务范围及工作内容：</w:t>
      </w:r>
      <w:r>
        <w:rPr>
          <w:rFonts w:hint="eastAsia" w:asciiTheme="minorEastAsia" w:hAnsiTheme="minorEastAsia"/>
          <w:color w:val="auto"/>
          <w:sz w:val="24"/>
          <w:szCs w:val="24"/>
          <w:highlight w:val="none"/>
          <w:u w:val="single"/>
        </w:rPr>
        <w:t>根据委托项目有关资料，依据国家及行业现行规定、规范、设计图纸、合同等资料文件完成本项目的工程量清单及组价编制。内容包括但不限于完成：</w:t>
      </w:r>
    </w:p>
    <w:p w14:paraId="2A2BCA34">
      <w:pPr>
        <w:spacing w:line="360" w:lineRule="auto"/>
        <w:ind w:firstLine="480" w:firstLineChars="200"/>
        <w:outlineLvl w:val="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A:工程量清单及组价编制：</w:t>
      </w:r>
      <w:r>
        <w:rPr>
          <w:rFonts w:hint="eastAsia" w:asciiTheme="minorEastAsia" w:hAnsiTheme="minorEastAsia"/>
          <w:color w:val="auto"/>
          <w:sz w:val="24"/>
          <w:szCs w:val="24"/>
          <w:highlight w:val="none"/>
          <w:u w:val="single"/>
        </w:rPr>
        <w:t>本工程的工程量清单及组价编制并核对成果；建筑安装材料设备认（审）价、施工方案的经济评价（如有时）</w:t>
      </w:r>
      <w:r>
        <w:rPr>
          <w:rFonts w:asciiTheme="minorEastAsia" w:hAnsiTheme="minorEastAsia"/>
          <w:color w:val="auto"/>
          <w:sz w:val="24"/>
          <w:szCs w:val="24"/>
          <w:highlight w:val="none"/>
          <w:u w:val="single"/>
        </w:rPr>
        <w:t>;</w:t>
      </w:r>
      <w:r>
        <w:rPr>
          <w:rFonts w:hint="eastAsia" w:asciiTheme="minorEastAsia" w:hAnsiTheme="minorEastAsia"/>
          <w:color w:val="auto"/>
          <w:sz w:val="24"/>
          <w:szCs w:val="24"/>
          <w:highlight w:val="none"/>
          <w:u w:val="single"/>
        </w:rPr>
        <w:t>配合招标采购；优化设计方案和二次设计后预算编制（审核或评审）；设计图纸的优化建议。接受造价方面的口头咨询和委托人要求咨询的其它事项。</w:t>
      </w:r>
    </w:p>
    <w:p w14:paraId="145583C8">
      <w:pPr>
        <w:spacing w:line="360" w:lineRule="auto"/>
        <w:ind w:firstLine="480" w:firstLineChars="200"/>
        <w:outlineLvl w:val="0"/>
        <w:rPr>
          <w:rFonts w:asciiTheme="minorEastAsia" w:hAnsiTheme="minorEastAsia"/>
          <w:color w:val="auto"/>
          <w:sz w:val="24"/>
          <w:szCs w:val="24"/>
          <w:highlight w:val="none"/>
          <w:u w:val="single"/>
        </w:rPr>
      </w:pPr>
      <w:r>
        <w:rPr>
          <w:rFonts w:asciiTheme="minorEastAsia" w:hAnsiTheme="minorEastAsia"/>
          <w:color w:val="auto"/>
          <w:sz w:val="24"/>
          <w:szCs w:val="24"/>
          <w:highlight w:val="none"/>
          <w:u w:val="single"/>
        </w:rPr>
        <w:t>咨询服务单位应熟悉并按照区城建集团相关制度执行，包含但不限于《重庆市南岸区城市建设发展（集团）有限公司认质核价实施细则》、《工程变更管理办法》、《预算编制（审核）工作须知》、《施工阶段全过程咨询工作须知》</w:t>
      </w:r>
      <w:r>
        <w:rPr>
          <w:rFonts w:hint="eastAsia" w:asciiTheme="minorEastAsia" w:hAnsiTheme="minorEastAsia"/>
          <w:color w:val="auto"/>
          <w:sz w:val="24"/>
          <w:szCs w:val="24"/>
          <w:highlight w:val="none"/>
          <w:u w:val="single"/>
        </w:rPr>
        <w:t>。</w:t>
      </w:r>
    </w:p>
    <w:p w14:paraId="1794EC59">
      <w:pPr>
        <w:spacing w:line="360" w:lineRule="auto"/>
        <w:ind w:firstLine="482" w:firstLineChars="200"/>
        <w:outlineLvl w:val="0"/>
        <w:rPr>
          <w:b/>
          <w:bCs/>
          <w:color w:val="auto"/>
          <w:highlight w:val="none"/>
        </w:rPr>
      </w:pPr>
      <w:r>
        <w:rPr>
          <w:rFonts w:asciiTheme="minorEastAsia" w:hAnsiTheme="minorEastAsia"/>
          <w:b/>
          <w:bCs/>
          <w:color w:val="auto"/>
          <w:sz w:val="24"/>
          <w:szCs w:val="24"/>
          <w:highlight w:val="none"/>
          <w:u w:val="single"/>
        </w:rPr>
        <w:t>注：若需委托人给咨询人提供工作条件，产生的费用由咨询人承担，委托人与第三方另有约定按照约定执行。</w:t>
      </w:r>
    </w:p>
    <w:p w14:paraId="7B8559F0">
      <w:pPr>
        <w:spacing w:line="360" w:lineRule="auto"/>
        <w:ind w:firstLine="480" w:firstLineChars="200"/>
        <w:outlineLvl w:val="0"/>
        <w:rPr>
          <w:rFonts w:asciiTheme="minorEastAsia" w:hAnsiTheme="minorEastAsia"/>
          <w:color w:val="auto"/>
          <w:sz w:val="24"/>
          <w:szCs w:val="24"/>
          <w:highlight w:val="none"/>
        </w:rPr>
      </w:pPr>
      <w:bookmarkStart w:id="696" w:name="_Toc76398633"/>
      <w:r>
        <w:rPr>
          <w:rFonts w:hint="eastAsia" w:asciiTheme="minorEastAsia" w:hAnsiTheme="minorEastAsia"/>
          <w:color w:val="auto"/>
          <w:sz w:val="24"/>
          <w:szCs w:val="24"/>
          <w:highlight w:val="none"/>
        </w:rPr>
        <w:t>三、服务期限</w:t>
      </w:r>
      <w:bookmarkEnd w:id="696"/>
    </w:p>
    <w:p w14:paraId="34F73FB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本合同约定的建设工程造价咨询服务自</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年</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月</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日开始实施，暂定至</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年</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月</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日终结。</w:t>
      </w:r>
    </w:p>
    <w:p w14:paraId="493CF458">
      <w:pPr>
        <w:spacing w:line="360" w:lineRule="auto"/>
        <w:ind w:firstLine="480" w:firstLineChars="200"/>
        <w:outlineLvl w:val="0"/>
        <w:rPr>
          <w:rFonts w:asciiTheme="minorEastAsia" w:hAnsiTheme="minorEastAsia"/>
          <w:color w:val="auto"/>
          <w:sz w:val="24"/>
          <w:szCs w:val="24"/>
          <w:highlight w:val="none"/>
        </w:rPr>
      </w:pPr>
      <w:bookmarkStart w:id="697" w:name="_Toc76398634"/>
      <w:r>
        <w:rPr>
          <w:rFonts w:hint="eastAsia" w:asciiTheme="minorEastAsia" w:hAnsiTheme="minorEastAsia"/>
          <w:color w:val="auto"/>
          <w:sz w:val="24"/>
          <w:szCs w:val="24"/>
          <w:highlight w:val="none"/>
        </w:rPr>
        <w:t>四、质量标准</w:t>
      </w:r>
      <w:bookmarkEnd w:id="697"/>
    </w:p>
    <w:p w14:paraId="22C072A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工程造价咨询成果文件应符合：</w:t>
      </w:r>
      <w:r>
        <w:rPr>
          <w:rFonts w:hint="eastAsia" w:asciiTheme="minorEastAsia" w:hAnsiTheme="minorEastAsia"/>
          <w:color w:val="auto"/>
          <w:sz w:val="24"/>
          <w:szCs w:val="24"/>
          <w:highlight w:val="none"/>
          <w:u w:val="single"/>
        </w:rPr>
        <w:t>《建设工程造价咨询成果文件质量标准》</w:t>
      </w:r>
      <w:r>
        <w:rPr>
          <w:rFonts w:asciiTheme="minorEastAsia" w:hAnsiTheme="minorEastAsia"/>
          <w:color w:val="auto"/>
          <w:sz w:val="24"/>
          <w:szCs w:val="24"/>
          <w:highlight w:val="none"/>
          <w:u w:val="single"/>
        </w:rPr>
        <w:t>CECA/GC7-2012</w:t>
      </w:r>
      <w:r>
        <w:rPr>
          <w:rFonts w:hint="eastAsia" w:asciiTheme="minorEastAsia" w:hAnsiTheme="minorEastAsia"/>
          <w:color w:val="auto"/>
          <w:sz w:val="24"/>
          <w:szCs w:val="24"/>
          <w:highlight w:val="none"/>
          <w:u w:val="single"/>
        </w:rPr>
        <w:t>；《建设工程招标控制价编审规程》</w:t>
      </w:r>
      <w:r>
        <w:rPr>
          <w:rFonts w:asciiTheme="minorEastAsia" w:hAnsiTheme="minorEastAsia"/>
          <w:color w:val="auto"/>
          <w:sz w:val="24"/>
          <w:szCs w:val="24"/>
          <w:highlight w:val="none"/>
          <w:u w:val="single"/>
        </w:rPr>
        <w:t>CECA/GC6-2011；《建设项目施工图预算编审规程》CECA／GC 5—2010</w:t>
      </w:r>
      <w:r>
        <w:rPr>
          <w:rFonts w:hint="eastAsia" w:asciiTheme="minorEastAsia" w:hAnsiTheme="minorEastAsia"/>
          <w:color w:val="auto"/>
          <w:sz w:val="24"/>
          <w:szCs w:val="24"/>
          <w:highlight w:val="none"/>
          <w:u w:val="single"/>
        </w:rPr>
        <w:t>文件、渝建发〔</w:t>
      </w:r>
      <w:r>
        <w:rPr>
          <w:rFonts w:asciiTheme="minorEastAsia" w:hAnsiTheme="minorEastAsia"/>
          <w:color w:val="auto"/>
          <w:sz w:val="24"/>
          <w:szCs w:val="24"/>
          <w:highlight w:val="none"/>
          <w:u w:val="single"/>
        </w:rPr>
        <w:t>2016〕67号《重庆市国有资金投资建设工程施工招标控制价编制与确定程序的规定》</w:t>
      </w:r>
      <w:r>
        <w:rPr>
          <w:rFonts w:hint="eastAsia" w:asciiTheme="minorEastAsia" w:hAnsiTheme="minorEastAsia"/>
          <w:color w:val="auto"/>
          <w:sz w:val="24"/>
          <w:szCs w:val="24"/>
          <w:highlight w:val="none"/>
          <w:u w:val="single"/>
        </w:rPr>
        <w:t>规定及委托人的要求。</w:t>
      </w:r>
    </w:p>
    <w:p w14:paraId="4C10072C">
      <w:pPr>
        <w:spacing w:line="360" w:lineRule="auto"/>
        <w:ind w:firstLine="480" w:firstLineChars="200"/>
        <w:outlineLvl w:val="0"/>
        <w:rPr>
          <w:rFonts w:asciiTheme="minorEastAsia" w:hAnsiTheme="minorEastAsia"/>
          <w:color w:val="auto"/>
          <w:sz w:val="24"/>
          <w:szCs w:val="24"/>
          <w:highlight w:val="none"/>
        </w:rPr>
      </w:pPr>
      <w:bookmarkStart w:id="698" w:name="_Toc76398635"/>
      <w:r>
        <w:rPr>
          <w:rFonts w:hint="eastAsia" w:asciiTheme="minorEastAsia" w:hAnsiTheme="minorEastAsia"/>
          <w:color w:val="auto"/>
          <w:sz w:val="24"/>
          <w:szCs w:val="24"/>
          <w:highlight w:val="none"/>
        </w:rPr>
        <w:t>五、酬金或计取方式</w:t>
      </w:r>
      <w:bookmarkEnd w:id="698"/>
    </w:p>
    <w:p w14:paraId="4C396D1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1.签约酬金：</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元（大写：          ）；中标费率/签约费率：     %，税率：     %。</w:t>
      </w:r>
    </w:p>
    <w:p w14:paraId="0197E9D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2.计取方式：</w:t>
      </w:r>
      <w:r>
        <w:rPr>
          <w:rFonts w:hint="eastAsia" w:asciiTheme="minorEastAsia" w:hAnsiTheme="minorEastAsia"/>
          <w:color w:val="auto"/>
          <w:sz w:val="24"/>
          <w:szCs w:val="24"/>
          <w:highlight w:val="none"/>
          <w:u w:val="single"/>
        </w:rPr>
        <w:t>固定酬金/固定费率</w:t>
      </w:r>
      <w:r>
        <w:rPr>
          <w:rFonts w:hint="eastAsia" w:asciiTheme="minorEastAsia" w:hAnsiTheme="minorEastAsia"/>
          <w:color w:val="auto"/>
          <w:sz w:val="24"/>
          <w:szCs w:val="24"/>
          <w:highlight w:val="none"/>
        </w:rPr>
        <w:t>。</w:t>
      </w:r>
    </w:p>
    <w:p w14:paraId="6FC72336">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u w:val="single"/>
        </w:rPr>
        <w:t xml:space="preserve"> （本条固定费率合同使用）</w:t>
      </w:r>
      <w:r>
        <w:rPr>
          <w:rFonts w:asciiTheme="minorEastAsia" w:hAnsiTheme="minorEastAsia"/>
          <w:color w:val="auto"/>
          <w:sz w:val="24"/>
          <w:szCs w:val="24"/>
          <w:highlight w:val="none"/>
        </w:rPr>
        <w:t>完成本合同</w:t>
      </w:r>
      <w:r>
        <w:rPr>
          <w:rFonts w:hint="eastAsia" w:asciiTheme="minorEastAsia" w:hAnsiTheme="minorEastAsia"/>
          <w:color w:val="auto"/>
          <w:sz w:val="24"/>
          <w:szCs w:val="24"/>
          <w:highlight w:val="none"/>
        </w:rPr>
        <w:t>服务范围及工作内容，</w:t>
      </w:r>
      <w:r>
        <w:rPr>
          <w:rFonts w:asciiTheme="minorEastAsia" w:hAnsiTheme="minorEastAsia"/>
          <w:color w:val="auto"/>
          <w:sz w:val="24"/>
          <w:szCs w:val="24"/>
          <w:highlight w:val="none"/>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auto"/>
          <w:sz w:val="24"/>
          <w:szCs w:val="24"/>
          <w:highlight w:val="none"/>
        </w:rPr>
        <w:t>签约</w:t>
      </w:r>
      <w:r>
        <w:rPr>
          <w:rFonts w:asciiTheme="minorEastAsia" w:hAnsiTheme="minorEastAsia"/>
          <w:color w:val="auto"/>
          <w:sz w:val="24"/>
          <w:szCs w:val="24"/>
          <w:highlight w:val="none"/>
        </w:rPr>
        <w:t>金额</w:t>
      </w:r>
      <w:r>
        <w:rPr>
          <w:rFonts w:hint="eastAsia" w:asciiTheme="minorEastAsia" w:hAnsiTheme="minorEastAsia"/>
          <w:color w:val="auto"/>
          <w:sz w:val="24"/>
          <w:szCs w:val="24"/>
          <w:highlight w:val="none"/>
        </w:rPr>
        <w:t>。</w:t>
      </w:r>
    </w:p>
    <w:p w14:paraId="06CFA589">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3.1工程量清单及组价</w:t>
      </w:r>
      <w:r>
        <w:rPr>
          <w:rFonts w:hint="eastAsia" w:asciiTheme="minorEastAsia" w:hAnsiTheme="minorEastAsia" w:eastAsiaTheme="minorEastAsia"/>
          <w:color w:val="auto"/>
          <w:sz w:val="24"/>
          <w:highlight w:val="none"/>
          <w:lang w:val="en-US" w:eastAsia="zh-CN"/>
        </w:rPr>
        <w:t>编制</w:t>
      </w:r>
      <w:r>
        <w:rPr>
          <w:rFonts w:hint="eastAsia" w:asciiTheme="minorEastAsia" w:hAnsiTheme="minorEastAsia" w:eastAsiaTheme="minorEastAsia"/>
          <w:color w:val="auto"/>
          <w:sz w:val="24"/>
          <w:highlight w:val="none"/>
        </w:rPr>
        <w:t>：</w:t>
      </w:r>
      <w:r>
        <w:rPr>
          <w:rFonts w:hint="eastAsia" w:asciiTheme="minorEastAsia" w:hAnsiTheme="minorEastAsia"/>
          <w:color w:val="auto"/>
          <w:sz w:val="24"/>
          <w:highlight w:val="none"/>
        </w:rPr>
        <w:t>以预算审定的建安工程费金额为基数</w:t>
      </w:r>
      <w:r>
        <w:rPr>
          <w:rFonts w:hint="eastAsia" w:asciiTheme="minorEastAsia" w:hAnsiTheme="minorEastAsia" w:eastAsiaTheme="minorEastAsia"/>
          <w:color w:val="auto"/>
          <w:sz w:val="24"/>
          <w:highlight w:val="none"/>
        </w:rPr>
        <w:t>乘以</w:t>
      </w:r>
      <w:r>
        <w:rPr>
          <w:rFonts w:hint="eastAsia" w:asciiTheme="minorEastAsia" w:hAnsiTheme="minorEastAsia"/>
          <w:color w:val="auto"/>
          <w:sz w:val="24"/>
          <w:highlight w:val="none"/>
        </w:rPr>
        <w:t>中标费率/签约费率</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，暂定金额为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p>
    <w:p w14:paraId="7C79AB39">
      <w:pPr>
        <w:spacing w:line="360" w:lineRule="auto"/>
        <w:ind w:firstLine="480" w:firstLineChars="200"/>
        <w:outlineLvl w:val="0"/>
        <w:rPr>
          <w:rFonts w:asciiTheme="minorEastAsia" w:hAnsiTheme="minorEastAsia"/>
          <w:color w:val="auto"/>
          <w:sz w:val="24"/>
          <w:szCs w:val="24"/>
          <w:highlight w:val="none"/>
        </w:rPr>
      </w:pPr>
      <w:bookmarkStart w:id="699" w:name="_Toc76398636"/>
      <w:r>
        <w:rPr>
          <w:rFonts w:hint="eastAsia" w:asciiTheme="minorEastAsia" w:hAnsiTheme="minorEastAsia"/>
          <w:color w:val="auto"/>
          <w:sz w:val="24"/>
          <w:szCs w:val="24"/>
          <w:highlight w:val="none"/>
        </w:rPr>
        <w:t>六、合同文件的构成本协议书与下列文件一起构成合同文件:</w:t>
      </w:r>
      <w:bookmarkEnd w:id="699"/>
    </w:p>
    <w:p w14:paraId="13EFFA7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1.本合同协议书；</w:t>
      </w:r>
    </w:p>
    <w:p w14:paraId="58720A8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2.招标文件或比选文件（包括但不限于本工程的招标或比选文件、图纸、其他技术资料及招标人发出的对招标或比选文件所作的澄清、修改、补遗等资料）（若有）；</w:t>
      </w:r>
    </w:p>
    <w:p w14:paraId="14DCEE8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3.中标通知书或委托书（如果有）；</w:t>
      </w:r>
    </w:p>
    <w:p w14:paraId="2B10871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4.投标函及投标函附录或造价咨询服务建议书（如果有）；</w:t>
      </w:r>
    </w:p>
    <w:p w14:paraId="72B4E09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5.专用条件及附录；</w:t>
      </w:r>
    </w:p>
    <w:p w14:paraId="1862B67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6.通用条件；</w:t>
      </w:r>
    </w:p>
    <w:p w14:paraId="2B5AE3B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7.投标文件（如果有）</w:t>
      </w:r>
    </w:p>
    <w:p w14:paraId="2DA6B6F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8.其他合同文件。</w:t>
      </w:r>
    </w:p>
    <w:p w14:paraId="2C55922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5C12895D">
      <w:pPr>
        <w:spacing w:line="360" w:lineRule="auto"/>
        <w:ind w:firstLine="480" w:firstLineChars="200"/>
        <w:outlineLvl w:val="0"/>
        <w:rPr>
          <w:rFonts w:asciiTheme="minorEastAsia" w:hAnsiTheme="minorEastAsia"/>
          <w:color w:val="auto"/>
          <w:sz w:val="24"/>
          <w:szCs w:val="24"/>
          <w:highlight w:val="none"/>
        </w:rPr>
      </w:pPr>
      <w:bookmarkStart w:id="700" w:name="_Toc76398637"/>
      <w:r>
        <w:rPr>
          <w:rFonts w:hint="eastAsia" w:asciiTheme="minorEastAsia" w:hAnsiTheme="minorEastAsia"/>
          <w:color w:val="auto"/>
          <w:sz w:val="24"/>
          <w:szCs w:val="24"/>
          <w:highlight w:val="none"/>
        </w:rPr>
        <w:t>七、词语定义</w:t>
      </w:r>
      <w:bookmarkEnd w:id="700"/>
    </w:p>
    <w:p w14:paraId="70C4FD6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协议书中相关词语的含义与通用条件中的定义与解释相同。</w:t>
      </w:r>
    </w:p>
    <w:p w14:paraId="28AE5CF8">
      <w:pPr>
        <w:spacing w:line="360" w:lineRule="auto"/>
        <w:ind w:firstLine="480" w:firstLineChars="200"/>
        <w:outlineLvl w:val="0"/>
        <w:rPr>
          <w:rFonts w:asciiTheme="minorEastAsia" w:hAnsiTheme="minorEastAsia"/>
          <w:color w:val="auto"/>
          <w:sz w:val="24"/>
          <w:szCs w:val="24"/>
          <w:highlight w:val="none"/>
        </w:rPr>
      </w:pPr>
      <w:bookmarkStart w:id="701" w:name="_Toc76398638"/>
      <w:r>
        <w:rPr>
          <w:rFonts w:hint="eastAsia" w:asciiTheme="minorEastAsia" w:hAnsiTheme="minorEastAsia"/>
          <w:color w:val="auto"/>
          <w:sz w:val="24"/>
          <w:szCs w:val="24"/>
          <w:highlight w:val="none"/>
        </w:rPr>
        <w:t>八、其他</w:t>
      </w:r>
    </w:p>
    <w:p w14:paraId="01ED262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2187EBA2">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九合同订立</w:t>
      </w:r>
      <w:bookmarkEnd w:id="701"/>
    </w:p>
    <w:p w14:paraId="5E84A15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订立地点：</w:t>
      </w:r>
      <w:r>
        <w:rPr>
          <w:rFonts w:hint="eastAsia" w:asciiTheme="minorEastAsia" w:hAnsiTheme="minorEastAsia"/>
          <w:color w:val="auto"/>
          <w:sz w:val="24"/>
          <w:szCs w:val="24"/>
          <w:highlight w:val="none"/>
          <w:u w:val="single"/>
        </w:rPr>
        <w:t xml:space="preserve"> 重庆市南岸区行政服务中心B区3号楼 </w:t>
      </w:r>
      <w:r>
        <w:rPr>
          <w:rFonts w:hint="eastAsia" w:asciiTheme="minorEastAsia" w:hAnsiTheme="minorEastAsia"/>
          <w:color w:val="auto"/>
          <w:sz w:val="24"/>
          <w:szCs w:val="24"/>
          <w:highlight w:val="none"/>
        </w:rPr>
        <w:t>。</w:t>
      </w:r>
    </w:p>
    <w:p w14:paraId="450118F1">
      <w:pPr>
        <w:spacing w:line="360" w:lineRule="auto"/>
        <w:ind w:firstLine="480" w:firstLineChars="200"/>
        <w:outlineLvl w:val="0"/>
        <w:rPr>
          <w:rFonts w:asciiTheme="minorEastAsia" w:hAnsiTheme="minorEastAsia"/>
          <w:color w:val="auto"/>
          <w:sz w:val="24"/>
          <w:szCs w:val="24"/>
          <w:highlight w:val="none"/>
        </w:rPr>
      </w:pPr>
      <w:bookmarkStart w:id="702" w:name="_Toc76398639"/>
      <w:r>
        <w:rPr>
          <w:rFonts w:hint="eastAsia" w:asciiTheme="minorEastAsia" w:hAnsiTheme="minorEastAsia"/>
          <w:color w:val="auto"/>
          <w:sz w:val="24"/>
          <w:szCs w:val="24"/>
          <w:highlight w:val="none"/>
        </w:rPr>
        <w:t>十、合同生效</w:t>
      </w:r>
      <w:bookmarkEnd w:id="702"/>
    </w:p>
    <w:p w14:paraId="5F6AFFE4">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本合同自</w:t>
      </w:r>
      <w:r>
        <w:rPr>
          <w:rFonts w:hint="eastAsia" w:asciiTheme="minorEastAsia" w:hAnsiTheme="minorEastAsia"/>
          <w:color w:val="auto"/>
          <w:sz w:val="24"/>
          <w:szCs w:val="24"/>
          <w:highlight w:val="none"/>
          <w:u w:val="single"/>
        </w:rPr>
        <w:t>盖章完成之日起</w:t>
      </w:r>
      <w:r>
        <w:rPr>
          <w:rFonts w:hint="eastAsia" w:asciiTheme="minorEastAsia" w:hAnsiTheme="minorEastAsia"/>
          <w:color w:val="auto"/>
          <w:sz w:val="24"/>
          <w:szCs w:val="24"/>
          <w:highlight w:val="none"/>
        </w:rPr>
        <w:t>生效。</w:t>
      </w:r>
    </w:p>
    <w:p w14:paraId="363DE4AD">
      <w:pPr>
        <w:spacing w:line="360" w:lineRule="auto"/>
        <w:ind w:firstLine="480" w:firstLineChars="200"/>
        <w:outlineLvl w:val="0"/>
        <w:rPr>
          <w:rFonts w:asciiTheme="minorEastAsia" w:hAnsiTheme="minorEastAsia"/>
          <w:color w:val="auto"/>
          <w:sz w:val="24"/>
          <w:szCs w:val="24"/>
          <w:highlight w:val="none"/>
        </w:rPr>
      </w:pPr>
      <w:bookmarkStart w:id="703" w:name="_Toc76398640"/>
      <w:r>
        <w:rPr>
          <w:rFonts w:hint="eastAsia" w:asciiTheme="minorEastAsia" w:hAnsiTheme="minorEastAsia"/>
          <w:color w:val="auto"/>
          <w:sz w:val="24"/>
          <w:szCs w:val="24"/>
          <w:highlight w:val="none"/>
        </w:rPr>
        <w:t>十、合同份数</w:t>
      </w:r>
      <w:bookmarkEnd w:id="703"/>
    </w:p>
    <w:p w14:paraId="085A63D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本合同一式</w:t>
      </w:r>
      <w:r>
        <w:rPr>
          <w:rFonts w:hint="eastAsia" w:asciiTheme="minorEastAsia" w:hAnsiTheme="minorEastAsia"/>
          <w:color w:val="auto"/>
          <w:sz w:val="24"/>
          <w:szCs w:val="24"/>
          <w:highlight w:val="none"/>
          <w:u w:val="single"/>
        </w:rPr>
        <w:t>陆</w:t>
      </w:r>
      <w:r>
        <w:rPr>
          <w:rFonts w:hint="eastAsia" w:asciiTheme="minorEastAsia" w:hAnsiTheme="minorEastAsia"/>
          <w:color w:val="auto"/>
          <w:sz w:val="24"/>
          <w:szCs w:val="24"/>
          <w:highlight w:val="none"/>
        </w:rPr>
        <w:t>份，具有同等法律效力，双方各持叁份。</w:t>
      </w:r>
      <w:r>
        <w:rPr>
          <w:rFonts w:hint="eastAsia" w:asciiTheme="minorEastAsia" w:hAnsiTheme="minorEastAsia"/>
          <w:color w:val="auto"/>
          <w:sz w:val="24"/>
          <w:szCs w:val="24"/>
          <w:highlight w:val="none"/>
          <w:lang w:val="zh-CN"/>
        </w:rPr>
        <w:t>本合同正文若出现手写内容，手写内容未经双方盖章确认则无效。本合同载明的</w:t>
      </w:r>
      <w:r>
        <w:rPr>
          <w:rFonts w:hint="eastAsia" w:asciiTheme="minorEastAsia" w:hAnsiTheme="minorEastAsia"/>
          <w:color w:val="auto"/>
          <w:sz w:val="24"/>
          <w:szCs w:val="24"/>
          <w:highlight w:val="none"/>
        </w:rPr>
        <w:t>委托代理人</w:t>
      </w:r>
      <w:r>
        <w:rPr>
          <w:rFonts w:hint="eastAsia" w:asciiTheme="minorEastAsia" w:hAnsiTheme="minorEastAsia"/>
          <w:color w:val="auto"/>
          <w:sz w:val="24"/>
          <w:szCs w:val="24"/>
          <w:highlight w:val="none"/>
          <w:lang w:val="zh-CN"/>
        </w:rPr>
        <w:t>未经书面授权，仅代表在本合同签名，其他单方承诺和认可内容无效。</w:t>
      </w:r>
    </w:p>
    <w:p w14:paraId="04F66368">
      <w:pPr>
        <w:spacing w:line="360" w:lineRule="auto"/>
        <w:ind w:left="5280" w:hanging="5280" w:hangingChars="2200"/>
        <w:rPr>
          <w:rFonts w:asciiTheme="minorEastAsia" w:hAnsiTheme="minorEastAsia"/>
          <w:color w:val="auto"/>
          <w:sz w:val="24"/>
          <w:szCs w:val="24"/>
          <w:highlight w:val="none"/>
        </w:rPr>
      </w:pPr>
    </w:p>
    <w:tbl>
      <w:tblPr>
        <w:tblStyle w:val="28"/>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436ED1DE">
        <w:tblPrEx>
          <w:tblCellMar>
            <w:top w:w="0" w:type="dxa"/>
            <w:left w:w="108" w:type="dxa"/>
            <w:bottom w:w="0" w:type="dxa"/>
            <w:right w:w="108" w:type="dxa"/>
          </w:tblCellMar>
        </w:tblPrEx>
        <w:trPr>
          <w:trHeight w:val="884" w:hRule="atLeast"/>
        </w:trPr>
        <w:tc>
          <w:tcPr>
            <w:tcW w:w="4752" w:type="dxa"/>
          </w:tcPr>
          <w:p w14:paraId="13F7A1E4">
            <w:pPr>
              <w:spacing w:line="560" w:lineRule="exact"/>
              <w:ind w:left="1010" w:hanging="1010" w:hangingChars="421"/>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甲</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方：</w:t>
            </w:r>
            <w:r>
              <w:rPr>
                <w:rFonts w:asciiTheme="minorEastAsia" w:hAnsiTheme="minorEastAsia"/>
                <w:color w:val="auto"/>
                <w:sz w:val="24"/>
                <w:szCs w:val="24"/>
                <w:highlight w:val="none"/>
              </w:rPr>
              <w:t xml:space="preserve"> </w:t>
            </w:r>
          </w:p>
        </w:tc>
        <w:tc>
          <w:tcPr>
            <w:tcW w:w="4599" w:type="dxa"/>
          </w:tcPr>
          <w:p w14:paraId="213C1D12">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乙</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方：</w:t>
            </w:r>
            <w:r>
              <w:rPr>
                <w:rFonts w:asciiTheme="minorEastAsia" w:hAnsiTheme="minorEastAsia"/>
                <w:color w:val="auto"/>
                <w:sz w:val="24"/>
                <w:szCs w:val="24"/>
                <w:highlight w:val="none"/>
              </w:rPr>
              <w:t xml:space="preserve"> </w:t>
            </w:r>
          </w:p>
        </w:tc>
      </w:tr>
      <w:tr w14:paraId="5C3DCE91">
        <w:tblPrEx>
          <w:tblCellMar>
            <w:top w:w="0" w:type="dxa"/>
            <w:left w:w="108" w:type="dxa"/>
            <w:bottom w:w="0" w:type="dxa"/>
            <w:right w:w="108" w:type="dxa"/>
          </w:tblCellMar>
        </w:tblPrEx>
        <w:tc>
          <w:tcPr>
            <w:tcW w:w="4752" w:type="dxa"/>
          </w:tcPr>
          <w:p w14:paraId="7BB772FA">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法定代表人：</w:t>
            </w:r>
          </w:p>
          <w:p w14:paraId="6085002E">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或</w:t>
            </w:r>
          </w:p>
          <w:p w14:paraId="455A5883">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委托代理人：</w:t>
            </w:r>
          </w:p>
        </w:tc>
        <w:tc>
          <w:tcPr>
            <w:tcW w:w="4599" w:type="dxa"/>
          </w:tcPr>
          <w:p w14:paraId="6D6DCDB3">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法定代表人：</w:t>
            </w:r>
          </w:p>
          <w:p w14:paraId="76AA2547">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或</w:t>
            </w:r>
          </w:p>
          <w:p w14:paraId="30256A6C">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委托代理人： </w:t>
            </w:r>
          </w:p>
        </w:tc>
      </w:tr>
      <w:tr w14:paraId="27BF7C0C">
        <w:tblPrEx>
          <w:tblCellMar>
            <w:top w:w="0" w:type="dxa"/>
            <w:left w:w="108" w:type="dxa"/>
            <w:bottom w:w="0" w:type="dxa"/>
            <w:right w:w="108" w:type="dxa"/>
          </w:tblCellMar>
        </w:tblPrEx>
        <w:trPr>
          <w:trHeight w:val="1834" w:hRule="atLeast"/>
        </w:trPr>
        <w:tc>
          <w:tcPr>
            <w:tcW w:w="4752" w:type="dxa"/>
            <w:vAlign w:val="center"/>
          </w:tcPr>
          <w:p w14:paraId="72F5433F">
            <w:pPr>
              <w:spacing w:line="560" w:lineRule="exact"/>
              <w:ind w:left="1000" w:hanging="1000" w:hangingChars="500"/>
              <w:rPr>
                <w:rFonts w:asciiTheme="minorEastAsia" w:hAnsiTheme="minorEastAsia"/>
                <w:color w:val="auto"/>
                <w:sz w:val="24"/>
                <w:szCs w:val="24"/>
                <w:highlight w:val="none"/>
              </w:rPr>
            </w:pPr>
            <w:r>
              <w:rPr>
                <w:rFonts w:hint="eastAsia" w:asciiTheme="minorEastAsia" w:hAnsiTheme="minorEastAsia"/>
                <w:color w:val="auto"/>
                <w:spacing w:val="-20"/>
                <w:sz w:val="24"/>
                <w:szCs w:val="24"/>
                <w:highlight w:val="none"/>
              </w:rPr>
              <w:t>统</w:t>
            </w:r>
            <w:r>
              <w:rPr>
                <w:rFonts w:hint="eastAsia" w:asciiTheme="minorEastAsia" w:hAnsiTheme="minorEastAsia"/>
                <w:color w:val="auto"/>
                <w:spacing w:val="-18"/>
                <w:sz w:val="24"/>
                <w:szCs w:val="24"/>
                <w:highlight w:val="none"/>
              </w:rPr>
              <w:t>一社会信用代码：</w:t>
            </w:r>
          </w:p>
        </w:tc>
        <w:tc>
          <w:tcPr>
            <w:tcW w:w="4599" w:type="dxa"/>
          </w:tcPr>
          <w:p w14:paraId="2D37C0EB">
            <w:pPr>
              <w:spacing w:before="156" w:beforeLines="50" w:line="560" w:lineRule="exact"/>
              <w:ind w:left="1000" w:hanging="1000" w:hangingChars="500"/>
              <w:jc w:val="left"/>
              <w:rPr>
                <w:rFonts w:asciiTheme="minorEastAsia" w:hAnsiTheme="minorEastAsia"/>
                <w:color w:val="auto"/>
                <w:sz w:val="24"/>
                <w:szCs w:val="24"/>
                <w:highlight w:val="none"/>
              </w:rPr>
            </w:pPr>
            <w:r>
              <w:rPr>
                <w:rFonts w:hint="eastAsia" w:asciiTheme="minorEastAsia" w:hAnsiTheme="minorEastAsia"/>
                <w:color w:val="auto"/>
                <w:spacing w:val="-20"/>
                <w:sz w:val="24"/>
                <w:szCs w:val="24"/>
                <w:highlight w:val="none"/>
              </w:rPr>
              <w:t>统</w:t>
            </w:r>
            <w:r>
              <w:rPr>
                <w:rFonts w:hint="eastAsia" w:asciiTheme="minorEastAsia" w:hAnsiTheme="minorEastAsia"/>
                <w:color w:val="auto"/>
                <w:spacing w:val="-18"/>
                <w:sz w:val="24"/>
                <w:szCs w:val="24"/>
                <w:highlight w:val="none"/>
              </w:rPr>
              <w:t>一社会信用代码：</w:t>
            </w:r>
          </w:p>
          <w:p w14:paraId="7B5C164D">
            <w:pPr>
              <w:spacing w:line="560" w:lineRule="exact"/>
              <w:ind w:left="1200" w:hanging="1200" w:hangingChars="5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户</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行：</w:t>
            </w:r>
          </w:p>
          <w:p w14:paraId="1DE3E9C6">
            <w:pPr>
              <w:spacing w:line="560" w:lineRule="exact"/>
              <w:ind w:left="1200" w:hanging="1200" w:hangingChars="5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账    号：</w:t>
            </w:r>
            <w:r>
              <w:rPr>
                <w:rFonts w:asciiTheme="minorEastAsia" w:hAnsiTheme="minorEastAsia"/>
                <w:color w:val="auto"/>
                <w:sz w:val="24"/>
                <w:szCs w:val="24"/>
                <w:highlight w:val="none"/>
              </w:rPr>
              <w:t xml:space="preserve"> </w:t>
            </w:r>
          </w:p>
        </w:tc>
      </w:tr>
      <w:tr w14:paraId="24741DB1">
        <w:tblPrEx>
          <w:tblCellMar>
            <w:top w:w="0" w:type="dxa"/>
            <w:left w:w="108" w:type="dxa"/>
            <w:bottom w:w="0" w:type="dxa"/>
            <w:right w:w="108" w:type="dxa"/>
          </w:tblCellMar>
        </w:tblPrEx>
        <w:trPr>
          <w:trHeight w:val="1120" w:hRule="atLeast"/>
        </w:trPr>
        <w:tc>
          <w:tcPr>
            <w:tcW w:w="4752" w:type="dxa"/>
          </w:tcPr>
          <w:p w14:paraId="3C94C2C8">
            <w:pPr>
              <w:spacing w:line="560" w:lineRule="exact"/>
              <w:ind w:left="1200" w:hanging="1200" w:hangingChars="5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经办人：</w:t>
            </w:r>
          </w:p>
        </w:tc>
        <w:tc>
          <w:tcPr>
            <w:tcW w:w="4599" w:type="dxa"/>
          </w:tcPr>
          <w:p w14:paraId="3393DD04">
            <w:pPr>
              <w:spacing w:line="560" w:lineRule="exact"/>
              <w:ind w:left="1200" w:hanging="1200" w:hangingChars="5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经办人：         </w:t>
            </w:r>
          </w:p>
        </w:tc>
      </w:tr>
      <w:tr w14:paraId="344B04A2">
        <w:tblPrEx>
          <w:tblCellMar>
            <w:top w:w="0" w:type="dxa"/>
            <w:left w:w="108" w:type="dxa"/>
            <w:bottom w:w="0" w:type="dxa"/>
            <w:right w:w="108" w:type="dxa"/>
          </w:tblCellMar>
        </w:tblPrEx>
        <w:trPr>
          <w:trHeight w:val="572" w:hRule="atLeast"/>
        </w:trPr>
        <w:tc>
          <w:tcPr>
            <w:tcW w:w="4752" w:type="dxa"/>
          </w:tcPr>
          <w:p w14:paraId="0BB17ECD">
            <w:pPr>
              <w:spacing w:line="560" w:lineRule="exact"/>
              <w:ind w:left="1200" w:hanging="1200" w:hangingChars="5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地    址： </w:t>
            </w:r>
          </w:p>
        </w:tc>
        <w:tc>
          <w:tcPr>
            <w:tcW w:w="4599" w:type="dxa"/>
          </w:tcPr>
          <w:p w14:paraId="36A7F7C4">
            <w:pPr>
              <w:spacing w:line="560" w:lineRule="exact"/>
              <w:ind w:left="1183" w:hanging="1183" w:hangingChars="493"/>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地</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址：</w:t>
            </w:r>
            <w:r>
              <w:rPr>
                <w:rFonts w:asciiTheme="minorEastAsia" w:hAnsiTheme="minorEastAsia"/>
                <w:color w:val="auto"/>
                <w:sz w:val="24"/>
                <w:szCs w:val="24"/>
                <w:highlight w:val="none"/>
              </w:rPr>
              <w:t xml:space="preserve"> </w:t>
            </w:r>
          </w:p>
        </w:tc>
      </w:tr>
    </w:tbl>
    <w:p w14:paraId="54A456E0">
      <w:pPr>
        <w:pStyle w:val="4"/>
        <w:ind w:firstLine="723"/>
        <w:rPr>
          <w:color w:val="auto"/>
          <w:highlight w:val="none"/>
        </w:rPr>
      </w:pPr>
      <w:r>
        <w:rPr>
          <w:color w:val="auto"/>
          <w:highlight w:val="none"/>
        </w:rPr>
        <w:br w:type="page"/>
      </w:r>
    </w:p>
    <w:p w14:paraId="0D39CA84">
      <w:pPr>
        <w:widowControl/>
        <w:ind w:firstLine="643"/>
        <w:jc w:val="center"/>
        <w:rPr>
          <w:rFonts w:asciiTheme="minorEastAsia" w:hAnsiTheme="minorEastAsia"/>
          <w:b/>
          <w:color w:val="auto"/>
          <w:sz w:val="32"/>
          <w:szCs w:val="32"/>
          <w:highlight w:val="none"/>
        </w:rPr>
      </w:pPr>
      <w:bookmarkStart w:id="704" w:name="_Toc76398641"/>
      <w:r>
        <w:rPr>
          <w:rFonts w:hint="eastAsia" w:asciiTheme="minorEastAsia" w:hAnsiTheme="minorEastAsia"/>
          <w:b/>
          <w:color w:val="auto"/>
          <w:sz w:val="32"/>
          <w:szCs w:val="32"/>
          <w:highlight w:val="none"/>
        </w:rPr>
        <w:t>第二部分通用条件</w:t>
      </w:r>
      <w:bookmarkEnd w:id="704"/>
    </w:p>
    <w:p w14:paraId="36D794B2">
      <w:pPr>
        <w:spacing w:line="360" w:lineRule="auto"/>
        <w:ind w:firstLine="480" w:firstLineChars="200"/>
        <w:outlineLvl w:val="0"/>
        <w:rPr>
          <w:rFonts w:asciiTheme="minorEastAsia" w:hAnsiTheme="minorEastAsia"/>
          <w:color w:val="auto"/>
          <w:sz w:val="24"/>
          <w:szCs w:val="24"/>
          <w:highlight w:val="none"/>
        </w:rPr>
      </w:pPr>
      <w:bookmarkStart w:id="705" w:name="_Toc76398642"/>
      <w:r>
        <w:rPr>
          <w:rFonts w:hint="eastAsia" w:asciiTheme="minorEastAsia" w:hAnsiTheme="minorEastAsia"/>
          <w:color w:val="auto"/>
          <w:sz w:val="24"/>
          <w:szCs w:val="24"/>
          <w:highlight w:val="none"/>
        </w:rPr>
        <w:t>1.词语定义、语言、解释顺序与适用法律</w:t>
      </w:r>
      <w:bookmarkEnd w:id="705"/>
    </w:p>
    <w:p w14:paraId="75316BC4">
      <w:pPr>
        <w:spacing w:line="360" w:lineRule="auto"/>
        <w:ind w:firstLine="480" w:firstLineChars="200"/>
        <w:outlineLvl w:val="1"/>
        <w:rPr>
          <w:rFonts w:asciiTheme="minorEastAsia" w:hAnsiTheme="minorEastAsia"/>
          <w:color w:val="auto"/>
          <w:sz w:val="24"/>
          <w:szCs w:val="24"/>
          <w:highlight w:val="none"/>
        </w:rPr>
      </w:pPr>
      <w:bookmarkStart w:id="706" w:name="_Toc76398643"/>
      <w:r>
        <w:rPr>
          <w:rFonts w:hint="eastAsia" w:asciiTheme="minorEastAsia" w:hAnsiTheme="minorEastAsia"/>
          <w:color w:val="auto"/>
          <w:sz w:val="24"/>
          <w:szCs w:val="24"/>
          <w:highlight w:val="none"/>
        </w:rPr>
        <w:t>1.1 词语定义</w:t>
      </w:r>
      <w:bookmarkEnd w:id="706"/>
    </w:p>
    <w:p w14:paraId="0C2814E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组成本合同的全部文件中的下列名词和用语应具有本款所赋予的含义：</w:t>
      </w:r>
    </w:p>
    <w:p w14:paraId="0162D0E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1.1.1“工程”是指按照本合同约定实施造价咨询与其他服务的建设工程。</w:t>
      </w:r>
    </w:p>
    <w:p w14:paraId="32A4C3F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1.1.2“工程造价”是指工程项目建设过程中预计或实际支出的全部费用。</w:t>
      </w:r>
    </w:p>
    <w:p w14:paraId="50BC05B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1.1.3“委托人”是指本合同中委托造价咨询与其他服务的一方，及其合法的继承人或受让人。</w:t>
      </w:r>
    </w:p>
    <w:p w14:paraId="5CB909F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1.1.4“咨询人”是指本合同中提供造价咨询与其他服务的一方，及其合法的继承人。</w:t>
      </w:r>
    </w:p>
    <w:p w14:paraId="15EC1C3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1.1.5“第三人”是指除委托人、咨询人以外与本咨询业务有关的当事人。</w:t>
      </w:r>
    </w:p>
    <w:p w14:paraId="2B420B7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1.1.6“正常工作”是指本合同订立时通用条件和专用条件中约定的咨询人的工作。</w:t>
      </w:r>
    </w:p>
    <w:p w14:paraId="373438D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1.1.7“附加工作”是指咨询人根据合同条件完成的正常工作以外的工作。</w:t>
      </w:r>
    </w:p>
    <w:p w14:paraId="1ED9903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1.1.8“项目咨询团队”是指咨询人指派负责履行本合同的团队，其团队成员为本合同的项目咨询人员。</w:t>
      </w:r>
    </w:p>
    <w:p w14:paraId="6EC7A54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1.1.9“项目负责人”是指由咨询人的法定代表人书面授权，在授权范围内负责履行本合同、主持项目咨询团队工作的负责人。</w:t>
      </w:r>
    </w:p>
    <w:p w14:paraId="58F44BE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1.1.10“委托人代表”是指由委托人的法定代表人书面授权，在授权范围内行使委托人权利的人。</w:t>
      </w:r>
    </w:p>
    <w:p w14:paraId="00A8516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1.1.11“酬金”是指咨询人履行本合同义务，委托人按照本合同约定给付咨询人的金额。</w:t>
      </w:r>
    </w:p>
    <w:p w14:paraId="1355F6E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1.1.12“正常工作酬金”是指在协议书中载明的，咨询人完成正常工作，委托人应给付咨询人的酬金。</w:t>
      </w:r>
    </w:p>
    <w:p w14:paraId="1C8B6CE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1.1.13“附加工作酬金”是指咨询人完成附加工作，委托人应给付咨询人的酬金。</w:t>
      </w:r>
    </w:p>
    <w:p w14:paraId="26B2F03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1.1.14 “书面形式”是指合同书、信件和数据电文（包括电报、电传、传真、电子数据交换和电子邮件）等可以有形地表现所载内容的形式。</w:t>
      </w:r>
    </w:p>
    <w:p w14:paraId="30B80F7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14:paraId="0CB826E8">
      <w:pPr>
        <w:spacing w:line="360" w:lineRule="auto"/>
        <w:ind w:firstLine="480" w:firstLineChars="200"/>
        <w:outlineLvl w:val="1"/>
        <w:rPr>
          <w:rFonts w:asciiTheme="minorEastAsia" w:hAnsiTheme="minorEastAsia"/>
          <w:color w:val="auto"/>
          <w:sz w:val="24"/>
          <w:szCs w:val="24"/>
          <w:highlight w:val="none"/>
        </w:rPr>
      </w:pPr>
      <w:bookmarkStart w:id="707" w:name="_Toc76398644"/>
      <w:r>
        <w:rPr>
          <w:rFonts w:hint="eastAsia" w:asciiTheme="minorEastAsia" w:hAnsiTheme="minorEastAsia"/>
          <w:color w:val="auto"/>
          <w:sz w:val="24"/>
          <w:szCs w:val="24"/>
          <w:highlight w:val="none"/>
        </w:rPr>
        <w:t>1.2 语言</w:t>
      </w:r>
      <w:bookmarkEnd w:id="707"/>
    </w:p>
    <w:p w14:paraId="06FC213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本合同使用中文书写、解释和说明。如专用条件约定使用两种及以上语言文字时，应以中文为准。</w:t>
      </w:r>
    </w:p>
    <w:p w14:paraId="5E9C80A0">
      <w:pPr>
        <w:spacing w:line="360" w:lineRule="auto"/>
        <w:ind w:firstLine="480" w:firstLineChars="200"/>
        <w:outlineLvl w:val="1"/>
        <w:rPr>
          <w:rFonts w:asciiTheme="minorEastAsia" w:hAnsiTheme="minorEastAsia"/>
          <w:color w:val="auto"/>
          <w:sz w:val="24"/>
          <w:szCs w:val="24"/>
          <w:highlight w:val="none"/>
        </w:rPr>
      </w:pPr>
      <w:bookmarkStart w:id="708" w:name="_Toc76398645"/>
      <w:r>
        <w:rPr>
          <w:rFonts w:hint="eastAsia" w:asciiTheme="minorEastAsia" w:hAnsiTheme="minorEastAsia"/>
          <w:color w:val="auto"/>
          <w:sz w:val="24"/>
          <w:szCs w:val="24"/>
          <w:highlight w:val="none"/>
        </w:rPr>
        <w:t>1.3 合同文件的优先顺序</w:t>
      </w:r>
      <w:bookmarkEnd w:id="708"/>
    </w:p>
    <w:p w14:paraId="53EC54E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组成本合同的下列文件彼此应能相互解释、互为说明。除专用条件另有约定外，本合同文件的解释顺序如下：</w:t>
      </w:r>
    </w:p>
    <w:p w14:paraId="5D2A3DA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1.协议书</w:t>
      </w:r>
    </w:p>
    <w:p w14:paraId="7BD3C6D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2.中标通知书或委托书（如果有）；</w:t>
      </w:r>
    </w:p>
    <w:p w14:paraId="0C655EA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3.专用条件及附录；</w:t>
      </w:r>
    </w:p>
    <w:p w14:paraId="1556F12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4.通用条件；</w:t>
      </w:r>
    </w:p>
    <w:p w14:paraId="6DD92FF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5.投标函及投标函附录或造价咨询服务建议书（如果有）；</w:t>
      </w:r>
    </w:p>
    <w:p w14:paraId="1EEF2DD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6.其他合同文件。</w:t>
      </w:r>
    </w:p>
    <w:p w14:paraId="273AAF3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上述各项合同文件包括合同当事人就该项合同文件所作出的补充和修改，属于同一类内容的文件，应以最新签署的为准。在合同订立及履行过程中形成的与合同有关的文件均构成合同文件的组成部分。</w:t>
      </w:r>
    </w:p>
    <w:p w14:paraId="6FC444C3">
      <w:pPr>
        <w:spacing w:line="360" w:lineRule="auto"/>
        <w:ind w:firstLine="480" w:firstLineChars="200"/>
        <w:outlineLvl w:val="1"/>
        <w:rPr>
          <w:rFonts w:asciiTheme="minorEastAsia" w:hAnsiTheme="minorEastAsia"/>
          <w:color w:val="auto"/>
          <w:sz w:val="24"/>
          <w:szCs w:val="24"/>
          <w:highlight w:val="none"/>
        </w:rPr>
      </w:pPr>
      <w:bookmarkStart w:id="709" w:name="_Toc76398646"/>
      <w:r>
        <w:rPr>
          <w:rFonts w:hint="eastAsia" w:asciiTheme="minorEastAsia" w:hAnsiTheme="minorEastAsia"/>
          <w:color w:val="auto"/>
          <w:sz w:val="24"/>
          <w:szCs w:val="24"/>
          <w:highlight w:val="none"/>
        </w:rPr>
        <w:t>1.4 适用法律</w:t>
      </w:r>
      <w:bookmarkEnd w:id="709"/>
    </w:p>
    <w:p w14:paraId="2CE6B2F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本合同适用中华人民共和国法律、行政法规、部门规章以及工程所在地的地方性法规、自治条例、单行条例和地方政府规章等。</w:t>
      </w:r>
    </w:p>
    <w:p w14:paraId="27AD114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合同当事人可以在专用条件中约定本合同适用的其他规范、规程、定额、技术标准等规范性文件。</w:t>
      </w:r>
    </w:p>
    <w:p w14:paraId="69BED839">
      <w:pPr>
        <w:spacing w:line="360" w:lineRule="auto"/>
        <w:ind w:firstLine="480" w:firstLineChars="200"/>
        <w:outlineLvl w:val="0"/>
        <w:rPr>
          <w:rFonts w:asciiTheme="minorEastAsia" w:hAnsiTheme="minorEastAsia"/>
          <w:color w:val="auto"/>
          <w:sz w:val="24"/>
          <w:szCs w:val="24"/>
          <w:highlight w:val="none"/>
        </w:rPr>
      </w:pPr>
      <w:bookmarkStart w:id="710" w:name="_Toc76398647"/>
      <w:r>
        <w:rPr>
          <w:rFonts w:hint="eastAsia" w:asciiTheme="minorEastAsia" w:hAnsiTheme="minorEastAsia"/>
          <w:color w:val="auto"/>
          <w:sz w:val="24"/>
          <w:szCs w:val="24"/>
          <w:highlight w:val="none"/>
        </w:rPr>
        <w:t>2.委托人的义务</w:t>
      </w:r>
      <w:bookmarkEnd w:id="710"/>
    </w:p>
    <w:p w14:paraId="3D23B077">
      <w:pPr>
        <w:spacing w:line="360" w:lineRule="auto"/>
        <w:ind w:firstLine="480" w:firstLineChars="200"/>
        <w:outlineLvl w:val="1"/>
        <w:rPr>
          <w:rFonts w:asciiTheme="minorEastAsia" w:hAnsiTheme="minorEastAsia"/>
          <w:color w:val="auto"/>
          <w:sz w:val="24"/>
          <w:szCs w:val="24"/>
          <w:highlight w:val="none"/>
        </w:rPr>
      </w:pPr>
      <w:bookmarkStart w:id="711" w:name="_Toc76398648"/>
      <w:r>
        <w:rPr>
          <w:rFonts w:hint="eastAsia" w:asciiTheme="minorEastAsia" w:hAnsiTheme="minorEastAsia"/>
          <w:color w:val="auto"/>
          <w:sz w:val="24"/>
          <w:szCs w:val="24"/>
          <w:highlight w:val="none"/>
        </w:rPr>
        <w:t>2.1 提供资料</w:t>
      </w:r>
      <w:bookmarkEnd w:id="711"/>
    </w:p>
    <w:p w14:paraId="3E582F9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717B17F8">
      <w:pPr>
        <w:spacing w:line="360" w:lineRule="auto"/>
        <w:ind w:firstLine="480" w:firstLineChars="200"/>
        <w:outlineLvl w:val="1"/>
        <w:rPr>
          <w:rFonts w:asciiTheme="minorEastAsia" w:hAnsiTheme="minorEastAsia"/>
          <w:color w:val="auto"/>
          <w:sz w:val="24"/>
          <w:szCs w:val="24"/>
          <w:highlight w:val="none"/>
        </w:rPr>
      </w:pPr>
      <w:bookmarkStart w:id="712" w:name="_Toc76398649"/>
      <w:r>
        <w:rPr>
          <w:rFonts w:hint="eastAsia" w:asciiTheme="minorEastAsia" w:hAnsiTheme="minorEastAsia"/>
          <w:color w:val="auto"/>
          <w:sz w:val="24"/>
          <w:szCs w:val="24"/>
          <w:highlight w:val="none"/>
        </w:rPr>
        <w:t>2.2 提供工作条件</w:t>
      </w:r>
      <w:bookmarkEnd w:id="712"/>
    </w:p>
    <w:p w14:paraId="2CA75AF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委托人应为咨询人完成造价咨询提供必要的条件。</w:t>
      </w:r>
    </w:p>
    <w:p w14:paraId="2FDB45D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2.2.1 委托人需要咨询人派驻项目现场咨询人员的，除专用条件另有约定</w:t>
      </w:r>
    </w:p>
    <w:p w14:paraId="4656E23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外，不提供的房屋及设备。</w:t>
      </w:r>
    </w:p>
    <w:p w14:paraId="77DDE9A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2.2.2 委托人应负责与本工程造价咨询业务有关的外部关系的协调，为咨询人履行本合同提供必要的外部条件；需要咨询人联系的由咨询人自行协调。</w:t>
      </w:r>
    </w:p>
    <w:p w14:paraId="039F555B">
      <w:pPr>
        <w:spacing w:line="360" w:lineRule="auto"/>
        <w:ind w:firstLine="480" w:firstLineChars="200"/>
        <w:outlineLvl w:val="1"/>
        <w:rPr>
          <w:rFonts w:asciiTheme="minorEastAsia" w:hAnsiTheme="minorEastAsia"/>
          <w:color w:val="auto"/>
          <w:sz w:val="24"/>
          <w:szCs w:val="24"/>
          <w:highlight w:val="none"/>
        </w:rPr>
      </w:pPr>
      <w:bookmarkStart w:id="713" w:name="_Toc76398650"/>
      <w:r>
        <w:rPr>
          <w:rFonts w:hint="eastAsia" w:asciiTheme="minorEastAsia" w:hAnsiTheme="minorEastAsia"/>
          <w:color w:val="auto"/>
          <w:sz w:val="24"/>
          <w:szCs w:val="24"/>
          <w:highlight w:val="none"/>
        </w:rPr>
        <w:t>2.3 合理工作时限</w:t>
      </w:r>
      <w:bookmarkEnd w:id="713"/>
    </w:p>
    <w:p w14:paraId="2CBA14D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委托人应当为咨询人完成其咨询工作，设定合理的工作时限。</w:t>
      </w:r>
    </w:p>
    <w:p w14:paraId="1C73EC91">
      <w:pPr>
        <w:spacing w:line="360" w:lineRule="auto"/>
        <w:ind w:firstLine="480" w:firstLineChars="200"/>
        <w:outlineLvl w:val="1"/>
        <w:rPr>
          <w:rFonts w:asciiTheme="minorEastAsia" w:hAnsiTheme="minorEastAsia"/>
          <w:color w:val="auto"/>
          <w:sz w:val="24"/>
          <w:szCs w:val="24"/>
          <w:highlight w:val="none"/>
        </w:rPr>
      </w:pPr>
      <w:bookmarkStart w:id="714" w:name="_Toc76398651"/>
      <w:r>
        <w:rPr>
          <w:rFonts w:hint="eastAsia" w:asciiTheme="minorEastAsia" w:hAnsiTheme="minorEastAsia"/>
          <w:color w:val="auto"/>
          <w:sz w:val="24"/>
          <w:szCs w:val="24"/>
          <w:highlight w:val="none"/>
        </w:rPr>
        <w:t>2.4 委托人代表</w:t>
      </w:r>
      <w:bookmarkEnd w:id="714"/>
    </w:p>
    <w:p w14:paraId="778AAEC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委托人应授权一名代表负责本合同的履行。委托人应在双方签订本合同 7日内，将委托人代表的姓名和权限范围书面告知咨询人。委托人更换委托人代表时，应提前 7 日书面通知咨询人。</w:t>
      </w:r>
    </w:p>
    <w:p w14:paraId="7DC232EC">
      <w:pPr>
        <w:spacing w:line="360" w:lineRule="auto"/>
        <w:ind w:firstLine="480" w:firstLineChars="200"/>
        <w:outlineLvl w:val="1"/>
        <w:rPr>
          <w:rFonts w:asciiTheme="minorEastAsia" w:hAnsiTheme="minorEastAsia"/>
          <w:color w:val="auto"/>
          <w:sz w:val="24"/>
          <w:szCs w:val="24"/>
          <w:highlight w:val="none"/>
        </w:rPr>
      </w:pPr>
      <w:bookmarkStart w:id="715" w:name="_Toc76398652"/>
      <w:r>
        <w:rPr>
          <w:rFonts w:hint="eastAsia" w:asciiTheme="minorEastAsia" w:hAnsiTheme="minorEastAsia"/>
          <w:color w:val="auto"/>
          <w:sz w:val="24"/>
          <w:szCs w:val="24"/>
          <w:highlight w:val="none"/>
        </w:rPr>
        <w:t>2.5 答复</w:t>
      </w:r>
      <w:bookmarkEnd w:id="715"/>
    </w:p>
    <w:p w14:paraId="371CFD3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委托人应当在专用条件约定的时间内就咨询人以书面形式提交并要求做出答复的事宜给予书面答复。</w:t>
      </w:r>
    </w:p>
    <w:p w14:paraId="070923BA">
      <w:pPr>
        <w:spacing w:line="360" w:lineRule="auto"/>
        <w:ind w:firstLine="480" w:firstLineChars="200"/>
        <w:outlineLvl w:val="1"/>
        <w:rPr>
          <w:rFonts w:asciiTheme="minorEastAsia" w:hAnsiTheme="minorEastAsia"/>
          <w:color w:val="auto"/>
          <w:sz w:val="24"/>
          <w:szCs w:val="24"/>
          <w:highlight w:val="none"/>
        </w:rPr>
      </w:pPr>
      <w:bookmarkStart w:id="716" w:name="_Toc76398653"/>
      <w:r>
        <w:rPr>
          <w:rFonts w:hint="eastAsia" w:asciiTheme="minorEastAsia" w:hAnsiTheme="minorEastAsia"/>
          <w:color w:val="auto"/>
          <w:sz w:val="24"/>
          <w:szCs w:val="24"/>
          <w:highlight w:val="none"/>
        </w:rPr>
        <w:t>2.6 支付</w:t>
      </w:r>
      <w:bookmarkEnd w:id="716"/>
    </w:p>
    <w:p w14:paraId="654A366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委托人应当按照合同的约定，向咨询人支付酬金。</w:t>
      </w:r>
    </w:p>
    <w:p w14:paraId="731EDCD9">
      <w:pPr>
        <w:spacing w:line="360" w:lineRule="auto"/>
        <w:ind w:firstLine="480" w:firstLineChars="200"/>
        <w:outlineLvl w:val="0"/>
        <w:rPr>
          <w:rFonts w:asciiTheme="minorEastAsia" w:hAnsiTheme="minorEastAsia"/>
          <w:color w:val="auto"/>
          <w:sz w:val="24"/>
          <w:szCs w:val="24"/>
          <w:highlight w:val="none"/>
        </w:rPr>
      </w:pPr>
      <w:bookmarkStart w:id="717" w:name="_Toc76398654"/>
      <w:r>
        <w:rPr>
          <w:rFonts w:hint="eastAsia" w:asciiTheme="minorEastAsia" w:hAnsiTheme="minorEastAsia"/>
          <w:color w:val="auto"/>
          <w:sz w:val="24"/>
          <w:szCs w:val="24"/>
          <w:highlight w:val="none"/>
        </w:rPr>
        <w:t>3.咨询人的义务</w:t>
      </w:r>
      <w:bookmarkEnd w:id="717"/>
    </w:p>
    <w:p w14:paraId="64A6E3E9">
      <w:pPr>
        <w:spacing w:line="360" w:lineRule="auto"/>
        <w:ind w:firstLine="480" w:firstLineChars="200"/>
        <w:outlineLvl w:val="1"/>
        <w:rPr>
          <w:rFonts w:asciiTheme="minorEastAsia" w:hAnsiTheme="minorEastAsia"/>
          <w:color w:val="auto"/>
          <w:sz w:val="24"/>
          <w:szCs w:val="24"/>
          <w:highlight w:val="none"/>
        </w:rPr>
      </w:pPr>
      <w:bookmarkStart w:id="718" w:name="_Toc76398655"/>
      <w:r>
        <w:rPr>
          <w:rFonts w:hint="eastAsia" w:asciiTheme="minorEastAsia" w:hAnsiTheme="minorEastAsia"/>
          <w:color w:val="auto"/>
          <w:sz w:val="24"/>
          <w:szCs w:val="24"/>
          <w:highlight w:val="none"/>
        </w:rPr>
        <w:t>3.1 项目咨询团队及人员</w:t>
      </w:r>
      <w:bookmarkEnd w:id="718"/>
    </w:p>
    <w:p w14:paraId="23CD7F3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3.1.1 项目咨询团队的主要人员应具有专用条件约定的资格条件，团队人员的数量应符合专用条件的约定。</w:t>
      </w:r>
    </w:p>
    <w:p w14:paraId="5EE5694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3.1.2 项目负责人</w:t>
      </w:r>
    </w:p>
    <w:p w14:paraId="3B81E66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咨询人应以书面形式授权一名项目负责人负责履行本合同、主持项目咨询团队工作。采用招标程序签署本合同的，项目负责人应当与投标文件载明的一致。</w:t>
      </w:r>
    </w:p>
    <w:p w14:paraId="2D3A6C8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14:paraId="469BF03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3.1.4 咨询人员有下列情形之一，委托人要求咨询人更换的，咨询人应当更换：</w:t>
      </w:r>
    </w:p>
    <w:p w14:paraId="40CA18A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（1）存在严重过失行为的；</w:t>
      </w:r>
    </w:p>
    <w:p w14:paraId="10E691A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（2）存在违法行为不能履行职责的；</w:t>
      </w:r>
    </w:p>
    <w:p w14:paraId="7CEC22D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（3）涉嫌犯罪的；</w:t>
      </w:r>
    </w:p>
    <w:p w14:paraId="0E520F8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（4）不能胜任岗位职责的；</w:t>
      </w:r>
    </w:p>
    <w:p w14:paraId="73A1C77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（5）严重违反职业道德的；</w:t>
      </w:r>
    </w:p>
    <w:p w14:paraId="11B08B0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6</w:t>
      </w:r>
      <w:r>
        <w:rPr>
          <w:rFonts w:hint="eastAsia" w:asciiTheme="minorEastAsia" w:hAnsiTheme="minorEastAsia"/>
          <w:color w:val="auto"/>
          <w:sz w:val="24"/>
          <w:szCs w:val="24"/>
          <w:highlight w:val="none"/>
        </w:rPr>
        <w:t>）不满意的；</w:t>
      </w:r>
    </w:p>
    <w:p w14:paraId="4FCC428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（7）专用条件约定的其他情形。</w:t>
      </w:r>
    </w:p>
    <w:p w14:paraId="28807546">
      <w:pPr>
        <w:spacing w:line="360" w:lineRule="auto"/>
        <w:ind w:firstLine="480" w:firstLineChars="200"/>
        <w:outlineLvl w:val="1"/>
        <w:rPr>
          <w:rFonts w:asciiTheme="minorEastAsia" w:hAnsiTheme="minorEastAsia"/>
          <w:color w:val="auto"/>
          <w:sz w:val="24"/>
          <w:szCs w:val="24"/>
          <w:highlight w:val="none"/>
        </w:rPr>
      </w:pPr>
      <w:bookmarkStart w:id="719" w:name="_Toc76398656"/>
      <w:r>
        <w:rPr>
          <w:rFonts w:hint="eastAsia" w:asciiTheme="minorEastAsia" w:hAnsiTheme="minorEastAsia"/>
          <w:color w:val="auto"/>
          <w:sz w:val="24"/>
          <w:szCs w:val="24"/>
          <w:highlight w:val="none"/>
        </w:rPr>
        <w:t>3.2 咨询人的工作要求</w:t>
      </w:r>
      <w:bookmarkEnd w:id="719"/>
    </w:p>
    <w:p w14:paraId="75444257">
      <w:pPr>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3.2.1 </w:t>
      </w:r>
      <w:r>
        <w:rPr>
          <w:rFonts w:hint="eastAsia" w:asciiTheme="minorEastAsia" w:hAnsiTheme="minorEastAsia"/>
          <w:color w:val="auto"/>
          <w:sz w:val="24"/>
          <w:szCs w:val="24"/>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38886EC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14:paraId="2014F35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3.2.3 咨询人提交的工程造价咨询成果文件，除加盖咨询人单位公章、工程造价咨询企业执业印章外，还必须按要求加盖参加咨询工作人员的执业（从业）资格印章。</w:t>
      </w:r>
    </w:p>
    <w:p w14:paraId="28F9434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3.2.4 咨询人应在专用条件约定的时间内，对委托人以书面形式提出的建议或者异议给予书面答复。</w:t>
      </w:r>
    </w:p>
    <w:p w14:paraId="031B492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3.2.5 咨询人从事工程造价咨询活动，应当遵循独立、客观、公正、诚实信用的原则，不得损害社会公共利益和他人的合法权益。</w:t>
      </w:r>
    </w:p>
    <w:p w14:paraId="5F98C08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3.2.6 咨询人承诺按照法律规定及合同约定，完成合同范围内的建设工程造价咨询服务，不转包承接的造价咨询服务业务。</w:t>
      </w:r>
    </w:p>
    <w:p w14:paraId="65CE64B9">
      <w:pPr>
        <w:spacing w:line="360" w:lineRule="auto"/>
        <w:ind w:firstLine="480" w:firstLineChars="200"/>
        <w:outlineLvl w:val="1"/>
        <w:rPr>
          <w:rFonts w:asciiTheme="minorEastAsia" w:hAnsiTheme="minorEastAsia"/>
          <w:color w:val="auto"/>
          <w:sz w:val="24"/>
          <w:szCs w:val="24"/>
          <w:highlight w:val="none"/>
        </w:rPr>
      </w:pPr>
      <w:bookmarkStart w:id="720" w:name="_Toc76398657"/>
      <w:r>
        <w:rPr>
          <w:rFonts w:hint="eastAsia" w:asciiTheme="minorEastAsia" w:hAnsiTheme="minorEastAsia"/>
          <w:color w:val="auto"/>
          <w:sz w:val="24"/>
          <w:szCs w:val="24"/>
          <w:highlight w:val="none"/>
        </w:rPr>
        <w:t>3.3 咨询人的工作依据</w:t>
      </w:r>
      <w:bookmarkEnd w:id="720"/>
    </w:p>
    <w:p w14:paraId="6E0F52C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14:paraId="6C4E5C58">
      <w:pPr>
        <w:spacing w:line="360" w:lineRule="auto"/>
        <w:ind w:firstLine="480" w:firstLineChars="200"/>
        <w:outlineLvl w:val="1"/>
        <w:rPr>
          <w:rFonts w:asciiTheme="minorEastAsia" w:hAnsiTheme="minorEastAsia"/>
          <w:color w:val="auto"/>
          <w:sz w:val="24"/>
          <w:szCs w:val="24"/>
          <w:highlight w:val="none"/>
        </w:rPr>
      </w:pPr>
      <w:bookmarkStart w:id="721" w:name="_Toc76398658"/>
      <w:r>
        <w:rPr>
          <w:rFonts w:hint="eastAsia" w:asciiTheme="minorEastAsia" w:hAnsiTheme="minorEastAsia"/>
          <w:color w:val="auto"/>
          <w:sz w:val="24"/>
          <w:szCs w:val="24"/>
          <w:highlight w:val="none"/>
        </w:rPr>
        <w:t>3.4 使用委托人房屋及设备的返还</w:t>
      </w:r>
      <w:bookmarkEnd w:id="721"/>
    </w:p>
    <w:p w14:paraId="50029BC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项目咨询人员使用委托人提供的房屋及设备的，咨询人应妥善使用和保管，在本合同终止时将上述房屋及设备按专用条件约定的时间和方式返还委托人。</w:t>
      </w:r>
    </w:p>
    <w:p w14:paraId="23666031">
      <w:pPr>
        <w:spacing w:line="360" w:lineRule="auto"/>
        <w:ind w:firstLine="480" w:firstLineChars="200"/>
        <w:outlineLvl w:val="0"/>
        <w:rPr>
          <w:rFonts w:asciiTheme="minorEastAsia" w:hAnsiTheme="minorEastAsia"/>
          <w:color w:val="auto"/>
          <w:sz w:val="24"/>
          <w:szCs w:val="24"/>
          <w:highlight w:val="none"/>
        </w:rPr>
      </w:pPr>
      <w:bookmarkStart w:id="722" w:name="_Toc76398659"/>
      <w:r>
        <w:rPr>
          <w:rFonts w:hint="eastAsia" w:asciiTheme="minorEastAsia" w:hAnsiTheme="minorEastAsia"/>
          <w:color w:val="auto"/>
          <w:sz w:val="24"/>
          <w:szCs w:val="24"/>
          <w:highlight w:val="none"/>
        </w:rPr>
        <w:t>4.违约责任</w:t>
      </w:r>
      <w:bookmarkEnd w:id="722"/>
    </w:p>
    <w:p w14:paraId="45FF950D">
      <w:pPr>
        <w:spacing w:line="360" w:lineRule="auto"/>
        <w:ind w:firstLine="480" w:firstLineChars="200"/>
        <w:outlineLvl w:val="1"/>
        <w:rPr>
          <w:rFonts w:asciiTheme="minorEastAsia" w:hAnsiTheme="minorEastAsia"/>
          <w:color w:val="auto"/>
          <w:sz w:val="24"/>
          <w:szCs w:val="24"/>
          <w:highlight w:val="none"/>
        </w:rPr>
      </w:pPr>
      <w:bookmarkStart w:id="723" w:name="_Toc76398660"/>
      <w:r>
        <w:rPr>
          <w:rFonts w:hint="eastAsia" w:asciiTheme="minorEastAsia" w:hAnsiTheme="minorEastAsia"/>
          <w:color w:val="auto"/>
          <w:sz w:val="24"/>
          <w:szCs w:val="24"/>
          <w:highlight w:val="none"/>
        </w:rPr>
        <w:t>4.1 委托人的违约责任</w:t>
      </w:r>
      <w:bookmarkEnd w:id="723"/>
    </w:p>
    <w:p w14:paraId="5B4C3D8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4.1.1 委托人不履行本合同义务或者履行义务不符合本合同约定的，应承担违约责任。双方可在专用条件中约定违约金的计算及支付方法。</w:t>
      </w:r>
    </w:p>
    <w:p w14:paraId="65C8B1F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4.1.2 委托人违反本合同约定造成咨询人损失的，委托人应予以赔偿。双方可在专用条件中约定赔偿金额的确定及支付方法。</w:t>
      </w:r>
    </w:p>
    <w:p w14:paraId="072C38D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14:paraId="6D34A594">
      <w:pPr>
        <w:spacing w:line="360" w:lineRule="auto"/>
        <w:ind w:firstLine="480" w:firstLineChars="200"/>
        <w:outlineLvl w:val="1"/>
        <w:rPr>
          <w:rFonts w:asciiTheme="minorEastAsia" w:hAnsiTheme="minorEastAsia"/>
          <w:color w:val="auto"/>
          <w:sz w:val="24"/>
          <w:szCs w:val="24"/>
          <w:highlight w:val="none"/>
        </w:rPr>
      </w:pPr>
      <w:bookmarkStart w:id="724" w:name="_Toc76398661"/>
      <w:r>
        <w:rPr>
          <w:rFonts w:hint="eastAsia" w:asciiTheme="minorEastAsia" w:hAnsiTheme="minorEastAsia"/>
          <w:color w:val="auto"/>
          <w:sz w:val="24"/>
          <w:szCs w:val="24"/>
          <w:highlight w:val="none"/>
        </w:rPr>
        <w:t>4.2 咨询人的违约责任</w:t>
      </w:r>
      <w:bookmarkEnd w:id="724"/>
    </w:p>
    <w:p w14:paraId="1725D49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4.2.1 咨询人不履行本合同义务或者履行义务不符合本合同约定的，应承担违约责任。双方可在专用条件中约定违约金的计算及支付方法。</w:t>
      </w:r>
    </w:p>
    <w:p w14:paraId="6A8837D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4.2.2 因咨询人违反本合同约定给委托人造成损失的，咨询人应当赔偿委托人损失。双方可在专用条件中约定赔偿金额的确定及支付方法。</w:t>
      </w:r>
    </w:p>
    <w:p w14:paraId="4573BF3F">
      <w:pPr>
        <w:spacing w:line="360" w:lineRule="auto"/>
        <w:ind w:firstLine="480" w:firstLineChars="200"/>
        <w:outlineLvl w:val="0"/>
        <w:rPr>
          <w:rFonts w:asciiTheme="minorEastAsia" w:hAnsiTheme="minorEastAsia"/>
          <w:color w:val="auto"/>
          <w:sz w:val="24"/>
          <w:szCs w:val="24"/>
          <w:highlight w:val="none"/>
        </w:rPr>
      </w:pPr>
      <w:bookmarkStart w:id="725" w:name="_Toc76398662"/>
      <w:r>
        <w:rPr>
          <w:rFonts w:hint="eastAsia" w:asciiTheme="minorEastAsia" w:hAnsiTheme="minorEastAsia"/>
          <w:color w:val="auto"/>
          <w:sz w:val="24"/>
          <w:szCs w:val="24"/>
          <w:highlight w:val="none"/>
        </w:rPr>
        <w:t>5.支付</w:t>
      </w:r>
      <w:bookmarkEnd w:id="725"/>
    </w:p>
    <w:p w14:paraId="63F80F97">
      <w:pPr>
        <w:spacing w:line="360" w:lineRule="auto"/>
        <w:ind w:firstLine="480" w:firstLineChars="200"/>
        <w:outlineLvl w:val="1"/>
        <w:rPr>
          <w:rFonts w:asciiTheme="minorEastAsia" w:hAnsiTheme="minorEastAsia"/>
          <w:color w:val="auto"/>
          <w:sz w:val="24"/>
          <w:szCs w:val="24"/>
          <w:highlight w:val="none"/>
        </w:rPr>
      </w:pPr>
      <w:bookmarkStart w:id="726" w:name="_Toc76398663"/>
      <w:r>
        <w:rPr>
          <w:rFonts w:hint="eastAsia" w:asciiTheme="minorEastAsia" w:hAnsiTheme="minorEastAsia"/>
          <w:color w:val="auto"/>
          <w:sz w:val="24"/>
          <w:szCs w:val="24"/>
          <w:highlight w:val="none"/>
        </w:rPr>
        <w:t>5.1 支付货币</w:t>
      </w:r>
      <w:bookmarkEnd w:id="726"/>
    </w:p>
    <w:p w14:paraId="5660EDD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除专用条件另有约定外，酬金均以人民币支付。涉及外币支付的，所采用的货币种类和汇率等在专用条件中约定。</w:t>
      </w:r>
    </w:p>
    <w:p w14:paraId="3BA86A12">
      <w:pPr>
        <w:spacing w:line="360" w:lineRule="auto"/>
        <w:ind w:firstLine="480" w:firstLineChars="200"/>
        <w:outlineLvl w:val="1"/>
        <w:rPr>
          <w:rFonts w:asciiTheme="minorEastAsia" w:hAnsiTheme="minorEastAsia"/>
          <w:color w:val="auto"/>
          <w:sz w:val="24"/>
          <w:szCs w:val="24"/>
          <w:highlight w:val="none"/>
        </w:rPr>
      </w:pPr>
      <w:bookmarkStart w:id="727" w:name="_Toc76398664"/>
      <w:r>
        <w:rPr>
          <w:rFonts w:hint="eastAsia" w:asciiTheme="minorEastAsia" w:hAnsiTheme="minorEastAsia"/>
          <w:color w:val="auto"/>
          <w:sz w:val="24"/>
          <w:szCs w:val="24"/>
          <w:highlight w:val="none"/>
        </w:rPr>
        <w:t>5.2 支付申请</w:t>
      </w:r>
      <w:bookmarkEnd w:id="727"/>
    </w:p>
    <w:p w14:paraId="7AC451F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咨询人应在本合同约定的每次应付款日期前，向委托人提交支付申请书，支付申请书的提交日期由双方在专用条件中约定。支付申请书应当说明当期应付款总额，并列出当期应支付的款项及其金额。</w:t>
      </w:r>
    </w:p>
    <w:p w14:paraId="608F3619">
      <w:pPr>
        <w:spacing w:line="360" w:lineRule="auto"/>
        <w:ind w:firstLine="480" w:firstLineChars="200"/>
        <w:outlineLvl w:val="1"/>
        <w:rPr>
          <w:rFonts w:asciiTheme="minorEastAsia" w:hAnsiTheme="minorEastAsia"/>
          <w:color w:val="auto"/>
          <w:sz w:val="24"/>
          <w:szCs w:val="24"/>
          <w:highlight w:val="none"/>
        </w:rPr>
      </w:pPr>
      <w:bookmarkStart w:id="728" w:name="_Toc76398665"/>
      <w:r>
        <w:rPr>
          <w:rFonts w:hint="eastAsia" w:asciiTheme="minorEastAsia" w:hAnsiTheme="minorEastAsia"/>
          <w:color w:val="auto"/>
          <w:sz w:val="24"/>
          <w:szCs w:val="24"/>
          <w:highlight w:val="none"/>
        </w:rPr>
        <w:t>5.3 支付酬金</w:t>
      </w:r>
      <w:bookmarkEnd w:id="728"/>
    </w:p>
    <w:p w14:paraId="0C4A50B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支付酬金包括正常工作酬金、附加工作酬金、合理化建议奖励金额及费用。</w:t>
      </w:r>
    </w:p>
    <w:p w14:paraId="0F6D85BD">
      <w:pPr>
        <w:spacing w:line="360" w:lineRule="auto"/>
        <w:ind w:firstLine="480" w:firstLineChars="200"/>
        <w:outlineLvl w:val="1"/>
        <w:rPr>
          <w:rFonts w:asciiTheme="minorEastAsia" w:hAnsiTheme="minorEastAsia"/>
          <w:color w:val="auto"/>
          <w:sz w:val="24"/>
          <w:szCs w:val="24"/>
          <w:highlight w:val="none"/>
        </w:rPr>
      </w:pPr>
      <w:bookmarkStart w:id="729" w:name="_Toc76398666"/>
      <w:r>
        <w:rPr>
          <w:rFonts w:hint="eastAsia" w:asciiTheme="minorEastAsia" w:hAnsiTheme="minorEastAsia"/>
          <w:color w:val="auto"/>
          <w:sz w:val="24"/>
          <w:szCs w:val="24"/>
          <w:highlight w:val="none"/>
        </w:rPr>
        <w:t>5.4 有异议部分的支付</w:t>
      </w:r>
      <w:bookmarkEnd w:id="729"/>
    </w:p>
    <w:p w14:paraId="2E93AFC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委托人对咨询人提交的支付申请书有异议时，应当在收到咨询人提交的支付申请书后 7 日内，以书面形式向咨询人发出异议通知。无异议部分的款项应按期支付，有异议部分的款项按第 7 条约定办理。</w:t>
      </w:r>
    </w:p>
    <w:p w14:paraId="00140C22">
      <w:pPr>
        <w:spacing w:line="360" w:lineRule="auto"/>
        <w:ind w:firstLine="480" w:firstLineChars="200"/>
        <w:outlineLvl w:val="0"/>
        <w:rPr>
          <w:rFonts w:asciiTheme="minorEastAsia" w:hAnsiTheme="minorEastAsia"/>
          <w:color w:val="auto"/>
          <w:sz w:val="24"/>
          <w:szCs w:val="24"/>
          <w:highlight w:val="none"/>
        </w:rPr>
      </w:pPr>
      <w:bookmarkStart w:id="730" w:name="_Toc76398667"/>
      <w:r>
        <w:rPr>
          <w:rFonts w:hint="eastAsia" w:asciiTheme="minorEastAsia" w:hAnsiTheme="minorEastAsia"/>
          <w:color w:val="auto"/>
          <w:sz w:val="24"/>
          <w:szCs w:val="24"/>
          <w:highlight w:val="none"/>
        </w:rPr>
        <w:t>6.合同变更、解除与终止</w:t>
      </w:r>
      <w:bookmarkEnd w:id="730"/>
    </w:p>
    <w:p w14:paraId="150D5706">
      <w:pPr>
        <w:spacing w:line="360" w:lineRule="auto"/>
        <w:ind w:firstLine="480" w:firstLineChars="200"/>
        <w:outlineLvl w:val="1"/>
        <w:rPr>
          <w:rFonts w:asciiTheme="minorEastAsia" w:hAnsiTheme="minorEastAsia"/>
          <w:color w:val="auto"/>
          <w:sz w:val="24"/>
          <w:szCs w:val="24"/>
          <w:highlight w:val="none"/>
        </w:rPr>
      </w:pPr>
      <w:bookmarkStart w:id="731" w:name="_Toc76398668"/>
      <w:r>
        <w:rPr>
          <w:rFonts w:hint="eastAsia" w:asciiTheme="minorEastAsia" w:hAnsiTheme="minorEastAsia"/>
          <w:color w:val="auto"/>
          <w:sz w:val="24"/>
          <w:szCs w:val="24"/>
          <w:highlight w:val="none"/>
        </w:rPr>
        <w:t>6.1 合同变更</w:t>
      </w:r>
      <w:bookmarkEnd w:id="731"/>
    </w:p>
    <w:p w14:paraId="4C9B611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6.1.1 任何一方以书面形式提出变更请求时，双方经协商一致后可进行变更。</w:t>
      </w:r>
    </w:p>
    <w:p w14:paraId="3A2E742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1E5B458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34EFAD5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6.1.4 因工程规模、服务范围及工作内容的变化等导致咨询人的工作量增减时，服务酬金应作相应调整，调整方法由双方在专用条件中约定。</w:t>
      </w:r>
    </w:p>
    <w:p w14:paraId="1B572615">
      <w:pPr>
        <w:spacing w:line="360" w:lineRule="auto"/>
        <w:ind w:firstLine="480" w:firstLineChars="200"/>
        <w:outlineLvl w:val="1"/>
        <w:rPr>
          <w:rFonts w:asciiTheme="minorEastAsia" w:hAnsiTheme="minorEastAsia"/>
          <w:color w:val="auto"/>
          <w:sz w:val="24"/>
          <w:szCs w:val="24"/>
          <w:highlight w:val="none"/>
        </w:rPr>
      </w:pPr>
      <w:bookmarkStart w:id="732" w:name="_Toc76398669"/>
      <w:r>
        <w:rPr>
          <w:rFonts w:hint="eastAsia" w:asciiTheme="minorEastAsia" w:hAnsiTheme="minorEastAsia"/>
          <w:color w:val="auto"/>
          <w:sz w:val="24"/>
          <w:szCs w:val="24"/>
          <w:highlight w:val="none"/>
        </w:rPr>
        <w:t>6.2 合同解除</w:t>
      </w:r>
      <w:bookmarkEnd w:id="732"/>
    </w:p>
    <w:p w14:paraId="00B4B54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6.2.1 委托人与咨询人协商一致，可以解除合同。</w:t>
      </w:r>
    </w:p>
    <w:p w14:paraId="1CA38C1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6.2.2 有下列情形之一的，合同当事人一方或双方可以解除合同：</w:t>
      </w:r>
    </w:p>
    <w:p w14:paraId="333E486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（1）咨询人将本合同约定的工程造价咨询服务工作全部或部分转包给他人，委托人可以解除合同；</w:t>
      </w:r>
    </w:p>
    <w:p w14:paraId="75C9BA3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（2）咨询人提供的造价咨询服务不符合合同约定的要求，经委托人催告仍不能达到合同约定要求的，委托人可以解除合同；</w:t>
      </w:r>
    </w:p>
    <w:p w14:paraId="2F25255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（3）因不可抗力致使合同无法履行；</w:t>
      </w:r>
    </w:p>
    <w:p w14:paraId="2F3DB38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（4）因一方违约致使合同无法实际履行或实际履行已无必要。</w:t>
      </w:r>
    </w:p>
    <w:p w14:paraId="3804F12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除上述情形外，双方可以根据委托的服务范围及工作内容，在专用条件中约定解除合同的其他条件。</w:t>
      </w:r>
    </w:p>
    <w:p w14:paraId="61EEFE3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6.2.3 任何一方提出解除合同的，应提前 30 天书面通知对方，无法提前通知解除的情形除外。</w:t>
      </w:r>
    </w:p>
    <w:p w14:paraId="63B5879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7307988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6.2.5 本合同解除后，本合同约定的有关结算、争议解决方式的条款仍然有效。</w:t>
      </w:r>
    </w:p>
    <w:p w14:paraId="21782272">
      <w:pPr>
        <w:spacing w:line="360" w:lineRule="auto"/>
        <w:ind w:firstLine="480" w:firstLineChars="200"/>
        <w:outlineLvl w:val="1"/>
        <w:rPr>
          <w:rFonts w:asciiTheme="minorEastAsia" w:hAnsiTheme="minorEastAsia"/>
          <w:color w:val="auto"/>
          <w:sz w:val="24"/>
          <w:szCs w:val="24"/>
          <w:highlight w:val="none"/>
        </w:rPr>
      </w:pPr>
      <w:bookmarkStart w:id="733" w:name="_Toc76398670"/>
      <w:r>
        <w:rPr>
          <w:rFonts w:hint="eastAsia" w:asciiTheme="minorEastAsia" w:hAnsiTheme="minorEastAsia"/>
          <w:color w:val="auto"/>
          <w:sz w:val="24"/>
          <w:szCs w:val="24"/>
          <w:highlight w:val="none"/>
        </w:rPr>
        <w:t>6.3 合同终止</w:t>
      </w:r>
      <w:bookmarkEnd w:id="733"/>
    </w:p>
    <w:p w14:paraId="1D8F619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除合同解除外，以下条件全部满足时，本合同终止：</w:t>
      </w:r>
    </w:p>
    <w:p w14:paraId="1DAF26D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（1）咨询人完成本合同约定的全部工作；</w:t>
      </w:r>
    </w:p>
    <w:p w14:paraId="4F5D9B7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（2）委托人与咨询人结清并支付酬金；</w:t>
      </w:r>
    </w:p>
    <w:p w14:paraId="6B2C329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（3）咨询人将委托人提供的资料交还。</w:t>
      </w:r>
    </w:p>
    <w:p w14:paraId="4987FFEE">
      <w:pPr>
        <w:spacing w:line="360" w:lineRule="auto"/>
        <w:ind w:firstLine="480" w:firstLineChars="200"/>
        <w:outlineLvl w:val="0"/>
        <w:rPr>
          <w:rFonts w:asciiTheme="minorEastAsia" w:hAnsiTheme="minorEastAsia"/>
          <w:color w:val="auto"/>
          <w:sz w:val="24"/>
          <w:szCs w:val="24"/>
          <w:highlight w:val="none"/>
        </w:rPr>
      </w:pPr>
      <w:bookmarkStart w:id="734" w:name="_Toc76398671"/>
      <w:r>
        <w:rPr>
          <w:rFonts w:hint="eastAsia" w:asciiTheme="minorEastAsia" w:hAnsiTheme="minorEastAsia"/>
          <w:color w:val="auto"/>
          <w:sz w:val="24"/>
          <w:szCs w:val="24"/>
          <w:highlight w:val="none"/>
        </w:rPr>
        <w:t>7.争议解决</w:t>
      </w:r>
      <w:bookmarkEnd w:id="734"/>
    </w:p>
    <w:p w14:paraId="4A138236">
      <w:pPr>
        <w:spacing w:line="360" w:lineRule="auto"/>
        <w:ind w:firstLine="480" w:firstLineChars="200"/>
        <w:outlineLvl w:val="1"/>
        <w:rPr>
          <w:rFonts w:asciiTheme="minorEastAsia" w:hAnsiTheme="minorEastAsia"/>
          <w:color w:val="auto"/>
          <w:sz w:val="24"/>
          <w:szCs w:val="24"/>
          <w:highlight w:val="none"/>
        </w:rPr>
      </w:pPr>
      <w:bookmarkStart w:id="735" w:name="_Toc76398672"/>
      <w:r>
        <w:rPr>
          <w:rFonts w:hint="eastAsia" w:asciiTheme="minorEastAsia" w:hAnsiTheme="minorEastAsia"/>
          <w:color w:val="auto"/>
          <w:sz w:val="24"/>
          <w:szCs w:val="24"/>
          <w:highlight w:val="none"/>
        </w:rPr>
        <w:t>7.1 协商</w:t>
      </w:r>
      <w:bookmarkEnd w:id="735"/>
    </w:p>
    <w:p w14:paraId="2C7110B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双方应本着诚实信用的原则协商解决本合同履行过程中发生的争议。</w:t>
      </w:r>
    </w:p>
    <w:p w14:paraId="4B29BB7E">
      <w:pPr>
        <w:spacing w:line="360" w:lineRule="auto"/>
        <w:ind w:firstLine="480" w:firstLineChars="200"/>
        <w:outlineLvl w:val="1"/>
        <w:rPr>
          <w:rFonts w:asciiTheme="minorEastAsia" w:hAnsiTheme="minorEastAsia"/>
          <w:color w:val="auto"/>
          <w:sz w:val="24"/>
          <w:szCs w:val="24"/>
          <w:highlight w:val="none"/>
        </w:rPr>
      </w:pPr>
      <w:bookmarkStart w:id="736" w:name="_Toc76398673"/>
      <w:r>
        <w:rPr>
          <w:rFonts w:hint="eastAsia" w:asciiTheme="minorEastAsia" w:hAnsiTheme="minorEastAsia"/>
          <w:color w:val="auto"/>
          <w:sz w:val="24"/>
          <w:szCs w:val="24"/>
          <w:highlight w:val="none"/>
        </w:rPr>
        <w:t>7.2 调解</w:t>
      </w:r>
      <w:bookmarkEnd w:id="736"/>
    </w:p>
    <w:p w14:paraId="6357B59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如果双方不能在 14 日内或双方商定的其他时间内解决本合同争议，可以将其提交给专用条件约定的或事后达成协议的调解人进行调解。</w:t>
      </w:r>
    </w:p>
    <w:p w14:paraId="37A2A942">
      <w:pPr>
        <w:spacing w:line="360" w:lineRule="auto"/>
        <w:ind w:firstLine="480" w:firstLineChars="200"/>
        <w:outlineLvl w:val="1"/>
        <w:rPr>
          <w:rFonts w:asciiTheme="minorEastAsia" w:hAnsiTheme="minorEastAsia"/>
          <w:color w:val="auto"/>
          <w:sz w:val="24"/>
          <w:szCs w:val="24"/>
          <w:highlight w:val="none"/>
        </w:rPr>
      </w:pPr>
      <w:bookmarkStart w:id="737" w:name="_Toc76398674"/>
      <w:r>
        <w:rPr>
          <w:rFonts w:hint="eastAsia" w:asciiTheme="minorEastAsia" w:hAnsiTheme="minorEastAsia"/>
          <w:color w:val="auto"/>
          <w:sz w:val="24"/>
          <w:szCs w:val="24"/>
          <w:highlight w:val="none"/>
        </w:rPr>
        <w:t>7.3 仲裁或诉讼</w:t>
      </w:r>
      <w:bookmarkEnd w:id="737"/>
    </w:p>
    <w:p w14:paraId="493AE44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双方均有权不经调解直接向专用条件约定的仲裁机构申请仲裁或向有管辖权的人民法院提起诉讼。</w:t>
      </w:r>
    </w:p>
    <w:p w14:paraId="1BFEB9CA">
      <w:pPr>
        <w:spacing w:line="360" w:lineRule="auto"/>
        <w:ind w:firstLine="480" w:firstLineChars="200"/>
        <w:outlineLvl w:val="0"/>
        <w:rPr>
          <w:rFonts w:asciiTheme="minorEastAsia" w:hAnsiTheme="minorEastAsia"/>
          <w:color w:val="auto"/>
          <w:sz w:val="24"/>
          <w:szCs w:val="24"/>
          <w:highlight w:val="none"/>
        </w:rPr>
      </w:pPr>
      <w:bookmarkStart w:id="738" w:name="_Toc76398675"/>
      <w:r>
        <w:rPr>
          <w:rFonts w:hint="eastAsia" w:asciiTheme="minorEastAsia" w:hAnsiTheme="minorEastAsia"/>
          <w:color w:val="auto"/>
          <w:sz w:val="24"/>
          <w:szCs w:val="24"/>
          <w:highlight w:val="none"/>
        </w:rPr>
        <w:t>8.其他</w:t>
      </w:r>
      <w:bookmarkEnd w:id="738"/>
    </w:p>
    <w:p w14:paraId="4A5F909C">
      <w:pPr>
        <w:spacing w:line="360" w:lineRule="auto"/>
        <w:ind w:firstLine="480" w:firstLineChars="200"/>
        <w:outlineLvl w:val="1"/>
        <w:rPr>
          <w:rFonts w:asciiTheme="minorEastAsia" w:hAnsiTheme="minorEastAsia"/>
          <w:color w:val="auto"/>
          <w:sz w:val="24"/>
          <w:szCs w:val="24"/>
          <w:highlight w:val="none"/>
        </w:rPr>
      </w:pPr>
      <w:bookmarkStart w:id="739" w:name="_Toc76398676"/>
      <w:r>
        <w:rPr>
          <w:rFonts w:hint="eastAsia" w:asciiTheme="minorEastAsia" w:hAnsiTheme="minorEastAsia"/>
          <w:color w:val="auto"/>
          <w:sz w:val="24"/>
          <w:szCs w:val="24"/>
          <w:highlight w:val="none"/>
        </w:rPr>
        <w:t>8.1 考察及相关费用</w:t>
      </w:r>
      <w:bookmarkEnd w:id="739"/>
    </w:p>
    <w:p w14:paraId="1ED685C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除专用条件另有约定外，咨询人经委托人同意进行考察发生的费用由委托人审核后另行支付。差旅费及相关费用的承担由双方在专用条件中约定。</w:t>
      </w:r>
    </w:p>
    <w:p w14:paraId="02846231">
      <w:pPr>
        <w:spacing w:line="360" w:lineRule="auto"/>
        <w:ind w:firstLine="480" w:firstLineChars="200"/>
        <w:outlineLvl w:val="1"/>
        <w:rPr>
          <w:rFonts w:asciiTheme="minorEastAsia" w:hAnsiTheme="minorEastAsia"/>
          <w:color w:val="auto"/>
          <w:sz w:val="24"/>
          <w:szCs w:val="24"/>
          <w:highlight w:val="none"/>
        </w:rPr>
      </w:pPr>
      <w:bookmarkStart w:id="740" w:name="_Toc76398677"/>
      <w:r>
        <w:rPr>
          <w:rFonts w:hint="eastAsia" w:asciiTheme="minorEastAsia" w:hAnsiTheme="minorEastAsia"/>
          <w:color w:val="auto"/>
          <w:sz w:val="24"/>
          <w:szCs w:val="24"/>
          <w:highlight w:val="none"/>
        </w:rPr>
        <w:t>8.2 奖励</w:t>
      </w:r>
      <w:bookmarkEnd w:id="740"/>
    </w:p>
    <w:p w14:paraId="261CC3F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对于咨询人在服务过程中提出合理化建议，使委托人获得效益的，双方在专用条件中约定奖励金额的确定方法。奖励金额在合理化建议被采纳后，与最近一期的正常工作酬金同期支付。</w:t>
      </w:r>
    </w:p>
    <w:p w14:paraId="6563AFDB">
      <w:pPr>
        <w:spacing w:line="360" w:lineRule="auto"/>
        <w:ind w:firstLine="480" w:firstLineChars="200"/>
        <w:outlineLvl w:val="1"/>
        <w:rPr>
          <w:rFonts w:asciiTheme="minorEastAsia" w:hAnsiTheme="minorEastAsia"/>
          <w:color w:val="auto"/>
          <w:sz w:val="24"/>
          <w:szCs w:val="24"/>
          <w:highlight w:val="none"/>
        </w:rPr>
      </w:pPr>
      <w:bookmarkStart w:id="741" w:name="_Toc76398678"/>
      <w:r>
        <w:rPr>
          <w:rFonts w:hint="eastAsia" w:asciiTheme="minorEastAsia" w:hAnsiTheme="minorEastAsia"/>
          <w:color w:val="auto"/>
          <w:sz w:val="24"/>
          <w:szCs w:val="24"/>
          <w:highlight w:val="none"/>
        </w:rPr>
        <w:t>8.3 保密</w:t>
      </w:r>
      <w:bookmarkEnd w:id="741"/>
    </w:p>
    <w:p w14:paraId="6EBEF24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在本合同履行期间或专用条件约定的期限内，双方不得泄露对方申明的保密资料，亦不得泄露与实施工程有关的第三人所提供的保密资料。保密事项在专用条件中约定。</w:t>
      </w:r>
    </w:p>
    <w:p w14:paraId="54BB7976">
      <w:pPr>
        <w:spacing w:line="360" w:lineRule="auto"/>
        <w:ind w:firstLine="480" w:firstLineChars="200"/>
        <w:outlineLvl w:val="1"/>
        <w:rPr>
          <w:rFonts w:asciiTheme="minorEastAsia" w:hAnsiTheme="minorEastAsia"/>
          <w:color w:val="auto"/>
          <w:sz w:val="24"/>
          <w:szCs w:val="24"/>
          <w:highlight w:val="none"/>
        </w:rPr>
      </w:pPr>
      <w:bookmarkStart w:id="742" w:name="_Toc76398679"/>
      <w:r>
        <w:rPr>
          <w:rFonts w:hint="eastAsia" w:asciiTheme="minorEastAsia" w:hAnsiTheme="minorEastAsia"/>
          <w:color w:val="auto"/>
          <w:sz w:val="24"/>
          <w:szCs w:val="24"/>
          <w:highlight w:val="none"/>
        </w:rPr>
        <w:t>8.4 联络</w:t>
      </w:r>
      <w:bookmarkEnd w:id="742"/>
    </w:p>
    <w:p w14:paraId="0D30EA4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8.4.1 与合同有关的通知、指示、要求、决定等，均应采用书面形式，并应在专用条件约定的期限内送达接收人和送达地点。</w:t>
      </w:r>
    </w:p>
    <w:p w14:paraId="15971E4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8.4.2 委托人和咨询人应在专用条件中约定各自的送达接收人、送达地点、电子邮箱。任何一方指定的接收人或送达地点或电子邮箱发生变动的，应提前 3 天以书面形式通知对方，否则视为未发生变动。</w:t>
      </w:r>
    </w:p>
    <w:p w14:paraId="696A231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8.4.3 委托人和咨询人应当及时签收另一方送达至送达地点和指定接收人的往来函件，如确有充分证据证明一方无正当理由拒不签收的，视为认可往来函件的内容。</w:t>
      </w:r>
    </w:p>
    <w:p w14:paraId="157E0319">
      <w:pPr>
        <w:spacing w:line="360" w:lineRule="auto"/>
        <w:ind w:firstLine="480" w:firstLineChars="200"/>
        <w:outlineLvl w:val="1"/>
        <w:rPr>
          <w:rFonts w:asciiTheme="minorEastAsia" w:hAnsiTheme="minorEastAsia"/>
          <w:color w:val="auto"/>
          <w:sz w:val="24"/>
          <w:szCs w:val="24"/>
          <w:highlight w:val="none"/>
        </w:rPr>
      </w:pPr>
      <w:bookmarkStart w:id="743" w:name="_Toc76398680"/>
      <w:r>
        <w:rPr>
          <w:rFonts w:hint="eastAsia" w:asciiTheme="minorEastAsia" w:hAnsiTheme="minorEastAsia"/>
          <w:color w:val="auto"/>
          <w:sz w:val="24"/>
          <w:szCs w:val="24"/>
          <w:highlight w:val="none"/>
        </w:rPr>
        <w:t>8.5 知识产权</w:t>
      </w:r>
      <w:bookmarkEnd w:id="743"/>
    </w:p>
    <w:p w14:paraId="2BCBD6C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5858682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5EC44EB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双方保证在履行本合同过程中不侵犯对方及第三方的知识产权。因咨询人侵犯他人知识产权所引起的责任，由咨询人承担；因委托人提供的基础资料导致侵权的，由委托人承担责任。</w:t>
      </w:r>
    </w:p>
    <w:p w14:paraId="5956B3D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除专用条件另有约定外，双方均有权在履行本合同保密义务并且不损害对方利益的情况下，将履行本合同形成的有关成果文件用于企业宣传、申报奖项以及接受上级主管部门的检查。</w:t>
      </w:r>
    </w:p>
    <w:p w14:paraId="2AB666DB">
      <w:pPr>
        <w:widowControl/>
        <w:jc w:val="left"/>
        <w:rPr>
          <w:rFonts w:asciiTheme="minorEastAsia" w:hAnsiTheme="minorEastAsia"/>
          <w:color w:val="auto"/>
          <w:sz w:val="24"/>
          <w:szCs w:val="24"/>
          <w:highlight w:val="none"/>
        </w:rPr>
      </w:pPr>
      <w:r>
        <w:rPr>
          <w:rFonts w:asciiTheme="minorEastAsia" w:hAnsiTheme="minorEastAsia"/>
          <w:color w:val="auto"/>
          <w:sz w:val="24"/>
          <w:szCs w:val="24"/>
          <w:highlight w:val="none"/>
        </w:rPr>
        <w:br w:type="page"/>
      </w:r>
    </w:p>
    <w:p w14:paraId="2CBCA0CC">
      <w:pPr>
        <w:spacing w:line="360" w:lineRule="auto"/>
        <w:ind w:firstLine="643"/>
        <w:jc w:val="center"/>
        <w:outlineLvl w:val="0"/>
        <w:rPr>
          <w:rFonts w:asciiTheme="minorEastAsia" w:hAnsiTheme="minorEastAsia"/>
          <w:b/>
          <w:color w:val="auto"/>
          <w:sz w:val="32"/>
          <w:szCs w:val="32"/>
          <w:highlight w:val="none"/>
        </w:rPr>
      </w:pPr>
      <w:bookmarkStart w:id="744" w:name="_Toc76398681"/>
      <w:r>
        <w:rPr>
          <w:rFonts w:hint="eastAsia" w:asciiTheme="minorEastAsia" w:hAnsiTheme="minorEastAsia"/>
          <w:b/>
          <w:color w:val="auto"/>
          <w:sz w:val="32"/>
          <w:szCs w:val="32"/>
          <w:highlight w:val="none"/>
        </w:rPr>
        <w:t>第三部分专用条件</w:t>
      </w:r>
      <w:bookmarkEnd w:id="744"/>
    </w:p>
    <w:p w14:paraId="64B2F700">
      <w:pPr>
        <w:spacing w:line="360" w:lineRule="auto"/>
        <w:ind w:firstLine="480" w:firstLineChars="200"/>
        <w:outlineLvl w:val="0"/>
        <w:rPr>
          <w:rFonts w:asciiTheme="minorEastAsia" w:hAnsiTheme="minorEastAsia"/>
          <w:color w:val="auto"/>
          <w:sz w:val="24"/>
          <w:szCs w:val="24"/>
          <w:highlight w:val="none"/>
        </w:rPr>
      </w:pPr>
      <w:bookmarkStart w:id="745" w:name="_Toc76398682"/>
      <w:r>
        <w:rPr>
          <w:rFonts w:hint="eastAsia" w:asciiTheme="minorEastAsia" w:hAnsiTheme="minorEastAsia"/>
          <w:color w:val="auto"/>
          <w:sz w:val="24"/>
          <w:szCs w:val="24"/>
          <w:highlight w:val="none"/>
        </w:rPr>
        <w:t>1.词语定义、语言、解释顺序与适用法律</w:t>
      </w:r>
      <w:bookmarkEnd w:id="745"/>
    </w:p>
    <w:p w14:paraId="066276F6">
      <w:pPr>
        <w:spacing w:line="360" w:lineRule="auto"/>
        <w:ind w:firstLine="480" w:firstLineChars="200"/>
        <w:outlineLvl w:val="1"/>
        <w:rPr>
          <w:rFonts w:asciiTheme="minorEastAsia" w:hAnsiTheme="minorEastAsia"/>
          <w:color w:val="auto"/>
          <w:sz w:val="24"/>
          <w:szCs w:val="24"/>
          <w:highlight w:val="none"/>
        </w:rPr>
      </w:pPr>
      <w:bookmarkStart w:id="746" w:name="_Toc76398683"/>
      <w:r>
        <w:rPr>
          <w:rFonts w:hint="eastAsia" w:asciiTheme="minorEastAsia" w:hAnsiTheme="minorEastAsia"/>
          <w:color w:val="auto"/>
          <w:sz w:val="24"/>
          <w:szCs w:val="24"/>
          <w:highlight w:val="none"/>
        </w:rPr>
        <w:t>1.2 语言</w:t>
      </w:r>
      <w:bookmarkEnd w:id="746"/>
    </w:p>
    <w:p w14:paraId="6A95C43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本合同文件除使用中文外，还可用</w:t>
      </w:r>
      <w:r>
        <w:rPr>
          <w:rFonts w:hint="eastAsia" w:asciiTheme="minorEastAsia" w:hAnsiTheme="minorEastAsia"/>
          <w:color w:val="auto"/>
          <w:sz w:val="24"/>
          <w:szCs w:val="24"/>
          <w:highlight w:val="none"/>
          <w:u w:val="single"/>
        </w:rPr>
        <w:t xml:space="preserve">   /    </w:t>
      </w:r>
      <w:r>
        <w:rPr>
          <w:rFonts w:hint="eastAsia" w:asciiTheme="minorEastAsia" w:hAnsiTheme="minorEastAsia"/>
          <w:color w:val="auto"/>
          <w:sz w:val="24"/>
          <w:szCs w:val="24"/>
          <w:highlight w:val="none"/>
        </w:rPr>
        <w:t>。</w:t>
      </w:r>
    </w:p>
    <w:p w14:paraId="1C3214CF">
      <w:pPr>
        <w:spacing w:line="360" w:lineRule="auto"/>
        <w:ind w:firstLine="480" w:firstLineChars="200"/>
        <w:outlineLvl w:val="1"/>
        <w:rPr>
          <w:rFonts w:asciiTheme="minorEastAsia" w:hAnsiTheme="minorEastAsia"/>
          <w:color w:val="auto"/>
          <w:sz w:val="24"/>
          <w:szCs w:val="24"/>
          <w:highlight w:val="none"/>
        </w:rPr>
      </w:pPr>
      <w:bookmarkStart w:id="747" w:name="_Toc76398684"/>
      <w:r>
        <w:rPr>
          <w:rFonts w:hint="eastAsia" w:asciiTheme="minorEastAsia" w:hAnsiTheme="minorEastAsia"/>
          <w:color w:val="auto"/>
          <w:sz w:val="24"/>
          <w:szCs w:val="24"/>
          <w:highlight w:val="none"/>
        </w:rPr>
        <w:t>1.3 合同文件的优先顺序</w:t>
      </w:r>
      <w:bookmarkEnd w:id="747"/>
    </w:p>
    <w:p w14:paraId="11A51F43">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本合同文件的解释顺序为：</w:t>
      </w:r>
    </w:p>
    <w:p w14:paraId="6D49C79F">
      <w:pPr>
        <w:pStyle w:val="6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1.3.1.协议书；</w:t>
      </w:r>
    </w:p>
    <w:p w14:paraId="2EA2FC80">
      <w:pPr>
        <w:pStyle w:val="6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1.3.2. 招标文件或比选文件（包括但不限于本工程的招标或比选文件、图纸、其他技术资料及招标人发出的对招标或比选文件所作的澄清、修改、补遗等资料）（若有）；</w:t>
      </w:r>
    </w:p>
    <w:p w14:paraId="520B2E91">
      <w:pPr>
        <w:pStyle w:val="6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1.3.3.中标通知书或委托书（如果有）；</w:t>
      </w:r>
    </w:p>
    <w:p w14:paraId="07FC9E02">
      <w:pPr>
        <w:pStyle w:val="6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1.3.3.专用条件及附录；</w:t>
      </w:r>
    </w:p>
    <w:p w14:paraId="05AC6051">
      <w:pPr>
        <w:pStyle w:val="6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1.3.4.通用条件；</w:t>
      </w:r>
    </w:p>
    <w:p w14:paraId="4779F347">
      <w:pPr>
        <w:pStyle w:val="6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1.3.6.投标函及投标函附录或造价咨询服务建议书（如果有）；</w:t>
      </w:r>
    </w:p>
    <w:p w14:paraId="1830D840">
      <w:pPr>
        <w:pStyle w:val="68"/>
        <w:spacing w:line="360" w:lineRule="auto"/>
        <w:ind w:firstLine="480" w:firstLineChars="200"/>
        <w:jc w:val="left"/>
        <w:rPr>
          <w:rFonts w:asciiTheme="minorEastAsia" w:hAnsiTheme="minorEastAsia"/>
          <w:color w:val="auto"/>
          <w:sz w:val="24"/>
          <w:szCs w:val="24"/>
          <w:highlight w:val="none"/>
        </w:rPr>
      </w:pPr>
      <w:r>
        <w:rPr>
          <w:rFonts w:hint="eastAsia" w:ascii="宋体" w:hAnsi="宋体" w:cs="宋体"/>
          <w:bCs/>
          <w:color w:val="auto"/>
          <w:sz w:val="24"/>
          <w:szCs w:val="24"/>
          <w:highlight w:val="none"/>
        </w:rPr>
        <w:t>1.3.7.其他合同文件。</w:t>
      </w:r>
    </w:p>
    <w:p w14:paraId="0F63F314">
      <w:pPr>
        <w:spacing w:line="360" w:lineRule="auto"/>
        <w:ind w:firstLine="480" w:firstLineChars="200"/>
        <w:outlineLvl w:val="1"/>
        <w:rPr>
          <w:rFonts w:asciiTheme="minorEastAsia" w:hAnsiTheme="minorEastAsia"/>
          <w:color w:val="auto"/>
          <w:sz w:val="24"/>
          <w:szCs w:val="24"/>
          <w:highlight w:val="none"/>
        </w:rPr>
      </w:pPr>
      <w:bookmarkStart w:id="748" w:name="_Toc76398685"/>
      <w:r>
        <w:rPr>
          <w:rFonts w:hint="eastAsia" w:asciiTheme="minorEastAsia" w:hAnsiTheme="minorEastAsia"/>
          <w:color w:val="auto"/>
          <w:sz w:val="24"/>
          <w:szCs w:val="24"/>
          <w:highlight w:val="none"/>
        </w:rPr>
        <w:t>1.4 适用法律</w:t>
      </w:r>
      <w:bookmarkEnd w:id="748"/>
    </w:p>
    <w:p w14:paraId="5EA473A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本合同适用的其他规范性文件包括:</w:t>
      </w:r>
      <w:r>
        <w:rPr>
          <w:rFonts w:hint="eastAsia" w:asciiTheme="minorEastAsia" w:hAnsiTheme="minorEastAsia"/>
          <w:color w:val="auto"/>
          <w:sz w:val="24"/>
          <w:szCs w:val="24"/>
          <w:highlight w:val="none"/>
          <w:u w:val="single"/>
        </w:rPr>
        <w:t xml:space="preserve">   重庆市现行的工程量清单计算规则、定额、规程、技术标准等规范性文件</w:t>
      </w:r>
      <w:r>
        <w:rPr>
          <w:rFonts w:hint="eastAsia" w:asciiTheme="minorEastAsia" w:hAnsiTheme="minorEastAsia"/>
          <w:color w:val="auto"/>
          <w:sz w:val="24"/>
          <w:szCs w:val="24"/>
          <w:highlight w:val="none"/>
        </w:rPr>
        <w:t>。</w:t>
      </w:r>
    </w:p>
    <w:p w14:paraId="23F67690">
      <w:pPr>
        <w:spacing w:line="360" w:lineRule="auto"/>
        <w:ind w:firstLine="480" w:firstLineChars="200"/>
        <w:outlineLvl w:val="0"/>
        <w:rPr>
          <w:rFonts w:asciiTheme="minorEastAsia" w:hAnsiTheme="minorEastAsia"/>
          <w:color w:val="auto"/>
          <w:sz w:val="24"/>
          <w:szCs w:val="24"/>
          <w:highlight w:val="none"/>
        </w:rPr>
      </w:pPr>
      <w:bookmarkStart w:id="749" w:name="_Toc76398686"/>
      <w:r>
        <w:rPr>
          <w:rFonts w:hint="eastAsia" w:asciiTheme="minorEastAsia" w:hAnsiTheme="minorEastAsia"/>
          <w:color w:val="auto"/>
          <w:sz w:val="24"/>
          <w:szCs w:val="24"/>
          <w:highlight w:val="none"/>
        </w:rPr>
        <w:t>2.委托人的义务</w:t>
      </w:r>
      <w:bookmarkEnd w:id="749"/>
    </w:p>
    <w:p w14:paraId="039A976E">
      <w:pPr>
        <w:spacing w:line="360" w:lineRule="auto"/>
        <w:ind w:firstLine="480" w:firstLineChars="200"/>
        <w:outlineLvl w:val="1"/>
        <w:rPr>
          <w:rFonts w:asciiTheme="minorEastAsia" w:hAnsiTheme="minorEastAsia"/>
          <w:color w:val="auto"/>
          <w:sz w:val="24"/>
          <w:szCs w:val="24"/>
          <w:highlight w:val="none"/>
        </w:rPr>
      </w:pPr>
      <w:bookmarkStart w:id="750" w:name="_Toc76398687"/>
      <w:r>
        <w:rPr>
          <w:rFonts w:hint="eastAsia" w:asciiTheme="minorEastAsia" w:hAnsiTheme="minorEastAsia"/>
          <w:color w:val="auto"/>
          <w:sz w:val="24"/>
          <w:szCs w:val="24"/>
          <w:highlight w:val="none"/>
        </w:rPr>
        <w:t>2.1 提供资料</w:t>
      </w:r>
      <w:bookmarkEnd w:id="750"/>
    </w:p>
    <w:p w14:paraId="195C568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委托人按照附录 C 约定无偿向咨询人提供与本合同咨询业务有关资料的时间为：</w:t>
      </w:r>
      <w:r>
        <w:rPr>
          <w:rFonts w:hint="eastAsia" w:asciiTheme="minorEastAsia" w:hAnsiTheme="minorEastAsia"/>
          <w:color w:val="auto"/>
          <w:sz w:val="24"/>
          <w:szCs w:val="24"/>
          <w:highlight w:val="none"/>
          <w:u w:val="single"/>
        </w:rPr>
        <w:t>签订合同后7日内</w:t>
      </w:r>
      <w:r>
        <w:rPr>
          <w:rFonts w:hint="eastAsia" w:asciiTheme="minorEastAsia" w:hAnsiTheme="minorEastAsia"/>
          <w:color w:val="auto"/>
          <w:sz w:val="24"/>
          <w:szCs w:val="24"/>
          <w:highlight w:val="none"/>
        </w:rPr>
        <w:t>。</w:t>
      </w:r>
    </w:p>
    <w:p w14:paraId="44B567BE">
      <w:pPr>
        <w:spacing w:line="360" w:lineRule="auto"/>
        <w:ind w:firstLine="480" w:firstLineChars="200"/>
        <w:outlineLvl w:val="1"/>
        <w:rPr>
          <w:rFonts w:asciiTheme="minorEastAsia" w:hAnsiTheme="minorEastAsia"/>
          <w:color w:val="auto"/>
          <w:sz w:val="24"/>
          <w:szCs w:val="24"/>
          <w:highlight w:val="none"/>
        </w:rPr>
      </w:pPr>
      <w:bookmarkStart w:id="751" w:name="_Toc76398688"/>
      <w:r>
        <w:rPr>
          <w:rFonts w:hint="eastAsia" w:asciiTheme="minorEastAsia" w:hAnsiTheme="minorEastAsia"/>
          <w:color w:val="auto"/>
          <w:sz w:val="24"/>
          <w:szCs w:val="24"/>
          <w:highlight w:val="none"/>
        </w:rPr>
        <w:t>2.2 提供工作条件</w:t>
      </w:r>
      <w:bookmarkEnd w:id="751"/>
    </w:p>
    <w:p w14:paraId="258AF8D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2.2.1 本合同履行中，委托人不需要向项目咨询人员提供的房屋及设备。</w:t>
      </w:r>
    </w:p>
    <w:p w14:paraId="600B8960">
      <w:pPr>
        <w:spacing w:line="360" w:lineRule="auto"/>
        <w:ind w:firstLine="480" w:firstLineChars="200"/>
        <w:outlineLvl w:val="1"/>
        <w:rPr>
          <w:rFonts w:asciiTheme="minorEastAsia" w:hAnsiTheme="minorEastAsia"/>
          <w:color w:val="auto"/>
          <w:sz w:val="24"/>
          <w:szCs w:val="24"/>
          <w:highlight w:val="none"/>
        </w:rPr>
      </w:pPr>
      <w:bookmarkStart w:id="752" w:name="_Toc76398689"/>
      <w:r>
        <w:rPr>
          <w:rFonts w:hint="eastAsia" w:asciiTheme="minorEastAsia" w:hAnsiTheme="minorEastAsia"/>
          <w:color w:val="auto"/>
          <w:sz w:val="24"/>
          <w:szCs w:val="24"/>
          <w:highlight w:val="none"/>
        </w:rPr>
        <w:t>2.4 委托人代表</w:t>
      </w:r>
      <w:bookmarkEnd w:id="752"/>
    </w:p>
    <w:p w14:paraId="384E7E04">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项目管理代表为：</w:t>
      </w:r>
      <w:r>
        <w:rPr>
          <w:rFonts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，其权限范围：</w:t>
      </w:r>
      <w:r>
        <w:rPr>
          <w:rFonts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2DBC5CF5">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成本控制代表：</w:t>
      </w:r>
      <w:r>
        <w:rPr>
          <w:rFonts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，其权限范围：</w:t>
      </w:r>
      <w:r>
        <w:rPr>
          <w:rFonts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4B755F6B">
      <w:pPr>
        <w:spacing w:line="360" w:lineRule="auto"/>
        <w:ind w:firstLine="480" w:firstLineChars="200"/>
        <w:outlineLvl w:val="1"/>
        <w:rPr>
          <w:rFonts w:asciiTheme="minorEastAsia" w:hAnsiTheme="minorEastAsia"/>
          <w:color w:val="auto"/>
          <w:sz w:val="24"/>
          <w:szCs w:val="24"/>
          <w:highlight w:val="none"/>
        </w:rPr>
      </w:pPr>
      <w:bookmarkStart w:id="753" w:name="_Toc76398690"/>
      <w:r>
        <w:rPr>
          <w:rFonts w:hint="eastAsia" w:asciiTheme="minorEastAsia" w:hAnsiTheme="minorEastAsia"/>
          <w:color w:val="auto"/>
          <w:sz w:val="24"/>
          <w:szCs w:val="24"/>
          <w:highlight w:val="none"/>
        </w:rPr>
        <w:t>2.5 答复</w:t>
      </w:r>
      <w:bookmarkEnd w:id="753"/>
    </w:p>
    <w:p w14:paraId="3DCA220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委托人同意在</w:t>
      </w:r>
      <w:r>
        <w:rPr>
          <w:rFonts w:hint="eastAsia" w:asciiTheme="minorEastAsia" w:hAnsiTheme="minorEastAsia"/>
          <w:color w:val="auto"/>
          <w:sz w:val="24"/>
          <w:szCs w:val="24"/>
          <w:highlight w:val="none"/>
          <w:u w:val="single"/>
        </w:rPr>
        <w:t xml:space="preserve"> 7 </w:t>
      </w:r>
      <w:r>
        <w:rPr>
          <w:rFonts w:hint="eastAsia" w:asciiTheme="minorEastAsia" w:hAnsiTheme="minorEastAsia"/>
          <w:color w:val="auto"/>
          <w:sz w:val="24"/>
          <w:szCs w:val="24"/>
          <w:highlight w:val="none"/>
        </w:rPr>
        <w:t>日内，对咨询人书面提交并要求做出决定的事宜给予书面答复。</w:t>
      </w:r>
    </w:p>
    <w:p w14:paraId="45531118">
      <w:pPr>
        <w:spacing w:line="360" w:lineRule="auto"/>
        <w:ind w:firstLine="480" w:firstLineChars="200"/>
        <w:outlineLvl w:val="0"/>
        <w:rPr>
          <w:rFonts w:asciiTheme="minorEastAsia" w:hAnsiTheme="minorEastAsia"/>
          <w:color w:val="auto"/>
          <w:sz w:val="24"/>
          <w:szCs w:val="24"/>
          <w:highlight w:val="none"/>
        </w:rPr>
      </w:pPr>
      <w:bookmarkStart w:id="754" w:name="_Toc76398691"/>
      <w:r>
        <w:rPr>
          <w:rFonts w:hint="eastAsia" w:asciiTheme="minorEastAsia" w:hAnsiTheme="minorEastAsia"/>
          <w:color w:val="auto"/>
          <w:sz w:val="24"/>
          <w:szCs w:val="24"/>
          <w:highlight w:val="none"/>
        </w:rPr>
        <w:t>3.咨询人的义务</w:t>
      </w:r>
      <w:bookmarkEnd w:id="754"/>
    </w:p>
    <w:p w14:paraId="322B888E">
      <w:pPr>
        <w:spacing w:line="360" w:lineRule="auto"/>
        <w:ind w:firstLine="480" w:firstLineChars="200"/>
        <w:outlineLvl w:val="1"/>
        <w:rPr>
          <w:rFonts w:asciiTheme="minorEastAsia" w:hAnsiTheme="minorEastAsia"/>
          <w:color w:val="auto"/>
          <w:sz w:val="24"/>
          <w:szCs w:val="24"/>
          <w:highlight w:val="none"/>
        </w:rPr>
      </w:pPr>
      <w:bookmarkStart w:id="755" w:name="_Toc76398692"/>
      <w:r>
        <w:rPr>
          <w:rFonts w:hint="eastAsia" w:asciiTheme="minorEastAsia" w:hAnsiTheme="minorEastAsia"/>
          <w:color w:val="auto"/>
          <w:sz w:val="24"/>
          <w:szCs w:val="24"/>
          <w:highlight w:val="none"/>
        </w:rPr>
        <w:t>3.1 项目咨询团队及人员</w:t>
      </w:r>
      <w:bookmarkEnd w:id="755"/>
    </w:p>
    <w:p w14:paraId="1ECD6EE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3.1.1 项目咨询团队的主要人员应具有资格条件，团队人员的数量为</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人，具体见附录A。</w:t>
      </w:r>
    </w:p>
    <w:p w14:paraId="73FB1296">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3.1.2 项目负责人为：</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；电话：</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4D85168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3.1.3 咨询人更换项目咨询团队其他咨询人员的约定：</w:t>
      </w:r>
      <w:r>
        <w:rPr>
          <w:rFonts w:hint="eastAsia" w:asciiTheme="minorEastAsia" w:hAnsiTheme="minorEastAsia"/>
          <w:color w:val="auto"/>
          <w:sz w:val="24"/>
          <w:szCs w:val="24"/>
          <w:highlight w:val="none"/>
          <w:u w:val="single"/>
        </w:rPr>
        <w:t xml:space="preserve">  未经委托人同意，咨询人不得擅自更换人员，否则，视为咨询人违约 </w:t>
      </w:r>
      <w:r>
        <w:rPr>
          <w:rFonts w:hint="eastAsia" w:asciiTheme="minorEastAsia" w:hAnsiTheme="minorEastAsia"/>
          <w:color w:val="auto"/>
          <w:sz w:val="24"/>
          <w:szCs w:val="24"/>
          <w:highlight w:val="none"/>
        </w:rPr>
        <w:t>。</w:t>
      </w:r>
    </w:p>
    <w:p w14:paraId="03BFD0A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3.1.4 委托人要求更换咨询人员的情形还包括：</w:t>
      </w:r>
      <w:r>
        <w:rPr>
          <w:rFonts w:hint="eastAsia" w:asciiTheme="minorEastAsia" w:hAnsiTheme="minorEastAsia"/>
          <w:color w:val="auto"/>
          <w:sz w:val="24"/>
          <w:szCs w:val="24"/>
          <w:highlight w:val="none"/>
          <w:u w:val="single"/>
        </w:rPr>
        <w:t xml:space="preserve">  委托人要求更换时，咨询人应当无条件更换，否则，视为咨询人违约 </w:t>
      </w:r>
      <w:r>
        <w:rPr>
          <w:rFonts w:hint="eastAsia" w:asciiTheme="minorEastAsia" w:hAnsiTheme="minorEastAsia"/>
          <w:color w:val="auto"/>
          <w:sz w:val="24"/>
          <w:szCs w:val="24"/>
          <w:highlight w:val="none"/>
        </w:rPr>
        <w:t>。</w:t>
      </w:r>
    </w:p>
    <w:p w14:paraId="6EDEA2E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施工阶段工程造价全过程控制补充3.1.5条</w:t>
      </w:r>
    </w:p>
    <w:p w14:paraId="641A344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14:paraId="262EBBB3">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本合同中约定的拟派人员无法满足现场管理的实际需要，特别是在抢工期间时段，咨询人必须按委托人要求无条件增加驻场人员，且不调整合同价。</w:t>
      </w:r>
    </w:p>
    <w:p w14:paraId="5BFA8DE4">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咨询人擅自更换人员，视为咨询人违约，委托人有权解除本合同，且咨询人按照本合同约定总服务费用的30%向委托人承担违约金。</w:t>
      </w:r>
    </w:p>
    <w:p w14:paraId="6BFCE04F">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咨询人未按照本协议约定更换人员，视为咨询人违约，委托人有权解除本合同，且咨询人按照本合同约定总服务费用的30%向委托人承担违约金。</w:t>
      </w:r>
    </w:p>
    <w:p w14:paraId="51EEB8E8">
      <w:pPr>
        <w:spacing w:line="360" w:lineRule="auto"/>
        <w:ind w:firstLine="480" w:firstLineChars="200"/>
        <w:outlineLvl w:val="1"/>
        <w:rPr>
          <w:rFonts w:asciiTheme="minorEastAsia" w:hAnsiTheme="minorEastAsia"/>
          <w:color w:val="auto"/>
          <w:sz w:val="24"/>
          <w:szCs w:val="24"/>
          <w:highlight w:val="none"/>
        </w:rPr>
      </w:pPr>
      <w:bookmarkStart w:id="756" w:name="_Toc76398693"/>
      <w:r>
        <w:rPr>
          <w:rFonts w:hint="eastAsia" w:asciiTheme="minorEastAsia" w:hAnsiTheme="minorEastAsia"/>
          <w:color w:val="auto"/>
          <w:sz w:val="24"/>
          <w:szCs w:val="24"/>
          <w:highlight w:val="none"/>
        </w:rPr>
        <w:t>3.2 咨询人的工作要求</w:t>
      </w:r>
      <w:bookmarkEnd w:id="756"/>
    </w:p>
    <w:p w14:paraId="31E91DD4">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3.2.1 咨询人向委托人提供有关资料的时间：</w:t>
      </w:r>
    </w:p>
    <w:p w14:paraId="5CB78626">
      <w:pPr>
        <w:spacing w:line="360" w:lineRule="auto"/>
        <w:ind w:firstLine="480" w:firstLineChars="200"/>
        <w:outlineLvl w:val="0"/>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A:工程量清单</w:t>
      </w:r>
      <w:r>
        <w:rPr>
          <w:rFonts w:hint="eastAsia" w:asciiTheme="minorEastAsia" w:hAnsiTheme="minorEastAsia"/>
          <w:color w:val="auto"/>
          <w:sz w:val="24"/>
          <w:szCs w:val="24"/>
          <w:highlight w:val="none"/>
        </w:rPr>
        <w:t>及组价编制：</w:t>
      </w:r>
      <w:r>
        <w:rPr>
          <w:rFonts w:asciiTheme="minorEastAsia" w:hAnsiTheme="minorEastAsia"/>
          <w:color w:val="auto"/>
          <w:sz w:val="24"/>
          <w:szCs w:val="24"/>
          <w:highlight w:val="none"/>
        </w:rPr>
        <w:t xml:space="preserve">    年   月  日前提交</w:t>
      </w:r>
      <w:r>
        <w:rPr>
          <w:rFonts w:hint="eastAsia" w:asciiTheme="minorEastAsia" w:hAnsiTheme="minorEastAsia"/>
          <w:color w:val="auto"/>
          <w:sz w:val="24"/>
          <w:szCs w:val="24"/>
          <w:highlight w:val="none"/>
        </w:rPr>
        <w:t>编制成果资料；</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年</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月</w:t>
      </w:r>
      <w:r>
        <w:rPr>
          <w:rFonts w:asciiTheme="minorEastAsia" w:hAnsiTheme="minorEastAsia"/>
          <w:color w:val="auto"/>
          <w:sz w:val="24"/>
          <w:szCs w:val="24"/>
          <w:highlight w:val="none"/>
        </w:rPr>
        <w:t xml:space="preserve">  </w:t>
      </w:r>
      <w:r>
        <w:rPr>
          <w:rFonts w:hint="eastAsia" w:asciiTheme="minorEastAsia" w:hAnsiTheme="minorEastAsia"/>
          <w:color w:val="auto"/>
          <w:sz w:val="24"/>
          <w:szCs w:val="24"/>
          <w:highlight w:val="none"/>
        </w:rPr>
        <w:t>日前完成工程量清单及组价核对并提交最终报告。</w:t>
      </w:r>
    </w:p>
    <w:p w14:paraId="5B8E61C2">
      <w:pPr>
        <w:pStyle w:val="4"/>
        <w:ind w:firstLine="480"/>
        <w:jc w:val="left"/>
        <w:rPr>
          <w:color w:val="auto"/>
          <w:highlight w:val="none"/>
        </w:rPr>
      </w:pPr>
      <w:r>
        <w:rPr>
          <w:rFonts w:hint="eastAsia" w:asciiTheme="minorEastAsia" w:hAnsiTheme="minorEastAsia"/>
          <w:b w:val="0"/>
          <w:bCs w:val="0"/>
          <w:color w:val="auto"/>
          <w:sz w:val="24"/>
          <w:szCs w:val="24"/>
          <w:highlight w:val="none"/>
        </w:rPr>
        <w:t>B：施工阶段工程造价全过程控制：</w:t>
      </w:r>
      <w:r>
        <w:rPr>
          <w:color w:val="auto"/>
          <w:highlight w:val="none"/>
        </w:rPr>
        <w:t xml:space="preserve"> </w:t>
      </w:r>
    </w:p>
    <w:p w14:paraId="62F44BE5">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及时完成工程造价过程控制并提交成果资料不影响工程进度，按照施工合同条款，在约定的时间内完成工程进度报表审核。按照施工合同条款，在约定的时间内提交相关报告及结算审核报告。</w:t>
      </w:r>
    </w:p>
    <w:p w14:paraId="17E98E1C">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14:paraId="47052139">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逾期提供前述书面资料，每逾期一日向委托人承担违约金</w:t>
      </w:r>
      <w:r>
        <w:rPr>
          <w:rFonts w:asciiTheme="minorEastAsia" w:hAnsiTheme="minorEastAsia"/>
          <w:color w:val="auto"/>
          <w:sz w:val="24"/>
          <w:szCs w:val="24"/>
          <w:highlight w:val="none"/>
          <w:u w:val="single"/>
        </w:rPr>
        <w:t xml:space="preserve"> 1000-10000 </w:t>
      </w:r>
      <w:r>
        <w:rPr>
          <w:rFonts w:hint="eastAsia" w:asciiTheme="minorEastAsia" w:hAnsiTheme="minorEastAsia"/>
          <w:color w:val="auto"/>
          <w:sz w:val="24"/>
          <w:szCs w:val="24"/>
          <w:highlight w:val="none"/>
        </w:rPr>
        <w:t>元，逾期</w:t>
      </w:r>
      <w:r>
        <w:rPr>
          <w:rFonts w:asciiTheme="minorEastAsia" w:hAnsiTheme="minorEastAsia"/>
          <w:color w:val="auto"/>
          <w:sz w:val="24"/>
          <w:szCs w:val="24"/>
          <w:highlight w:val="none"/>
        </w:rPr>
        <w:t>10</w:t>
      </w:r>
      <w:r>
        <w:rPr>
          <w:rFonts w:hint="eastAsia" w:asciiTheme="minorEastAsia" w:hAnsiTheme="minorEastAsia"/>
          <w:color w:val="auto"/>
          <w:sz w:val="24"/>
          <w:szCs w:val="24"/>
          <w:highlight w:val="none"/>
        </w:rPr>
        <w:t>日未提交，委托人有权解除本合同，咨询人按照本合同约定金额的30%委托人承担违约金，同时，咨询人承担给委托人造成的一切损失。</w:t>
      </w:r>
    </w:p>
    <w:p w14:paraId="4B8FAD30">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咨询人向委托人提供的资料还包括：</w:t>
      </w:r>
      <w:r>
        <w:rPr>
          <w:rFonts w:hint="eastAsia" w:asciiTheme="minorEastAsia" w:hAnsiTheme="minorEastAsia"/>
          <w:color w:val="auto"/>
          <w:sz w:val="24"/>
          <w:szCs w:val="24"/>
          <w:highlight w:val="none"/>
          <w:u w:val="single"/>
        </w:rPr>
        <w:t>详见</w:t>
      </w:r>
      <w:r>
        <w:rPr>
          <w:rFonts w:asciiTheme="minorEastAsia" w:hAnsiTheme="minorEastAsia"/>
          <w:color w:val="auto"/>
          <w:sz w:val="24"/>
          <w:szCs w:val="24"/>
          <w:highlight w:val="none"/>
          <w:u w:val="single"/>
        </w:rPr>
        <w:t>附</w:t>
      </w:r>
      <w:r>
        <w:rPr>
          <w:rFonts w:hint="eastAsia" w:asciiTheme="minorEastAsia" w:hAnsiTheme="minorEastAsia"/>
          <w:color w:val="auto"/>
          <w:sz w:val="24"/>
          <w:szCs w:val="24"/>
          <w:highlight w:val="none"/>
          <w:u w:val="single"/>
        </w:rPr>
        <w:t>录B</w:t>
      </w:r>
      <w:r>
        <w:rPr>
          <w:rFonts w:asciiTheme="minorEastAsia" w:hAnsiTheme="minorEastAsia"/>
          <w:color w:val="auto"/>
          <w:sz w:val="24"/>
          <w:szCs w:val="24"/>
          <w:highlight w:val="none"/>
          <w:u w:val="single"/>
        </w:rPr>
        <w:t>。</w:t>
      </w:r>
    </w:p>
    <w:p w14:paraId="444B096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3.2.2 咨询人向委托人提供咨询成果文件的名称、组成、时间、份数及质量标准：</w:t>
      </w:r>
      <w:r>
        <w:rPr>
          <w:rFonts w:hint="eastAsia" w:asciiTheme="minorEastAsia" w:hAnsiTheme="minorEastAsia"/>
          <w:color w:val="auto"/>
          <w:sz w:val="24"/>
          <w:szCs w:val="24"/>
          <w:highlight w:val="none"/>
          <w:u w:val="single"/>
        </w:rPr>
        <w:t>相关报告纸质档和电子档各一式贰份，具体见附录B。</w:t>
      </w:r>
      <w:r>
        <w:rPr>
          <w:rFonts w:hint="eastAsia" w:ascii="宋体" w:hAnsi="宋体"/>
          <w:color w:val="auto"/>
          <w:sz w:val="24"/>
          <w:szCs w:val="24"/>
          <w:highlight w:val="none"/>
          <w:u w:val="single"/>
        </w:rPr>
        <w:t>若委托人要求额外提供时，咨询人免费提供</w:t>
      </w:r>
      <w:r>
        <w:rPr>
          <w:rFonts w:hint="eastAsia" w:asciiTheme="minorEastAsia" w:hAnsiTheme="minorEastAsia"/>
          <w:color w:val="auto"/>
          <w:sz w:val="24"/>
          <w:szCs w:val="24"/>
          <w:highlight w:val="none"/>
        </w:rPr>
        <w:t>。</w:t>
      </w:r>
    </w:p>
    <w:p w14:paraId="3EA69DE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3.2.4 咨询人应在收到委托人提出的建议或者异议后</w:t>
      </w:r>
      <w:r>
        <w:rPr>
          <w:rFonts w:hint="eastAsia" w:asciiTheme="minorEastAsia" w:hAnsiTheme="minorEastAsia"/>
          <w:color w:val="auto"/>
          <w:sz w:val="24"/>
          <w:szCs w:val="24"/>
          <w:highlight w:val="none"/>
          <w:u w:val="single"/>
        </w:rPr>
        <w:t xml:space="preserve">  3  </w:t>
      </w:r>
      <w:r>
        <w:rPr>
          <w:rFonts w:hint="eastAsia" w:asciiTheme="minorEastAsia" w:hAnsiTheme="minorEastAsia"/>
          <w:color w:val="auto"/>
          <w:sz w:val="24"/>
          <w:szCs w:val="24"/>
          <w:highlight w:val="none"/>
        </w:rPr>
        <w:t>日内给予书面答复和（或）修改。</w:t>
      </w:r>
    </w:p>
    <w:p w14:paraId="5B88D17E">
      <w:pPr>
        <w:spacing w:line="360" w:lineRule="auto"/>
        <w:ind w:firstLine="480" w:firstLineChars="200"/>
        <w:outlineLvl w:val="1"/>
        <w:rPr>
          <w:rFonts w:asciiTheme="minorEastAsia" w:hAnsiTheme="minorEastAsia"/>
          <w:color w:val="auto"/>
          <w:sz w:val="24"/>
          <w:szCs w:val="24"/>
          <w:highlight w:val="none"/>
        </w:rPr>
      </w:pPr>
      <w:bookmarkStart w:id="757" w:name="_Toc76398694"/>
      <w:r>
        <w:rPr>
          <w:rFonts w:hint="eastAsia" w:asciiTheme="minorEastAsia" w:hAnsiTheme="minorEastAsia"/>
          <w:color w:val="auto"/>
          <w:sz w:val="24"/>
          <w:szCs w:val="24"/>
          <w:highlight w:val="none"/>
        </w:rPr>
        <w:t>3.3 咨询人的工作依据</w:t>
      </w:r>
      <w:bookmarkEnd w:id="757"/>
    </w:p>
    <w:p w14:paraId="45364050">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经双方协商，本合同约定的造价咨询服务适用的技术标准、规范、定额等工作依据为：</w:t>
      </w:r>
      <w:r>
        <w:rPr>
          <w:rFonts w:hint="eastAsia" w:asciiTheme="minorEastAsia" w:hAnsiTheme="minorEastAsia"/>
          <w:color w:val="auto"/>
          <w:sz w:val="24"/>
          <w:szCs w:val="24"/>
          <w:highlight w:val="none"/>
          <w:u w:val="single"/>
        </w:rPr>
        <w:t>《建设工程工程量清单计价规范》（GB50500-2013）、现行重庆市工程量计算规则、计价定额及相关配套定额、施工合同文件、造价信息、市场询价信息等</w:t>
      </w:r>
      <w:r>
        <w:rPr>
          <w:rFonts w:hint="eastAsia" w:asciiTheme="minorEastAsia" w:hAnsiTheme="minorEastAsia"/>
          <w:color w:val="auto"/>
          <w:sz w:val="24"/>
          <w:szCs w:val="24"/>
          <w:highlight w:val="none"/>
        </w:rPr>
        <w:t>。</w:t>
      </w:r>
    </w:p>
    <w:p w14:paraId="2EAFA57C">
      <w:pPr>
        <w:spacing w:line="360" w:lineRule="auto"/>
        <w:ind w:firstLine="480" w:firstLineChars="200"/>
        <w:outlineLvl w:val="1"/>
        <w:rPr>
          <w:rFonts w:asciiTheme="minorEastAsia" w:hAnsiTheme="minorEastAsia"/>
          <w:color w:val="auto"/>
          <w:sz w:val="24"/>
          <w:szCs w:val="24"/>
          <w:highlight w:val="none"/>
        </w:rPr>
      </w:pPr>
      <w:bookmarkStart w:id="758" w:name="_Toc76398695"/>
      <w:r>
        <w:rPr>
          <w:rFonts w:hint="eastAsia" w:asciiTheme="minorEastAsia" w:hAnsiTheme="minorEastAsia"/>
          <w:color w:val="auto"/>
          <w:sz w:val="24"/>
          <w:szCs w:val="24"/>
          <w:highlight w:val="none"/>
        </w:rPr>
        <w:t>3.4 使用委托人房屋及设备的返还</w:t>
      </w:r>
      <w:bookmarkEnd w:id="758"/>
      <w:r>
        <w:rPr>
          <w:rFonts w:hint="eastAsia" w:asciiTheme="minorEastAsia" w:hAnsiTheme="minorEastAsia"/>
          <w:color w:val="auto"/>
          <w:sz w:val="24"/>
          <w:szCs w:val="24"/>
          <w:highlight w:val="none"/>
        </w:rPr>
        <w:t>。</w:t>
      </w:r>
    </w:p>
    <w:p w14:paraId="625C042F">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委托人不提供房屋及设备，因进度需要或咨询人不能满足进度要求时，在委托人指定地点办公，结束后</w:t>
      </w:r>
      <w:r>
        <w:rPr>
          <w:rFonts w:asciiTheme="minorEastAsia" w:hAnsiTheme="minorEastAsia"/>
          <w:color w:val="auto"/>
          <w:sz w:val="24"/>
          <w:szCs w:val="24"/>
          <w:highlight w:val="none"/>
        </w:rPr>
        <w:t>3日内</w:t>
      </w:r>
      <w:r>
        <w:rPr>
          <w:rFonts w:hint="eastAsia" w:asciiTheme="minorEastAsia" w:hAnsiTheme="minorEastAsia"/>
          <w:color w:val="auto"/>
          <w:sz w:val="24"/>
          <w:szCs w:val="24"/>
          <w:highlight w:val="none"/>
        </w:rPr>
        <w:t>返还，逾期返还，委托人有权强制返还，场地内留有咨询人的物品视为遗弃物，委托人有权任意处置。</w:t>
      </w:r>
    </w:p>
    <w:p w14:paraId="4DCF353B">
      <w:pPr>
        <w:spacing w:line="360" w:lineRule="auto"/>
        <w:ind w:firstLine="480" w:firstLineChars="200"/>
        <w:outlineLvl w:val="0"/>
        <w:rPr>
          <w:rFonts w:asciiTheme="minorEastAsia" w:hAnsiTheme="minorEastAsia"/>
          <w:color w:val="auto"/>
          <w:sz w:val="24"/>
          <w:szCs w:val="24"/>
          <w:highlight w:val="none"/>
        </w:rPr>
      </w:pPr>
      <w:bookmarkStart w:id="759" w:name="_Toc76398696"/>
      <w:r>
        <w:rPr>
          <w:rFonts w:hint="eastAsia" w:asciiTheme="minorEastAsia" w:hAnsiTheme="minorEastAsia"/>
          <w:color w:val="auto"/>
          <w:sz w:val="24"/>
          <w:szCs w:val="24"/>
          <w:highlight w:val="none"/>
        </w:rPr>
        <w:t>4. 违约责任</w:t>
      </w:r>
      <w:bookmarkEnd w:id="759"/>
    </w:p>
    <w:p w14:paraId="4941CA73">
      <w:pPr>
        <w:spacing w:line="360" w:lineRule="auto"/>
        <w:ind w:firstLine="480" w:firstLineChars="200"/>
        <w:outlineLvl w:val="1"/>
        <w:rPr>
          <w:rFonts w:asciiTheme="minorEastAsia" w:hAnsiTheme="minorEastAsia"/>
          <w:color w:val="auto"/>
          <w:sz w:val="24"/>
          <w:szCs w:val="24"/>
          <w:highlight w:val="none"/>
        </w:rPr>
      </w:pPr>
      <w:bookmarkStart w:id="760" w:name="_Toc76398697"/>
      <w:r>
        <w:rPr>
          <w:rFonts w:hint="eastAsia" w:asciiTheme="minorEastAsia" w:hAnsiTheme="minorEastAsia"/>
          <w:color w:val="auto"/>
          <w:sz w:val="24"/>
          <w:szCs w:val="24"/>
          <w:highlight w:val="none"/>
        </w:rPr>
        <w:t>4.1 委托人的违约责任</w:t>
      </w:r>
      <w:bookmarkEnd w:id="760"/>
    </w:p>
    <w:p w14:paraId="26EF8D30">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4.1.1 委托人违约金的计算及支付方法：</w:t>
      </w:r>
      <w:r>
        <w:rPr>
          <w:rFonts w:hint="eastAsia" w:asciiTheme="minorEastAsia" w:hAnsiTheme="minorEastAsia"/>
          <w:color w:val="auto"/>
          <w:sz w:val="24"/>
          <w:szCs w:val="24"/>
          <w:highlight w:val="none"/>
          <w:u w:val="single"/>
        </w:rPr>
        <w:t xml:space="preserve"> 无 </w:t>
      </w:r>
      <w:r>
        <w:rPr>
          <w:rFonts w:hint="eastAsia" w:asciiTheme="minorEastAsia" w:hAnsiTheme="minorEastAsia"/>
          <w:color w:val="auto"/>
          <w:sz w:val="24"/>
          <w:szCs w:val="24"/>
          <w:highlight w:val="none"/>
        </w:rPr>
        <w:t>。</w:t>
      </w:r>
    </w:p>
    <w:p w14:paraId="7E049736">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4.1.2 委托人赔偿金额按下列方法确定并支付：</w:t>
      </w:r>
      <w:r>
        <w:rPr>
          <w:rFonts w:hint="eastAsia" w:asciiTheme="minorEastAsia" w:hAnsiTheme="minorEastAsia"/>
          <w:color w:val="auto"/>
          <w:sz w:val="24"/>
          <w:szCs w:val="24"/>
          <w:highlight w:val="none"/>
          <w:u w:val="single"/>
        </w:rPr>
        <w:t xml:space="preserve"> 无 </w:t>
      </w:r>
      <w:r>
        <w:rPr>
          <w:rFonts w:hint="eastAsia" w:asciiTheme="minorEastAsia" w:hAnsiTheme="minorEastAsia"/>
          <w:color w:val="auto"/>
          <w:sz w:val="24"/>
          <w:szCs w:val="24"/>
          <w:highlight w:val="none"/>
        </w:rPr>
        <w:t>。</w:t>
      </w:r>
    </w:p>
    <w:p w14:paraId="070719CA">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4.1.3 委托人逾期付款利息按下列方法计算并支付：</w:t>
      </w:r>
      <w:r>
        <w:rPr>
          <w:rFonts w:hint="eastAsia" w:asciiTheme="minorEastAsia" w:hAnsiTheme="minorEastAsia"/>
          <w:color w:val="auto"/>
          <w:sz w:val="24"/>
          <w:szCs w:val="24"/>
          <w:highlight w:val="none"/>
          <w:u w:val="single"/>
        </w:rPr>
        <w:t xml:space="preserve">  逾期付款利息=当期应付款总额×中国人民银行公布的同期活期存款利率/365×逾期支付天数（自逾期之日起计算）</w:t>
      </w:r>
      <w:r>
        <w:rPr>
          <w:rFonts w:hint="eastAsia" w:asciiTheme="minorEastAsia" w:hAnsiTheme="minorEastAsia"/>
          <w:color w:val="auto"/>
          <w:sz w:val="24"/>
          <w:szCs w:val="24"/>
          <w:highlight w:val="none"/>
        </w:rPr>
        <w:t>。</w:t>
      </w:r>
    </w:p>
    <w:p w14:paraId="2944715F">
      <w:pPr>
        <w:spacing w:line="360" w:lineRule="auto"/>
        <w:ind w:firstLine="480" w:firstLineChars="200"/>
        <w:outlineLvl w:val="1"/>
        <w:rPr>
          <w:rFonts w:asciiTheme="minorEastAsia" w:hAnsiTheme="minorEastAsia"/>
          <w:color w:val="auto"/>
          <w:sz w:val="24"/>
          <w:szCs w:val="24"/>
          <w:highlight w:val="none"/>
        </w:rPr>
      </w:pPr>
      <w:bookmarkStart w:id="761" w:name="_Toc76398698"/>
      <w:r>
        <w:rPr>
          <w:rFonts w:hint="eastAsia" w:asciiTheme="minorEastAsia" w:hAnsiTheme="minorEastAsia"/>
          <w:color w:val="auto"/>
          <w:sz w:val="24"/>
          <w:szCs w:val="24"/>
          <w:highlight w:val="none"/>
        </w:rPr>
        <w:t>4.2 咨询人的违约责任</w:t>
      </w:r>
      <w:bookmarkEnd w:id="761"/>
    </w:p>
    <w:p w14:paraId="5E1D53D2">
      <w:pPr>
        <w:spacing w:line="360" w:lineRule="auto"/>
        <w:ind w:firstLine="480" w:firstLineChars="20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4.2.1 咨询人违约金的计算及支付方法</w:t>
      </w:r>
      <w:r>
        <w:rPr>
          <w:rFonts w:hint="eastAsia" w:asciiTheme="minorEastAsia" w:hAnsiTheme="minorEastAsia"/>
          <w:color w:val="auto"/>
          <w:sz w:val="24"/>
          <w:szCs w:val="24"/>
          <w:highlight w:val="none"/>
          <w:u w:val="single"/>
        </w:rPr>
        <w:t>：除本合同其他条款约定外，若咨询人违约，咨询人按酬金的30%向委托人承担违约金。未履行协议书规定的服务范围及工作内容，咨询人按（酬金的30%）/每项向委托人承担违约金。</w:t>
      </w:r>
    </w:p>
    <w:p w14:paraId="6DEB844C">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4.2.2 咨询人成果误差赔偿金额按下列方法确定并支付：</w:t>
      </w:r>
    </w:p>
    <w:p w14:paraId="4BA53EF0">
      <w:pPr>
        <w:spacing w:line="360" w:lineRule="auto"/>
        <w:ind w:firstLine="480" w:firstLineChars="200"/>
        <w:jc w:val="left"/>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①</w:t>
      </w:r>
      <w:r>
        <w:rPr>
          <w:rFonts w:hint="eastAsia" w:asciiTheme="minorEastAsia" w:hAnsiTheme="minorEastAsia"/>
          <w:color w:val="auto"/>
          <w:sz w:val="24"/>
          <w:szCs w:val="24"/>
          <w:highlight w:val="none"/>
          <w:u w:val="single"/>
        </w:rPr>
        <w:t>材料、设备等的市场询价充分、定价或核价合理、符合市场行情、证明资料齐全、定价或核价超过国家审计或委托人抽查了解的同规格、同档次材料或设备市场价格的 5 % 的误差,视情节轻重每发生一次处 2000元的违约金。</w:t>
      </w:r>
    </w:p>
    <w:p w14:paraId="7C628EF1">
      <w:pPr>
        <w:spacing w:line="360" w:lineRule="auto"/>
        <w:ind w:firstLine="480" w:firstLineChars="200"/>
        <w:jc w:val="left"/>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rPr>
        <w:t>②</w:t>
      </w:r>
      <w:r>
        <w:rPr>
          <w:rFonts w:hint="eastAsia" w:asciiTheme="minorEastAsia" w:hAnsiTheme="minorEastAsia"/>
          <w:color w:val="auto"/>
          <w:sz w:val="24"/>
          <w:szCs w:val="24"/>
          <w:highlight w:val="none"/>
          <w:u w:val="single"/>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14:paraId="3F40CF66">
      <w:pPr>
        <w:spacing w:line="360" w:lineRule="auto"/>
        <w:ind w:firstLine="480" w:firstLineChars="200"/>
        <w:jc w:val="left"/>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u w:val="single"/>
        </w:rPr>
        <w:t>③在项目结算评审阶段，相关部门提出招标清单不合理，要求修改中标清单单价而导致审减率提高的，由招标清单评审单位负责向相关部门解释并承担相应的后果。</w:t>
      </w:r>
    </w:p>
    <w:p w14:paraId="4B3A1C17">
      <w:pPr>
        <w:spacing w:line="360" w:lineRule="auto"/>
        <w:ind w:firstLine="480" w:firstLineChars="200"/>
        <w:outlineLvl w:val="1"/>
        <w:rPr>
          <w:rFonts w:asciiTheme="minorEastAsia" w:hAnsiTheme="minorEastAsia"/>
          <w:color w:val="auto"/>
          <w:sz w:val="24"/>
          <w:szCs w:val="24"/>
          <w:highlight w:val="none"/>
        </w:rPr>
      </w:pPr>
      <w:r>
        <w:rPr>
          <w:rFonts w:asciiTheme="minorEastAsia" w:hAnsiTheme="minorEastAsia"/>
          <w:color w:val="auto"/>
          <w:sz w:val="24"/>
          <w:szCs w:val="24"/>
          <w:highlight w:val="none"/>
        </w:rPr>
        <w:t>4.2.3</w:t>
      </w:r>
      <w:r>
        <w:rPr>
          <w:rFonts w:hint="eastAsia" w:asciiTheme="minorEastAsia" w:hAnsiTheme="minorEastAsia"/>
          <w:color w:val="auto"/>
          <w:sz w:val="24"/>
          <w:szCs w:val="24"/>
          <w:highlight w:val="none"/>
        </w:rPr>
        <w:t xml:space="preserve"> 经济责任</w:t>
      </w:r>
    </w:p>
    <w:p w14:paraId="4DAEF7CC">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4.2.3.1</w:t>
      </w:r>
      <w:r>
        <w:rPr>
          <w:rFonts w:hint="eastAsia" w:asciiTheme="minorEastAsia" w:hAnsiTheme="minorEastAsia"/>
          <w:color w:val="auto"/>
          <w:sz w:val="24"/>
          <w:szCs w:val="24"/>
          <w:highlight w:val="none"/>
          <w:u w:val="single"/>
        </w:rPr>
        <w:t>咨询人未提供完成的工程量清单、工程量计算过程的计算式给委托人，则扣减咨询费用的20% 。</w:t>
      </w:r>
    </w:p>
    <w:p w14:paraId="63E9270D">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4.2.3.2</w:t>
      </w:r>
      <w:r>
        <w:rPr>
          <w:rFonts w:hint="eastAsia" w:asciiTheme="minorEastAsia" w:hAnsiTheme="minorEastAsia"/>
          <w:color w:val="auto"/>
          <w:sz w:val="24"/>
          <w:szCs w:val="24"/>
          <w:highlight w:val="none"/>
          <w:u w:val="single"/>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14:paraId="5511CDA9">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4.2.3.3</w:t>
      </w:r>
      <w:r>
        <w:rPr>
          <w:rFonts w:hint="eastAsia" w:asciiTheme="minorEastAsia" w:hAnsiTheme="minorEastAsia"/>
          <w:color w:val="auto"/>
          <w:sz w:val="24"/>
          <w:szCs w:val="24"/>
          <w:highlight w:val="none"/>
          <w:u w:val="single"/>
        </w:rPr>
        <w:t>未经委托人同意咨询人擅自变更委派的人员（委托人要求或经委托人书面同意更换的除外），委托人扣减咨询人不低于咨询费用的20%，其他条款另有约定同时适用。</w:t>
      </w:r>
    </w:p>
    <w:p w14:paraId="6A7AB72D">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 xml:space="preserve">4.2.4 </w:t>
      </w:r>
      <w:r>
        <w:rPr>
          <w:rFonts w:hint="eastAsia" w:asciiTheme="minorEastAsia" w:hAnsiTheme="minorEastAsia"/>
          <w:color w:val="auto"/>
          <w:sz w:val="24"/>
          <w:szCs w:val="24"/>
          <w:highlight w:val="none"/>
        </w:rPr>
        <w:t>法律责任：咨询人有下列情形之一的，委托人不予支付咨询费用，给委托人造成的损失，委托人保留向咨询人索赔的权利，触犯法律的将追究法律责任。</w:t>
      </w:r>
    </w:p>
    <w:p w14:paraId="4F2C6E22">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4.2.4.1</w:t>
      </w:r>
      <w:r>
        <w:rPr>
          <w:rFonts w:hint="eastAsia" w:asciiTheme="minorEastAsia" w:hAnsiTheme="minorEastAsia"/>
          <w:color w:val="auto"/>
          <w:sz w:val="24"/>
          <w:szCs w:val="24"/>
          <w:highlight w:val="none"/>
          <w:u w:val="single"/>
        </w:rPr>
        <w:t>咨询人未执行相关法律、法规和执业规范；</w:t>
      </w:r>
    </w:p>
    <w:p w14:paraId="62AFF181">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4.2.4.2</w:t>
      </w:r>
      <w:r>
        <w:rPr>
          <w:rFonts w:hint="eastAsia" w:asciiTheme="minorEastAsia" w:hAnsiTheme="minorEastAsia"/>
          <w:color w:val="auto"/>
          <w:sz w:val="24"/>
          <w:szCs w:val="24"/>
          <w:highlight w:val="none"/>
          <w:u w:val="single"/>
        </w:rPr>
        <w:t>咨询人或咨询人委派的人员与投标单位有串通行为；</w:t>
      </w:r>
    </w:p>
    <w:p w14:paraId="7E8FB6C0">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4.2.4.3</w:t>
      </w:r>
      <w:r>
        <w:rPr>
          <w:rFonts w:hint="eastAsia" w:asciiTheme="minorEastAsia" w:hAnsiTheme="minorEastAsia"/>
          <w:color w:val="auto"/>
          <w:sz w:val="24"/>
          <w:szCs w:val="24"/>
          <w:highlight w:val="none"/>
          <w:u w:val="single"/>
        </w:rPr>
        <w:t>咨询人有法律法规规定的其他违法、违规的情形；</w:t>
      </w:r>
    </w:p>
    <w:p w14:paraId="4942FF7F">
      <w:pPr>
        <w:spacing w:line="360" w:lineRule="auto"/>
        <w:ind w:firstLine="480" w:firstLineChars="200"/>
        <w:jc w:val="left"/>
        <w:rPr>
          <w:rFonts w:asciiTheme="minorEastAsia" w:hAnsiTheme="minorEastAsia"/>
          <w:color w:val="auto"/>
          <w:sz w:val="24"/>
          <w:szCs w:val="24"/>
          <w:highlight w:val="none"/>
          <w:u w:val="single"/>
        </w:rPr>
      </w:pPr>
      <w:r>
        <w:rPr>
          <w:rFonts w:asciiTheme="minorEastAsia" w:hAnsiTheme="minorEastAsia"/>
          <w:color w:val="auto"/>
          <w:sz w:val="24"/>
          <w:szCs w:val="24"/>
          <w:highlight w:val="none"/>
        </w:rPr>
        <w:t>4.2.4.4</w:t>
      </w:r>
      <w:r>
        <w:rPr>
          <w:rFonts w:hint="eastAsia" w:asciiTheme="minorEastAsia" w:hAnsiTheme="minorEastAsia"/>
          <w:color w:val="auto"/>
          <w:sz w:val="24"/>
          <w:szCs w:val="24"/>
          <w:highlight w:val="none"/>
          <w:u w:val="single"/>
        </w:rPr>
        <w:t>咨询人不按合同履行责任单方面违约。</w:t>
      </w:r>
    </w:p>
    <w:p w14:paraId="6D1EA024">
      <w:pPr>
        <w:pStyle w:val="4"/>
        <w:ind w:firstLine="480" w:firstLineChars="200"/>
        <w:jc w:val="left"/>
        <w:rPr>
          <w:rFonts w:asciiTheme="minorEastAsia" w:hAnsiTheme="minorEastAsia"/>
          <w:b w:val="0"/>
          <w:bCs w:val="0"/>
          <w:color w:val="auto"/>
          <w:sz w:val="24"/>
          <w:szCs w:val="24"/>
          <w:highlight w:val="none"/>
        </w:rPr>
      </w:pPr>
      <w:r>
        <w:rPr>
          <w:rFonts w:asciiTheme="minorEastAsia" w:hAnsiTheme="minorEastAsia"/>
          <w:b w:val="0"/>
          <w:bCs w:val="0"/>
          <w:color w:val="auto"/>
          <w:sz w:val="24"/>
          <w:szCs w:val="24"/>
          <w:highlight w:val="none"/>
        </w:rPr>
        <w:t>4.2.</w:t>
      </w:r>
      <w:r>
        <w:rPr>
          <w:rFonts w:hint="eastAsia" w:asciiTheme="minorEastAsia" w:hAnsiTheme="minorEastAsia"/>
          <w:b w:val="0"/>
          <w:bCs w:val="0"/>
          <w:color w:val="auto"/>
          <w:sz w:val="24"/>
          <w:szCs w:val="24"/>
          <w:highlight w:val="none"/>
        </w:rPr>
        <w:t>5</w:t>
      </w:r>
      <w:r>
        <w:rPr>
          <w:rFonts w:asciiTheme="minorEastAsia" w:hAnsiTheme="minorEastAsia"/>
          <w:b w:val="0"/>
          <w:bCs w:val="0"/>
          <w:color w:val="auto"/>
          <w:sz w:val="24"/>
          <w:szCs w:val="24"/>
          <w:highlight w:val="none"/>
        </w:rPr>
        <w:t xml:space="preserve"> </w:t>
      </w:r>
      <w:r>
        <w:rPr>
          <w:rFonts w:hint="eastAsia" w:asciiTheme="minorEastAsia" w:hAnsiTheme="minorEastAsia"/>
          <w:b w:val="0"/>
          <w:bCs w:val="0"/>
          <w:color w:val="auto"/>
          <w:sz w:val="24"/>
          <w:szCs w:val="24"/>
          <w:highlight w:val="none"/>
        </w:rPr>
        <w:t>组织责任：</w:t>
      </w:r>
    </w:p>
    <w:p w14:paraId="14761205">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5.1</w:t>
      </w:r>
      <w:r>
        <w:rPr>
          <w:rFonts w:hint="eastAsia" w:asciiTheme="minorEastAsia" w:hAnsiTheme="minorEastAsia"/>
          <w:color w:val="auto"/>
          <w:sz w:val="24"/>
          <w:szCs w:val="24"/>
          <w:highlight w:val="none"/>
        </w:rPr>
        <w:t xml:space="preserve">未取得委托人同意咨询人项目人员缺席现场收方、验收、例会等，每出现一次处1000元违约金，累计发生3次时（含本数），视为咨询人违约。 </w:t>
      </w:r>
    </w:p>
    <w:p w14:paraId="53D8CF27">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5.2</w:t>
      </w:r>
      <w:r>
        <w:rPr>
          <w:rFonts w:hint="eastAsia" w:asciiTheme="minorEastAsia" w:hAnsiTheme="minorEastAsia"/>
          <w:color w:val="auto"/>
          <w:sz w:val="24"/>
          <w:szCs w:val="24"/>
          <w:highlight w:val="none"/>
        </w:rPr>
        <w:t>咨询人项目负责人一周至少到现场办公一天（当委托人另有安排时，须按时到场办公）；如未经委托人事先同意缺席现场办公，每出现一次处2000元违约金</w:t>
      </w:r>
      <w:r>
        <w:rPr>
          <w:rFonts w:hint="eastAsia" w:ascii="宋体" w:hAnsi="宋体"/>
          <w:color w:val="auto"/>
          <w:sz w:val="24"/>
          <w:szCs w:val="24"/>
          <w:highlight w:val="none"/>
        </w:rPr>
        <w:t>，累计发生3次时（含本数），视为咨询人违约</w:t>
      </w:r>
      <w:r>
        <w:rPr>
          <w:rFonts w:hint="eastAsia" w:asciiTheme="minorEastAsia" w:hAnsiTheme="minorEastAsia"/>
          <w:color w:val="auto"/>
          <w:sz w:val="24"/>
          <w:szCs w:val="24"/>
          <w:highlight w:val="none"/>
        </w:rPr>
        <w:t xml:space="preserve">。 </w:t>
      </w:r>
    </w:p>
    <w:p w14:paraId="17B406F8">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5.3</w:t>
      </w:r>
      <w:r>
        <w:rPr>
          <w:rFonts w:hint="eastAsia" w:asciiTheme="minorEastAsia" w:hAnsiTheme="minorEastAsia"/>
          <w:color w:val="auto"/>
          <w:sz w:val="24"/>
          <w:szCs w:val="24"/>
          <w:highlight w:val="none"/>
        </w:rPr>
        <w:t xml:space="preserve">咨询人驻场办公人员须按时接受委托人考勤监督，每发生一次旷工处 1000 元/人次违约金，每发生一次迟到或早退处 200 元/人次违约金，前述任一情形累计发生3次时（含本数），视为咨询人违约。 </w:t>
      </w:r>
    </w:p>
    <w:p w14:paraId="734E61E8">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5.4</w:t>
      </w:r>
      <w:r>
        <w:rPr>
          <w:rFonts w:hint="eastAsia" w:asciiTheme="minorEastAsia" w:hAnsiTheme="minorEastAsia"/>
          <w:color w:val="auto"/>
          <w:sz w:val="24"/>
          <w:szCs w:val="24"/>
          <w:highlight w:val="none"/>
        </w:rPr>
        <w:t xml:space="preserve">审核变更造价：咨询人收到完整资料后，5 个工作日内向委托人书面提交审核结果，每延迟 1 日处 1000 元违约金以后依次按前次违约金双倍递增，逾期5日未交付，则视为咨询人违约。 </w:t>
      </w:r>
    </w:p>
    <w:p w14:paraId="795ECB48">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5.5</w:t>
      </w:r>
      <w:r>
        <w:rPr>
          <w:rFonts w:hint="eastAsia" w:asciiTheme="minorEastAsia" w:hAnsiTheme="minorEastAsia"/>
          <w:color w:val="auto"/>
          <w:sz w:val="24"/>
          <w:szCs w:val="24"/>
          <w:highlight w:val="none"/>
        </w:rPr>
        <w:t xml:space="preserve">材料核价：咨询人收到完整资料后，5 个工作日内向委托人提交书面审核结果至委托人，每延迟 1 日处 1000 元违约金以后依次按前次违约金双倍递增，逾期5日未交付，则视为咨询人违约。 </w:t>
      </w:r>
    </w:p>
    <w:p w14:paraId="7BA1A1F0">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5.6</w:t>
      </w:r>
      <w:r>
        <w:rPr>
          <w:rFonts w:hint="eastAsia" w:asciiTheme="minorEastAsia" w:hAnsiTheme="minorEastAsia"/>
          <w:color w:val="auto"/>
          <w:sz w:val="24"/>
          <w:szCs w:val="24"/>
          <w:highlight w:val="none"/>
        </w:rPr>
        <w:t xml:space="preserve">工程往来函件：咨询人收到交办的函件后，5 个工作日内向委托人书面回复，每延迟 1 日处 1000 元违约金以后依次按前次违约金双倍递增，逾期5日未交付，则视为咨询人违约。 </w:t>
      </w:r>
    </w:p>
    <w:p w14:paraId="5FF75124">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4.2.</w:t>
      </w:r>
      <w:r>
        <w:rPr>
          <w:rFonts w:hint="eastAsia" w:asciiTheme="minorEastAsia" w:hAnsiTheme="minorEastAsia"/>
          <w:b/>
          <w:bCs/>
          <w:color w:val="auto"/>
          <w:sz w:val="24"/>
          <w:szCs w:val="24"/>
          <w:highlight w:val="none"/>
        </w:rPr>
        <w:t>5.7</w:t>
      </w:r>
      <w:r>
        <w:rPr>
          <w:rFonts w:hint="eastAsia" w:asciiTheme="minorEastAsia" w:hAnsiTheme="minorEastAsia"/>
          <w:color w:val="auto"/>
          <w:sz w:val="24"/>
          <w:szCs w:val="24"/>
          <w:highlight w:val="none"/>
        </w:rPr>
        <w:t>工程进度审核：咨询人收到完整资料后，约定的时间内完成审核并交委托人，每延迟 1 日处 1000 元违约金以后依次按前次违约金双倍递增，逾期5日未交付，则视为咨询人违约。</w:t>
      </w:r>
    </w:p>
    <w:p w14:paraId="21C0C56A">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4.2.5.8因咨询人交付的成果资料存在遗漏或错误，咨询人有义务进行修改，并承担给委托人造成的一切损失。若咨询人拒绝修改，则委托人有权委托第三方履行本合同义务，产生的费用由咨询人承担。</w:t>
      </w:r>
      <w:bookmarkStart w:id="762" w:name="_Toc76398699"/>
    </w:p>
    <w:p w14:paraId="68FCF85E">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4.3若出现咨询人员工因欠付工资向委托人讨薪或信访、上访情形的，视为咨询人违约，同时，委托人有权选择将咨询人欠付的工资支付并有权从应支付给设咨询人的费用中扣除。</w:t>
      </w:r>
    </w:p>
    <w:p w14:paraId="684658F3">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 支付</w:t>
      </w:r>
      <w:bookmarkEnd w:id="762"/>
    </w:p>
    <w:p w14:paraId="03B166F5">
      <w:pPr>
        <w:spacing w:line="360" w:lineRule="auto"/>
        <w:ind w:firstLine="480" w:firstLineChars="200"/>
        <w:outlineLvl w:val="1"/>
        <w:rPr>
          <w:rFonts w:asciiTheme="minorEastAsia" w:hAnsiTheme="minorEastAsia"/>
          <w:color w:val="auto"/>
          <w:sz w:val="24"/>
          <w:szCs w:val="24"/>
          <w:highlight w:val="none"/>
        </w:rPr>
      </w:pPr>
      <w:bookmarkStart w:id="763" w:name="_Toc76398700"/>
      <w:r>
        <w:rPr>
          <w:rFonts w:hint="eastAsia" w:asciiTheme="minorEastAsia" w:hAnsiTheme="minorEastAsia"/>
          <w:color w:val="auto"/>
          <w:sz w:val="24"/>
          <w:szCs w:val="24"/>
          <w:highlight w:val="none"/>
        </w:rPr>
        <w:t>5.1 支付货币</w:t>
      </w:r>
      <w:bookmarkEnd w:id="763"/>
    </w:p>
    <w:p w14:paraId="20DDB72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币种为：</w:t>
      </w:r>
      <w:r>
        <w:rPr>
          <w:rFonts w:hint="eastAsia" w:asciiTheme="minorEastAsia" w:hAnsiTheme="minorEastAsia"/>
          <w:color w:val="auto"/>
          <w:sz w:val="24"/>
          <w:szCs w:val="24"/>
          <w:highlight w:val="none"/>
          <w:u w:val="single"/>
        </w:rPr>
        <w:t>人民币</w:t>
      </w:r>
      <w:r>
        <w:rPr>
          <w:rFonts w:hint="eastAsia" w:asciiTheme="minorEastAsia" w:hAnsiTheme="minorEastAsia"/>
          <w:color w:val="auto"/>
          <w:sz w:val="24"/>
          <w:szCs w:val="24"/>
          <w:highlight w:val="none"/>
        </w:rPr>
        <w:t>，汇率为：</w:t>
      </w:r>
      <w:r>
        <w:rPr>
          <w:rFonts w:hint="eastAsia" w:asciiTheme="minorEastAsia" w:hAnsiTheme="minorEastAsia"/>
          <w:color w:val="auto"/>
          <w:sz w:val="24"/>
          <w:szCs w:val="24"/>
          <w:highlight w:val="none"/>
          <w:u w:val="single"/>
        </w:rPr>
        <w:t xml:space="preserve">  /  </w:t>
      </w:r>
      <w:r>
        <w:rPr>
          <w:rFonts w:hint="eastAsia" w:asciiTheme="minorEastAsia" w:hAnsiTheme="minorEastAsia"/>
          <w:color w:val="auto"/>
          <w:sz w:val="24"/>
          <w:szCs w:val="24"/>
          <w:highlight w:val="none"/>
        </w:rPr>
        <w:t>，其他约定：</w:t>
      </w:r>
      <w:r>
        <w:rPr>
          <w:rFonts w:hint="eastAsia" w:asciiTheme="minorEastAsia" w:hAnsiTheme="minorEastAsia"/>
          <w:color w:val="auto"/>
          <w:sz w:val="24"/>
          <w:szCs w:val="24"/>
          <w:highlight w:val="none"/>
          <w:u w:val="single"/>
        </w:rPr>
        <w:t xml:space="preserve">  /  </w:t>
      </w:r>
      <w:r>
        <w:rPr>
          <w:rFonts w:hint="eastAsia" w:asciiTheme="minorEastAsia" w:hAnsiTheme="minorEastAsia"/>
          <w:color w:val="auto"/>
          <w:sz w:val="24"/>
          <w:szCs w:val="24"/>
          <w:highlight w:val="none"/>
        </w:rPr>
        <w:t>。</w:t>
      </w:r>
    </w:p>
    <w:p w14:paraId="2861C91B">
      <w:pPr>
        <w:spacing w:line="360" w:lineRule="auto"/>
        <w:ind w:firstLine="480" w:firstLineChars="200"/>
        <w:outlineLvl w:val="1"/>
        <w:rPr>
          <w:rFonts w:asciiTheme="minorEastAsia" w:hAnsiTheme="minorEastAsia"/>
          <w:color w:val="auto"/>
          <w:sz w:val="24"/>
          <w:szCs w:val="24"/>
          <w:highlight w:val="none"/>
        </w:rPr>
      </w:pPr>
      <w:bookmarkStart w:id="764" w:name="_Toc76398701"/>
      <w:r>
        <w:rPr>
          <w:rFonts w:hint="eastAsia" w:asciiTheme="minorEastAsia" w:hAnsiTheme="minorEastAsia"/>
          <w:color w:val="auto"/>
          <w:sz w:val="24"/>
          <w:szCs w:val="24"/>
          <w:highlight w:val="none"/>
        </w:rPr>
        <w:t>5.2 支付申请</w:t>
      </w:r>
      <w:bookmarkEnd w:id="764"/>
    </w:p>
    <w:p w14:paraId="512BCD9A">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咨询人应在</w:t>
      </w:r>
      <w:r>
        <w:rPr>
          <w:rFonts w:hint="eastAsia" w:cs="Times New Roman" w:asciiTheme="minorEastAsia" w:hAnsiTheme="minorEastAsia"/>
          <w:color w:val="auto"/>
          <w:sz w:val="24"/>
          <w:szCs w:val="24"/>
          <w:highlight w:val="none"/>
        </w:rPr>
        <w:t>提交正式报告7天后</w:t>
      </w:r>
      <w:r>
        <w:rPr>
          <w:rFonts w:hint="eastAsia" w:asciiTheme="minorEastAsia" w:hAnsiTheme="minorEastAsia"/>
          <w:color w:val="auto"/>
          <w:sz w:val="24"/>
          <w:szCs w:val="24"/>
          <w:highlight w:val="none"/>
        </w:rPr>
        <w:t>，向委托人提交支付申请书。</w:t>
      </w:r>
    </w:p>
    <w:p w14:paraId="12CAAF4F">
      <w:pPr>
        <w:spacing w:line="360" w:lineRule="auto"/>
        <w:ind w:firstLine="480" w:firstLineChars="200"/>
        <w:outlineLvl w:val="1"/>
        <w:rPr>
          <w:rFonts w:asciiTheme="minorEastAsia" w:hAnsiTheme="minorEastAsia"/>
          <w:color w:val="auto"/>
          <w:sz w:val="24"/>
          <w:szCs w:val="24"/>
          <w:highlight w:val="none"/>
        </w:rPr>
      </w:pPr>
      <w:bookmarkStart w:id="765" w:name="_Toc76398702"/>
      <w:r>
        <w:rPr>
          <w:rFonts w:hint="eastAsia" w:asciiTheme="minorEastAsia" w:hAnsiTheme="minorEastAsia"/>
          <w:color w:val="auto"/>
          <w:sz w:val="24"/>
          <w:szCs w:val="24"/>
          <w:highlight w:val="none"/>
        </w:rPr>
        <w:t>5.3 支付酬金</w:t>
      </w:r>
      <w:bookmarkEnd w:id="765"/>
    </w:p>
    <w:p w14:paraId="10617C07">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5.3.1正常工作酬金的支付：本委托合同无预付款。</w:t>
      </w:r>
    </w:p>
    <w:p w14:paraId="7B0AA609">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5.3.2付款参考：工程量清单及组价</w:t>
      </w:r>
      <w:r>
        <w:rPr>
          <w:rFonts w:hint="eastAsia" w:asciiTheme="minorEastAsia" w:hAnsiTheme="minorEastAsia"/>
          <w:color w:val="auto"/>
          <w:sz w:val="24"/>
          <w:szCs w:val="24"/>
          <w:highlight w:val="none"/>
          <w:lang w:val="en-US" w:eastAsia="zh-CN"/>
        </w:rPr>
        <w:t>编制</w:t>
      </w:r>
      <w:r>
        <w:rPr>
          <w:rFonts w:hint="eastAsia" w:asciiTheme="minorEastAsia" w:hAnsiTheme="minorEastAsia"/>
          <w:color w:val="auto"/>
          <w:sz w:val="24"/>
          <w:szCs w:val="24"/>
          <w:highlight w:val="none"/>
        </w:rPr>
        <w:t>：工程合同范围内的工程量清单及组价编制</w:t>
      </w:r>
      <w:r>
        <w:rPr>
          <w:rFonts w:hint="eastAsia" w:asciiTheme="minorEastAsia" w:hAnsiTheme="minorEastAsia"/>
          <w:color w:val="auto"/>
          <w:sz w:val="24"/>
          <w:szCs w:val="24"/>
          <w:highlight w:val="none"/>
          <w:lang w:val="en-US" w:eastAsia="zh-CN"/>
        </w:rPr>
        <w:t>完成出具预算</w:t>
      </w:r>
      <w:r>
        <w:rPr>
          <w:rFonts w:hint="eastAsia" w:asciiTheme="minorEastAsia" w:hAnsiTheme="minorEastAsia"/>
          <w:color w:val="auto"/>
          <w:sz w:val="24"/>
          <w:szCs w:val="24"/>
          <w:highlight w:val="none"/>
        </w:rPr>
        <w:t>报告且委托人收到咨询人开具的等额增值税发票后60日内支付该工程量清单及组价编制酬金的80%，剩余20%待相关部门评审完成后无息支付。</w:t>
      </w:r>
    </w:p>
    <w:p w14:paraId="0953945B">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5.3.3双方确认付款按照下列【     】方式付款。</w:t>
      </w:r>
    </w:p>
    <w:p w14:paraId="59710665">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付款参考①：施工阶段工程造价全过程控制：工程完工通过验收后，咨询人交付成果报告、项目完成项目结算审计、咨询人提交付款申请且委托人收到咨询人开具的等额增值税专用发票后30日内一次性结清。</w:t>
      </w:r>
    </w:p>
    <w:p w14:paraId="577F2631">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14:paraId="2DF16BB5">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5.3.4委托人支付任何款项前，咨询人应先行开具符合财务会计要求的增值税专用发票并提交支付申请，否则委托人有权拒绝付款，且不承担任何逾期付款的责任。由此产生的责任由咨询人自行承担。</w:t>
      </w:r>
    </w:p>
    <w:p w14:paraId="21194D39">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注：若存在下列情形时，下列情形作为付款条件之一，同时适用，若涉及进度款则不包括下列情形第3种：</w:t>
      </w:r>
    </w:p>
    <w:p w14:paraId="3E8A8021">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（1）若合同计算酬金在支付款项时尚无法确定，则以         标准计算酬金；</w:t>
      </w:r>
    </w:p>
    <w:p w14:paraId="4A4989BD">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（2）若本合同涉及财政资金或专项资金支持，在委托人未收到财政资金或专项资金的情形下，委托人有权迟延付款且不承担违约责任，在符合其他付款条件且收到财政资金或专项资金后付款；</w:t>
      </w:r>
    </w:p>
    <w:p w14:paraId="5DB73E4A">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（3）若需对工程进行审计或财评，则在审计或财评结果未出之前，委托人有权迟延付款且不承担违约责任。</w:t>
      </w:r>
    </w:p>
    <w:p w14:paraId="0FA5D685">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66" w:name="_Toc76398703"/>
    </w:p>
    <w:p w14:paraId="3E0E447A">
      <w:pPr>
        <w:spacing w:line="360" w:lineRule="auto"/>
        <w:ind w:firstLine="480" w:firstLineChars="200"/>
        <w:outlineLvl w:val="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 合同变更、解除与终止</w:t>
      </w:r>
      <w:bookmarkEnd w:id="766"/>
    </w:p>
    <w:p w14:paraId="0EE055FB">
      <w:pPr>
        <w:spacing w:line="360" w:lineRule="auto"/>
        <w:ind w:firstLine="480" w:firstLineChars="200"/>
        <w:outlineLvl w:val="1"/>
        <w:rPr>
          <w:rFonts w:asciiTheme="minorEastAsia" w:hAnsiTheme="minorEastAsia"/>
          <w:color w:val="auto"/>
          <w:sz w:val="24"/>
          <w:szCs w:val="24"/>
          <w:highlight w:val="none"/>
        </w:rPr>
      </w:pPr>
      <w:bookmarkStart w:id="767" w:name="_Toc76398704"/>
      <w:r>
        <w:rPr>
          <w:rFonts w:hint="eastAsia" w:asciiTheme="minorEastAsia" w:hAnsiTheme="minorEastAsia"/>
          <w:color w:val="auto"/>
          <w:sz w:val="24"/>
          <w:szCs w:val="24"/>
          <w:highlight w:val="none"/>
        </w:rPr>
        <w:t>6.1 合同变更</w:t>
      </w:r>
      <w:bookmarkEnd w:id="767"/>
    </w:p>
    <w:p w14:paraId="60D14995">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6.1.2 除不可抗力外，因非咨询人原因导致本合同履行期限延长、内容增加时，附加工作酬金按下列方法确定：</w:t>
      </w:r>
      <w:r>
        <w:rPr>
          <w:rFonts w:hint="eastAsia" w:ascii="宋体" w:hAnsi="宋体" w:cs="宋体"/>
          <w:color w:val="auto"/>
          <w:kern w:val="0"/>
          <w:sz w:val="24"/>
          <w:highlight w:val="none"/>
          <w:u w:val="single"/>
        </w:rPr>
        <w:t>无</w:t>
      </w:r>
      <w:r>
        <w:rPr>
          <w:rFonts w:hint="eastAsia" w:asciiTheme="minorEastAsia" w:hAnsiTheme="minorEastAsia"/>
          <w:color w:val="auto"/>
          <w:sz w:val="24"/>
          <w:szCs w:val="24"/>
          <w:highlight w:val="none"/>
        </w:rPr>
        <w:t>。且在前述情形下，委托人不因此另行向咨询人支付任何补偿或赔偿。</w:t>
      </w:r>
    </w:p>
    <w:p w14:paraId="2BA307C7">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6.1.4 因工程规模、服务范围及内容的变化等导致咨询人的工作量增减时，服务酬金的调整方法：</w:t>
      </w:r>
      <w:r>
        <w:rPr>
          <w:rFonts w:hint="eastAsia" w:ascii="宋体" w:hAnsi="宋体" w:cs="宋体"/>
          <w:color w:val="auto"/>
          <w:kern w:val="0"/>
          <w:sz w:val="24"/>
          <w:highlight w:val="none"/>
          <w:u w:val="single"/>
        </w:rPr>
        <w:t xml:space="preserve">   固定费率不调整  </w:t>
      </w:r>
      <w:r>
        <w:rPr>
          <w:rFonts w:hint="eastAsia" w:asciiTheme="minorEastAsia" w:hAnsiTheme="minorEastAsia"/>
          <w:color w:val="auto"/>
          <w:sz w:val="24"/>
          <w:szCs w:val="24"/>
          <w:highlight w:val="none"/>
        </w:rPr>
        <w:t>。</w:t>
      </w:r>
    </w:p>
    <w:p w14:paraId="6FB8A925">
      <w:pPr>
        <w:spacing w:line="360" w:lineRule="auto"/>
        <w:ind w:firstLine="480" w:firstLineChars="200"/>
        <w:outlineLvl w:val="1"/>
        <w:rPr>
          <w:rFonts w:ascii="宋体" w:hAnsi="宋体"/>
          <w:color w:val="auto"/>
          <w:sz w:val="24"/>
          <w:szCs w:val="24"/>
          <w:highlight w:val="none"/>
        </w:rPr>
      </w:pPr>
      <w:bookmarkStart w:id="768" w:name="_Toc76398705"/>
      <w:r>
        <w:rPr>
          <w:rFonts w:hint="eastAsia" w:ascii="宋体" w:hAnsi="宋体"/>
          <w:color w:val="auto"/>
          <w:sz w:val="24"/>
          <w:szCs w:val="24"/>
          <w:highlight w:val="none"/>
        </w:rPr>
        <w:t>6.2 合同解除</w:t>
      </w:r>
    </w:p>
    <w:p w14:paraId="58174A9C">
      <w:pPr>
        <w:spacing w:line="360" w:lineRule="auto"/>
        <w:ind w:firstLine="480" w:firstLineChars="200"/>
        <w:jc w:val="left"/>
        <w:rPr>
          <w:rFonts w:ascii="宋体" w:hAnsi="宋体" w:cs="宋体"/>
          <w:color w:val="auto"/>
          <w:kern w:val="0"/>
          <w:sz w:val="24"/>
          <w:highlight w:val="none"/>
          <w:u w:val="single"/>
        </w:rPr>
      </w:pPr>
      <w:r>
        <w:rPr>
          <w:rFonts w:hint="eastAsia" w:ascii="宋体" w:hAnsi="宋体"/>
          <w:color w:val="auto"/>
          <w:sz w:val="24"/>
          <w:szCs w:val="24"/>
          <w:highlight w:val="none"/>
        </w:rPr>
        <w:t>6.2.2 除其他条款约定外，如出现下列情形时，委托人有权单方解除本合同，且视为咨询人违约，咨询人按照本合同约定酬金的30%向委托人承担违约金，并承担给委托人造成的一切损失（该损失包括但不限于委托人另行委托第三方履行义务产生的费用、委托人给第三方造成的损失、给委托人造成实际损失、委托人的可期待利益损失等）：</w:t>
      </w:r>
    </w:p>
    <w:p w14:paraId="50D54C4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6.2.2.1咨询人擅自将本合同约定事项转委托或再次分包；</w:t>
      </w:r>
    </w:p>
    <w:p w14:paraId="3764A62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6.2.2.2委托人提出整改意见，咨询人拒不履行的；</w:t>
      </w:r>
    </w:p>
    <w:p w14:paraId="12D589FE">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6.2.2.3咨询人的员工到委托人处投诉咨询人拖欠工资的；</w:t>
      </w:r>
    </w:p>
    <w:p w14:paraId="43C774EB">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6.2.2.4咨询人员工因咨询人拖欠工资上访、信访的；</w:t>
      </w:r>
    </w:p>
    <w:p w14:paraId="1EA206A0">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6.2.2.5咨询人应免费向委托人提供口头或现场咨询服务，咨询人未履行咨询服务的；</w:t>
      </w:r>
    </w:p>
    <w:p w14:paraId="77B9F872">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6.2.2.6咨询人未按照合同约定履行其他义务的。</w:t>
      </w:r>
    </w:p>
    <w:p w14:paraId="5F39C36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14:paraId="0B0985D2">
      <w:pPr>
        <w:spacing w:line="360" w:lineRule="auto"/>
        <w:ind w:firstLine="480" w:firstLineChars="200"/>
        <w:rPr>
          <w:rFonts w:ascii="宋体" w:hAnsi="宋体" w:cs="宋体"/>
          <w:color w:val="auto"/>
          <w:kern w:val="0"/>
          <w:sz w:val="24"/>
          <w:highlight w:val="none"/>
          <w:u w:val="single"/>
        </w:rPr>
      </w:pPr>
      <w:r>
        <w:rPr>
          <w:rFonts w:hint="eastAsia" w:ascii="宋体" w:hAnsi="宋体"/>
          <w:color w:val="auto"/>
          <w:sz w:val="24"/>
          <w:szCs w:val="24"/>
          <w:highlight w:val="none"/>
        </w:rPr>
        <w:t>6.2.4 因不可抗力导致的合同解除，双方约定损失的分担如下：</w:t>
      </w:r>
      <w:r>
        <w:rPr>
          <w:rFonts w:hint="eastAsia" w:ascii="宋体" w:hAnsi="宋体" w:cs="宋体"/>
          <w:color w:val="auto"/>
          <w:kern w:val="0"/>
          <w:sz w:val="24"/>
          <w:highlight w:val="none"/>
          <w:u w:val="single"/>
        </w:rPr>
        <w:t xml:space="preserve">  自行承担各自损失  。</w:t>
      </w:r>
    </w:p>
    <w:p w14:paraId="49E02D8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68"/>
    <w:p w14:paraId="149B0B6B">
      <w:pPr>
        <w:spacing w:line="360" w:lineRule="auto"/>
        <w:ind w:firstLine="480" w:firstLineChars="200"/>
        <w:outlineLvl w:val="0"/>
        <w:rPr>
          <w:rFonts w:asciiTheme="minorEastAsia" w:hAnsiTheme="minorEastAsia"/>
          <w:color w:val="auto"/>
          <w:sz w:val="24"/>
          <w:szCs w:val="24"/>
          <w:highlight w:val="none"/>
        </w:rPr>
      </w:pPr>
      <w:bookmarkStart w:id="769" w:name="_Toc76398706"/>
      <w:r>
        <w:rPr>
          <w:rFonts w:hint="eastAsia" w:asciiTheme="minorEastAsia" w:hAnsiTheme="minorEastAsia"/>
          <w:color w:val="auto"/>
          <w:sz w:val="24"/>
          <w:szCs w:val="24"/>
          <w:highlight w:val="none"/>
        </w:rPr>
        <w:t>7. 争议解决</w:t>
      </w:r>
      <w:bookmarkEnd w:id="769"/>
    </w:p>
    <w:p w14:paraId="1648915A">
      <w:pPr>
        <w:spacing w:line="360" w:lineRule="auto"/>
        <w:ind w:firstLine="480" w:firstLineChars="200"/>
        <w:outlineLvl w:val="1"/>
        <w:rPr>
          <w:rFonts w:asciiTheme="minorEastAsia" w:hAnsiTheme="minorEastAsia"/>
          <w:color w:val="auto"/>
          <w:sz w:val="24"/>
          <w:szCs w:val="24"/>
          <w:highlight w:val="none"/>
        </w:rPr>
      </w:pPr>
      <w:bookmarkStart w:id="770" w:name="_Toc76398707"/>
      <w:r>
        <w:rPr>
          <w:rFonts w:hint="eastAsia" w:asciiTheme="minorEastAsia" w:hAnsiTheme="minorEastAsia"/>
          <w:color w:val="auto"/>
          <w:sz w:val="24"/>
          <w:szCs w:val="24"/>
          <w:highlight w:val="none"/>
        </w:rPr>
        <w:t>7.2 调解</w:t>
      </w:r>
      <w:bookmarkEnd w:id="770"/>
    </w:p>
    <w:p w14:paraId="6A8AB4BA">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如果双方不能在</w:t>
      </w:r>
      <w:r>
        <w:rPr>
          <w:rFonts w:hint="eastAsia" w:asciiTheme="minorEastAsia" w:hAnsiTheme="minorEastAsia"/>
          <w:color w:val="auto"/>
          <w:sz w:val="24"/>
          <w:szCs w:val="24"/>
          <w:highlight w:val="none"/>
          <w:u w:val="single"/>
        </w:rPr>
        <w:t xml:space="preserve">  30  </w:t>
      </w:r>
      <w:r>
        <w:rPr>
          <w:rFonts w:hint="eastAsia" w:asciiTheme="minorEastAsia" w:hAnsiTheme="minorEastAsia"/>
          <w:color w:val="auto"/>
          <w:sz w:val="24"/>
          <w:szCs w:val="24"/>
          <w:highlight w:val="none"/>
        </w:rPr>
        <w:t>日内解决本合同争议，可以将其提交</w:t>
      </w:r>
      <w:r>
        <w:rPr>
          <w:rFonts w:hint="eastAsia" w:asciiTheme="minorEastAsia" w:hAnsiTheme="minorEastAsia"/>
          <w:color w:val="auto"/>
          <w:sz w:val="24"/>
          <w:szCs w:val="24"/>
          <w:highlight w:val="none"/>
          <w:u w:val="single"/>
        </w:rPr>
        <w:t>有关主管部门</w:t>
      </w:r>
      <w:r>
        <w:rPr>
          <w:rFonts w:hint="eastAsia" w:asciiTheme="minorEastAsia" w:hAnsiTheme="minorEastAsia"/>
          <w:color w:val="auto"/>
          <w:sz w:val="24"/>
          <w:szCs w:val="24"/>
          <w:highlight w:val="none"/>
        </w:rPr>
        <w:t>进行调解。双方确认，调解并非诉讼的前置程序。</w:t>
      </w:r>
    </w:p>
    <w:p w14:paraId="3A175F8B">
      <w:pPr>
        <w:spacing w:line="360" w:lineRule="auto"/>
        <w:ind w:firstLine="480" w:firstLineChars="200"/>
        <w:outlineLvl w:val="1"/>
        <w:rPr>
          <w:rFonts w:asciiTheme="minorEastAsia" w:hAnsiTheme="minorEastAsia"/>
          <w:color w:val="auto"/>
          <w:sz w:val="24"/>
          <w:szCs w:val="24"/>
          <w:highlight w:val="none"/>
        </w:rPr>
      </w:pPr>
      <w:bookmarkStart w:id="771" w:name="_Toc76398708"/>
      <w:r>
        <w:rPr>
          <w:rFonts w:hint="eastAsia" w:asciiTheme="minorEastAsia" w:hAnsiTheme="minorEastAsia"/>
          <w:color w:val="auto"/>
          <w:sz w:val="24"/>
          <w:szCs w:val="24"/>
          <w:highlight w:val="none"/>
        </w:rPr>
        <w:t>7.3 仲裁或诉讼</w:t>
      </w:r>
      <w:bookmarkEnd w:id="771"/>
    </w:p>
    <w:p w14:paraId="57BA8562">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合同争议的最终解决方式为下列第</w:t>
      </w:r>
      <w:r>
        <w:rPr>
          <w:rFonts w:hint="eastAsia" w:asciiTheme="minorEastAsia" w:hAnsiTheme="minorEastAsia"/>
          <w:color w:val="auto"/>
          <w:sz w:val="24"/>
          <w:szCs w:val="24"/>
          <w:highlight w:val="none"/>
          <w:u w:val="single"/>
        </w:rPr>
        <w:t>（2）</w:t>
      </w:r>
      <w:r>
        <w:rPr>
          <w:rFonts w:hint="eastAsia" w:asciiTheme="minorEastAsia" w:hAnsiTheme="minorEastAsia"/>
          <w:color w:val="auto"/>
          <w:sz w:val="24"/>
          <w:szCs w:val="24"/>
          <w:highlight w:val="none"/>
        </w:rPr>
        <w:t>种方式：</w:t>
      </w:r>
    </w:p>
    <w:p w14:paraId="4BEAAC1D">
      <w:pPr>
        <w:spacing w:line="360" w:lineRule="auto"/>
        <w:ind w:firstLine="480" w:firstLineChars="20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u w:val="single"/>
        </w:rPr>
        <w:t>（1）提请</w:t>
      </w:r>
      <w:r>
        <w:rPr>
          <w:rFonts w:ascii="宋体" w:hAnsi="宋体" w:cs="宋体"/>
          <w:color w:val="auto"/>
          <w:kern w:val="0"/>
          <w:sz w:val="24"/>
          <w:highlight w:val="none"/>
          <w:u w:val="single"/>
        </w:rPr>
        <w:t>重庆</w:t>
      </w:r>
      <w:r>
        <w:rPr>
          <w:rFonts w:hint="eastAsia" w:asciiTheme="minorEastAsia" w:hAnsiTheme="minorEastAsia"/>
          <w:color w:val="auto"/>
          <w:sz w:val="24"/>
          <w:szCs w:val="24"/>
          <w:highlight w:val="none"/>
          <w:u w:val="single"/>
        </w:rPr>
        <w:t>仲裁委员会进行仲裁。</w:t>
      </w:r>
    </w:p>
    <w:p w14:paraId="290A472F">
      <w:pPr>
        <w:spacing w:line="360" w:lineRule="auto"/>
        <w:ind w:firstLine="480" w:firstLineChars="200"/>
        <w:rPr>
          <w:rFonts w:asciiTheme="minorEastAsia" w:hAnsiTheme="minorEastAsia"/>
          <w:color w:val="auto"/>
          <w:sz w:val="24"/>
          <w:szCs w:val="24"/>
          <w:highlight w:val="none"/>
          <w:u w:val="single"/>
        </w:rPr>
      </w:pPr>
      <w:r>
        <w:rPr>
          <w:rFonts w:hint="eastAsia" w:asciiTheme="minorEastAsia" w:hAnsiTheme="minorEastAsia"/>
          <w:color w:val="auto"/>
          <w:sz w:val="24"/>
          <w:szCs w:val="24"/>
          <w:highlight w:val="none"/>
          <w:u w:val="single"/>
        </w:rPr>
        <w:t>（2）</w:t>
      </w:r>
      <w:r>
        <w:rPr>
          <w:rFonts w:ascii="宋体" w:hAnsi="宋体" w:cs="宋体"/>
          <w:color w:val="auto"/>
          <w:kern w:val="0"/>
          <w:sz w:val="24"/>
          <w:highlight w:val="none"/>
          <w:u w:val="single"/>
        </w:rPr>
        <w:t>依法向</w:t>
      </w:r>
      <w:r>
        <w:rPr>
          <w:rFonts w:hint="eastAsia" w:ascii="宋体" w:hAnsi="宋体" w:cs="宋体"/>
          <w:color w:val="auto"/>
          <w:kern w:val="0"/>
          <w:sz w:val="24"/>
          <w:highlight w:val="none"/>
          <w:u w:val="single"/>
        </w:rPr>
        <w:t>工程所在地</w:t>
      </w:r>
      <w:r>
        <w:rPr>
          <w:rFonts w:ascii="宋体" w:hAnsi="宋体" w:cs="宋体"/>
          <w:color w:val="auto"/>
          <w:kern w:val="0"/>
          <w:sz w:val="24"/>
          <w:highlight w:val="none"/>
          <w:u w:val="single"/>
        </w:rPr>
        <w:t>人民法院起诉</w:t>
      </w:r>
      <w:r>
        <w:rPr>
          <w:rFonts w:hint="eastAsia" w:asciiTheme="minorEastAsia" w:hAnsiTheme="minorEastAsia"/>
          <w:color w:val="auto"/>
          <w:sz w:val="24"/>
          <w:szCs w:val="24"/>
          <w:highlight w:val="none"/>
          <w:u w:val="single"/>
        </w:rPr>
        <w:t>。</w:t>
      </w:r>
    </w:p>
    <w:p w14:paraId="68E36590">
      <w:pPr>
        <w:spacing w:line="360" w:lineRule="auto"/>
        <w:ind w:firstLine="480" w:firstLineChars="200"/>
        <w:outlineLvl w:val="0"/>
        <w:rPr>
          <w:rFonts w:asciiTheme="minorEastAsia" w:hAnsiTheme="minorEastAsia"/>
          <w:color w:val="auto"/>
          <w:sz w:val="24"/>
          <w:szCs w:val="24"/>
          <w:highlight w:val="none"/>
        </w:rPr>
      </w:pPr>
      <w:bookmarkStart w:id="772" w:name="_Toc76398709"/>
      <w:r>
        <w:rPr>
          <w:rFonts w:hint="eastAsia" w:asciiTheme="minorEastAsia" w:hAnsiTheme="minorEastAsia"/>
          <w:color w:val="auto"/>
          <w:sz w:val="24"/>
          <w:szCs w:val="24"/>
          <w:highlight w:val="none"/>
        </w:rPr>
        <w:t>8. 其他</w:t>
      </w:r>
      <w:bookmarkEnd w:id="772"/>
    </w:p>
    <w:p w14:paraId="40297B50">
      <w:pPr>
        <w:spacing w:line="360" w:lineRule="auto"/>
        <w:ind w:firstLine="480" w:firstLineChars="200"/>
        <w:jc w:val="left"/>
        <w:outlineLvl w:val="1"/>
        <w:rPr>
          <w:rFonts w:asciiTheme="minorEastAsia" w:hAnsiTheme="minorEastAsia"/>
          <w:color w:val="auto"/>
          <w:sz w:val="24"/>
          <w:szCs w:val="24"/>
          <w:highlight w:val="none"/>
        </w:rPr>
      </w:pPr>
      <w:bookmarkStart w:id="773" w:name="_Toc76398710"/>
      <w:r>
        <w:rPr>
          <w:rFonts w:hint="eastAsia" w:asciiTheme="minorEastAsia" w:hAnsiTheme="minorEastAsia"/>
          <w:color w:val="auto"/>
          <w:sz w:val="24"/>
          <w:szCs w:val="24"/>
          <w:highlight w:val="none"/>
        </w:rPr>
        <w:t>8.1 考察及相关费用咨询人经委托人同意进行考察发生的费用在</w:t>
      </w:r>
      <w:r>
        <w:rPr>
          <w:rFonts w:hint="eastAsia" w:asciiTheme="minorEastAsia" w:hAnsiTheme="minorEastAsia"/>
          <w:color w:val="auto"/>
          <w:sz w:val="24"/>
          <w:szCs w:val="24"/>
          <w:highlight w:val="none"/>
          <w:u w:val="single"/>
        </w:rPr>
        <w:t xml:space="preserve">重庆市范围内由咨询人  </w:t>
      </w:r>
      <w:r>
        <w:rPr>
          <w:rFonts w:hint="eastAsia" w:asciiTheme="minorEastAsia" w:hAnsiTheme="minorEastAsia"/>
          <w:color w:val="auto"/>
          <w:sz w:val="24"/>
          <w:szCs w:val="24"/>
          <w:highlight w:val="none"/>
        </w:rPr>
        <w:t>支付，相关费用已包含在合同费用中，委托人不另行支付。</w:t>
      </w:r>
    </w:p>
    <w:p w14:paraId="7B3055BD">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差旅费及相关费用的支付：</w:t>
      </w:r>
      <w:r>
        <w:rPr>
          <w:rFonts w:hint="eastAsia" w:asciiTheme="minorEastAsia" w:hAnsiTheme="minorEastAsia"/>
          <w:color w:val="auto"/>
          <w:sz w:val="24"/>
          <w:szCs w:val="24"/>
          <w:highlight w:val="none"/>
          <w:u w:val="single"/>
        </w:rPr>
        <w:t xml:space="preserve">  重庆市范围内由咨询人自行解决  ，相关费用已包含在合同费用中，委托人不另行支付</w:t>
      </w:r>
      <w:r>
        <w:rPr>
          <w:rFonts w:hint="eastAsia" w:asciiTheme="minorEastAsia" w:hAnsiTheme="minorEastAsia"/>
          <w:color w:val="auto"/>
          <w:sz w:val="24"/>
          <w:szCs w:val="24"/>
          <w:highlight w:val="none"/>
        </w:rPr>
        <w:t>。</w:t>
      </w:r>
    </w:p>
    <w:bookmarkEnd w:id="773"/>
    <w:p w14:paraId="77105361">
      <w:pPr>
        <w:spacing w:line="360" w:lineRule="auto"/>
        <w:ind w:firstLine="480" w:firstLineChars="200"/>
        <w:outlineLvl w:val="1"/>
        <w:rPr>
          <w:rFonts w:asciiTheme="minorEastAsia" w:hAnsiTheme="minorEastAsia"/>
          <w:color w:val="auto"/>
          <w:sz w:val="24"/>
          <w:szCs w:val="24"/>
          <w:highlight w:val="none"/>
        </w:rPr>
      </w:pPr>
      <w:bookmarkStart w:id="774" w:name="_Toc76398711"/>
      <w:r>
        <w:rPr>
          <w:rFonts w:hint="eastAsia" w:asciiTheme="minorEastAsia" w:hAnsiTheme="minorEastAsia"/>
          <w:color w:val="auto"/>
          <w:sz w:val="24"/>
          <w:szCs w:val="24"/>
          <w:highlight w:val="none"/>
        </w:rPr>
        <w:t>8.2奖励</w:t>
      </w:r>
      <w:bookmarkEnd w:id="774"/>
    </w:p>
    <w:p w14:paraId="4D3614BD">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合理化建议的奖励金额按下列方法确定：</w:t>
      </w:r>
      <w:r>
        <w:rPr>
          <w:rFonts w:hint="eastAsia" w:asciiTheme="minorEastAsia" w:hAnsiTheme="minorEastAsia"/>
          <w:color w:val="auto"/>
          <w:sz w:val="24"/>
          <w:szCs w:val="24"/>
          <w:highlight w:val="none"/>
          <w:u w:val="single"/>
        </w:rPr>
        <w:t xml:space="preserve"> /</w:t>
      </w:r>
      <w:r>
        <w:rPr>
          <w:rFonts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0EF3DEA9">
      <w:pPr>
        <w:spacing w:line="360" w:lineRule="auto"/>
        <w:ind w:firstLine="480" w:firstLineChars="200"/>
        <w:outlineLvl w:val="1"/>
        <w:rPr>
          <w:rFonts w:asciiTheme="minorEastAsia" w:hAnsiTheme="minorEastAsia"/>
          <w:color w:val="auto"/>
          <w:sz w:val="24"/>
          <w:szCs w:val="24"/>
          <w:highlight w:val="none"/>
        </w:rPr>
      </w:pPr>
      <w:bookmarkStart w:id="775" w:name="_Toc76398712"/>
      <w:r>
        <w:rPr>
          <w:rFonts w:hint="eastAsia" w:asciiTheme="minorEastAsia" w:hAnsiTheme="minorEastAsia"/>
          <w:color w:val="auto"/>
          <w:sz w:val="24"/>
          <w:szCs w:val="24"/>
          <w:highlight w:val="none"/>
        </w:rPr>
        <w:t>8.3 保密</w:t>
      </w:r>
      <w:bookmarkEnd w:id="775"/>
    </w:p>
    <w:p w14:paraId="4DAE8177">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委托人申明的保密事项和期限：</w:t>
      </w:r>
      <w:r>
        <w:rPr>
          <w:rFonts w:hint="eastAsia" w:asciiTheme="minorEastAsia" w:hAnsiTheme="minorEastAsia"/>
          <w:color w:val="auto"/>
          <w:sz w:val="24"/>
          <w:szCs w:val="24"/>
          <w:highlight w:val="none"/>
          <w:u w:val="single"/>
        </w:rPr>
        <w:t xml:space="preserve"> （本项目的所有资料长期保密）  </w:t>
      </w:r>
      <w:r>
        <w:rPr>
          <w:rFonts w:hint="eastAsia" w:asciiTheme="minorEastAsia" w:hAnsiTheme="minorEastAsia"/>
          <w:color w:val="auto"/>
          <w:sz w:val="24"/>
          <w:szCs w:val="24"/>
          <w:highlight w:val="none"/>
        </w:rPr>
        <w:t>。未经委托人事先书面同意，咨询人不得对外透露本项目的任何信息，否则咨询人应赔偿委托人的一切损失。</w:t>
      </w:r>
    </w:p>
    <w:p w14:paraId="1B69D560">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咨询人申明的保密事项和期限：</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4E71903E">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第三人申明的保密事项和期限：</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002FF54B">
      <w:pPr>
        <w:spacing w:line="360" w:lineRule="auto"/>
        <w:ind w:firstLine="480" w:firstLineChars="200"/>
        <w:outlineLvl w:val="1"/>
        <w:rPr>
          <w:rFonts w:asciiTheme="minorEastAsia" w:hAnsiTheme="minorEastAsia"/>
          <w:color w:val="auto"/>
          <w:sz w:val="24"/>
          <w:szCs w:val="24"/>
          <w:highlight w:val="none"/>
        </w:rPr>
      </w:pPr>
      <w:bookmarkStart w:id="776" w:name="_Toc76398713"/>
      <w:r>
        <w:rPr>
          <w:rFonts w:hint="eastAsia" w:asciiTheme="minorEastAsia" w:hAnsiTheme="minorEastAsia"/>
          <w:color w:val="auto"/>
          <w:sz w:val="24"/>
          <w:szCs w:val="24"/>
          <w:highlight w:val="none"/>
        </w:rPr>
        <w:t>8.4 联络</w:t>
      </w:r>
      <w:bookmarkEnd w:id="776"/>
    </w:p>
    <w:p w14:paraId="290BCD3D">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8.4.1 任何一方与合同有关的通知、指示、要求、决定等，均应在日内送达对方指定的接收人和送达地点。</w:t>
      </w:r>
    </w:p>
    <w:p w14:paraId="2E0C454E">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8.4.2 委托人指定的送达接收人：</w:t>
      </w:r>
      <w:r>
        <w:rPr>
          <w:rFonts w:hint="eastAsia" w:asciiTheme="minorEastAsia" w:hAnsiTheme="minorEastAsia"/>
          <w:color w:val="auto"/>
          <w:sz w:val="24"/>
          <w:szCs w:val="24"/>
          <w:highlight w:val="none"/>
          <w:u w:val="single"/>
        </w:rPr>
        <w:t>_    _</w:t>
      </w:r>
      <w:r>
        <w:rPr>
          <w:rFonts w:hint="eastAsia" w:asciiTheme="minorEastAsia" w:hAnsiTheme="minorEastAsia"/>
          <w:color w:val="auto"/>
          <w:sz w:val="24"/>
          <w:szCs w:val="24"/>
          <w:highlight w:val="none"/>
        </w:rPr>
        <w:t>，送达地点：</w:t>
      </w:r>
      <w:r>
        <w:rPr>
          <w:rFonts w:hint="eastAsia" w:asciiTheme="minorEastAsia" w:hAnsiTheme="minorEastAsia"/>
          <w:color w:val="auto"/>
          <w:sz w:val="24"/>
          <w:szCs w:val="24"/>
          <w:highlight w:val="none"/>
          <w:u w:val="single"/>
        </w:rPr>
        <w:t>__   _</w:t>
      </w:r>
      <w:r>
        <w:rPr>
          <w:rFonts w:hint="eastAsia" w:asciiTheme="minorEastAsia" w:hAnsiTheme="minorEastAsia"/>
          <w:color w:val="auto"/>
          <w:sz w:val="24"/>
          <w:szCs w:val="24"/>
          <w:highlight w:val="none"/>
        </w:rPr>
        <w:t>，电子邮箱：</w:t>
      </w:r>
      <w:r>
        <w:rPr>
          <w:rFonts w:hint="eastAsia" w:asciiTheme="minorEastAsia" w:hAnsiTheme="minorEastAsia"/>
          <w:color w:val="auto"/>
          <w:sz w:val="24"/>
          <w:szCs w:val="24"/>
          <w:highlight w:val="none"/>
          <w:u w:val="single"/>
        </w:rPr>
        <w:t>_   _</w:t>
      </w:r>
      <w:r>
        <w:rPr>
          <w:rFonts w:hint="eastAsia" w:asciiTheme="minorEastAsia" w:hAnsiTheme="minorEastAsia"/>
          <w:color w:val="auto"/>
          <w:sz w:val="24"/>
          <w:szCs w:val="24"/>
          <w:highlight w:val="none"/>
        </w:rPr>
        <w:t>。</w:t>
      </w:r>
    </w:p>
    <w:p w14:paraId="1B2FC72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咨询人指定的送达接收人：</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，送达地点：</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olor w:val="auto"/>
          <w:sz w:val="24"/>
          <w:szCs w:val="24"/>
          <w:highlight w:val="none"/>
        </w:rPr>
        <w:t>，电子邮箱：</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39EB7280">
      <w:pPr>
        <w:spacing w:line="360" w:lineRule="auto"/>
        <w:ind w:firstLine="480" w:firstLineChars="200"/>
        <w:jc w:val="left"/>
        <w:rPr>
          <w:rFonts w:asciiTheme="minorEastAsia" w:hAnsiTheme="minorEastAsia"/>
          <w:color w:val="auto"/>
          <w:sz w:val="24"/>
          <w:szCs w:val="24"/>
          <w:highlight w:val="none"/>
        </w:rPr>
      </w:pPr>
      <w:bookmarkStart w:id="777" w:name="_Toc76398714"/>
      <w:r>
        <w:rPr>
          <w:rFonts w:hint="eastAsia" w:asciiTheme="minorEastAsia" w:hAnsiTheme="minorEastAsia"/>
          <w:color w:val="auto"/>
          <w:sz w:val="24"/>
          <w:szCs w:val="24"/>
          <w:highlight w:val="none"/>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仲裁的情形下，上述约定的各方通信地址，同时作为各方的诉讼</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仲裁文书送达地址，该通信地址用于接收诉讼</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仲裁文书（包括但不限于传票、判决书、裁决书、权利义务告知书等法律文书）；法院</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仲裁机构按该地址送达的法律文书（包括但不限于传票、判决书、裁决书、权利义务告知书等法律文书），即视为当事人签收，受送达人拒收或无法送达的，不影响送达的效力。</w:t>
      </w:r>
    </w:p>
    <w:p w14:paraId="3FC04149">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8.4.3若地址为空白，则以国家企业信用信息公示系统查询的住所作为通讯地址。。</w:t>
      </w:r>
    </w:p>
    <w:p w14:paraId="71D23B83">
      <w:pPr>
        <w:spacing w:line="360" w:lineRule="auto"/>
        <w:ind w:firstLine="480" w:firstLineChars="200"/>
        <w:outlineLvl w:val="1"/>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8.5 知识产权</w:t>
      </w:r>
      <w:bookmarkEnd w:id="777"/>
    </w:p>
    <w:p w14:paraId="1A08CB2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auto"/>
          <w:sz w:val="24"/>
          <w:szCs w:val="24"/>
          <w:highlight w:val="none"/>
          <w:u w:val="single"/>
        </w:rPr>
        <w:t>委托人</w:t>
      </w:r>
      <w:r>
        <w:rPr>
          <w:rFonts w:hint="eastAsia" w:asciiTheme="minorEastAsia" w:hAnsiTheme="minorEastAsia"/>
          <w:color w:val="auto"/>
          <w:sz w:val="24"/>
          <w:szCs w:val="24"/>
          <w:highlight w:val="none"/>
        </w:rPr>
        <w:t>。</w:t>
      </w:r>
    </w:p>
    <w:p w14:paraId="212A36B8">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咨询人为履行本合同约定而编制的成果文件，其著作权属于</w:t>
      </w:r>
      <w:r>
        <w:rPr>
          <w:rFonts w:hint="eastAsia" w:asciiTheme="minorEastAsia" w:hAnsiTheme="minorEastAsia"/>
          <w:color w:val="auto"/>
          <w:sz w:val="24"/>
          <w:szCs w:val="24"/>
          <w:highlight w:val="none"/>
          <w:u w:val="single"/>
        </w:rPr>
        <w:t>委托人</w:t>
      </w:r>
      <w:r>
        <w:rPr>
          <w:rFonts w:hint="eastAsia" w:asciiTheme="minorEastAsia" w:hAnsiTheme="minorEastAsia"/>
          <w:color w:val="auto"/>
          <w:sz w:val="24"/>
          <w:szCs w:val="24"/>
          <w:highlight w:val="none"/>
        </w:rPr>
        <w:t>。</w:t>
      </w:r>
    </w:p>
    <w:p w14:paraId="3710F3BC">
      <w:pPr>
        <w:spacing w:line="36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双方将履行本合同形成的有关成果文件用于企业宣传、申报奖项以及接受上级主管部门的检查须遵守以下约定：</w:t>
      </w:r>
      <w:r>
        <w:rPr>
          <w:rFonts w:hint="eastAsia" w:asciiTheme="minorEastAsia" w:hAnsiTheme="minorEastAsia"/>
          <w:color w:val="auto"/>
          <w:sz w:val="24"/>
          <w:szCs w:val="24"/>
          <w:highlight w:val="none"/>
          <w:u w:val="single"/>
        </w:rPr>
        <w:t>未经委托人同意，咨询人不得将与本合同履行有关的知识成果擅自使用或泄露</w:t>
      </w:r>
      <w:r>
        <w:rPr>
          <w:rFonts w:hint="eastAsia" w:asciiTheme="minorEastAsia" w:hAnsiTheme="minorEastAsia"/>
          <w:color w:val="auto"/>
          <w:sz w:val="24"/>
          <w:szCs w:val="24"/>
          <w:highlight w:val="none"/>
        </w:rPr>
        <w:t>。</w:t>
      </w:r>
    </w:p>
    <w:p w14:paraId="12A81AE6">
      <w:pPr>
        <w:numPr>
          <w:ilvl w:val="255"/>
          <w:numId w:val="0"/>
        </w:numPr>
        <w:spacing w:line="360" w:lineRule="auto"/>
        <w:ind w:firstLine="480" w:firstLineChars="200"/>
        <w:outlineLvl w:val="0"/>
        <w:rPr>
          <w:rFonts w:asciiTheme="minorEastAsia" w:hAnsiTheme="minorEastAsia"/>
          <w:color w:val="auto"/>
          <w:sz w:val="24"/>
          <w:szCs w:val="24"/>
          <w:highlight w:val="none"/>
        </w:rPr>
      </w:pPr>
      <w:bookmarkStart w:id="778" w:name="_Toc76398715"/>
      <w:r>
        <w:rPr>
          <w:rFonts w:hint="eastAsia" w:asciiTheme="minorEastAsia" w:hAnsiTheme="minorEastAsia"/>
          <w:color w:val="auto"/>
          <w:sz w:val="24"/>
          <w:szCs w:val="24"/>
          <w:highlight w:val="none"/>
        </w:rPr>
        <w:t>9.补充条款</w:t>
      </w:r>
      <w:bookmarkEnd w:id="778"/>
    </w:p>
    <w:p w14:paraId="7A4F4CBF">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14:paraId="738DCADE">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9.2咨询人向委托人提出赔偿要求不能成立时，则应补偿由于该赔偿或其他要求所导致委托人的各种费用的支出。</w:t>
      </w:r>
    </w:p>
    <w:p w14:paraId="7CBB0785">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9.3对从委托人处获取的资料予以保密。为履行本合同义务的工作人员办理社会保险，承担一切安全责任。若其工作人员给委托人或第三人造成损失，责任由咨询人承担。</w:t>
      </w:r>
    </w:p>
    <w:p w14:paraId="371CEEB5">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9.4</w:t>
      </w:r>
      <w:r>
        <w:rPr>
          <w:rFonts w:hint="eastAsia" w:asciiTheme="minorEastAsia" w:hAnsiTheme="minorEastAsia"/>
          <w:color w:val="auto"/>
          <w:sz w:val="24"/>
          <w:szCs w:val="24"/>
          <w:highlight w:val="none"/>
        </w:rPr>
        <w:t>咨询人免费为委托人提供口头或现场咨询</w:t>
      </w:r>
      <w:r>
        <w:rPr>
          <w:rFonts w:hint="eastAsia" w:ascii="宋体" w:hAnsi="宋体"/>
          <w:color w:val="auto"/>
          <w:sz w:val="24"/>
          <w:szCs w:val="24"/>
          <w:highlight w:val="none"/>
        </w:rPr>
        <w:t>，否则视为咨询人违约</w:t>
      </w:r>
      <w:r>
        <w:rPr>
          <w:rFonts w:hint="eastAsia" w:asciiTheme="minorEastAsia" w:hAnsiTheme="minorEastAsia"/>
          <w:color w:val="auto"/>
          <w:sz w:val="24"/>
          <w:szCs w:val="24"/>
          <w:highlight w:val="none"/>
        </w:rPr>
        <w:t>。</w:t>
      </w:r>
    </w:p>
    <w:p w14:paraId="5DBDE2BB">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9.5咨询人未按照本合同约定履行义务时，视为咨询人违约，</w:t>
      </w:r>
      <w:r>
        <w:rPr>
          <w:rFonts w:hint="eastAsia" w:ascii="宋体" w:hAnsi="宋体"/>
          <w:color w:val="auto"/>
          <w:sz w:val="24"/>
          <w:szCs w:val="24"/>
          <w:highlight w:val="none"/>
        </w:rPr>
        <w:t>咨询人违约时，</w:t>
      </w:r>
      <w:r>
        <w:rPr>
          <w:rFonts w:hint="eastAsia" w:asciiTheme="minorEastAsia" w:hAnsiTheme="minorEastAsia"/>
          <w:color w:val="auto"/>
          <w:sz w:val="24"/>
          <w:szCs w:val="24"/>
          <w:highlight w:val="none"/>
        </w:rPr>
        <w:t>委托人有权解除本合同</w:t>
      </w:r>
      <w:r>
        <w:rPr>
          <w:rFonts w:hint="eastAsia" w:ascii="宋体" w:hAnsi="宋体"/>
          <w:color w:val="auto"/>
          <w:sz w:val="24"/>
          <w:szCs w:val="24"/>
          <w:highlight w:val="none"/>
        </w:rPr>
        <w:t>，不予支付任何费用，除其他条款约定外，咨询人按照合同约定总金额的30%向委托人承担违约金</w:t>
      </w:r>
      <w:r>
        <w:rPr>
          <w:rFonts w:hint="eastAsia" w:asciiTheme="minorEastAsia" w:hAnsiTheme="minorEastAsia"/>
          <w:color w:val="auto"/>
          <w:sz w:val="24"/>
          <w:szCs w:val="24"/>
          <w:highlight w:val="none"/>
        </w:rPr>
        <w:t>。咨询人承担给委托人造成的一切损失。</w:t>
      </w:r>
    </w:p>
    <w:p w14:paraId="501E8026">
      <w:pPr>
        <w:spacing w:line="360" w:lineRule="auto"/>
        <w:ind w:firstLine="480" w:firstLineChars="200"/>
        <w:jc w:val="left"/>
        <w:rPr>
          <w:rFonts w:asciiTheme="minorEastAsia" w:hAnsiTheme="minorEastAsia"/>
          <w:color w:val="auto"/>
          <w:sz w:val="24"/>
          <w:szCs w:val="24"/>
          <w:highlight w:val="none"/>
        </w:rPr>
      </w:pPr>
      <w:r>
        <w:rPr>
          <w:rFonts w:asciiTheme="minorEastAsia" w:hAnsiTheme="minorEastAsia"/>
          <w:color w:val="auto"/>
          <w:sz w:val="24"/>
          <w:szCs w:val="24"/>
          <w:highlight w:val="none"/>
        </w:rPr>
        <w:t>9.6</w:t>
      </w:r>
      <w:r>
        <w:rPr>
          <w:rFonts w:hint="eastAsia" w:asciiTheme="minorEastAsia" w:hAnsiTheme="minorEastAsia"/>
          <w:color w:val="auto"/>
          <w:sz w:val="24"/>
          <w:szCs w:val="24"/>
          <w:highlight w:val="none"/>
        </w:rPr>
        <w:t>咨询人保证因履行本合同形成的知识成果，未侵害第三人权益，否则应赔偿给委托人造成的全部损失，若委托人因此对外承担责任，有权向咨询人进行全额追偿。</w:t>
      </w:r>
    </w:p>
    <w:p w14:paraId="38192B54">
      <w:pPr>
        <w:spacing w:line="360" w:lineRule="auto"/>
        <w:ind w:firstLine="480" w:firstLineChars="200"/>
        <w:jc w:val="left"/>
        <w:rPr>
          <w:color w:val="auto"/>
          <w:highlight w:val="none"/>
        </w:rPr>
      </w:pPr>
      <w:r>
        <w:rPr>
          <w:rFonts w:hint="eastAsia" w:ascii="宋体" w:hAnsi="宋体"/>
          <w:color w:val="auto"/>
          <w:sz w:val="24"/>
          <w:szCs w:val="24"/>
          <w:highlight w:val="none"/>
        </w:rPr>
        <w:t>9.7禁止咨询人将本合同约定事项再进行分包或转委托，否则，视为咨询人违约。</w:t>
      </w:r>
    </w:p>
    <w:p w14:paraId="06BF2B2D">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10如有时，咨询人承担万分之二且不少于500元的建设智慧平台管理费。</w:t>
      </w:r>
    </w:p>
    <w:p w14:paraId="02FCA01E">
      <w:pPr>
        <w:numPr>
          <w:ilvl w:val="255"/>
          <w:numId w:val="0"/>
        </w:numPr>
        <w:spacing w:line="360" w:lineRule="auto"/>
        <w:ind w:firstLine="480" w:firstLineChars="200"/>
        <w:jc w:val="left"/>
        <w:rPr>
          <w:rFonts w:asciiTheme="minorEastAsia" w:hAnsiTheme="minorEastAsia"/>
          <w:color w:val="auto"/>
          <w:sz w:val="24"/>
          <w:szCs w:val="24"/>
          <w:highlight w:val="none"/>
        </w:rPr>
      </w:pPr>
      <w:bookmarkStart w:id="779" w:name="_Toc76398716"/>
      <w:r>
        <w:rPr>
          <w:rFonts w:hint="eastAsia" w:asciiTheme="minorEastAsia" w:hAnsiTheme="minorEastAsia"/>
          <w:color w:val="auto"/>
          <w:sz w:val="24"/>
          <w:szCs w:val="24"/>
          <w:highlight w:val="none"/>
        </w:rPr>
        <w:t>11履约担保：</w:t>
      </w:r>
      <w:r>
        <w:rPr>
          <w:rFonts w:hint="eastAsia" w:asciiTheme="minorEastAsia" w:hAnsiTheme="minorEastAsia"/>
          <w:color w:val="auto"/>
          <w:sz w:val="24"/>
          <w:szCs w:val="24"/>
          <w:highlight w:val="none"/>
          <w:u w:val="single"/>
        </w:rPr>
        <w:t xml:space="preserve"> 中标金额10%  </w:t>
      </w:r>
      <w:r>
        <w:rPr>
          <w:rFonts w:hint="eastAsia" w:asciiTheme="minorEastAsia" w:hAnsiTheme="minorEastAsia"/>
          <w:color w:val="auto"/>
          <w:sz w:val="24"/>
          <w:szCs w:val="24"/>
          <w:highlight w:val="none"/>
        </w:rPr>
        <w:t>。（20万元以上的合同金额需要履约担保）</w:t>
      </w:r>
    </w:p>
    <w:p w14:paraId="3FB6F292">
      <w:pPr>
        <w:spacing w:line="360" w:lineRule="auto"/>
        <w:ind w:firstLine="480" w:firstLineChars="200"/>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工程咨询人应按工程咨询合同约定向委托人提交履约担保，履约担保的提交形式、提交时间及退还约定为：现金或咨询人认可的单位出具的履约保函，中标通知书发出后10日内，签订合同之前，逾期未提供，委托人有权终止双方的合同关系，一切责任由咨询人承担；退还约定为工程办理完结算、且咨询人无违约的情形下60日内一次性解保或无息退还。</w:t>
      </w:r>
    </w:p>
    <w:p w14:paraId="25774110">
      <w:pPr>
        <w:pStyle w:val="4"/>
        <w:ind w:firstLine="723"/>
        <w:rPr>
          <w:color w:val="auto"/>
          <w:highlight w:val="none"/>
        </w:rPr>
      </w:pPr>
    </w:p>
    <w:p w14:paraId="019E90EF">
      <w:pPr>
        <w:jc w:val="center"/>
        <w:outlineLvl w:val="0"/>
        <w:rPr>
          <w:color w:val="auto"/>
          <w:highlight w:val="none"/>
        </w:rPr>
      </w:pPr>
    </w:p>
    <w:p w14:paraId="60DA4524">
      <w:pPr>
        <w:jc w:val="center"/>
        <w:outlineLvl w:val="0"/>
        <w:rPr>
          <w:color w:val="auto"/>
          <w:highlight w:val="none"/>
        </w:rPr>
      </w:pPr>
    </w:p>
    <w:p w14:paraId="6990C2C8">
      <w:pPr>
        <w:widowControl/>
        <w:jc w:val="left"/>
        <w:rPr>
          <w:color w:val="auto"/>
          <w:highlight w:val="none"/>
        </w:rPr>
      </w:pPr>
      <w:r>
        <w:rPr>
          <w:color w:val="auto"/>
          <w:highlight w:val="none"/>
        </w:rPr>
        <w:br w:type="page"/>
      </w:r>
    </w:p>
    <w:p w14:paraId="353F7E4C">
      <w:pPr>
        <w:jc w:val="center"/>
        <w:outlineLvl w:val="0"/>
        <w:rPr>
          <w:color w:val="auto"/>
          <w:highlight w:val="none"/>
        </w:rPr>
      </w:pPr>
    </w:p>
    <w:p w14:paraId="6945AAF0">
      <w:pPr>
        <w:jc w:val="center"/>
        <w:outlineLvl w:val="0"/>
        <w:rPr>
          <w:color w:val="auto"/>
          <w:highlight w:val="none"/>
        </w:rPr>
      </w:pPr>
      <w:r>
        <w:rPr>
          <w:rFonts w:hint="eastAsia"/>
          <w:color w:val="auto"/>
          <w:highlight w:val="none"/>
        </w:rPr>
        <w:t>附录 A 咨询人人员配置一览表</w:t>
      </w:r>
      <w:bookmarkEnd w:id="779"/>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14:paraId="317B06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14:paraId="1AC981C9">
            <w:pPr>
              <w:jc w:val="center"/>
              <w:rPr>
                <w:color w:val="auto"/>
                <w:highlight w:val="none"/>
              </w:rPr>
            </w:pPr>
            <w:r>
              <w:rPr>
                <w:rFonts w:hint="eastAsia"/>
                <w:color w:val="auto"/>
                <w:highlight w:val="none"/>
              </w:rPr>
              <w:t>姓名</w:t>
            </w:r>
          </w:p>
        </w:tc>
        <w:tc>
          <w:tcPr>
            <w:tcW w:w="1525" w:type="dxa"/>
          </w:tcPr>
          <w:p w14:paraId="01AAF6ED">
            <w:pPr>
              <w:jc w:val="center"/>
              <w:rPr>
                <w:color w:val="auto"/>
                <w:highlight w:val="none"/>
              </w:rPr>
            </w:pPr>
            <w:r>
              <w:rPr>
                <w:rFonts w:hint="eastAsia"/>
                <w:color w:val="auto"/>
                <w:highlight w:val="none"/>
              </w:rPr>
              <w:t>职务</w:t>
            </w:r>
          </w:p>
        </w:tc>
        <w:tc>
          <w:tcPr>
            <w:tcW w:w="1348" w:type="dxa"/>
          </w:tcPr>
          <w:p w14:paraId="4C1B15AA">
            <w:pPr>
              <w:jc w:val="center"/>
              <w:rPr>
                <w:color w:val="auto"/>
                <w:highlight w:val="none"/>
              </w:rPr>
            </w:pPr>
            <w:r>
              <w:rPr>
                <w:rFonts w:hint="eastAsia"/>
                <w:color w:val="auto"/>
                <w:highlight w:val="none"/>
              </w:rPr>
              <w:t>专业</w:t>
            </w:r>
          </w:p>
        </w:tc>
        <w:tc>
          <w:tcPr>
            <w:tcW w:w="1359" w:type="dxa"/>
          </w:tcPr>
          <w:p w14:paraId="04A36DF2">
            <w:pPr>
              <w:jc w:val="center"/>
              <w:rPr>
                <w:color w:val="auto"/>
                <w:highlight w:val="none"/>
              </w:rPr>
            </w:pPr>
            <w:r>
              <w:rPr>
                <w:rFonts w:hint="eastAsia"/>
                <w:color w:val="auto"/>
                <w:highlight w:val="none"/>
              </w:rPr>
              <w:t>职业资格证</w:t>
            </w:r>
          </w:p>
        </w:tc>
        <w:tc>
          <w:tcPr>
            <w:tcW w:w="1623" w:type="dxa"/>
          </w:tcPr>
          <w:p w14:paraId="0DD8A968">
            <w:pPr>
              <w:jc w:val="center"/>
              <w:rPr>
                <w:color w:val="auto"/>
                <w:highlight w:val="none"/>
              </w:rPr>
            </w:pPr>
            <w:r>
              <w:rPr>
                <w:rFonts w:hint="eastAsia"/>
                <w:color w:val="auto"/>
                <w:highlight w:val="none"/>
              </w:rPr>
              <w:t>联系电话</w:t>
            </w:r>
          </w:p>
        </w:tc>
        <w:tc>
          <w:tcPr>
            <w:tcW w:w="1633" w:type="dxa"/>
          </w:tcPr>
          <w:p w14:paraId="134A8EB9">
            <w:pPr>
              <w:jc w:val="center"/>
              <w:rPr>
                <w:color w:val="auto"/>
                <w:highlight w:val="none"/>
              </w:rPr>
            </w:pPr>
            <w:r>
              <w:rPr>
                <w:rFonts w:hint="eastAsia"/>
                <w:color w:val="auto"/>
                <w:highlight w:val="none"/>
              </w:rPr>
              <w:t>备注</w:t>
            </w:r>
          </w:p>
        </w:tc>
      </w:tr>
      <w:tr w14:paraId="4052D2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72C16B5A">
            <w:pPr>
              <w:jc w:val="center"/>
              <w:rPr>
                <w:color w:val="auto"/>
                <w:sz w:val="24"/>
                <w:szCs w:val="24"/>
                <w:highlight w:val="none"/>
              </w:rPr>
            </w:pPr>
          </w:p>
        </w:tc>
        <w:tc>
          <w:tcPr>
            <w:tcW w:w="1525" w:type="dxa"/>
            <w:vAlign w:val="center"/>
          </w:tcPr>
          <w:p w14:paraId="01F73F4F">
            <w:pPr>
              <w:jc w:val="center"/>
              <w:rPr>
                <w:color w:val="auto"/>
                <w:highlight w:val="none"/>
              </w:rPr>
            </w:pPr>
          </w:p>
        </w:tc>
        <w:tc>
          <w:tcPr>
            <w:tcW w:w="1348" w:type="dxa"/>
          </w:tcPr>
          <w:p w14:paraId="4A88EBA5">
            <w:pPr>
              <w:jc w:val="center"/>
              <w:rPr>
                <w:color w:val="auto"/>
                <w:highlight w:val="none"/>
              </w:rPr>
            </w:pPr>
          </w:p>
        </w:tc>
        <w:tc>
          <w:tcPr>
            <w:tcW w:w="1359" w:type="dxa"/>
            <w:vAlign w:val="center"/>
          </w:tcPr>
          <w:p w14:paraId="1B0B01FE">
            <w:pPr>
              <w:jc w:val="center"/>
              <w:rPr>
                <w:color w:val="auto"/>
                <w:sz w:val="24"/>
                <w:szCs w:val="24"/>
                <w:highlight w:val="none"/>
              </w:rPr>
            </w:pPr>
          </w:p>
        </w:tc>
        <w:tc>
          <w:tcPr>
            <w:tcW w:w="1623" w:type="dxa"/>
            <w:vAlign w:val="center"/>
          </w:tcPr>
          <w:p w14:paraId="6A1CA18D">
            <w:pPr>
              <w:jc w:val="center"/>
              <w:rPr>
                <w:color w:val="auto"/>
                <w:highlight w:val="none"/>
              </w:rPr>
            </w:pPr>
          </w:p>
        </w:tc>
        <w:tc>
          <w:tcPr>
            <w:tcW w:w="1633" w:type="dxa"/>
          </w:tcPr>
          <w:p w14:paraId="51B2B638">
            <w:pPr>
              <w:jc w:val="center"/>
              <w:rPr>
                <w:color w:val="auto"/>
                <w:highlight w:val="none"/>
              </w:rPr>
            </w:pPr>
          </w:p>
        </w:tc>
      </w:tr>
      <w:tr w14:paraId="43C0C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7D3F05F4">
            <w:pPr>
              <w:jc w:val="center"/>
              <w:rPr>
                <w:color w:val="auto"/>
                <w:sz w:val="24"/>
                <w:szCs w:val="24"/>
                <w:highlight w:val="none"/>
              </w:rPr>
            </w:pPr>
          </w:p>
        </w:tc>
        <w:tc>
          <w:tcPr>
            <w:tcW w:w="1525" w:type="dxa"/>
            <w:vAlign w:val="center"/>
          </w:tcPr>
          <w:p w14:paraId="4311DCBE">
            <w:pPr>
              <w:jc w:val="center"/>
              <w:rPr>
                <w:color w:val="auto"/>
                <w:highlight w:val="none"/>
              </w:rPr>
            </w:pPr>
          </w:p>
        </w:tc>
        <w:tc>
          <w:tcPr>
            <w:tcW w:w="1348" w:type="dxa"/>
          </w:tcPr>
          <w:p w14:paraId="470307A0">
            <w:pPr>
              <w:jc w:val="center"/>
              <w:rPr>
                <w:color w:val="auto"/>
                <w:highlight w:val="none"/>
              </w:rPr>
            </w:pPr>
          </w:p>
        </w:tc>
        <w:tc>
          <w:tcPr>
            <w:tcW w:w="1359" w:type="dxa"/>
            <w:vAlign w:val="center"/>
          </w:tcPr>
          <w:p w14:paraId="04AC2620">
            <w:pPr>
              <w:jc w:val="center"/>
              <w:rPr>
                <w:color w:val="auto"/>
                <w:sz w:val="24"/>
                <w:szCs w:val="24"/>
                <w:highlight w:val="none"/>
              </w:rPr>
            </w:pPr>
          </w:p>
        </w:tc>
        <w:tc>
          <w:tcPr>
            <w:tcW w:w="1623" w:type="dxa"/>
            <w:vAlign w:val="center"/>
          </w:tcPr>
          <w:p w14:paraId="2A24B5D5">
            <w:pPr>
              <w:jc w:val="center"/>
              <w:rPr>
                <w:color w:val="auto"/>
                <w:highlight w:val="none"/>
              </w:rPr>
            </w:pPr>
          </w:p>
        </w:tc>
        <w:tc>
          <w:tcPr>
            <w:tcW w:w="1633" w:type="dxa"/>
          </w:tcPr>
          <w:p w14:paraId="7544142A">
            <w:pPr>
              <w:jc w:val="center"/>
              <w:rPr>
                <w:color w:val="auto"/>
                <w:highlight w:val="none"/>
              </w:rPr>
            </w:pPr>
          </w:p>
        </w:tc>
      </w:tr>
      <w:tr w14:paraId="62EAA5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3DC7FCFD">
            <w:pPr>
              <w:jc w:val="center"/>
              <w:rPr>
                <w:color w:val="auto"/>
                <w:sz w:val="24"/>
                <w:szCs w:val="24"/>
                <w:highlight w:val="none"/>
              </w:rPr>
            </w:pPr>
          </w:p>
        </w:tc>
        <w:tc>
          <w:tcPr>
            <w:tcW w:w="1525" w:type="dxa"/>
            <w:vAlign w:val="center"/>
          </w:tcPr>
          <w:p w14:paraId="0465A5DD">
            <w:pPr>
              <w:jc w:val="center"/>
              <w:rPr>
                <w:color w:val="auto"/>
                <w:highlight w:val="none"/>
              </w:rPr>
            </w:pPr>
          </w:p>
        </w:tc>
        <w:tc>
          <w:tcPr>
            <w:tcW w:w="1348" w:type="dxa"/>
          </w:tcPr>
          <w:p w14:paraId="03338FED">
            <w:pPr>
              <w:jc w:val="center"/>
              <w:rPr>
                <w:color w:val="auto"/>
                <w:highlight w:val="none"/>
              </w:rPr>
            </w:pPr>
          </w:p>
        </w:tc>
        <w:tc>
          <w:tcPr>
            <w:tcW w:w="1359" w:type="dxa"/>
            <w:vAlign w:val="center"/>
          </w:tcPr>
          <w:p w14:paraId="5C2C69F2">
            <w:pPr>
              <w:jc w:val="center"/>
              <w:rPr>
                <w:color w:val="auto"/>
                <w:sz w:val="24"/>
                <w:szCs w:val="24"/>
                <w:highlight w:val="none"/>
              </w:rPr>
            </w:pPr>
          </w:p>
        </w:tc>
        <w:tc>
          <w:tcPr>
            <w:tcW w:w="1623" w:type="dxa"/>
            <w:vAlign w:val="center"/>
          </w:tcPr>
          <w:p w14:paraId="222C337C">
            <w:pPr>
              <w:jc w:val="center"/>
              <w:rPr>
                <w:color w:val="auto"/>
                <w:highlight w:val="none"/>
              </w:rPr>
            </w:pPr>
          </w:p>
        </w:tc>
        <w:tc>
          <w:tcPr>
            <w:tcW w:w="1633" w:type="dxa"/>
          </w:tcPr>
          <w:p w14:paraId="018B598D">
            <w:pPr>
              <w:jc w:val="center"/>
              <w:rPr>
                <w:color w:val="auto"/>
                <w:highlight w:val="none"/>
              </w:rPr>
            </w:pPr>
          </w:p>
        </w:tc>
      </w:tr>
      <w:tr w14:paraId="7AC298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093BEAD6">
            <w:pPr>
              <w:jc w:val="center"/>
              <w:rPr>
                <w:color w:val="auto"/>
                <w:highlight w:val="none"/>
              </w:rPr>
            </w:pPr>
          </w:p>
        </w:tc>
        <w:tc>
          <w:tcPr>
            <w:tcW w:w="1525" w:type="dxa"/>
          </w:tcPr>
          <w:p w14:paraId="268B1281">
            <w:pPr>
              <w:jc w:val="center"/>
              <w:rPr>
                <w:color w:val="auto"/>
                <w:highlight w:val="none"/>
              </w:rPr>
            </w:pPr>
          </w:p>
        </w:tc>
        <w:tc>
          <w:tcPr>
            <w:tcW w:w="1348" w:type="dxa"/>
          </w:tcPr>
          <w:p w14:paraId="7A4B283E">
            <w:pPr>
              <w:jc w:val="center"/>
              <w:rPr>
                <w:color w:val="auto"/>
                <w:highlight w:val="none"/>
              </w:rPr>
            </w:pPr>
          </w:p>
        </w:tc>
        <w:tc>
          <w:tcPr>
            <w:tcW w:w="1359" w:type="dxa"/>
          </w:tcPr>
          <w:p w14:paraId="5C7AB7E5">
            <w:pPr>
              <w:jc w:val="center"/>
              <w:rPr>
                <w:color w:val="auto"/>
                <w:highlight w:val="none"/>
              </w:rPr>
            </w:pPr>
          </w:p>
        </w:tc>
        <w:tc>
          <w:tcPr>
            <w:tcW w:w="1623" w:type="dxa"/>
          </w:tcPr>
          <w:p w14:paraId="640972A1">
            <w:pPr>
              <w:jc w:val="center"/>
              <w:rPr>
                <w:color w:val="auto"/>
                <w:highlight w:val="none"/>
              </w:rPr>
            </w:pPr>
          </w:p>
        </w:tc>
        <w:tc>
          <w:tcPr>
            <w:tcW w:w="1633" w:type="dxa"/>
          </w:tcPr>
          <w:p w14:paraId="5BD7B4B5">
            <w:pPr>
              <w:jc w:val="center"/>
              <w:rPr>
                <w:color w:val="auto"/>
                <w:highlight w:val="none"/>
              </w:rPr>
            </w:pPr>
          </w:p>
        </w:tc>
      </w:tr>
      <w:tr w14:paraId="328B7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240BE762">
            <w:pPr>
              <w:jc w:val="center"/>
              <w:rPr>
                <w:color w:val="auto"/>
                <w:highlight w:val="none"/>
              </w:rPr>
            </w:pPr>
          </w:p>
        </w:tc>
        <w:tc>
          <w:tcPr>
            <w:tcW w:w="1525" w:type="dxa"/>
          </w:tcPr>
          <w:p w14:paraId="31CE33A4">
            <w:pPr>
              <w:jc w:val="center"/>
              <w:rPr>
                <w:color w:val="auto"/>
                <w:highlight w:val="none"/>
              </w:rPr>
            </w:pPr>
          </w:p>
        </w:tc>
        <w:tc>
          <w:tcPr>
            <w:tcW w:w="1348" w:type="dxa"/>
          </w:tcPr>
          <w:p w14:paraId="60DF89AB">
            <w:pPr>
              <w:jc w:val="center"/>
              <w:rPr>
                <w:color w:val="auto"/>
                <w:highlight w:val="none"/>
              </w:rPr>
            </w:pPr>
          </w:p>
        </w:tc>
        <w:tc>
          <w:tcPr>
            <w:tcW w:w="1359" w:type="dxa"/>
          </w:tcPr>
          <w:p w14:paraId="29BB53A7">
            <w:pPr>
              <w:jc w:val="center"/>
              <w:rPr>
                <w:color w:val="auto"/>
                <w:highlight w:val="none"/>
              </w:rPr>
            </w:pPr>
          </w:p>
        </w:tc>
        <w:tc>
          <w:tcPr>
            <w:tcW w:w="1623" w:type="dxa"/>
          </w:tcPr>
          <w:p w14:paraId="0045BB34">
            <w:pPr>
              <w:jc w:val="center"/>
              <w:rPr>
                <w:color w:val="auto"/>
                <w:highlight w:val="none"/>
              </w:rPr>
            </w:pPr>
          </w:p>
        </w:tc>
        <w:tc>
          <w:tcPr>
            <w:tcW w:w="1633" w:type="dxa"/>
          </w:tcPr>
          <w:p w14:paraId="48D57AA6">
            <w:pPr>
              <w:jc w:val="center"/>
              <w:rPr>
                <w:color w:val="auto"/>
                <w:highlight w:val="none"/>
              </w:rPr>
            </w:pPr>
          </w:p>
        </w:tc>
      </w:tr>
    </w:tbl>
    <w:p w14:paraId="21F899F2">
      <w:pPr>
        <w:rPr>
          <w:color w:val="auto"/>
          <w:highlight w:val="none"/>
        </w:rPr>
      </w:pPr>
      <w:r>
        <w:rPr>
          <w:rFonts w:hint="eastAsia"/>
          <w:color w:val="auto"/>
          <w:highlight w:val="none"/>
        </w:rPr>
        <w:t>注：1.合同签订时，出具以上人员任命书，并附身份证、职业资格证书等复印件（两套）。</w:t>
      </w:r>
    </w:p>
    <w:p w14:paraId="1E17B721">
      <w:pPr>
        <w:jc w:val="center"/>
        <w:rPr>
          <w:color w:val="auto"/>
          <w:highlight w:val="none"/>
        </w:rPr>
      </w:pPr>
    </w:p>
    <w:p w14:paraId="0AC4831C">
      <w:pPr>
        <w:widowControl/>
        <w:jc w:val="left"/>
        <w:rPr>
          <w:color w:val="auto"/>
          <w:highlight w:val="none"/>
        </w:rPr>
      </w:pPr>
      <w:r>
        <w:rPr>
          <w:color w:val="auto"/>
          <w:highlight w:val="none"/>
        </w:rPr>
        <w:br w:type="page"/>
      </w:r>
    </w:p>
    <w:p w14:paraId="28935D5C">
      <w:pPr>
        <w:jc w:val="center"/>
        <w:rPr>
          <w:color w:val="auto"/>
          <w:highlight w:val="none"/>
        </w:rPr>
      </w:pPr>
    </w:p>
    <w:p w14:paraId="6F729FFC">
      <w:pPr>
        <w:jc w:val="center"/>
        <w:outlineLvl w:val="0"/>
        <w:rPr>
          <w:color w:val="auto"/>
          <w:highlight w:val="none"/>
        </w:rPr>
      </w:pPr>
      <w:bookmarkStart w:id="780" w:name="_Toc76398717"/>
      <w:r>
        <w:rPr>
          <w:rFonts w:hint="eastAsia"/>
          <w:color w:val="auto"/>
          <w:highlight w:val="none"/>
        </w:rPr>
        <w:t>附录 B 咨询人提交成果文件一览表</w:t>
      </w:r>
      <w:bookmarkEnd w:id="780"/>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14:paraId="1CD908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14:paraId="690263AB">
            <w:pPr>
              <w:jc w:val="center"/>
              <w:rPr>
                <w:color w:val="auto"/>
                <w:highlight w:val="none"/>
              </w:rPr>
            </w:pPr>
            <w:r>
              <w:rPr>
                <w:rFonts w:hint="eastAsia"/>
                <w:color w:val="auto"/>
                <w:highlight w:val="none"/>
              </w:rPr>
              <w:t>服务阶段</w:t>
            </w:r>
          </w:p>
        </w:tc>
        <w:tc>
          <w:tcPr>
            <w:tcW w:w="1483" w:type="dxa"/>
          </w:tcPr>
          <w:p w14:paraId="5583EF7B">
            <w:pPr>
              <w:jc w:val="center"/>
              <w:rPr>
                <w:color w:val="auto"/>
                <w:highlight w:val="none"/>
              </w:rPr>
            </w:pPr>
            <w:r>
              <w:rPr>
                <w:rFonts w:hint="eastAsia"/>
                <w:color w:val="auto"/>
                <w:highlight w:val="none"/>
              </w:rPr>
              <w:t>成果文件名称</w:t>
            </w:r>
          </w:p>
        </w:tc>
        <w:tc>
          <w:tcPr>
            <w:tcW w:w="1483" w:type="dxa"/>
          </w:tcPr>
          <w:p w14:paraId="1555DDB9">
            <w:pPr>
              <w:jc w:val="center"/>
              <w:rPr>
                <w:color w:val="auto"/>
                <w:highlight w:val="none"/>
              </w:rPr>
            </w:pPr>
            <w:r>
              <w:rPr>
                <w:rFonts w:hint="eastAsia"/>
                <w:color w:val="auto"/>
                <w:highlight w:val="none"/>
              </w:rPr>
              <w:t>成果文件组成</w:t>
            </w:r>
          </w:p>
        </w:tc>
        <w:tc>
          <w:tcPr>
            <w:tcW w:w="1483" w:type="dxa"/>
          </w:tcPr>
          <w:p w14:paraId="58578FF0">
            <w:pPr>
              <w:jc w:val="center"/>
              <w:rPr>
                <w:color w:val="auto"/>
                <w:highlight w:val="none"/>
              </w:rPr>
            </w:pPr>
            <w:r>
              <w:rPr>
                <w:rFonts w:hint="eastAsia"/>
                <w:color w:val="auto"/>
                <w:highlight w:val="none"/>
              </w:rPr>
              <w:t>提交时间</w:t>
            </w:r>
          </w:p>
        </w:tc>
        <w:tc>
          <w:tcPr>
            <w:tcW w:w="1483" w:type="dxa"/>
          </w:tcPr>
          <w:p w14:paraId="5E474B38">
            <w:pPr>
              <w:jc w:val="center"/>
              <w:rPr>
                <w:color w:val="auto"/>
                <w:highlight w:val="none"/>
              </w:rPr>
            </w:pPr>
            <w:r>
              <w:rPr>
                <w:rFonts w:hint="eastAsia"/>
                <w:color w:val="auto"/>
                <w:highlight w:val="none"/>
              </w:rPr>
              <w:t>份数</w:t>
            </w:r>
          </w:p>
        </w:tc>
        <w:tc>
          <w:tcPr>
            <w:tcW w:w="1483" w:type="dxa"/>
          </w:tcPr>
          <w:p w14:paraId="72BEE892">
            <w:pPr>
              <w:jc w:val="center"/>
              <w:rPr>
                <w:color w:val="auto"/>
                <w:highlight w:val="none"/>
              </w:rPr>
            </w:pPr>
            <w:r>
              <w:rPr>
                <w:rFonts w:hint="eastAsia"/>
                <w:color w:val="auto"/>
                <w:highlight w:val="none"/>
              </w:rPr>
              <w:t>质量标准</w:t>
            </w:r>
          </w:p>
        </w:tc>
      </w:tr>
      <w:tr w14:paraId="2FB740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5D3F8A2E">
            <w:pPr>
              <w:jc w:val="center"/>
              <w:rPr>
                <w:color w:val="auto"/>
                <w:highlight w:val="none"/>
              </w:rPr>
            </w:pPr>
            <w:r>
              <w:rPr>
                <w:rFonts w:hint="eastAsia"/>
                <w:color w:val="auto"/>
                <w:highlight w:val="none"/>
              </w:rPr>
              <w:t>实施阶段</w:t>
            </w:r>
          </w:p>
        </w:tc>
        <w:tc>
          <w:tcPr>
            <w:tcW w:w="1483" w:type="dxa"/>
            <w:vAlign w:val="center"/>
          </w:tcPr>
          <w:p w14:paraId="26A2542D">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全过程造价咨询控制方案</w:t>
            </w:r>
          </w:p>
        </w:tc>
        <w:tc>
          <w:tcPr>
            <w:tcW w:w="1483" w:type="dxa"/>
            <w:vAlign w:val="center"/>
          </w:tcPr>
          <w:p w14:paraId="4224F25B">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全过程造价咨询控制方案</w:t>
            </w:r>
          </w:p>
        </w:tc>
        <w:tc>
          <w:tcPr>
            <w:tcW w:w="1483" w:type="dxa"/>
            <w:vAlign w:val="center"/>
          </w:tcPr>
          <w:p w14:paraId="0715A99F">
            <w:pPr>
              <w:jc w:val="center"/>
              <w:rPr>
                <w:rFonts w:asciiTheme="minorEastAsia" w:hAnsiTheme="minorEastAsia"/>
                <w:color w:val="auto"/>
                <w:szCs w:val="21"/>
                <w:highlight w:val="none"/>
              </w:rPr>
            </w:pPr>
            <w:r>
              <w:rPr>
                <w:rFonts w:hint="eastAsia" w:asciiTheme="minorEastAsia" w:hAnsiTheme="minorEastAsia"/>
                <w:color w:val="auto"/>
                <w:szCs w:val="21"/>
                <w:highlight w:val="none"/>
              </w:rPr>
              <w:t>项目开工前</w:t>
            </w:r>
          </w:p>
        </w:tc>
        <w:tc>
          <w:tcPr>
            <w:tcW w:w="1483" w:type="dxa"/>
            <w:vAlign w:val="center"/>
          </w:tcPr>
          <w:p w14:paraId="40E76C8E">
            <w:pPr>
              <w:jc w:val="center"/>
              <w:rPr>
                <w:rFonts w:asciiTheme="minorEastAsia" w:hAnsiTheme="minorEastAsia"/>
                <w:color w:val="auto"/>
                <w:szCs w:val="21"/>
                <w:highlight w:val="none"/>
              </w:rPr>
            </w:pPr>
          </w:p>
        </w:tc>
        <w:tc>
          <w:tcPr>
            <w:tcW w:w="1483" w:type="dxa"/>
            <w:vAlign w:val="center"/>
          </w:tcPr>
          <w:p w14:paraId="3443F932">
            <w:pPr>
              <w:jc w:val="center"/>
              <w:rPr>
                <w:rFonts w:asciiTheme="minorEastAsia" w:hAnsiTheme="minorEastAsia"/>
                <w:color w:val="auto"/>
                <w:szCs w:val="21"/>
                <w:highlight w:val="none"/>
              </w:rPr>
            </w:pPr>
          </w:p>
        </w:tc>
      </w:tr>
      <w:tr w14:paraId="2F5260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EF9416A">
            <w:pPr>
              <w:jc w:val="center"/>
              <w:rPr>
                <w:color w:val="auto"/>
                <w:highlight w:val="none"/>
              </w:rPr>
            </w:pPr>
          </w:p>
        </w:tc>
        <w:tc>
          <w:tcPr>
            <w:tcW w:w="1483" w:type="dxa"/>
            <w:vAlign w:val="center"/>
          </w:tcPr>
          <w:p w14:paraId="6863339E">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收方签证单</w:t>
            </w:r>
          </w:p>
        </w:tc>
        <w:tc>
          <w:tcPr>
            <w:tcW w:w="1483" w:type="dxa"/>
            <w:vAlign w:val="center"/>
          </w:tcPr>
          <w:p w14:paraId="01DEAC19">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收方单、签证单</w:t>
            </w:r>
          </w:p>
        </w:tc>
        <w:tc>
          <w:tcPr>
            <w:tcW w:w="1483" w:type="dxa"/>
            <w:vAlign w:val="center"/>
          </w:tcPr>
          <w:p w14:paraId="1C326BE2">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施工单位提交收方签证单之日起三日内</w:t>
            </w:r>
          </w:p>
        </w:tc>
        <w:tc>
          <w:tcPr>
            <w:tcW w:w="1483" w:type="dxa"/>
            <w:vAlign w:val="center"/>
          </w:tcPr>
          <w:p w14:paraId="182A2C53">
            <w:pPr>
              <w:jc w:val="center"/>
              <w:rPr>
                <w:rFonts w:asciiTheme="minorEastAsia" w:hAnsiTheme="minorEastAsia"/>
                <w:color w:val="auto"/>
                <w:szCs w:val="21"/>
                <w:highlight w:val="none"/>
              </w:rPr>
            </w:pPr>
          </w:p>
        </w:tc>
        <w:tc>
          <w:tcPr>
            <w:tcW w:w="1483" w:type="dxa"/>
            <w:vAlign w:val="center"/>
          </w:tcPr>
          <w:p w14:paraId="18815561">
            <w:pPr>
              <w:jc w:val="center"/>
              <w:rPr>
                <w:rFonts w:asciiTheme="minorEastAsia" w:hAnsiTheme="minorEastAsia"/>
                <w:color w:val="auto"/>
                <w:szCs w:val="21"/>
                <w:highlight w:val="none"/>
              </w:rPr>
            </w:pPr>
          </w:p>
        </w:tc>
      </w:tr>
      <w:tr w14:paraId="25DE60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7988C83">
            <w:pPr>
              <w:jc w:val="center"/>
              <w:rPr>
                <w:color w:val="auto"/>
                <w:highlight w:val="none"/>
              </w:rPr>
            </w:pPr>
          </w:p>
        </w:tc>
        <w:tc>
          <w:tcPr>
            <w:tcW w:w="1483" w:type="dxa"/>
            <w:vAlign w:val="center"/>
          </w:tcPr>
          <w:p w14:paraId="481C9BEA">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认质核价单</w:t>
            </w:r>
          </w:p>
        </w:tc>
        <w:tc>
          <w:tcPr>
            <w:tcW w:w="1483" w:type="dxa"/>
            <w:vAlign w:val="center"/>
          </w:tcPr>
          <w:p w14:paraId="22A2165B">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认质核价单</w:t>
            </w:r>
          </w:p>
        </w:tc>
        <w:tc>
          <w:tcPr>
            <w:tcW w:w="1483" w:type="dxa"/>
            <w:vAlign w:val="center"/>
          </w:tcPr>
          <w:p w14:paraId="13A0488E">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施工单位提交认质核价单之日起七日内</w:t>
            </w:r>
          </w:p>
        </w:tc>
        <w:tc>
          <w:tcPr>
            <w:tcW w:w="1483" w:type="dxa"/>
            <w:vAlign w:val="center"/>
          </w:tcPr>
          <w:p w14:paraId="1455835C">
            <w:pPr>
              <w:jc w:val="center"/>
              <w:rPr>
                <w:rFonts w:asciiTheme="minorEastAsia" w:hAnsiTheme="minorEastAsia"/>
                <w:color w:val="auto"/>
                <w:szCs w:val="21"/>
                <w:highlight w:val="none"/>
              </w:rPr>
            </w:pPr>
          </w:p>
        </w:tc>
        <w:tc>
          <w:tcPr>
            <w:tcW w:w="1483" w:type="dxa"/>
            <w:vAlign w:val="center"/>
          </w:tcPr>
          <w:p w14:paraId="49101EBF">
            <w:pPr>
              <w:jc w:val="center"/>
              <w:rPr>
                <w:rFonts w:asciiTheme="minorEastAsia" w:hAnsiTheme="minorEastAsia"/>
                <w:color w:val="auto"/>
                <w:szCs w:val="21"/>
                <w:highlight w:val="none"/>
              </w:rPr>
            </w:pPr>
          </w:p>
        </w:tc>
      </w:tr>
      <w:tr w14:paraId="67D3DA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A65114B">
            <w:pPr>
              <w:jc w:val="center"/>
              <w:rPr>
                <w:color w:val="auto"/>
                <w:highlight w:val="none"/>
              </w:rPr>
            </w:pPr>
          </w:p>
        </w:tc>
        <w:tc>
          <w:tcPr>
            <w:tcW w:w="1483" w:type="dxa"/>
            <w:vAlign w:val="center"/>
          </w:tcPr>
          <w:p w14:paraId="5C25834A">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变更核算</w:t>
            </w:r>
          </w:p>
        </w:tc>
        <w:tc>
          <w:tcPr>
            <w:tcW w:w="1483" w:type="dxa"/>
            <w:vAlign w:val="center"/>
          </w:tcPr>
          <w:p w14:paraId="62F0710C">
            <w:pPr>
              <w:rPr>
                <w:rFonts w:asciiTheme="minorEastAsia" w:hAnsiTheme="minorEastAsia"/>
                <w:color w:val="auto"/>
                <w:szCs w:val="21"/>
                <w:highlight w:val="none"/>
              </w:rPr>
            </w:pPr>
            <w:r>
              <w:rPr>
                <w:rFonts w:hint="eastAsia" w:asciiTheme="minorEastAsia" w:hAnsiTheme="minorEastAsia"/>
                <w:color w:val="auto"/>
                <w:szCs w:val="21"/>
                <w:highlight w:val="none"/>
              </w:rPr>
              <w:t>预算书</w:t>
            </w:r>
          </w:p>
        </w:tc>
        <w:tc>
          <w:tcPr>
            <w:tcW w:w="1483" w:type="dxa"/>
            <w:vAlign w:val="center"/>
          </w:tcPr>
          <w:p w14:paraId="332CA89E">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施工单位提交变更预算书之日起七日内</w:t>
            </w:r>
          </w:p>
        </w:tc>
        <w:tc>
          <w:tcPr>
            <w:tcW w:w="1483" w:type="dxa"/>
            <w:vAlign w:val="center"/>
          </w:tcPr>
          <w:p w14:paraId="1A3170C3">
            <w:pPr>
              <w:jc w:val="center"/>
              <w:rPr>
                <w:rFonts w:asciiTheme="minorEastAsia" w:hAnsiTheme="minorEastAsia"/>
                <w:color w:val="auto"/>
                <w:szCs w:val="21"/>
                <w:highlight w:val="none"/>
              </w:rPr>
            </w:pPr>
          </w:p>
        </w:tc>
        <w:tc>
          <w:tcPr>
            <w:tcW w:w="1483" w:type="dxa"/>
            <w:vAlign w:val="center"/>
          </w:tcPr>
          <w:p w14:paraId="1662C527">
            <w:pPr>
              <w:jc w:val="center"/>
              <w:rPr>
                <w:rFonts w:asciiTheme="minorEastAsia" w:hAnsiTheme="minorEastAsia"/>
                <w:color w:val="auto"/>
                <w:szCs w:val="21"/>
                <w:highlight w:val="none"/>
              </w:rPr>
            </w:pPr>
          </w:p>
        </w:tc>
      </w:tr>
      <w:tr w14:paraId="08F602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207A94C3">
            <w:pPr>
              <w:jc w:val="center"/>
              <w:rPr>
                <w:color w:val="auto"/>
                <w:highlight w:val="none"/>
              </w:rPr>
            </w:pPr>
          </w:p>
        </w:tc>
        <w:tc>
          <w:tcPr>
            <w:tcW w:w="1483" w:type="dxa"/>
            <w:vAlign w:val="center"/>
          </w:tcPr>
          <w:p w14:paraId="7E21648A">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进度款支付情况表</w:t>
            </w:r>
          </w:p>
        </w:tc>
        <w:tc>
          <w:tcPr>
            <w:tcW w:w="1483" w:type="dxa"/>
            <w:vAlign w:val="center"/>
          </w:tcPr>
          <w:p w14:paraId="79D53DE2">
            <w:pPr>
              <w:jc w:val="center"/>
              <w:rPr>
                <w:rFonts w:asciiTheme="minorEastAsia" w:hAnsiTheme="minorEastAsia"/>
                <w:color w:val="auto"/>
                <w:szCs w:val="21"/>
                <w:highlight w:val="none"/>
              </w:rPr>
            </w:pPr>
            <w:r>
              <w:rPr>
                <w:rFonts w:hint="eastAsia" w:asciiTheme="minorEastAsia" w:hAnsiTheme="minorEastAsia"/>
                <w:color w:val="auto"/>
                <w:szCs w:val="21"/>
                <w:highlight w:val="none"/>
              </w:rPr>
              <w:t>进度款审批表及附件</w:t>
            </w:r>
          </w:p>
        </w:tc>
        <w:tc>
          <w:tcPr>
            <w:tcW w:w="1483" w:type="dxa"/>
            <w:vAlign w:val="center"/>
          </w:tcPr>
          <w:p w14:paraId="50753F0D">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施工单位提交进度款支付申请之日起七日内</w:t>
            </w:r>
          </w:p>
        </w:tc>
        <w:tc>
          <w:tcPr>
            <w:tcW w:w="1483" w:type="dxa"/>
            <w:vAlign w:val="center"/>
          </w:tcPr>
          <w:p w14:paraId="7C8D9661">
            <w:pPr>
              <w:jc w:val="center"/>
              <w:rPr>
                <w:rFonts w:asciiTheme="minorEastAsia" w:hAnsiTheme="minorEastAsia"/>
                <w:color w:val="auto"/>
                <w:szCs w:val="21"/>
                <w:highlight w:val="none"/>
              </w:rPr>
            </w:pPr>
          </w:p>
        </w:tc>
        <w:tc>
          <w:tcPr>
            <w:tcW w:w="1483" w:type="dxa"/>
            <w:vAlign w:val="center"/>
          </w:tcPr>
          <w:p w14:paraId="497469F5">
            <w:pPr>
              <w:jc w:val="center"/>
              <w:rPr>
                <w:rFonts w:asciiTheme="minorEastAsia" w:hAnsiTheme="minorEastAsia"/>
                <w:color w:val="auto"/>
                <w:szCs w:val="21"/>
                <w:highlight w:val="none"/>
              </w:rPr>
            </w:pPr>
          </w:p>
        </w:tc>
      </w:tr>
      <w:tr w14:paraId="78CFE4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36EB619B">
            <w:pPr>
              <w:jc w:val="center"/>
              <w:rPr>
                <w:color w:val="auto"/>
                <w:highlight w:val="none"/>
              </w:rPr>
            </w:pPr>
          </w:p>
        </w:tc>
        <w:tc>
          <w:tcPr>
            <w:tcW w:w="1483" w:type="dxa"/>
            <w:vAlign w:val="center"/>
          </w:tcPr>
          <w:p w14:paraId="42E45DCA">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月度情况报告书</w:t>
            </w:r>
          </w:p>
        </w:tc>
        <w:tc>
          <w:tcPr>
            <w:tcW w:w="1483" w:type="dxa"/>
            <w:vAlign w:val="center"/>
          </w:tcPr>
          <w:p w14:paraId="764C3EB0">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月度情况报告书</w:t>
            </w:r>
          </w:p>
        </w:tc>
        <w:tc>
          <w:tcPr>
            <w:tcW w:w="1483" w:type="dxa"/>
            <w:vAlign w:val="center"/>
          </w:tcPr>
          <w:p w14:paraId="01B6FAA1">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每月28号</w:t>
            </w:r>
          </w:p>
        </w:tc>
        <w:tc>
          <w:tcPr>
            <w:tcW w:w="1483" w:type="dxa"/>
            <w:vAlign w:val="center"/>
          </w:tcPr>
          <w:p w14:paraId="76C40045">
            <w:pPr>
              <w:jc w:val="center"/>
              <w:rPr>
                <w:rFonts w:asciiTheme="minorEastAsia" w:hAnsiTheme="minorEastAsia"/>
                <w:color w:val="auto"/>
                <w:szCs w:val="21"/>
                <w:highlight w:val="none"/>
              </w:rPr>
            </w:pPr>
          </w:p>
        </w:tc>
        <w:tc>
          <w:tcPr>
            <w:tcW w:w="1483" w:type="dxa"/>
            <w:vAlign w:val="center"/>
          </w:tcPr>
          <w:p w14:paraId="011FF304">
            <w:pPr>
              <w:jc w:val="center"/>
              <w:rPr>
                <w:rFonts w:asciiTheme="minorEastAsia" w:hAnsiTheme="minorEastAsia"/>
                <w:color w:val="auto"/>
                <w:szCs w:val="21"/>
                <w:highlight w:val="none"/>
              </w:rPr>
            </w:pPr>
          </w:p>
        </w:tc>
      </w:tr>
      <w:tr w14:paraId="3B4652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2562C942">
            <w:pPr>
              <w:jc w:val="center"/>
              <w:rPr>
                <w:color w:val="auto"/>
                <w:highlight w:val="none"/>
              </w:rPr>
            </w:pPr>
          </w:p>
        </w:tc>
        <w:tc>
          <w:tcPr>
            <w:tcW w:w="1483" w:type="dxa"/>
            <w:vAlign w:val="center"/>
          </w:tcPr>
          <w:p w14:paraId="0D2D3D76">
            <w:pPr>
              <w:jc w:val="center"/>
              <w:rPr>
                <w:rFonts w:asciiTheme="minorEastAsia" w:hAnsiTheme="minorEastAsia"/>
                <w:color w:val="auto"/>
                <w:szCs w:val="21"/>
                <w:highlight w:val="none"/>
              </w:rPr>
            </w:pPr>
          </w:p>
        </w:tc>
        <w:tc>
          <w:tcPr>
            <w:tcW w:w="1483" w:type="dxa"/>
            <w:vAlign w:val="center"/>
          </w:tcPr>
          <w:p w14:paraId="78BBA19B">
            <w:pPr>
              <w:jc w:val="center"/>
              <w:rPr>
                <w:rFonts w:asciiTheme="minorEastAsia" w:hAnsiTheme="minorEastAsia"/>
                <w:color w:val="auto"/>
                <w:szCs w:val="21"/>
                <w:highlight w:val="none"/>
              </w:rPr>
            </w:pPr>
          </w:p>
        </w:tc>
        <w:tc>
          <w:tcPr>
            <w:tcW w:w="1483" w:type="dxa"/>
            <w:vAlign w:val="center"/>
          </w:tcPr>
          <w:p w14:paraId="34C35762">
            <w:pPr>
              <w:jc w:val="center"/>
              <w:rPr>
                <w:rFonts w:asciiTheme="minorEastAsia" w:hAnsiTheme="minorEastAsia"/>
                <w:color w:val="auto"/>
                <w:szCs w:val="21"/>
                <w:highlight w:val="none"/>
              </w:rPr>
            </w:pPr>
          </w:p>
        </w:tc>
        <w:tc>
          <w:tcPr>
            <w:tcW w:w="1483" w:type="dxa"/>
            <w:vAlign w:val="center"/>
          </w:tcPr>
          <w:p w14:paraId="5E89FE6F">
            <w:pPr>
              <w:jc w:val="center"/>
              <w:rPr>
                <w:rFonts w:asciiTheme="minorEastAsia" w:hAnsiTheme="minorEastAsia"/>
                <w:color w:val="auto"/>
                <w:szCs w:val="21"/>
                <w:highlight w:val="none"/>
              </w:rPr>
            </w:pPr>
          </w:p>
        </w:tc>
        <w:tc>
          <w:tcPr>
            <w:tcW w:w="1483" w:type="dxa"/>
            <w:vAlign w:val="center"/>
          </w:tcPr>
          <w:p w14:paraId="7D282524">
            <w:pPr>
              <w:jc w:val="center"/>
              <w:rPr>
                <w:rFonts w:asciiTheme="minorEastAsia" w:hAnsiTheme="minorEastAsia"/>
                <w:color w:val="auto"/>
                <w:szCs w:val="21"/>
                <w:highlight w:val="none"/>
              </w:rPr>
            </w:pPr>
          </w:p>
        </w:tc>
      </w:tr>
      <w:tr w14:paraId="65DC5B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5E4FC75B">
            <w:pPr>
              <w:jc w:val="center"/>
              <w:rPr>
                <w:color w:val="auto"/>
                <w:highlight w:val="none"/>
              </w:rPr>
            </w:pPr>
          </w:p>
        </w:tc>
        <w:tc>
          <w:tcPr>
            <w:tcW w:w="1483" w:type="dxa"/>
            <w:vAlign w:val="center"/>
          </w:tcPr>
          <w:p w14:paraId="4112FAFA">
            <w:pPr>
              <w:jc w:val="center"/>
              <w:rPr>
                <w:rFonts w:asciiTheme="minorEastAsia" w:hAnsiTheme="minorEastAsia"/>
                <w:color w:val="auto"/>
                <w:szCs w:val="21"/>
                <w:highlight w:val="none"/>
              </w:rPr>
            </w:pPr>
          </w:p>
        </w:tc>
        <w:tc>
          <w:tcPr>
            <w:tcW w:w="1483" w:type="dxa"/>
            <w:vAlign w:val="center"/>
          </w:tcPr>
          <w:p w14:paraId="0AC6A7A0">
            <w:pPr>
              <w:jc w:val="center"/>
              <w:rPr>
                <w:rFonts w:asciiTheme="minorEastAsia" w:hAnsiTheme="minorEastAsia"/>
                <w:color w:val="auto"/>
                <w:szCs w:val="21"/>
                <w:highlight w:val="none"/>
              </w:rPr>
            </w:pPr>
          </w:p>
        </w:tc>
        <w:tc>
          <w:tcPr>
            <w:tcW w:w="1483" w:type="dxa"/>
            <w:vAlign w:val="center"/>
          </w:tcPr>
          <w:p w14:paraId="0E203E5E">
            <w:pPr>
              <w:jc w:val="center"/>
              <w:rPr>
                <w:rFonts w:asciiTheme="minorEastAsia" w:hAnsiTheme="minorEastAsia"/>
                <w:color w:val="auto"/>
                <w:szCs w:val="21"/>
                <w:highlight w:val="none"/>
              </w:rPr>
            </w:pPr>
          </w:p>
        </w:tc>
        <w:tc>
          <w:tcPr>
            <w:tcW w:w="1483" w:type="dxa"/>
            <w:vAlign w:val="center"/>
          </w:tcPr>
          <w:p w14:paraId="3BCB1A46">
            <w:pPr>
              <w:jc w:val="center"/>
              <w:rPr>
                <w:rFonts w:asciiTheme="minorEastAsia" w:hAnsiTheme="minorEastAsia"/>
                <w:color w:val="auto"/>
                <w:szCs w:val="21"/>
                <w:highlight w:val="none"/>
              </w:rPr>
            </w:pPr>
          </w:p>
        </w:tc>
        <w:tc>
          <w:tcPr>
            <w:tcW w:w="1483" w:type="dxa"/>
            <w:vAlign w:val="center"/>
          </w:tcPr>
          <w:p w14:paraId="71F01D48">
            <w:pPr>
              <w:jc w:val="center"/>
              <w:rPr>
                <w:rFonts w:asciiTheme="minorEastAsia" w:hAnsiTheme="minorEastAsia"/>
                <w:color w:val="auto"/>
                <w:szCs w:val="21"/>
                <w:highlight w:val="none"/>
              </w:rPr>
            </w:pPr>
          </w:p>
        </w:tc>
      </w:tr>
      <w:tr w14:paraId="44AFF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3EBB688">
            <w:pPr>
              <w:jc w:val="center"/>
              <w:rPr>
                <w:color w:val="auto"/>
                <w:highlight w:val="none"/>
              </w:rPr>
            </w:pPr>
          </w:p>
        </w:tc>
        <w:tc>
          <w:tcPr>
            <w:tcW w:w="1483" w:type="dxa"/>
            <w:vAlign w:val="center"/>
          </w:tcPr>
          <w:p w14:paraId="2B2B90B3">
            <w:pPr>
              <w:jc w:val="center"/>
              <w:rPr>
                <w:rFonts w:asciiTheme="minorEastAsia" w:hAnsiTheme="minorEastAsia"/>
                <w:color w:val="auto"/>
                <w:szCs w:val="21"/>
                <w:highlight w:val="none"/>
              </w:rPr>
            </w:pPr>
          </w:p>
        </w:tc>
        <w:tc>
          <w:tcPr>
            <w:tcW w:w="1483" w:type="dxa"/>
            <w:vAlign w:val="center"/>
          </w:tcPr>
          <w:p w14:paraId="70E119E9">
            <w:pPr>
              <w:jc w:val="center"/>
              <w:rPr>
                <w:rFonts w:asciiTheme="minorEastAsia" w:hAnsiTheme="minorEastAsia"/>
                <w:color w:val="auto"/>
                <w:szCs w:val="21"/>
                <w:highlight w:val="none"/>
              </w:rPr>
            </w:pPr>
          </w:p>
        </w:tc>
        <w:tc>
          <w:tcPr>
            <w:tcW w:w="1483" w:type="dxa"/>
            <w:vAlign w:val="center"/>
          </w:tcPr>
          <w:p w14:paraId="0AB58F9C">
            <w:pPr>
              <w:jc w:val="center"/>
              <w:rPr>
                <w:rFonts w:asciiTheme="minorEastAsia" w:hAnsiTheme="minorEastAsia"/>
                <w:color w:val="auto"/>
                <w:szCs w:val="21"/>
                <w:highlight w:val="none"/>
              </w:rPr>
            </w:pPr>
          </w:p>
        </w:tc>
        <w:tc>
          <w:tcPr>
            <w:tcW w:w="1483" w:type="dxa"/>
            <w:vAlign w:val="center"/>
          </w:tcPr>
          <w:p w14:paraId="5DE05749">
            <w:pPr>
              <w:jc w:val="center"/>
              <w:rPr>
                <w:rFonts w:asciiTheme="minorEastAsia" w:hAnsiTheme="minorEastAsia"/>
                <w:color w:val="auto"/>
                <w:szCs w:val="21"/>
                <w:highlight w:val="none"/>
              </w:rPr>
            </w:pPr>
          </w:p>
        </w:tc>
        <w:tc>
          <w:tcPr>
            <w:tcW w:w="1483" w:type="dxa"/>
            <w:vAlign w:val="center"/>
          </w:tcPr>
          <w:p w14:paraId="6E6FE2F8">
            <w:pPr>
              <w:jc w:val="center"/>
              <w:rPr>
                <w:rFonts w:asciiTheme="minorEastAsia" w:hAnsiTheme="minorEastAsia"/>
                <w:color w:val="auto"/>
                <w:szCs w:val="21"/>
                <w:highlight w:val="none"/>
              </w:rPr>
            </w:pPr>
          </w:p>
        </w:tc>
      </w:tr>
      <w:tr w14:paraId="7D0338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24C36A04">
            <w:pPr>
              <w:jc w:val="center"/>
              <w:rPr>
                <w:color w:val="auto"/>
                <w:highlight w:val="none"/>
              </w:rPr>
            </w:pPr>
          </w:p>
        </w:tc>
        <w:tc>
          <w:tcPr>
            <w:tcW w:w="1483" w:type="dxa"/>
            <w:vAlign w:val="center"/>
          </w:tcPr>
          <w:p w14:paraId="67B9C24A">
            <w:pPr>
              <w:jc w:val="center"/>
              <w:rPr>
                <w:rFonts w:asciiTheme="minorEastAsia" w:hAnsiTheme="minorEastAsia"/>
                <w:color w:val="auto"/>
                <w:szCs w:val="21"/>
                <w:highlight w:val="none"/>
              </w:rPr>
            </w:pPr>
          </w:p>
        </w:tc>
        <w:tc>
          <w:tcPr>
            <w:tcW w:w="1483" w:type="dxa"/>
            <w:vAlign w:val="center"/>
          </w:tcPr>
          <w:p w14:paraId="2AFFBF9B">
            <w:pPr>
              <w:jc w:val="center"/>
              <w:rPr>
                <w:rFonts w:asciiTheme="minorEastAsia" w:hAnsiTheme="minorEastAsia"/>
                <w:color w:val="auto"/>
                <w:szCs w:val="21"/>
                <w:highlight w:val="none"/>
              </w:rPr>
            </w:pPr>
          </w:p>
        </w:tc>
        <w:tc>
          <w:tcPr>
            <w:tcW w:w="1483" w:type="dxa"/>
            <w:vAlign w:val="center"/>
          </w:tcPr>
          <w:p w14:paraId="3BA129A7">
            <w:pPr>
              <w:jc w:val="center"/>
              <w:rPr>
                <w:rFonts w:asciiTheme="minorEastAsia" w:hAnsiTheme="minorEastAsia"/>
                <w:color w:val="auto"/>
                <w:szCs w:val="21"/>
                <w:highlight w:val="none"/>
              </w:rPr>
            </w:pPr>
          </w:p>
        </w:tc>
        <w:tc>
          <w:tcPr>
            <w:tcW w:w="1483" w:type="dxa"/>
            <w:vAlign w:val="center"/>
          </w:tcPr>
          <w:p w14:paraId="0B14C463">
            <w:pPr>
              <w:jc w:val="center"/>
              <w:rPr>
                <w:rFonts w:asciiTheme="minorEastAsia" w:hAnsiTheme="minorEastAsia"/>
                <w:color w:val="auto"/>
                <w:szCs w:val="21"/>
                <w:highlight w:val="none"/>
              </w:rPr>
            </w:pPr>
          </w:p>
        </w:tc>
        <w:tc>
          <w:tcPr>
            <w:tcW w:w="1483" w:type="dxa"/>
            <w:vAlign w:val="center"/>
          </w:tcPr>
          <w:p w14:paraId="4A88A73C">
            <w:pPr>
              <w:jc w:val="center"/>
              <w:rPr>
                <w:rFonts w:asciiTheme="minorEastAsia" w:hAnsiTheme="minorEastAsia"/>
                <w:color w:val="auto"/>
                <w:szCs w:val="21"/>
                <w:highlight w:val="none"/>
              </w:rPr>
            </w:pPr>
          </w:p>
        </w:tc>
      </w:tr>
      <w:tr w14:paraId="49CACF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63D00469">
            <w:pPr>
              <w:jc w:val="center"/>
              <w:rPr>
                <w:color w:val="auto"/>
                <w:highlight w:val="none"/>
              </w:rPr>
            </w:pPr>
          </w:p>
        </w:tc>
        <w:tc>
          <w:tcPr>
            <w:tcW w:w="1483" w:type="dxa"/>
            <w:vAlign w:val="center"/>
          </w:tcPr>
          <w:p w14:paraId="2E8DEB22">
            <w:pPr>
              <w:jc w:val="center"/>
              <w:rPr>
                <w:rFonts w:asciiTheme="minorEastAsia" w:hAnsiTheme="minorEastAsia"/>
                <w:color w:val="auto"/>
                <w:szCs w:val="21"/>
                <w:highlight w:val="none"/>
              </w:rPr>
            </w:pPr>
          </w:p>
        </w:tc>
        <w:tc>
          <w:tcPr>
            <w:tcW w:w="1483" w:type="dxa"/>
            <w:vAlign w:val="center"/>
          </w:tcPr>
          <w:p w14:paraId="2BF75674">
            <w:pPr>
              <w:jc w:val="center"/>
              <w:rPr>
                <w:rFonts w:asciiTheme="minorEastAsia" w:hAnsiTheme="minorEastAsia"/>
                <w:color w:val="auto"/>
                <w:szCs w:val="21"/>
                <w:highlight w:val="none"/>
              </w:rPr>
            </w:pPr>
          </w:p>
        </w:tc>
        <w:tc>
          <w:tcPr>
            <w:tcW w:w="1483" w:type="dxa"/>
            <w:vAlign w:val="center"/>
          </w:tcPr>
          <w:p w14:paraId="3BEB6E4A">
            <w:pPr>
              <w:jc w:val="center"/>
              <w:rPr>
                <w:rFonts w:asciiTheme="minorEastAsia" w:hAnsiTheme="minorEastAsia"/>
                <w:color w:val="auto"/>
                <w:szCs w:val="21"/>
                <w:highlight w:val="none"/>
              </w:rPr>
            </w:pPr>
          </w:p>
        </w:tc>
        <w:tc>
          <w:tcPr>
            <w:tcW w:w="1483" w:type="dxa"/>
            <w:vAlign w:val="center"/>
          </w:tcPr>
          <w:p w14:paraId="1E04E716">
            <w:pPr>
              <w:jc w:val="center"/>
              <w:rPr>
                <w:rFonts w:asciiTheme="minorEastAsia" w:hAnsiTheme="minorEastAsia"/>
                <w:color w:val="auto"/>
                <w:szCs w:val="21"/>
                <w:highlight w:val="none"/>
              </w:rPr>
            </w:pPr>
          </w:p>
        </w:tc>
        <w:tc>
          <w:tcPr>
            <w:tcW w:w="1483" w:type="dxa"/>
            <w:vAlign w:val="center"/>
          </w:tcPr>
          <w:p w14:paraId="4D01607B">
            <w:pPr>
              <w:jc w:val="center"/>
              <w:rPr>
                <w:rFonts w:asciiTheme="minorEastAsia" w:hAnsiTheme="minorEastAsia"/>
                <w:color w:val="auto"/>
                <w:szCs w:val="21"/>
                <w:highlight w:val="none"/>
              </w:rPr>
            </w:pPr>
          </w:p>
        </w:tc>
      </w:tr>
      <w:tr w14:paraId="3E9BFF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5D130884">
            <w:pPr>
              <w:jc w:val="center"/>
              <w:rPr>
                <w:color w:val="auto"/>
                <w:highlight w:val="none"/>
              </w:rPr>
            </w:pPr>
            <w:r>
              <w:rPr>
                <w:rFonts w:hint="eastAsia"/>
                <w:color w:val="auto"/>
                <w:highlight w:val="none"/>
              </w:rPr>
              <w:t>竣工阶段</w:t>
            </w:r>
          </w:p>
        </w:tc>
        <w:tc>
          <w:tcPr>
            <w:tcW w:w="1483" w:type="dxa"/>
            <w:vAlign w:val="center"/>
          </w:tcPr>
          <w:p w14:paraId="7FBC9D75">
            <w:pPr>
              <w:jc w:val="center"/>
              <w:rPr>
                <w:rFonts w:asciiTheme="minorEastAsia" w:hAnsiTheme="minorEastAsia"/>
                <w:color w:val="auto"/>
                <w:szCs w:val="21"/>
                <w:highlight w:val="none"/>
              </w:rPr>
            </w:pPr>
            <w:r>
              <w:rPr>
                <w:rFonts w:hint="eastAsia" w:asciiTheme="minorEastAsia" w:hAnsiTheme="minorEastAsia"/>
                <w:color w:val="auto"/>
                <w:szCs w:val="21"/>
                <w:highlight w:val="none"/>
              </w:rPr>
              <w:t>竣工结算报告</w:t>
            </w:r>
          </w:p>
        </w:tc>
        <w:tc>
          <w:tcPr>
            <w:tcW w:w="1483" w:type="dxa"/>
            <w:vAlign w:val="center"/>
          </w:tcPr>
          <w:p w14:paraId="6AB393FE">
            <w:pPr>
              <w:jc w:val="center"/>
              <w:rPr>
                <w:rFonts w:asciiTheme="minorEastAsia" w:hAnsiTheme="minorEastAsia"/>
                <w:color w:val="auto"/>
                <w:szCs w:val="21"/>
                <w:highlight w:val="none"/>
              </w:rPr>
            </w:pPr>
            <w:r>
              <w:rPr>
                <w:rFonts w:hint="eastAsia" w:asciiTheme="minorEastAsia" w:hAnsiTheme="minorEastAsia"/>
                <w:color w:val="auto"/>
                <w:szCs w:val="21"/>
                <w:highlight w:val="none"/>
              </w:rPr>
              <w:t>竣工结算报告、结算书、营业执照、造价资质证书</w:t>
            </w:r>
          </w:p>
        </w:tc>
        <w:tc>
          <w:tcPr>
            <w:tcW w:w="1483" w:type="dxa"/>
            <w:vAlign w:val="center"/>
          </w:tcPr>
          <w:p w14:paraId="149724A6">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施工单位提交竣工结算资料之日起14日内</w:t>
            </w:r>
          </w:p>
        </w:tc>
        <w:tc>
          <w:tcPr>
            <w:tcW w:w="1483" w:type="dxa"/>
            <w:vAlign w:val="center"/>
          </w:tcPr>
          <w:p w14:paraId="0A297EFF">
            <w:pPr>
              <w:jc w:val="center"/>
              <w:rPr>
                <w:rFonts w:asciiTheme="minorEastAsia" w:hAnsiTheme="minorEastAsia"/>
                <w:color w:val="auto"/>
                <w:szCs w:val="21"/>
                <w:highlight w:val="none"/>
              </w:rPr>
            </w:pPr>
          </w:p>
        </w:tc>
        <w:tc>
          <w:tcPr>
            <w:tcW w:w="1483" w:type="dxa"/>
            <w:vAlign w:val="center"/>
          </w:tcPr>
          <w:p w14:paraId="4E613776">
            <w:pPr>
              <w:jc w:val="center"/>
              <w:rPr>
                <w:rFonts w:asciiTheme="minorEastAsia" w:hAnsiTheme="minorEastAsia"/>
                <w:color w:val="auto"/>
                <w:szCs w:val="21"/>
                <w:highlight w:val="none"/>
              </w:rPr>
            </w:pPr>
          </w:p>
        </w:tc>
      </w:tr>
      <w:tr w14:paraId="57134E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662FA83B">
            <w:pPr>
              <w:jc w:val="center"/>
              <w:rPr>
                <w:color w:val="auto"/>
                <w:highlight w:val="none"/>
              </w:rPr>
            </w:pPr>
          </w:p>
        </w:tc>
        <w:tc>
          <w:tcPr>
            <w:tcW w:w="1483" w:type="dxa"/>
          </w:tcPr>
          <w:p w14:paraId="1CADF5CA">
            <w:pPr>
              <w:jc w:val="center"/>
              <w:rPr>
                <w:color w:val="auto"/>
                <w:highlight w:val="none"/>
              </w:rPr>
            </w:pPr>
          </w:p>
        </w:tc>
        <w:tc>
          <w:tcPr>
            <w:tcW w:w="1483" w:type="dxa"/>
          </w:tcPr>
          <w:p w14:paraId="391DBD2D">
            <w:pPr>
              <w:jc w:val="center"/>
              <w:rPr>
                <w:color w:val="auto"/>
                <w:highlight w:val="none"/>
              </w:rPr>
            </w:pPr>
          </w:p>
        </w:tc>
        <w:tc>
          <w:tcPr>
            <w:tcW w:w="1483" w:type="dxa"/>
          </w:tcPr>
          <w:p w14:paraId="23CCE170">
            <w:pPr>
              <w:jc w:val="center"/>
              <w:rPr>
                <w:color w:val="auto"/>
                <w:highlight w:val="none"/>
              </w:rPr>
            </w:pPr>
          </w:p>
        </w:tc>
        <w:tc>
          <w:tcPr>
            <w:tcW w:w="1483" w:type="dxa"/>
          </w:tcPr>
          <w:p w14:paraId="1966B93D">
            <w:pPr>
              <w:jc w:val="center"/>
              <w:rPr>
                <w:color w:val="auto"/>
                <w:highlight w:val="none"/>
              </w:rPr>
            </w:pPr>
          </w:p>
        </w:tc>
        <w:tc>
          <w:tcPr>
            <w:tcW w:w="1483" w:type="dxa"/>
          </w:tcPr>
          <w:p w14:paraId="476ED062">
            <w:pPr>
              <w:jc w:val="center"/>
              <w:rPr>
                <w:color w:val="auto"/>
                <w:highlight w:val="none"/>
              </w:rPr>
            </w:pPr>
          </w:p>
        </w:tc>
      </w:tr>
      <w:tr w14:paraId="234568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4311DBE">
            <w:pPr>
              <w:jc w:val="center"/>
              <w:rPr>
                <w:color w:val="auto"/>
                <w:highlight w:val="none"/>
              </w:rPr>
            </w:pPr>
          </w:p>
        </w:tc>
        <w:tc>
          <w:tcPr>
            <w:tcW w:w="1483" w:type="dxa"/>
          </w:tcPr>
          <w:p w14:paraId="71105BCC">
            <w:pPr>
              <w:jc w:val="center"/>
              <w:rPr>
                <w:color w:val="auto"/>
                <w:highlight w:val="none"/>
              </w:rPr>
            </w:pPr>
          </w:p>
        </w:tc>
        <w:tc>
          <w:tcPr>
            <w:tcW w:w="1483" w:type="dxa"/>
          </w:tcPr>
          <w:p w14:paraId="48605A5C">
            <w:pPr>
              <w:jc w:val="center"/>
              <w:rPr>
                <w:color w:val="auto"/>
                <w:highlight w:val="none"/>
              </w:rPr>
            </w:pPr>
          </w:p>
        </w:tc>
        <w:tc>
          <w:tcPr>
            <w:tcW w:w="1483" w:type="dxa"/>
          </w:tcPr>
          <w:p w14:paraId="2923F790">
            <w:pPr>
              <w:jc w:val="center"/>
              <w:rPr>
                <w:color w:val="auto"/>
                <w:highlight w:val="none"/>
              </w:rPr>
            </w:pPr>
          </w:p>
        </w:tc>
        <w:tc>
          <w:tcPr>
            <w:tcW w:w="1483" w:type="dxa"/>
          </w:tcPr>
          <w:p w14:paraId="150FA9EB">
            <w:pPr>
              <w:jc w:val="center"/>
              <w:rPr>
                <w:color w:val="auto"/>
                <w:highlight w:val="none"/>
              </w:rPr>
            </w:pPr>
          </w:p>
        </w:tc>
        <w:tc>
          <w:tcPr>
            <w:tcW w:w="1483" w:type="dxa"/>
          </w:tcPr>
          <w:p w14:paraId="1A2FFDAA">
            <w:pPr>
              <w:jc w:val="center"/>
              <w:rPr>
                <w:color w:val="auto"/>
                <w:highlight w:val="none"/>
              </w:rPr>
            </w:pPr>
          </w:p>
        </w:tc>
      </w:tr>
      <w:tr w14:paraId="662AEC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14:paraId="5B5EAC29">
            <w:pPr>
              <w:jc w:val="center"/>
              <w:rPr>
                <w:color w:val="auto"/>
                <w:highlight w:val="none"/>
              </w:rPr>
            </w:pPr>
            <w:r>
              <w:rPr>
                <w:rFonts w:hint="eastAsia"/>
                <w:color w:val="auto"/>
                <w:highlight w:val="none"/>
              </w:rPr>
              <w:t>其他服务</w:t>
            </w:r>
          </w:p>
        </w:tc>
        <w:tc>
          <w:tcPr>
            <w:tcW w:w="1483" w:type="dxa"/>
          </w:tcPr>
          <w:p w14:paraId="71DC10CC">
            <w:pPr>
              <w:jc w:val="center"/>
              <w:rPr>
                <w:color w:val="auto"/>
                <w:highlight w:val="none"/>
              </w:rPr>
            </w:pPr>
          </w:p>
        </w:tc>
        <w:tc>
          <w:tcPr>
            <w:tcW w:w="1483" w:type="dxa"/>
          </w:tcPr>
          <w:p w14:paraId="273D6BCA">
            <w:pPr>
              <w:jc w:val="center"/>
              <w:rPr>
                <w:color w:val="auto"/>
                <w:highlight w:val="none"/>
              </w:rPr>
            </w:pPr>
          </w:p>
        </w:tc>
        <w:tc>
          <w:tcPr>
            <w:tcW w:w="1483" w:type="dxa"/>
          </w:tcPr>
          <w:p w14:paraId="5505B600">
            <w:pPr>
              <w:jc w:val="center"/>
              <w:rPr>
                <w:color w:val="auto"/>
                <w:highlight w:val="none"/>
              </w:rPr>
            </w:pPr>
          </w:p>
        </w:tc>
        <w:tc>
          <w:tcPr>
            <w:tcW w:w="1483" w:type="dxa"/>
          </w:tcPr>
          <w:p w14:paraId="6BFABD03">
            <w:pPr>
              <w:jc w:val="center"/>
              <w:rPr>
                <w:color w:val="auto"/>
                <w:highlight w:val="none"/>
              </w:rPr>
            </w:pPr>
          </w:p>
        </w:tc>
        <w:tc>
          <w:tcPr>
            <w:tcW w:w="1483" w:type="dxa"/>
          </w:tcPr>
          <w:p w14:paraId="760DF654">
            <w:pPr>
              <w:jc w:val="center"/>
              <w:rPr>
                <w:color w:val="auto"/>
                <w:highlight w:val="none"/>
              </w:rPr>
            </w:pPr>
          </w:p>
        </w:tc>
      </w:tr>
    </w:tbl>
    <w:p w14:paraId="0C799A81">
      <w:pPr>
        <w:jc w:val="center"/>
        <w:rPr>
          <w:color w:val="auto"/>
          <w:highlight w:val="none"/>
        </w:rPr>
      </w:pPr>
    </w:p>
    <w:p w14:paraId="4BACE78A">
      <w:pPr>
        <w:jc w:val="center"/>
        <w:rPr>
          <w:color w:val="auto"/>
          <w:highlight w:val="none"/>
        </w:rPr>
      </w:pPr>
    </w:p>
    <w:p w14:paraId="37798310">
      <w:pPr>
        <w:jc w:val="center"/>
        <w:rPr>
          <w:color w:val="auto"/>
          <w:highlight w:val="none"/>
        </w:rPr>
      </w:pPr>
    </w:p>
    <w:p w14:paraId="4DF2CD31">
      <w:pPr>
        <w:jc w:val="center"/>
        <w:rPr>
          <w:color w:val="auto"/>
          <w:highlight w:val="none"/>
        </w:rPr>
      </w:pPr>
    </w:p>
    <w:p w14:paraId="01CA0AE1">
      <w:pPr>
        <w:jc w:val="center"/>
        <w:rPr>
          <w:color w:val="auto"/>
          <w:highlight w:val="none"/>
        </w:rPr>
      </w:pPr>
    </w:p>
    <w:p w14:paraId="2E80125D">
      <w:pPr>
        <w:widowControl/>
        <w:jc w:val="left"/>
        <w:rPr>
          <w:color w:val="auto"/>
          <w:highlight w:val="none"/>
        </w:rPr>
      </w:pPr>
      <w:r>
        <w:rPr>
          <w:color w:val="auto"/>
          <w:highlight w:val="none"/>
        </w:rPr>
        <w:br w:type="page"/>
      </w:r>
    </w:p>
    <w:p w14:paraId="25A905D1">
      <w:pPr>
        <w:jc w:val="center"/>
        <w:rPr>
          <w:color w:val="auto"/>
          <w:highlight w:val="none"/>
        </w:rPr>
      </w:pPr>
    </w:p>
    <w:p w14:paraId="1D718562">
      <w:pPr>
        <w:jc w:val="center"/>
        <w:outlineLvl w:val="0"/>
        <w:rPr>
          <w:color w:val="auto"/>
          <w:highlight w:val="none"/>
        </w:rPr>
      </w:pPr>
      <w:bookmarkStart w:id="781" w:name="_Toc76398718"/>
      <w:r>
        <w:rPr>
          <w:rFonts w:hint="eastAsia"/>
          <w:color w:val="auto"/>
          <w:highlight w:val="none"/>
        </w:rPr>
        <w:t>附录 C委托人提供资料一览表</w:t>
      </w:r>
      <w:bookmarkEnd w:id="781"/>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14:paraId="6A11E2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88" w:type="dxa"/>
          </w:tcPr>
          <w:p w14:paraId="343F7DCA">
            <w:pPr>
              <w:jc w:val="center"/>
              <w:rPr>
                <w:color w:val="auto"/>
                <w:highlight w:val="none"/>
              </w:rPr>
            </w:pPr>
            <w:r>
              <w:rPr>
                <w:rFonts w:hint="eastAsia"/>
                <w:color w:val="auto"/>
                <w:highlight w:val="none"/>
              </w:rPr>
              <w:t>成果文件组成</w:t>
            </w:r>
          </w:p>
        </w:tc>
        <w:tc>
          <w:tcPr>
            <w:tcW w:w="2189" w:type="dxa"/>
          </w:tcPr>
          <w:p w14:paraId="002ED632">
            <w:pPr>
              <w:jc w:val="center"/>
              <w:rPr>
                <w:color w:val="auto"/>
                <w:highlight w:val="none"/>
              </w:rPr>
            </w:pPr>
            <w:r>
              <w:rPr>
                <w:rFonts w:hint="eastAsia"/>
                <w:color w:val="auto"/>
                <w:highlight w:val="none"/>
              </w:rPr>
              <w:t>提交时间</w:t>
            </w:r>
          </w:p>
        </w:tc>
        <w:tc>
          <w:tcPr>
            <w:tcW w:w="2189" w:type="dxa"/>
          </w:tcPr>
          <w:p w14:paraId="7099721B">
            <w:pPr>
              <w:jc w:val="center"/>
              <w:rPr>
                <w:color w:val="auto"/>
                <w:highlight w:val="none"/>
              </w:rPr>
            </w:pPr>
            <w:r>
              <w:rPr>
                <w:rFonts w:hint="eastAsia"/>
                <w:color w:val="auto"/>
                <w:highlight w:val="none"/>
              </w:rPr>
              <w:t>份数</w:t>
            </w:r>
          </w:p>
        </w:tc>
        <w:tc>
          <w:tcPr>
            <w:tcW w:w="2189" w:type="dxa"/>
          </w:tcPr>
          <w:p w14:paraId="06A2861B">
            <w:pPr>
              <w:jc w:val="center"/>
              <w:rPr>
                <w:color w:val="auto"/>
                <w:highlight w:val="none"/>
              </w:rPr>
            </w:pPr>
            <w:r>
              <w:rPr>
                <w:rFonts w:hint="eastAsia"/>
                <w:color w:val="auto"/>
                <w:highlight w:val="none"/>
              </w:rPr>
              <w:t>质量标准</w:t>
            </w:r>
          </w:p>
        </w:tc>
      </w:tr>
      <w:tr w14:paraId="00CB0F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359C0261">
            <w:pPr>
              <w:jc w:val="center"/>
              <w:rPr>
                <w:color w:val="auto"/>
                <w:highlight w:val="none"/>
              </w:rPr>
            </w:pPr>
          </w:p>
        </w:tc>
        <w:tc>
          <w:tcPr>
            <w:tcW w:w="2189" w:type="dxa"/>
          </w:tcPr>
          <w:p w14:paraId="64EA0100">
            <w:pPr>
              <w:jc w:val="center"/>
              <w:rPr>
                <w:color w:val="auto"/>
                <w:highlight w:val="none"/>
              </w:rPr>
            </w:pPr>
          </w:p>
        </w:tc>
        <w:tc>
          <w:tcPr>
            <w:tcW w:w="2189" w:type="dxa"/>
          </w:tcPr>
          <w:p w14:paraId="3D345118">
            <w:pPr>
              <w:jc w:val="center"/>
              <w:rPr>
                <w:color w:val="auto"/>
                <w:highlight w:val="none"/>
              </w:rPr>
            </w:pPr>
          </w:p>
        </w:tc>
        <w:tc>
          <w:tcPr>
            <w:tcW w:w="2189" w:type="dxa"/>
            <w:vAlign w:val="center"/>
          </w:tcPr>
          <w:p w14:paraId="188E4CDC">
            <w:pPr>
              <w:jc w:val="center"/>
              <w:rPr>
                <w:color w:val="auto"/>
                <w:highlight w:val="none"/>
              </w:rPr>
            </w:pPr>
          </w:p>
        </w:tc>
      </w:tr>
      <w:tr w14:paraId="06155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3537378">
            <w:pPr>
              <w:jc w:val="center"/>
              <w:rPr>
                <w:color w:val="auto"/>
                <w:highlight w:val="none"/>
              </w:rPr>
            </w:pPr>
          </w:p>
        </w:tc>
        <w:tc>
          <w:tcPr>
            <w:tcW w:w="2189" w:type="dxa"/>
          </w:tcPr>
          <w:p w14:paraId="7C49029C">
            <w:pPr>
              <w:jc w:val="center"/>
              <w:rPr>
                <w:color w:val="auto"/>
                <w:highlight w:val="none"/>
              </w:rPr>
            </w:pPr>
          </w:p>
        </w:tc>
        <w:tc>
          <w:tcPr>
            <w:tcW w:w="2189" w:type="dxa"/>
          </w:tcPr>
          <w:p w14:paraId="64538604">
            <w:pPr>
              <w:jc w:val="center"/>
              <w:rPr>
                <w:color w:val="auto"/>
                <w:highlight w:val="none"/>
              </w:rPr>
            </w:pPr>
          </w:p>
        </w:tc>
        <w:tc>
          <w:tcPr>
            <w:tcW w:w="2189" w:type="dxa"/>
            <w:vAlign w:val="center"/>
          </w:tcPr>
          <w:p w14:paraId="7BF4B0DC">
            <w:pPr>
              <w:jc w:val="center"/>
              <w:rPr>
                <w:color w:val="auto"/>
                <w:highlight w:val="none"/>
              </w:rPr>
            </w:pPr>
          </w:p>
        </w:tc>
      </w:tr>
      <w:tr w14:paraId="121E13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B1436EB">
            <w:pPr>
              <w:jc w:val="center"/>
              <w:rPr>
                <w:color w:val="auto"/>
                <w:highlight w:val="none"/>
              </w:rPr>
            </w:pPr>
          </w:p>
        </w:tc>
        <w:tc>
          <w:tcPr>
            <w:tcW w:w="2189" w:type="dxa"/>
          </w:tcPr>
          <w:p w14:paraId="17E3BA1B">
            <w:pPr>
              <w:jc w:val="center"/>
              <w:rPr>
                <w:color w:val="auto"/>
                <w:highlight w:val="none"/>
              </w:rPr>
            </w:pPr>
          </w:p>
        </w:tc>
        <w:tc>
          <w:tcPr>
            <w:tcW w:w="2189" w:type="dxa"/>
          </w:tcPr>
          <w:p w14:paraId="452E22D1">
            <w:pPr>
              <w:jc w:val="center"/>
              <w:rPr>
                <w:color w:val="auto"/>
                <w:highlight w:val="none"/>
              </w:rPr>
            </w:pPr>
          </w:p>
        </w:tc>
        <w:tc>
          <w:tcPr>
            <w:tcW w:w="2189" w:type="dxa"/>
            <w:vAlign w:val="center"/>
          </w:tcPr>
          <w:p w14:paraId="6B3BE9E1">
            <w:pPr>
              <w:jc w:val="center"/>
              <w:rPr>
                <w:color w:val="auto"/>
                <w:highlight w:val="none"/>
              </w:rPr>
            </w:pPr>
          </w:p>
        </w:tc>
      </w:tr>
      <w:tr w14:paraId="41F9E2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794F1DD">
            <w:pPr>
              <w:jc w:val="center"/>
              <w:rPr>
                <w:color w:val="auto"/>
                <w:highlight w:val="none"/>
              </w:rPr>
            </w:pPr>
          </w:p>
        </w:tc>
        <w:tc>
          <w:tcPr>
            <w:tcW w:w="2189" w:type="dxa"/>
          </w:tcPr>
          <w:p w14:paraId="0781CBE9">
            <w:pPr>
              <w:jc w:val="center"/>
              <w:rPr>
                <w:color w:val="auto"/>
                <w:highlight w:val="none"/>
              </w:rPr>
            </w:pPr>
          </w:p>
        </w:tc>
        <w:tc>
          <w:tcPr>
            <w:tcW w:w="2189" w:type="dxa"/>
          </w:tcPr>
          <w:p w14:paraId="303D5446">
            <w:pPr>
              <w:jc w:val="center"/>
              <w:rPr>
                <w:color w:val="auto"/>
                <w:highlight w:val="none"/>
              </w:rPr>
            </w:pPr>
          </w:p>
        </w:tc>
        <w:tc>
          <w:tcPr>
            <w:tcW w:w="2189" w:type="dxa"/>
            <w:vAlign w:val="center"/>
          </w:tcPr>
          <w:p w14:paraId="0B29584F">
            <w:pPr>
              <w:jc w:val="center"/>
              <w:rPr>
                <w:color w:val="auto"/>
                <w:highlight w:val="none"/>
              </w:rPr>
            </w:pPr>
          </w:p>
        </w:tc>
      </w:tr>
      <w:tr w14:paraId="7F7F09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46653E05">
            <w:pPr>
              <w:jc w:val="center"/>
              <w:rPr>
                <w:color w:val="auto"/>
                <w:highlight w:val="none"/>
              </w:rPr>
            </w:pPr>
          </w:p>
        </w:tc>
        <w:tc>
          <w:tcPr>
            <w:tcW w:w="2189" w:type="dxa"/>
          </w:tcPr>
          <w:p w14:paraId="0354BB58">
            <w:pPr>
              <w:jc w:val="center"/>
              <w:rPr>
                <w:color w:val="auto"/>
                <w:highlight w:val="none"/>
              </w:rPr>
            </w:pPr>
          </w:p>
        </w:tc>
        <w:tc>
          <w:tcPr>
            <w:tcW w:w="2189" w:type="dxa"/>
          </w:tcPr>
          <w:p w14:paraId="0D9EA020">
            <w:pPr>
              <w:jc w:val="center"/>
              <w:rPr>
                <w:color w:val="auto"/>
                <w:highlight w:val="none"/>
              </w:rPr>
            </w:pPr>
          </w:p>
        </w:tc>
        <w:tc>
          <w:tcPr>
            <w:tcW w:w="2189" w:type="dxa"/>
            <w:vAlign w:val="center"/>
          </w:tcPr>
          <w:p w14:paraId="67430690">
            <w:pPr>
              <w:jc w:val="center"/>
              <w:rPr>
                <w:color w:val="auto"/>
                <w:highlight w:val="none"/>
              </w:rPr>
            </w:pPr>
          </w:p>
        </w:tc>
      </w:tr>
      <w:tr w14:paraId="741C7B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2158BFF">
            <w:pPr>
              <w:jc w:val="center"/>
              <w:rPr>
                <w:color w:val="auto"/>
                <w:highlight w:val="none"/>
              </w:rPr>
            </w:pPr>
          </w:p>
        </w:tc>
        <w:tc>
          <w:tcPr>
            <w:tcW w:w="2189" w:type="dxa"/>
          </w:tcPr>
          <w:p w14:paraId="16EF29B1">
            <w:pPr>
              <w:jc w:val="center"/>
              <w:rPr>
                <w:color w:val="auto"/>
                <w:highlight w:val="none"/>
              </w:rPr>
            </w:pPr>
          </w:p>
        </w:tc>
        <w:tc>
          <w:tcPr>
            <w:tcW w:w="2189" w:type="dxa"/>
          </w:tcPr>
          <w:p w14:paraId="0AFD3430">
            <w:pPr>
              <w:jc w:val="center"/>
              <w:rPr>
                <w:color w:val="auto"/>
                <w:highlight w:val="none"/>
              </w:rPr>
            </w:pPr>
          </w:p>
        </w:tc>
        <w:tc>
          <w:tcPr>
            <w:tcW w:w="2189" w:type="dxa"/>
            <w:vAlign w:val="center"/>
          </w:tcPr>
          <w:p w14:paraId="0591E218">
            <w:pPr>
              <w:jc w:val="center"/>
              <w:rPr>
                <w:color w:val="auto"/>
                <w:highlight w:val="none"/>
              </w:rPr>
            </w:pPr>
          </w:p>
        </w:tc>
      </w:tr>
      <w:tr w14:paraId="37063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129435B">
            <w:pPr>
              <w:jc w:val="center"/>
              <w:rPr>
                <w:color w:val="auto"/>
                <w:highlight w:val="none"/>
              </w:rPr>
            </w:pPr>
          </w:p>
        </w:tc>
        <w:tc>
          <w:tcPr>
            <w:tcW w:w="2189" w:type="dxa"/>
          </w:tcPr>
          <w:p w14:paraId="290B5884">
            <w:pPr>
              <w:jc w:val="center"/>
              <w:rPr>
                <w:color w:val="auto"/>
                <w:highlight w:val="none"/>
              </w:rPr>
            </w:pPr>
          </w:p>
        </w:tc>
        <w:tc>
          <w:tcPr>
            <w:tcW w:w="2189" w:type="dxa"/>
          </w:tcPr>
          <w:p w14:paraId="28CC7EA5">
            <w:pPr>
              <w:jc w:val="center"/>
              <w:rPr>
                <w:color w:val="auto"/>
                <w:highlight w:val="none"/>
              </w:rPr>
            </w:pPr>
          </w:p>
        </w:tc>
        <w:tc>
          <w:tcPr>
            <w:tcW w:w="2189" w:type="dxa"/>
          </w:tcPr>
          <w:p w14:paraId="3672C61E">
            <w:pPr>
              <w:jc w:val="center"/>
              <w:rPr>
                <w:color w:val="auto"/>
                <w:highlight w:val="none"/>
              </w:rPr>
            </w:pPr>
          </w:p>
        </w:tc>
      </w:tr>
      <w:tr w14:paraId="31A53F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4B5C52DB">
            <w:pPr>
              <w:jc w:val="center"/>
              <w:rPr>
                <w:color w:val="auto"/>
                <w:highlight w:val="none"/>
              </w:rPr>
            </w:pPr>
          </w:p>
        </w:tc>
        <w:tc>
          <w:tcPr>
            <w:tcW w:w="2189" w:type="dxa"/>
          </w:tcPr>
          <w:p w14:paraId="4414490E">
            <w:pPr>
              <w:jc w:val="center"/>
              <w:rPr>
                <w:color w:val="auto"/>
                <w:highlight w:val="none"/>
              </w:rPr>
            </w:pPr>
          </w:p>
        </w:tc>
        <w:tc>
          <w:tcPr>
            <w:tcW w:w="2189" w:type="dxa"/>
          </w:tcPr>
          <w:p w14:paraId="2BCEE23A">
            <w:pPr>
              <w:jc w:val="center"/>
              <w:rPr>
                <w:color w:val="auto"/>
                <w:highlight w:val="none"/>
              </w:rPr>
            </w:pPr>
          </w:p>
        </w:tc>
        <w:tc>
          <w:tcPr>
            <w:tcW w:w="2189" w:type="dxa"/>
          </w:tcPr>
          <w:p w14:paraId="53F44012">
            <w:pPr>
              <w:jc w:val="center"/>
              <w:rPr>
                <w:color w:val="auto"/>
                <w:highlight w:val="none"/>
              </w:rPr>
            </w:pPr>
          </w:p>
        </w:tc>
      </w:tr>
      <w:tr w14:paraId="209BF0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1AA7D74">
            <w:pPr>
              <w:jc w:val="center"/>
              <w:rPr>
                <w:color w:val="auto"/>
                <w:highlight w:val="none"/>
              </w:rPr>
            </w:pPr>
          </w:p>
        </w:tc>
        <w:tc>
          <w:tcPr>
            <w:tcW w:w="2189" w:type="dxa"/>
          </w:tcPr>
          <w:p w14:paraId="3486CF19">
            <w:pPr>
              <w:jc w:val="center"/>
              <w:rPr>
                <w:color w:val="auto"/>
                <w:highlight w:val="none"/>
              </w:rPr>
            </w:pPr>
          </w:p>
        </w:tc>
        <w:tc>
          <w:tcPr>
            <w:tcW w:w="2189" w:type="dxa"/>
          </w:tcPr>
          <w:p w14:paraId="42BE18E3">
            <w:pPr>
              <w:jc w:val="center"/>
              <w:rPr>
                <w:color w:val="auto"/>
                <w:highlight w:val="none"/>
              </w:rPr>
            </w:pPr>
          </w:p>
        </w:tc>
        <w:tc>
          <w:tcPr>
            <w:tcW w:w="2189" w:type="dxa"/>
          </w:tcPr>
          <w:p w14:paraId="57E1F61A">
            <w:pPr>
              <w:jc w:val="center"/>
              <w:rPr>
                <w:color w:val="auto"/>
                <w:highlight w:val="none"/>
              </w:rPr>
            </w:pPr>
          </w:p>
        </w:tc>
      </w:tr>
      <w:tr w14:paraId="705077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7F43ED6">
            <w:pPr>
              <w:jc w:val="center"/>
              <w:rPr>
                <w:color w:val="auto"/>
                <w:highlight w:val="none"/>
              </w:rPr>
            </w:pPr>
          </w:p>
        </w:tc>
        <w:tc>
          <w:tcPr>
            <w:tcW w:w="2189" w:type="dxa"/>
          </w:tcPr>
          <w:p w14:paraId="58DF3771">
            <w:pPr>
              <w:jc w:val="center"/>
              <w:rPr>
                <w:color w:val="auto"/>
                <w:highlight w:val="none"/>
              </w:rPr>
            </w:pPr>
          </w:p>
        </w:tc>
        <w:tc>
          <w:tcPr>
            <w:tcW w:w="2189" w:type="dxa"/>
          </w:tcPr>
          <w:p w14:paraId="6C5F9131">
            <w:pPr>
              <w:jc w:val="center"/>
              <w:rPr>
                <w:color w:val="auto"/>
                <w:highlight w:val="none"/>
              </w:rPr>
            </w:pPr>
          </w:p>
        </w:tc>
        <w:tc>
          <w:tcPr>
            <w:tcW w:w="2189" w:type="dxa"/>
          </w:tcPr>
          <w:p w14:paraId="7384BD42">
            <w:pPr>
              <w:jc w:val="center"/>
              <w:rPr>
                <w:color w:val="auto"/>
                <w:highlight w:val="none"/>
              </w:rPr>
            </w:pPr>
          </w:p>
        </w:tc>
      </w:tr>
      <w:tr w14:paraId="209190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45573769">
            <w:pPr>
              <w:jc w:val="center"/>
              <w:rPr>
                <w:color w:val="auto"/>
                <w:highlight w:val="none"/>
              </w:rPr>
            </w:pPr>
          </w:p>
        </w:tc>
        <w:tc>
          <w:tcPr>
            <w:tcW w:w="2189" w:type="dxa"/>
          </w:tcPr>
          <w:p w14:paraId="72D5152F">
            <w:pPr>
              <w:jc w:val="center"/>
              <w:rPr>
                <w:color w:val="auto"/>
                <w:highlight w:val="none"/>
              </w:rPr>
            </w:pPr>
          </w:p>
        </w:tc>
        <w:tc>
          <w:tcPr>
            <w:tcW w:w="2189" w:type="dxa"/>
          </w:tcPr>
          <w:p w14:paraId="0B088BD8">
            <w:pPr>
              <w:jc w:val="center"/>
              <w:rPr>
                <w:color w:val="auto"/>
                <w:highlight w:val="none"/>
              </w:rPr>
            </w:pPr>
          </w:p>
        </w:tc>
        <w:tc>
          <w:tcPr>
            <w:tcW w:w="2189" w:type="dxa"/>
          </w:tcPr>
          <w:p w14:paraId="33CF4F87">
            <w:pPr>
              <w:jc w:val="center"/>
              <w:rPr>
                <w:color w:val="auto"/>
                <w:highlight w:val="none"/>
              </w:rPr>
            </w:pPr>
          </w:p>
        </w:tc>
      </w:tr>
      <w:tr w14:paraId="60588A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60A98B8">
            <w:pPr>
              <w:jc w:val="center"/>
              <w:rPr>
                <w:color w:val="auto"/>
                <w:highlight w:val="none"/>
              </w:rPr>
            </w:pPr>
          </w:p>
        </w:tc>
        <w:tc>
          <w:tcPr>
            <w:tcW w:w="2189" w:type="dxa"/>
          </w:tcPr>
          <w:p w14:paraId="2449833D">
            <w:pPr>
              <w:jc w:val="center"/>
              <w:rPr>
                <w:color w:val="auto"/>
                <w:highlight w:val="none"/>
              </w:rPr>
            </w:pPr>
          </w:p>
        </w:tc>
        <w:tc>
          <w:tcPr>
            <w:tcW w:w="2189" w:type="dxa"/>
          </w:tcPr>
          <w:p w14:paraId="2823FDD7">
            <w:pPr>
              <w:jc w:val="center"/>
              <w:rPr>
                <w:color w:val="auto"/>
                <w:highlight w:val="none"/>
              </w:rPr>
            </w:pPr>
          </w:p>
        </w:tc>
        <w:tc>
          <w:tcPr>
            <w:tcW w:w="2189" w:type="dxa"/>
          </w:tcPr>
          <w:p w14:paraId="1D414A63">
            <w:pPr>
              <w:jc w:val="center"/>
              <w:rPr>
                <w:color w:val="auto"/>
                <w:highlight w:val="none"/>
              </w:rPr>
            </w:pPr>
          </w:p>
        </w:tc>
      </w:tr>
      <w:tr w14:paraId="29385E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7DE63F3">
            <w:pPr>
              <w:jc w:val="center"/>
              <w:rPr>
                <w:color w:val="auto"/>
                <w:highlight w:val="none"/>
              </w:rPr>
            </w:pPr>
          </w:p>
        </w:tc>
        <w:tc>
          <w:tcPr>
            <w:tcW w:w="2189" w:type="dxa"/>
          </w:tcPr>
          <w:p w14:paraId="25278AA7">
            <w:pPr>
              <w:jc w:val="center"/>
              <w:rPr>
                <w:color w:val="auto"/>
                <w:highlight w:val="none"/>
              </w:rPr>
            </w:pPr>
          </w:p>
        </w:tc>
        <w:tc>
          <w:tcPr>
            <w:tcW w:w="2189" w:type="dxa"/>
          </w:tcPr>
          <w:p w14:paraId="33086B9F">
            <w:pPr>
              <w:jc w:val="center"/>
              <w:rPr>
                <w:color w:val="auto"/>
                <w:highlight w:val="none"/>
              </w:rPr>
            </w:pPr>
          </w:p>
        </w:tc>
        <w:tc>
          <w:tcPr>
            <w:tcW w:w="2189" w:type="dxa"/>
          </w:tcPr>
          <w:p w14:paraId="1269EC98">
            <w:pPr>
              <w:jc w:val="center"/>
              <w:rPr>
                <w:color w:val="auto"/>
                <w:highlight w:val="none"/>
              </w:rPr>
            </w:pPr>
          </w:p>
        </w:tc>
      </w:tr>
      <w:tr w14:paraId="010C43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E0CA744">
            <w:pPr>
              <w:jc w:val="center"/>
              <w:rPr>
                <w:color w:val="auto"/>
                <w:highlight w:val="none"/>
              </w:rPr>
            </w:pPr>
          </w:p>
        </w:tc>
        <w:tc>
          <w:tcPr>
            <w:tcW w:w="2189" w:type="dxa"/>
          </w:tcPr>
          <w:p w14:paraId="626D5229">
            <w:pPr>
              <w:jc w:val="center"/>
              <w:rPr>
                <w:color w:val="auto"/>
                <w:highlight w:val="none"/>
              </w:rPr>
            </w:pPr>
          </w:p>
        </w:tc>
        <w:tc>
          <w:tcPr>
            <w:tcW w:w="2189" w:type="dxa"/>
          </w:tcPr>
          <w:p w14:paraId="2381F816">
            <w:pPr>
              <w:jc w:val="center"/>
              <w:rPr>
                <w:color w:val="auto"/>
                <w:highlight w:val="none"/>
              </w:rPr>
            </w:pPr>
          </w:p>
        </w:tc>
        <w:tc>
          <w:tcPr>
            <w:tcW w:w="2189" w:type="dxa"/>
          </w:tcPr>
          <w:p w14:paraId="526DB7D8">
            <w:pPr>
              <w:jc w:val="center"/>
              <w:rPr>
                <w:color w:val="auto"/>
                <w:highlight w:val="none"/>
              </w:rPr>
            </w:pPr>
          </w:p>
        </w:tc>
      </w:tr>
      <w:tr w14:paraId="28B223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7833078">
            <w:pPr>
              <w:jc w:val="center"/>
              <w:rPr>
                <w:color w:val="auto"/>
                <w:highlight w:val="none"/>
              </w:rPr>
            </w:pPr>
          </w:p>
        </w:tc>
        <w:tc>
          <w:tcPr>
            <w:tcW w:w="2189" w:type="dxa"/>
          </w:tcPr>
          <w:p w14:paraId="17323E08">
            <w:pPr>
              <w:jc w:val="center"/>
              <w:rPr>
                <w:color w:val="auto"/>
                <w:highlight w:val="none"/>
              </w:rPr>
            </w:pPr>
          </w:p>
        </w:tc>
        <w:tc>
          <w:tcPr>
            <w:tcW w:w="2189" w:type="dxa"/>
          </w:tcPr>
          <w:p w14:paraId="0540EF99">
            <w:pPr>
              <w:jc w:val="center"/>
              <w:rPr>
                <w:color w:val="auto"/>
                <w:highlight w:val="none"/>
              </w:rPr>
            </w:pPr>
          </w:p>
        </w:tc>
        <w:tc>
          <w:tcPr>
            <w:tcW w:w="2189" w:type="dxa"/>
          </w:tcPr>
          <w:p w14:paraId="68DBC66B">
            <w:pPr>
              <w:jc w:val="center"/>
              <w:rPr>
                <w:color w:val="auto"/>
                <w:highlight w:val="none"/>
              </w:rPr>
            </w:pPr>
          </w:p>
        </w:tc>
      </w:tr>
      <w:tr w14:paraId="741E9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BEB4FB1">
            <w:pPr>
              <w:jc w:val="center"/>
              <w:rPr>
                <w:color w:val="auto"/>
                <w:highlight w:val="none"/>
              </w:rPr>
            </w:pPr>
          </w:p>
        </w:tc>
        <w:tc>
          <w:tcPr>
            <w:tcW w:w="2189" w:type="dxa"/>
          </w:tcPr>
          <w:p w14:paraId="3EEE1BB6">
            <w:pPr>
              <w:jc w:val="center"/>
              <w:rPr>
                <w:color w:val="auto"/>
                <w:highlight w:val="none"/>
              </w:rPr>
            </w:pPr>
          </w:p>
        </w:tc>
        <w:tc>
          <w:tcPr>
            <w:tcW w:w="2189" w:type="dxa"/>
          </w:tcPr>
          <w:p w14:paraId="5564953F">
            <w:pPr>
              <w:jc w:val="center"/>
              <w:rPr>
                <w:color w:val="auto"/>
                <w:highlight w:val="none"/>
              </w:rPr>
            </w:pPr>
          </w:p>
        </w:tc>
        <w:tc>
          <w:tcPr>
            <w:tcW w:w="2189" w:type="dxa"/>
          </w:tcPr>
          <w:p w14:paraId="6F98C50F">
            <w:pPr>
              <w:jc w:val="center"/>
              <w:rPr>
                <w:color w:val="auto"/>
                <w:highlight w:val="none"/>
              </w:rPr>
            </w:pPr>
          </w:p>
        </w:tc>
      </w:tr>
      <w:tr w14:paraId="49A6A2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5D1E1E9">
            <w:pPr>
              <w:jc w:val="center"/>
              <w:rPr>
                <w:color w:val="auto"/>
                <w:highlight w:val="none"/>
              </w:rPr>
            </w:pPr>
          </w:p>
        </w:tc>
        <w:tc>
          <w:tcPr>
            <w:tcW w:w="2189" w:type="dxa"/>
          </w:tcPr>
          <w:p w14:paraId="27287270">
            <w:pPr>
              <w:jc w:val="center"/>
              <w:rPr>
                <w:color w:val="auto"/>
                <w:highlight w:val="none"/>
              </w:rPr>
            </w:pPr>
          </w:p>
        </w:tc>
        <w:tc>
          <w:tcPr>
            <w:tcW w:w="2189" w:type="dxa"/>
          </w:tcPr>
          <w:p w14:paraId="2391342D">
            <w:pPr>
              <w:jc w:val="center"/>
              <w:rPr>
                <w:color w:val="auto"/>
                <w:highlight w:val="none"/>
              </w:rPr>
            </w:pPr>
          </w:p>
        </w:tc>
        <w:tc>
          <w:tcPr>
            <w:tcW w:w="2189" w:type="dxa"/>
          </w:tcPr>
          <w:p w14:paraId="4C9EB2E5">
            <w:pPr>
              <w:jc w:val="center"/>
              <w:rPr>
                <w:color w:val="auto"/>
                <w:highlight w:val="none"/>
              </w:rPr>
            </w:pPr>
          </w:p>
        </w:tc>
      </w:tr>
      <w:tr w14:paraId="0C0ED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77AC51B">
            <w:pPr>
              <w:jc w:val="center"/>
              <w:rPr>
                <w:color w:val="auto"/>
                <w:highlight w:val="none"/>
              </w:rPr>
            </w:pPr>
          </w:p>
        </w:tc>
        <w:tc>
          <w:tcPr>
            <w:tcW w:w="2189" w:type="dxa"/>
          </w:tcPr>
          <w:p w14:paraId="73EDB8D4">
            <w:pPr>
              <w:jc w:val="center"/>
              <w:rPr>
                <w:color w:val="auto"/>
                <w:highlight w:val="none"/>
              </w:rPr>
            </w:pPr>
          </w:p>
        </w:tc>
        <w:tc>
          <w:tcPr>
            <w:tcW w:w="2189" w:type="dxa"/>
          </w:tcPr>
          <w:p w14:paraId="15DA2289">
            <w:pPr>
              <w:jc w:val="center"/>
              <w:rPr>
                <w:color w:val="auto"/>
                <w:highlight w:val="none"/>
              </w:rPr>
            </w:pPr>
          </w:p>
        </w:tc>
        <w:tc>
          <w:tcPr>
            <w:tcW w:w="2189" w:type="dxa"/>
          </w:tcPr>
          <w:p w14:paraId="77E911FF">
            <w:pPr>
              <w:jc w:val="center"/>
              <w:rPr>
                <w:color w:val="auto"/>
                <w:highlight w:val="none"/>
              </w:rPr>
            </w:pPr>
          </w:p>
        </w:tc>
      </w:tr>
      <w:tr w14:paraId="5159CE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B2F977E">
            <w:pPr>
              <w:jc w:val="center"/>
              <w:rPr>
                <w:color w:val="auto"/>
                <w:highlight w:val="none"/>
              </w:rPr>
            </w:pPr>
          </w:p>
        </w:tc>
        <w:tc>
          <w:tcPr>
            <w:tcW w:w="2189" w:type="dxa"/>
          </w:tcPr>
          <w:p w14:paraId="499F1D58">
            <w:pPr>
              <w:jc w:val="center"/>
              <w:rPr>
                <w:color w:val="auto"/>
                <w:highlight w:val="none"/>
              </w:rPr>
            </w:pPr>
          </w:p>
        </w:tc>
        <w:tc>
          <w:tcPr>
            <w:tcW w:w="2189" w:type="dxa"/>
          </w:tcPr>
          <w:p w14:paraId="096C4F25">
            <w:pPr>
              <w:jc w:val="center"/>
              <w:rPr>
                <w:color w:val="auto"/>
                <w:highlight w:val="none"/>
              </w:rPr>
            </w:pPr>
          </w:p>
        </w:tc>
        <w:tc>
          <w:tcPr>
            <w:tcW w:w="2189" w:type="dxa"/>
          </w:tcPr>
          <w:p w14:paraId="721F5EA4">
            <w:pPr>
              <w:jc w:val="center"/>
              <w:rPr>
                <w:color w:val="auto"/>
                <w:highlight w:val="none"/>
              </w:rPr>
            </w:pPr>
          </w:p>
        </w:tc>
      </w:tr>
      <w:tr w14:paraId="69CA1A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A6D935F">
            <w:pPr>
              <w:jc w:val="center"/>
              <w:rPr>
                <w:color w:val="auto"/>
                <w:highlight w:val="none"/>
              </w:rPr>
            </w:pPr>
          </w:p>
        </w:tc>
        <w:tc>
          <w:tcPr>
            <w:tcW w:w="2189" w:type="dxa"/>
          </w:tcPr>
          <w:p w14:paraId="39F84A9A">
            <w:pPr>
              <w:jc w:val="center"/>
              <w:rPr>
                <w:color w:val="auto"/>
                <w:highlight w:val="none"/>
              </w:rPr>
            </w:pPr>
          </w:p>
        </w:tc>
        <w:tc>
          <w:tcPr>
            <w:tcW w:w="2189" w:type="dxa"/>
          </w:tcPr>
          <w:p w14:paraId="618F6F4B">
            <w:pPr>
              <w:jc w:val="center"/>
              <w:rPr>
                <w:color w:val="auto"/>
                <w:highlight w:val="none"/>
              </w:rPr>
            </w:pPr>
          </w:p>
        </w:tc>
        <w:tc>
          <w:tcPr>
            <w:tcW w:w="2189" w:type="dxa"/>
          </w:tcPr>
          <w:p w14:paraId="728C4AF8">
            <w:pPr>
              <w:jc w:val="center"/>
              <w:rPr>
                <w:color w:val="auto"/>
                <w:highlight w:val="none"/>
              </w:rPr>
            </w:pPr>
          </w:p>
        </w:tc>
      </w:tr>
    </w:tbl>
    <w:p w14:paraId="29E9CC03">
      <w:pPr>
        <w:jc w:val="center"/>
        <w:rPr>
          <w:color w:val="auto"/>
          <w:highlight w:val="none"/>
        </w:rPr>
      </w:pPr>
    </w:p>
    <w:p w14:paraId="329C96A7">
      <w:pPr>
        <w:jc w:val="center"/>
        <w:rPr>
          <w:color w:val="auto"/>
          <w:highlight w:val="none"/>
        </w:rPr>
      </w:pPr>
    </w:p>
    <w:p w14:paraId="7CCC9AF5">
      <w:pPr>
        <w:jc w:val="center"/>
        <w:rPr>
          <w:color w:val="auto"/>
          <w:highlight w:val="none"/>
        </w:rPr>
      </w:pPr>
    </w:p>
    <w:p w14:paraId="01BE11DA">
      <w:pPr>
        <w:jc w:val="center"/>
        <w:rPr>
          <w:color w:val="auto"/>
          <w:highlight w:val="none"/>
        </w:rPr>
      </w:pPr>
    </w:p>
    <w:p w14:paraId="201F8690">
      <w:pPr>
        <w:jc w:val="center"/>
        <w:rPr>
          <w:color w:val="auto"/>
          <w:highlight w:val="none"/>
        </w:rPr>
      </w:pPr>
    </w:p>
    <w:p w14:paraId="0FE45C9B">
      <w:pPr>
        <w:jc w:val="center"/>
        <w:rPr>
          <w:color w:val="auto"/>
          <w:highlight w:val="none"/>
        </w:rPr>
      </w:pPr>
    </w:p>
    <w:p w14:paraId="4EBA545E">
      <w:pPr>
        <w:jc w:val="center"/>
        <w:rPr>
          <w:color w:val="auto"/>
          <w:highlight w:val="none"/>
        </w:rPr>
      </w:pPr>
    </w:p>
    <w:p w14:paraId="0F7BFF91">
      <w:pPr>
        <w:jc w:val="center"/>
        <w:rPr>
          <w:color w:val="auto"/>
          <w:highlight w:val="none"/>
        </w:rPr>
      </w:pPr>
    </w:p>
    <w:p w14:paraId="0E1C1019">
      <w:pPr>
        <w:jc w:val="center"/>
        <w:rPr>
          <w:color w:val="auto"/>
          <w:highlight w:val="none"/>
        </w:rPr>
      </w:pPr>
    </w:p>
    <w:p w14:paraId="028A052B">
      <w:pPr>
        <w:jc w:val="center"/>
        <w:rPr>
          <w:color w:val="auto"/>
          <w:highlight w:val="none"/>
        </w:rPr>
      </w:pPr>
    </w:p>
    <w:p w14:paraId="4B51D29A">
      <w:pPr>
        <w:jc w:val="center"/>
        <w:rPr>
          <w:color w:val="auto"/>
          <w:highlight w:val="none"/>
        </w:rPr>
      </w:pPr>
    </w:p>
    <w:p w14:paraId="687FD5BB">
      <w:pPr>
        <w:jc w:val="center"/>
        <w:rPr>
          <w:color w:val="auto"/>
          <w:highlight w:val="none"/>
        </w:rPr>
      </w:pPr>
    </w:p>
    <w:p w14:paraId="67DFF7E6">
      <w:pPr>
        <w:jc w:val="center"/>
        <w:rPr>
          <w:color w:val="auto"/>
          <w:highlight w:val="none"/>
        </w:rPr>
      </w:pPr>
    </w:p>
    <w:p w14:paraId="68D4ACD4">
      <w:pPr>
        <w:jc w:val="center"/>
        <w:rPr>
          <w:color w:val="auto"/>
          <w:highlight w:val="none"/>
        </w:rPr>
      </w:pPr>
    </w:p>
    <w:p w14:paraId="51C0DCC2">
      <w:pPr>
        <w:jc w:val="center"/>
        <w:rPr>
          <w:color w:val="auto"/>
          <w:highlight w:val="none"/>
        </w:rPr>
      </w:pPr>
    </w:p>
    <w:p w14:paraId="10F89197">
      <w:pPr>
        <w:jc w:val="center"/>
        <w:rPr>
          <w:color w:val="auto"/>
          <w:highlight w:val="none"/>
        </w:rPr>
      </w:pPr>
    </w:p>
    <w:p w14:paraId="6A466582">
      <w:pPr>
        <w:widowControl/>
        <w:jc w:val="left"/>
        <w:rPr>
          <w:color w:val="auto"/>
          <w:highlight w:val="none"/>
        </w:rPr>
      </w:pPr>
      <w:r>
        <w:rPr>
          <w:color w:val="auto"/>
          <w:highlight w:val="none"/>
        </w:rPr>
        <w:br w:type="page"/>
      </w:r>
    </w:p>
    <w:p w14:paraId="75D891C6">
      <w:pPr>
        <w:widowControl/>
        <w:spacing w:line="360" w:lineRule="auto"/>
        <w:ind w:firstLine="643"/>
        <w:jc w:val="center"/>
        <w:rPr>
          <w:rFonts w:asciiTheme="minorEastAsia" w:hAnsiTheme="minorEastAsia"/>
          <w:b/>
          <w:bCs/>
          <w:color w:val="auto"/>
          <w:sz w:val="32"/>
          <w:szCs w:val="32"/>
          <w:highlight w:val="none"/>
        </w:rPr>
      </w:pPr>
      <w:r>
        <w:rPr>
          <w:rFonts w:hint="eastAsia" w:asciiTheme="minorEastAsia" w:hAnsiTheme="minorEastAsia"/>
          <w:b/>
          <w:bCs/>
          <w:color w:val="auto"/>
          <w:sz w:val="32"/>
          <w:szCs w:val="32"/>
          <w:highlight w:val="none"/>
        </w:rPr>
        <w:t>廉政合同</w:t>
      </w:r>
    </w:p>
    <w:p w14:paraId="525B3DA4">
      <w:pPr>
        <w:pStyle w:val="4"/>
        <w:ind w:firstLine="723"/>
        <w:rPr>
          <w:color w:val="auto"/>
          <w:highlight w:val="none"/>
        </w:rPr>
      </w:pPr>
    </w:p>
    <w:p w14:paraId="1F03A7B7">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为保证工程质量及进度，顺利完成合作项目，维护廉洁、高效、和谐、公正的工作机制，双方将严格遵照执行，共同监督以下的内容：</w:t>
      </w:r>
      <w:r>
        <w:rPr>
          <w:rFonts w:asciiTheme="minorEastAsia" w:hAnsiTheme="minorEastAsia" w:cstheme="minorEastAsia"/>
          <w:color w:val="auto"/>
          <w:sz w:val="24"/>
          <w:highlight w:val="none"/>
        </w:rPr>
        <w:t xml:space="preserve"> </w:t>
      </w:r>
    </w:p>
    <w:p w14:paraId="0A570795">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一、甲、乙双方均应对本单位工作人员及工程项目管理人员进行廉洁从业教育，双方必须自觉遵守法律、法规及企业廉政建设相关规定。</w:t>
      </w:r>
      <w:r>
        <w:rPr>
          <w:rFonts w:asciiTheme="minorEastAsia" w:hAnsiTheme="minorEastAsia" w:cstheme="minorEastAsia"/>
          <w:color w:val="auto"/>
          <w:sz w:val="24"/>
          <w:highlight w:val="none"/>
        </w:rPr>
        <w:t xml:space="preserve"> </w:t>
      </w:r>
    </w:p>
    <w:p w14:paraId="029EBA89">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二、委托人在廉政建设方面的责任</w:t>
      </w:r>
      <w:r>
        <w:rPr>
          <w:rFonts w:asciiTheme="minorEastAsia" w:hAnsiTheme="minorEastAsia" w:cstheme="minorEastAsia"/>
          <w:color w:val="auto"/>
          <w:sz w:val="24"/>
          <w:highlight w:val="none"/>
        </w:rPr>
        <w:t xml:space="preserve"> </w:t>
      </w:r>
    </w:p>
    <w:p w14:paraId="028B4392">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14:paraId="6701181B">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auto"/>
          <w:sz w:val="24"/>
          <w:highlight w:val="none"/>
        </w:rPr>
        <w:t xml:space="preserve"> </w:t>
      </w:r>
    </w:p>
    <w:p w14:paraId="5E2FD145">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auto"/>
          <w:sz w:val="24"/>
          <w:highlight w:val="none"/>
        </w:rPr>
        <w:t xml:space="preserve"> </w:t>
      </w:r>
    </w:p>
    <w:p w14:paraId="3F3CB33A">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color w:val="auto"/>
          <w:sz w:val="24"/>
          <w:highlight w:val="none"/>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auto"/>
          <w:sz w:val="24"/>
          <w:highlight w:val="none"/>
        </w:rPr>
        <w:t xml:space="preserve"> </w:t>
      </w:r>
    </w:p>
    <w:p w14:paraId="479A9C67">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三、咨询人在廉政建设方面的责任</w:t>
      </w:r>
      <w:r>
        <w:rPr>
          <w:rFonts w:asciiTheme="minorEastAsia" w:hAnsiTheme="minorEastAsia" w:cstheme="minorEastAsia"/>
          <w:color w:val="auto"/>
          <w:sz w:val="24"/>
          <w:highlight w:val="none"/>
        </w:rPr>
        <w:t xml:space="preserve"> </w:t>
      </w:r>
    </w:p>
    <w:p w14:paraId="1CB40D69">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rPr>
        <w:t>、咨询人不得以任何理由向委托人及委托人总部所属相关单位工作人员赠送礼金、有价证券和贵重物品等。</w:t>
      </w:r>
    </w:p>
    <w:p w14:paraId="22A5B63C">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auto"/>
          <w:sz w:val="24"/>
          <w:highlight w:val="none"/>
        </w:rPr>
        <w:t xml:space="preserve"> </w:t>
      </w:r>
    </w:p>
    <w:p w14:paraId="1FC02B75">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auto"/>
          <w:sz w:val="24"/>
          <w:highlight w:val="none"/>
        </w:rPr>
        <w:t xml:space="preserve"> </w:t>
      </w:r>
    </w:p>
    <w:p w14:paraId="2B3A3982">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color w:val="auto"/>
          <w:sz w:val="24"/>
          <w:highlight w:val="none"/>
        </w:rPr>
        <w:t>、咨询人不得为委托人及委托人总部所属相关单位工作人员购置或者提供通讯工具、交通工具、家电、高档办公用品等物品。</w:t>
      </w:r>
      <w:r>
        <w:rPr>
          <w:rFonts w:asciiTheme="minorEastAsia" w:hAnsiTheme="minorEastAsia" w:cstheme="minorEastAsia"/>
          <w:color w:val="auto"/>
          <w:sz w:val="24"/>
          <w:highlight w:val="none"/>
        </w:rPr>
        <w:t xml:space="preserve"> </w:t>
      </w:r>
    </w:p>
    <w:p w14:paraId="35BE5175">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5</w:t>
      </w:r>
      <w:r>
        <w:rPr>
          <w:rFonts w:hint="eastAsia" w:asciiTheme="minorEastAsia" w:hAnsiTheme="minorEastAsia" w:cstheme="minorEastAsia"/>
          <w:color w:val="auto"/>
          <w:sz w:val="24"/>
          <w:highlight w:val="none"/>
        </w:rPr>
        <w:t>、咨询人不得以任何理由为委托人及委托人总部所属相关单位工作人员报销任何应由委托人或个人支付的费用。</w:t>
      </w:r>
      <w:r>
        <w:rPr>
          <w:rFonts w:asciiTheme="minorEastAsia" w:hAnsiTheme="minorEastAsia" w:cstheme="minorEastAsia"/>
          <w:color w:val="auto"/>
          <w:sz w:val="24"/>
          <w:highlight w:val="none"/>
        </w:rPr>
        <w:t xml:space="preserve"> </w:t>
      </w:r>
    </w:p>
    <w:p w14:paraId="3D2250E8">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四、相关责任</w:t>
      </w:r>
      <w:r>
        <w:rPr>
          <w:rFonts w:asciiTheme="minorEastAsia" w:hAnsiTheme="minorEastAsia" w:cstheme="minorEastAsia"/>
          <w:color w:val="auto"/>
          <w:sz w:val="24"/>
          <w:highlight w:val="none"/>
        </w:rPr>
        <w:t xml:space="preserve"> </w:t>
      </w:r>
    </w:p>
    <w:p w14:paraId="5FE9D425">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rPr>
        <w:t>、咨询人如发现委托人及委托人总部所属相关单位工作人员有违反上述协议者，应及时向审计</w:t>
      </w:r>
      <w:r>
        <w:rPr>
          <w:rFonts w:asciiTheme="minorEastAsia" w:hAnsiTheme="minorEastAsia" w:cstheme="minorEastAsia"/>
          <w:color w:val="auto"/>
          <w:sz w:val="24"/>
          <w:highlight w:val="none"/>
        </w:rPr>
        <w:t>法务部</w:t>
      </w:r>
      <w:r>
        <w:rPr>
          <w:rFonts w:hint="eastAsia" w:asciiTheme="minorEastAsia" w:hAnsiTheme="minorEastAsia" w:cstheme="minorEastAsia"/>
          <w:color w:val="auto"/>
          <w:sz w:val="24"/>
          <w:highlight w:val="none"/>
        </w:rPr>
        <w:t>反映情况，监督投诉电话：</w:t>
      </w:r>
      <w:r>
        <w:rPr>
          <w:rFonts w:asciiTheme="minorEastAsia" w:hAnsiTheme="minorEastAsia" w:cstheme="minorEastAsia"/>
          <w:color w:val="auto"/>
          <w:sz w:val="24"/>
          <w:highlight w:val="none"/>
        </w:rPr>
        <w:t>02362795377</w:t>
      </w:r>
      <w:r>
        <w:rPr>
          <w:rFonts w:hint="eastAsia" w:asciiTheme="minorEastAsia" w:hAnsiTheme="minorEastAsia" w:cstheme="minorEastAsia"/>
          <w:color w:val="auto"/>
          <w:sz w:val="24"/>
          <w:highlight w:val="none"/>
        </w:rPr>
        <w:t>；地址：重庆市</w:t>
      </w:r>
      <w:r>
        <w:rPr>
          <w:rFonts w:asciiTheme="minorEastAsia" w:hAnsiTheme="minorEastAsia" w:cstheme="minorEastAsia"/>
          <w:color w:val="auto"/>
          <w:sz w:val="24"/>
          <w:highlight w:val="none"/>
        </w:rPr>
        <w:t>南岸区行政服务中心B区3号楼1812法</w:t>
      </w:r>
      <w:r>
        <w:rPr>
          <w:rFonts w:hint="eastAsia" w:asciiTheme="minorEastAsia" w:hAnsiTheme="minorEastAsia" w:cstheme="minorEastAsia"/>
          <w:color w:val="auto"/>
          <w:sz w:val="24"/>
          <w:highlight w:val="none"/>
        </w:rPr>
        <w:t>务审计部。</w:t>
      </w:r>
    </w:p>
    <w:p w14:paraId="7FBB9E25">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rPr>
        <w:t>、委托人发现咨询人有违反本协议行为的，将对咨询人处以涉及金额</w:t>
      </w:r>
      <w:r>
        <w:rPr>
          <w:rFonts w:asciiTheme="minorEastAsia" w:hAnsiTheme="minorEastAsia" w:cstheme="minorEastAsia"/>
          <w:color w:val="auto"/>
          <w:sz w:val="24"/>
          <w:highlight w:val="none"/>
        </w:rPr>
        <w:t xml:space="preserve"> 10 </w:t>
      </w:r>
      <w:r>
        <w:rPr>
          <w:rFonts w:hint="eastAsia" w:asciiTheme="minorEastAsia" w:hAnsiTheme="minorEastAsia" w:cstheme="minorEastAsia"/>
          <w:color w:val="auto"/>
          <w:sz w:val="24"/>
          <w:highlight w:val="none"/>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auto"/>
          <w:sz w:val="24"/>
          <w:highlight w:val="none"/>
        </w:rPr>
        <w:t xml:space="preserve"> </w:t>
      </w:r>
    </w:p>
    <w:p w14:paraId="093A6BF2">
      <w:pPr>
        <w:widowControl/>
        <w:snapToGrid w:val="0"/>
        <w:spacing w:line="360" w:lineRule="auto"/>
        <w:ind w:firstLine="48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rPr>
        <w:t>、委托人对举报属实和严格遵守廉洁协议的咨询人，在同等条件下承接委托人其他工程项目予以优先考虑。</w:t>
      </w:r>
      <w:r>
        <w:rPr>
          <w:rFonts w:asciiTheme="minorEastAsia" w:hAnsiTheme="minorEastAsia" w:cstheme="minorEastAsia"/>
          <w:color w:val="auto"/>
          <w:sz w:val="24"/>
          <w:highlight w:val="none"/>
        </w:rPr>
        <w:t xml:space="preserve"> </w:t>
      </w:r>
    </w:p>
    <w:p w14:paraId="7B303E79">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五、本协议未尽事项，可在实际操作中，经双方协商予以完善。</w:t>
      </w:r>
      <w:r>
        <w:rPr>
          <w:rFonts w:asciiTheme="minorEastAsia" w:hAnsiTheme="minorEastAsia" w:cstheme="minorEastAsia"/>
          <w:color w:val="auto"/>
          <w:sz w:val="24"/>
          <w:highlight w:val="none"/>
        </w:rPr>
        <w:t xml:space="preserve"> </w:t>
      </w:r>
    </w:p>
    <w:p w14:paraId="6D7AFD53">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六、本协议在甲乙双方合作的协议、合同或其他具有约束力的文件成立时，自动成为该文件的组成部分。</w:t>
      </w:r>
      <w:r>
        <w:rPr>
          <w:rFonts w:asciiTheme="minorEastAsia" w:hAnsiTheme="minorEastAsia" w:cstheme="minorEastAsia"/>
          <w:color w:val="auto"/>
          <w:sz w:val="24"/>
          <w:highlight w:val="none"/>
        </w:rPr>
        <w:t xml:space="preserve"> </w:t>
      </w:r>
    </w:p>
    <w:p w14:paraId="1D0931BD">
      <w:pPr>
        <w:widowControl/>
        <w:snapToGrid w:val="0"/>
        <w:spacing w:line="360" w:lineRule="auto"/>
        <w:ind w:firstLine="48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七、本合同签订份数同主合同份数；</w:t>
      </w:r>
      <w:r>
        <w:rPr>
          <w:rFonts w:asciiTheme="minorEastAsia" w:hAnsiTheme="minorEastAsia" w:cstheme="minorEastAsia"/>
          <w:color w:val="auto"/>
          <w:sz w:val="24"/>
          <w:highlight w:val="none"/>
        </w:rPr>
        <w:t>本合同</w:t>
      </w:r>
      <w:r>
        <w:rPr>
          <w:rFonts w:hint="eastAsia" w:asciiTheme="minorEastAsia" w:hAnsiTheme="minorEastAsia" w:cstheme="minorEastAsia"/>
          <w:color w:val="auto"/>
          <w:sz w:val="24"/>
          <w:highlight w:val="none"/>
        </w:rPr>
        <w:t>与</w:t>
      </w:r>
      <w:r>
        <w:rPr>
          <w:rFonts w:asciiTheme="minorEastAsia" w:hAnsiTheme="minorEastAsia" w:cstheme="minorEastAsia"/>
          <w:color w:val="auto"/>
          <w:sz w:val="24"/>
          <w:highlight w:val="none"/>
        </w:rPr>
        <w:t>主合同同时签订。</w:t>
      </w:r>
    </w:p>
    <w:p w14:paraId="6702EBA4">
      <w:pPr>
        <w:pStyle w:val="4"/>
        <w:ind w:firstLine="723"/>
        <w:rPr>
          <w:color w:val="auto"/>
          <w:highlight w:val="none"/>
        </w:rPr>
      </w:pPr>
    </w:p>
    <w:p w14:paraId="5D9234B1">
      <w:pPr>
        <w:rPr>
          <w:color w:val="auto"/>
          <w:highlight w:val="none"/>
        </w:rPr>
      </w:pPr>
    </w:p>
    <w:p w14:paraId="7D24A304">
      <w:pPr>
        <w:rPr>
          <w:color w:val="auto"/>
          <w:highlight w:val="none"/>
        </w:rPr>
      </w:pPr>
    </w:p>
    <w:p w14:paraId="4455B18E">
      <w:pPr>
        <w:widowControl/>
        <w:spacing w:line="360" w:lineRule="auto"/>
        <w:ind w:left="6564" w:leftChars="200" w:hanging="6144" w:hangingChars="2550"/>
        <w:rPr>
          <w:rFonts w:asciiTheme="minorEastAsia" w:hAnsiTheme="minorEastAsia"/>
          <w:color w:val="auto"/>
          <w:sz w:val="24"/>
          <w:highlight w:val="none"/>
        </w:rPr>
      </w:pPr>
      <w:r>
        <w:rPr>
          <w:rFonts w:hint="eastAsia" w:asciiTheme="minorEastAsia" w:hAnsiTheme="minorEastAsia"/>
          <w:b/>
          <w:bCs/>
          <w:color w:val="auto"/>
          <w:sz w:val="24"/>
          <w:highlight w:val="none"/>
        </w:rPr>
        <w:t>委托人（盖章）：</w:t>
      </w:r>
      <w:r>
        <w:rPr>
          <w:rFonts w:asciiTheme="minorEastAsia" w:hAnsiTheme="minorEastAsia"/>
          <w:b/>
          <w:bCs/>
          <w:color w:val="auto"/>
          <w:sz w:val="24"/>
          <w:highlight w:val="none"/>
        </w:rPr>
        <w:t xml:space="preserve">                         </w:t>
      </w:r>
      <w:r>
        <w:rPr>
          <w:rFonts w:hint="eastAsia" w:asciiTheme="minorEastAsia" w:hAnsiTheme="minorEastAsia"/>
          <w:b/>
          <w:bCs/>
          <w:color w:val="auto"/>
          <w:sz w:val="24"/>
          <w:highlight w:val="none"/>
        </w:rPr>
        <w:t>咨询人（盖章）：</w:t>
      </w:r>
    </w:p>
    <w:p w14:paraId="7CA78535">
      <w:pPr>
        <w:jc w:val="center"/>
        <w:rPr>
          <w:color w:val="auto"/>
          <w:highlight w:val="none"/>
        </w:rPr>
      </w:pPr>
    </w:p>
    <w:p w14:paraId="0B8894AA">
      <w:pPr>
        <w:widowControl/>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asciiTheme="minorEastAsia" w:hAnsiTheme="minorEastAsia" w:cstheme="minorEastAsia"/>
          <w:color w:val="auto"/>
          <w:sz w:val="24"/>
          <w:highlight w:val="none"/>
        </w:rPr>
        <w:t xml:space="preserve">                 </w:t>
      </w:r>
      <w:r>
        <w:rPr>
          <w:rFonts w:hint="eastAsia" w:asciiTheme="minorEastAsia" w:hAnsiTheme="minorEastAsia" w:cstheme="minorEastAsia"/>
          <w:color w:val="auto"/>
          <w:sz w:val="24"/>
          <w:highlight w:val="none"/>
        </w:rPr>
        <w:t xml:space="preserve"> </w:t>
      </w:r>
      <w:r>
        <w:rPr>
          <w:rFonts w:asciiTheme="minorEastAsia" w:hAnsiTheme="minorEastAsia" w:cstheme="minorEastAsia"/>
          <w:color w:val="auto"/>
          <w:sz w:val="24"/>
          <w:highlight w:val="none"/>
        </w:rPr>
        <w:t xml:space="preserve">        </w:t>
      </w:r>
      <w:r>
        <w:rPr>
          <w:rFonts w:hint="eastAsia" w:asciiTheme="minorEastAsia" w:hAnsiTheme="minorEastAsia" w:cstheme="minorEastAsia"/>
          <w:color w:val="auto"/>
          <w:sz w:val="24"/>
          <w:highlight w:val="none"/>
        </w:rPr>
        <w:t>法定代表人：</w:t>
      </w:r>
    </w:p>
    <w:p w14:paraId="3A7C35FD">
      <w:pPr>
        <w:widowControl/>
        <w:snapToGrid w:val="0"/>
        <w:spacing w:line="360" w:lineRule="auto"/>
        <w:ind w:firstLine="480"/>
        <w:rPr>
          <w:rFonts w:asciiTheme="minorEastAsia" w:hAnsiTheme="minorEastAsia" w:cstheme="minorEastAsia"/>
          <w:color w:val="auto"/>
          <w:sz w:val="24"/>
          <w:highlight w:val="none"/>
        </w:rPr>
      </w:pPr>
    </w:p>
    <w:p w14:paraId="32C92679">
      <w:pPr>
        <w:widowControl/>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或委托代理人：                        或委托代理人：</w:t>
      </w:r>
    </w:p>
    <w:p w14:paraId="2E6D153D">
      <w:pPr>
        <w:widowControl/>
        <w:jc w:val="left"/>
        <w:rPr>
          <w:color w:val="auto"/>
          <w:highlight w:val="none"/>
        </w:rPr>
      </w:pPr>
      <w:r>
        <w:rPr>
          <w:color w:val="auto"/>
          <w:highlight w:val="none"/>
        </w:rPr>
        <w:br w:type="page"/>
      </w:r>
    </w:p>
    <w:p w14:paraId="3AA65EE2">
      <w:pPr>
        <w:widowControl/>
        <w:ind w:firstLine="720"/>
        <w:jc w:val="center"/>
        <w:rPr>
          <w:rFonts w:asciiTheme="minorEastAsia" w:hAnsiTheme="minorEastAsia"/>
          <w:color w:val="auto"/>
          <w:sz w:val="36"/>
          <w:szCs w:val="36"/>
          <w:highlight w:val="none"/>
        </w:rPr>
      </w:pPr>
      <w:r>
        <w:rPr>
          <w:rFonts w:hint="eastAsia" w:asciiTheme="minorEastAsia" w:hAnsiTheme="minorEastAsia"/>
          <w:color w:val="auto"/>
          <w:sz w:val="36"/>
          <w:szCs w:val="36"/>
          <w:highlight w:val="none"/>
        </w:rPr>
        <w:t>质量标准</w:t>
      </w:r>
    </w:p>
    <w:p w14:paraId="49078C44">
      <w:pPr>
        <w:widowControl/>
        <w:jc w:val="left"/>
        <w:rPr>
          <w:rFonts w:asciiTheme="minorEastAsia" w:hAnsiTheme="minorEastAsia"/>
          <w:color w:val="auto"/>
          <w:szCs w:val="21"/>
          <w:highlight w:val="none"/>
        </w:rPr>
      </w:pPr>
    </w:p>
    <w:p w14:paraId="01A86CE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全过程工程咨询服务管理标准T/CCIAT0024-2020</w:t>
      </w:r>
    </w:p>
    <w:p w14:paraId="09E9529E">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《建设项目施工图预算编审规程》CECA／GC 5—2010</w:t>
      </w:r>
    </w:p>
    <w:p w14:paraId="234FC8C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《建设工程造价鉴定规程》CECA/GC 8-2012</w:t>
      </w:r>
    </w:p>
    <w:p w14:paraId="1CE2F26C">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《建设项目投资估算编审规程》CECA/GC 1-2015</w:t>
      </w:r>
    </w:p>
    <w:p w14:paraId="5A4FD439">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《建设项目投资估算编审规程》CECA/GC 1-2015</w:t>
      </w:r>
    </w:p>
    <w:p w14:paraId="3ACAB794">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《建设项目设计概算编审规程》CECA/GC 2-2015</w:t>
      </w:r>
    </w:p>
    <w:p w14:paraId="2C34E2E0">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《建设项目全过程造价咨询规程》（CECA/GC 4-2009）实施手册2021-12-11</w:t>
      </w:r>
    </w:p>
    <w:p w14:paraId="1AD6DA8A">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《建设项目工程结算编审规程》CECA/GC3-2007</w:t>
      </w:r>
    </w:p>
    <w:p w14:paraId="30CF022B">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《建设工程招标控制价编审规程》CECA/GC6-2011</w:t>
      </w:r>
    </w:p>
    <w:p w14:paraId="7C27E697">
      <w:pPr>
        <w:widowControl/>
        <w:jc w:val="left"/>
        <w:rPr>
          <w:rFonts w:asciiTheme="minorEastAsia" w:hAnsiTheme="minorEastAsia"/>
          <w:color w:val="auto"/>
          <w:szCs w:val="21"/>
          <w:highlight w:val="none"/>
        </w:rPr>
      </w:pPr>
      <w:r>
        <w:rPr>
          <w:rFonts w:hint="eastAsia" w:asciiTheme="minorEastAsia" w:hAnsiTheme="minorEastAsia"/>
          <w:color w:val="auto"/>
          <w:szCs w:val="21"/>
          <w:highlight w:val="none"/>
        </w:rPr>
        <w:t>建设项目设计概算编审规程CECA／GC 2—2007</w:t>
      </w:r>
    </w:p>
    <w:p w14:paraId="05CCF880">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《建设项目施工图预算编审规程》CECA／GC 5—2010</w:t>
      </w:r>
    </w:p>
    <w:p w14:paraId="2F34C92D">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《建设项目投资估算编审规程》CECA/GC 1-2015</w:t>
      </w:r>
    </w:p>
    <w:p w14:paraId="340A093F">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《建设项目设计概算编审规程》CECA/GC 2-2015</w:t>
      </w:r>
    </w:p>
    <w:p w14:paraId="6EE95B4A">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《建设项目工程结算编审规程》CECA/</w:t>
      </w:r>
      <w:r>
        <w:rPr>
          <w:color w:val="auto"/>
          <w:highlight w:val="none"/>
        </w:rPr>
        <w:t xml:space="preserve"> </w:t>
      </w:r>
      <w:r>
        <w:rPr>
          <w:rFonts w:asciiTheme="minorEastAsia" w:hAnsiTheme="minorEastAsia"/>
          <w:color w:val="auto"/>
          <w:szCs w:val="21"/>
          <w:highlight w:val="none"/>
        </w:rPr>
        <w:t>3-2010</w:t>
      </w:r>
    </w:p>
    <w:p w14:paraId="22D32E2C">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《建设工程招标控制价编审规程》CECA/GC6-2011</w:t>
      </w:r>
    </w:p>
    <w:p w14:paraId="07FF4184">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《建设工程造价咨询成果文件质量标准》CECA/GC7-2012</w:t>
      </w:r>
    </w:p>
    <w:p w14:paraId="4D9C5A1A">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建设项目投资估算编审规程CECA/GC1-2007</w:t>
      </w:r>
    </w:p>
    <w:p w14:paraId="53D11C94">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建设项目设计概算编审规程CECA／GC 2—2007</w:t>
      </w:r>
    </w:p>
    <w:p w14:paraId="54A90C59">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全过程工程咨询服务管理标准T/CCIAT0024-2020</w:t>
      </w:r>
    </w:p>
    <w:p w14:paraId="19B76845">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《建设项目施工图预算编审规程》CECA／GC 5—2010</w:t>
      </w:r>
    </w:p>
    <w:p w14:paraId="0FB53054">
      <w:pPr>
        <w:wordWrap w:val="0"/>
        <w:ind w:right="1440"/>
        <w:rPr>
          <w:rFonts w:asciiTheme="minorEastAsia" w:hAnsiTheme="minorEastAsia"/>
          <w:color w:val="auto"/>
          <w:szCs w:val="21"/>
          <w:highlight w:val="none"/>
        </w:rPr>
      </w:pPr>
      <w:r>
        <w:rPr>
          <w:rFonts w:hint="eastAsia" w:asciiTheme="minorEastAsia" w:hAnsiTheme="minorEastAsia"/>
          <w:color w:val="auto"/>
          <w:szCs w:val="21"/>
          <w:highlight w:val="none"/>
        </w:rPr>
        <w:t>《建设项目全过程造价咨询规程》（CECA/GC 4-2009）实施手册《建设项目工程结算编审规程》CECA/GC3-20072021-12-11</w:t>
      </w:r>
    </w:p>
    <w:p w14:paraId="66502339">
      <w:pPr>
        <w:widowControl/>
        <w:ind w:firstLine="720"/>
        <w:jc w:val="left"/>
        <w:rPr>
          <w:rFonts w:ascii="宋体" w:hAnsi="宋体"/>
          <w:color w:val="auto"/>
          <w:szCs w:val="21"/>
          <w:highlight w:val="none"/>
        </w:rPr>
      </w:pPr>
      <w:r>
        <w:rPr>
          <w:color w:val="auto"/>
          <w:sz w:val="36"/>
          <w:szCs w:val="36"/>
          <w:highlight w:val="none"/>
        </w:rPr>
        <w:br w:type="page"/>
      </w:r>
    </w:p>
    <w:p w14:paraId="19D8770D">
      <w:pPr>
        <w:rPr>
          <w:rFonts w:ascii="宋体" w:hAnsi="宋体"/>
          <w:color w:val="auto"/>
          <w:highlight w:val="none"/>
        </w:rPr>
      </w:pPr>
    </w:p>
    <w:p w14:paraId="0BA18A89">
      <w:pPr>
        <w:widowControl/>
        <w:jc w:val="left"/>
        <w:rPr>
          <w:rFonts w:ascii="宋体" w:hAnsi="宋体"/>
          <w:color w:val="auto"/>
          <w:szCs w:val="22"/>
          <w:highlight w:val="none"/>
        </w:rPr>
      </w:pPr>
    </w:p>
    <w:p w14:paraId="3B1101A0">
      <w:pPr>
        <w:pStyle w:val="2"/>
        <w:numPr>
          <w:ilvl w:val="0"/>
          <w:numId w:val="1"/>
        </w:numPr>
        <w:spacing w:line="360" w:lineRule="auto"/>
        <w:jc w:val="center"/>
        <w:rPr>
          <w:rFonts w:ascii="宋体" w:hAnsi="宋体"/>
          <w:color w:val="auto"/>
          <w:highlight w:val="none"/>
        </w:rPr>
      </w:pPr>
      <w:r>
        <w:rPr>
          <w:rFonts w:hint="eastAsia" w:ascii="宋体" w:hAnsi="宋体"/>
          <w:color w:val="auto"/>
          <w:highlight w:val="none"/>
        </w:rPr>
        <w:t>发包人要求</w:t>
      </w:r>
      <w:bookmarkEnd w:id="685"/>
      <w:bookmarkEnd w:id="686"/>
      <w:bookmarkEnd w:id="687"/>
    </w:p>
    <w:p w14:paraId="69E6B670">
      <w:pPr>
        <w:jc w:val="center"/>
        <w:rPr>
          <w:rFonts w:ascii="宋体" w:hAnsi="宋体"/>
          <w:color w:val="auto"/>
          <w:szCs w:val="21"/>
          <w:highlight w:val="none"/>
        </w:rPr>
      </w:pPr>
      <w:r>
        <w:rPr>
          <w:rFonts w:hint="eastAsia" w:ascii="宋体" w:hAnsi="宋体" w:cs="仿宋_GB2312"/>
          <w:color w:val="auto"/>
          <w:szCs w:val="21"/>
          <w:highlight w:val="none"/>
        </w:rPr>
        <w:t>按现行技术标准和规范执行，</w:t>
      </w:r>
      <w:r>
        <w:rPr>
          <w:rFonts w:hint="eastAsia" w:ascii="宋体" w:hAnsi="宋体"/>
          <w:color w:val="auto"/>
          <w:szCs w:val="21"/>
          <w:highlight w:val="none"/>
        </w:rPr>
        <w:t>达到国家现行有关服务质量及技术的要求。</w:t>
      </w:r>
    </w:p>
    <w:p w14:paraId="4C5BBF46">
      <w:pPr>
        <w:pStyle w:val="8"/>
        <w:rPr>
          <w:rFonts w:ascii="宋体" w:hAnsi="宋体"/>
          <w:color w:val="auto"/>
          <w:szCs w:val="21"/>
          <w:highlight w:val="none"/>
        </w:rPr>
      </w:pPr>
    </w:p>
    <w:p w14:paraId="783B4A24">
      <w:pPr>
        <w:rPr>
          <w:rFonts w:ascii="宋体" w:hAnsi="宋体"/>
          <w:color w:val="auto"/>
          <w:szCs w:val="21"/>
          <w:highlight w:val="none"/>
        </w:rPr>
      </w:pPr>
    </w:p>
    <w:p w14:paraId="62931CF7">
      <w:pPr>
        <w:pStyle w:val="8"/>
        <w:rPr>
          <w:rFonts w:ascii="宋体" w:hAnsi="宋体"/>
          <w:color w:val="auto"/>
          <w:szCs w:val="21"/>
          <w:highlight w:val="none"/>
        </w:rPr>
      </w:pPr>
    </w:p>
    <w:p w14:paraId="2EE90283">
      <w:pPr>
        <w:rPr>
          <w:rFonts w:ascii="宋体" w:hAnsi="宋体"/>
          <w:color w:val="auto"/>
          <w:szCs w:val="21"/>
          <w:highlight w:val="none"/>
        </w:rPr>
      </w:pPr>
    </w:p>
    <w:p w14:paraId="0D58EBA9">
      <w:pPr>
        <w:pStyle w:val="8"/>
        <w:rPr>
          <w:rFonts w:ascii="宋体" w:hAnsi="宋体"/>
          <w:color w:val="auto"/>
          <w:szCs w:val="21"/>
          <w:highlight w:val="none"/>
        </w:rPr>
      </w:pPr>
    </w:p>
    <w:p w14:paraId="1C7558A2">
      <w:pPr>
        <w:rPr>
          <w:rFonts w:ascii="宋体" w:hAnsi="宋体"/>
          <w:color w:val="auto"/>
          <w:szCs w:val="21"/>
          <w:highlight w:val="none"/>
        </w:rPr>
      </w:pPr>
    </w:p>
    <w:p w14:paraId="263134CD">
      <w:pPr>
        <w:pStyle w:val="8"/>
        <w:rPr>
          <w:rFonts w:ascii="宋体" w:hAnsi="宋体"/>
          <w:color w:val="auto"/>
          <w:szCs w:val="21"/>
          <w:highlight w:val="none"/>
        </w:rPr>
      </w:pPr>
    </w:p>
    <w:p w14:paraId="43DA03E8">
      <w:pPr>
        <w:rPr>
          <w:rFonts w:ascii="宋体" w:hAnsi="宋体"/>
          <w:color w:val="auto"/>
          <w:szCs w:val="21"/>
          <w:highlight w:val="none"/>
        </w:rPr>
      </w:pPr>
    </w:p>
    <w:p w14:paraId="39D37A32">
      <w:pPr>
        <w:pStyle w:val="8"/>
        <w:rPr>
          <w:rFonts w:ascii="宋体" w:hAnsi="宋体"/>
          <w:color w:val="auto"/>
          <w:szCs w:val="21"/>
          <w:highlight w:val="none"/>
        </w:rPr>
      </w:pPr>
    </w:p>
    <w:p w14:paraId="0E385385">
      <w:pPr>
        <w:rPr>
          <w:rFonts w:ascii="宋体" w:hAnsi="宋体"/>
          <w:color w:val="auto"/>
          <w:szCs w:val="21"/>
          <w:highlight w:val="none"/>
        </w:rPr>
      </w:pPr>
    </w:p>
    <w:p w14:paraId="1065BD2B">
      <w:pPr>
        <w:pStyle w:val="8"/>
        <w:rPr>
          <w:rFonts w:ascii="宋体" w:hAnsi="宋体"/>
          <w:color w:val="auto"/>
          <w:szCs w:val="21"/>
          <w:highlight w:val="none"/>
        </w:rPr>
      </w:pPr>
    </w:p>
    <w:p w14:paraId="2B0B4E0D">
      <w:pPr>
        <w:rPr>
          <w:rFonts w:ascii="宋体" w:hAnsi="宋体"/>
          <w:color w:val="auto"/>
          <w:szCs w:val="21"/>
          <w:highlight w:val="none"/>
        </w:rPr>
      </w:pPr>
    </w:p>
    <w:p w14:paraId="6579191E">
      <w:pPr>
        <w:pStyle w:val="8"/>
        <w:rPr>
          <w:rFonts w:ascii="宋体" w:hAnsi="宋体"/>
          <w:color w:val="auto"/>
          <w:szCs w:val="21"/>
          <w:highlight w:val="none"/>
        </w:rPr>
      </w:pPr>
    </w:p>
    <w:p w14:paraId="39EBC386">
      <w:pPr>
        <w:rPr>
          <w:rFonts w:ascii="宋体" w:hAnsi="宋体"/>
          <w:color w:val="auto"/>
          <w:szCs w:val="21"/>
          <w:highlight w:val="none"/>
        </w:rPr>
      </w:pPr>
    </w:p>
    <w:p w14:paraId="7BFED460">
      <w:pPr>
        <w:pStyle w:val="8"/>
        <w:rPr>
          <w:rFonts w:ascii="宋体" w:hAnsi="宋体"/>
          <w:color w:val="auto"/>
          <w:szCs w:val="21"/>
          <w:highlight w:val="none"/>
        </w:rPr>
      </w:pPr>
    </w:p>
    <w:p w14:paraId="2BAD11AF">
      <w:pPr>
        <w:rPr>
          <w:rFonts w:ascii="宋体" w:hAnsi="宋体"/>
          <w:color w:val="auto"/>
          <w:szCs w:val="21"/>
          <w:highlight w:val="none"/>
        </w:rPr>
      </w:pPr>
    </w:p>
    <w:p w14:paraId="667A4335">
      <w:pPr>
        <w:pStyle w:val="8"/>
        <w:rPr>
          <w:rFonts w:ascii="宋体" w:hAnsi="宋体"/>
          <w:color w:val="auto"/>
          <w:szCs w:val="21"/>
          <w:highlight w:val="none"/>
        </w:rPr>
      </w:pPr>
    </w:p>
    <w:p w14:paraId="1BD89C73">
      <w:pPr>
        <w:rPr>
          <w:rFonts w:ascii="宋体" w:hAnsi="宋体"/>
          <w:color w:val="auto"/>
          <w:szCs w:val="21"/>
          <w:highlight w:val="none"/>
        </w:rPr>
      </w:pPr>
    </w:p>
    <w:p w14:paraId="4A42711B">
      <w:pPr>
        <w:pStyle w:val="8"/>
        <w:rPr>
          <w:rFonts w:ascii="宋体" w:hAnsi="宋体"/>
          <w:color w:val="auto"/>
          <w:szCs w:val="21"/>
          <w:highlight w:val="none"/>
        </w:rPr>
      </w:pPr>
    </w:p>
    <w:p w14:paraId="3A4DF0FB">
      <w:pPr>
        <w:rPr>
          <w:rFonts w:ascii="宋体" w:hAnsi="宋体"/>
          <w:color w:val="auto"/>
          <w:szCs w:val="21"/>
          <w:highlight w:val="none"/>
        </w:rPr>
      </w:pPr>
    </w:p>
    <w:p w14:paraId="32341D25">
      <w:pPr>
        <w:pStyle w:val="8"/>
        <w:rPr>
          <w:rFonts w:ascii="宋体" w:hAnsi="宋体"/>
          <w:color w:val="auto"/>
          <w:highlight w:val="none"/>
        </w:rPr>
      </w:pPr>
    </w:p>
    <w:p w14:paraId="304CA194">
      <w:pPr>
        <w:rPr>
          <w:rFonts w:ascii="宋体" w:hAnsi="宋体"/>
          <w:color w:val="auto"/>
          <w:szCs w:val="21"/>
          <w:highlight w:val="none"/>
        </w:rPr>
      </w:pPr>
    </w:p>
    <w:p w14:paraId="01385BC8">
      <w:pPr>
        <w:pStyle w:val="8"/>
        <w:rPr>
          <w:rFonts w:ascii="宋体" w:hAnsi="宋体"/>
          <w:color w:val="auto"/>
          <w:szCs w:val="21"/>
          <w:highlight w:val="none"/>
        </w:rPr>
      </w:pPr>
    </w:p>
    <w:p w14:paraId="058547C7">
      <w:pPr>
        <w:rPr>
          <w:rFonts w:ascii="宋体" w:hAnsi="宋体"/>
          <w:color w:val="auto"/>
          <w:szCs w:val="21"/>
          <w:highlight w:val="none"/>
        </w:rPr>
      </w:pPr>
    </w:p>
    <w:p w14:paraId="1E38132E">
      <w:pPr>
        <w:pStyle w:val="8"/>
        <w:rPr>
          <w:rFonts w:ascii="宋体" w:hAnsi="宋体"/>
          <w:color w:val="auto"/>
          <w:szCs w:val="21"/>
          <w:highlight w:val="none"/>
        </w:rPr>
      </w:pPr>
    </w:p>
    <w:p w14:paraId="534961CB">
      <w:pPr>
        <w:rPr>
          <w:rFonts w:ascii="宋体" w:hAnsi="宋体"/>
          <w:color w:val="auto"/>
          <w:szCs w:val="21"/>
          <w:highlight w:val="none"/>
        </w:rPr>
      </w:pPr>
    </w:p>
    <w:p w14:paraId="20B7FBE5">
      <w:pPr>
        <w:pStyle w:val="8"/>
        <w:rPr>
          <w:rFonts w:ascii="宋体" w:hAnsi="宋体"/>
          <w:color w:val="auto"/>
          <w:szCs w:val="21"/>
          <w:highlight w:val="none"/>
        </w:rPr>
      </w:pPr>
    </w:p>
    <w:p w14:paraId="4C84807A">
      <w:pPr>
        <w:rPr>
          <w:rFonts w:ascii="宋体" w:hAnsi="宋体"/>
          <w:color w:val="auto"/>
          <w:szCs w:val="21"/>
          <w:highlight w:val="none"/>
        </w:rPr>
      </w:pPr>
    </w:p>
    <w:p w14:paraId="2B3B884C">
      <w:pPr>
        <w:pStyle w:val="8"/>
        <w:rPr>
          <w:rFonts w:ascii="宋体" w:hAnsi="宋体"/>
          <w:color w:val="auto"/>
          <w:szCs w:val="21"/>
          <w:highlight w:val="none"/>
        </w:rPr>
      </w:pPr>
    </w:p>
    <w:p w14:paraId="64AE20B5">
      <w:pPr>
        <w:rPr>
          <w:rFonts w:ascii="宋体" w:hAnsi="宋体"/>
          <w:color w:val="auto"/>
          <w:szCs w:val="21"/>
          <w:highlight w:val="none"/>
        </w:rPr>
      </w:pPr>
    </w:p>
    <w:bookmarkEnd w:id="688"/>
    <w:bookmarkEnd w:id="689"/>
    <w:p w14:paraId="35E57A0C">
      <w:pPr>
        <w:spacing w:line="360" w:lineRule="auto"/>
        <w:ind w:firstLine="1050" w:firstLineChars="500"/>
        <w:rPr>
          <w:rFonts w:ascii="宋体" w:hAnsi="宋体" w:cs="宋体"/>
          <w:color w:val="auto"/>
          <w:highlight w:val="none"/>
        </w:rPr>
      </w:pPr>
      <w:bookmarkStart w:id="782" w:name="_Toc287607865"/>
      <w:bookmarkStart w:id="783" w:name="_Toc5129"/>
      <w:bookmarkStart w:id="784" w:name="_Toc287620812"/>
      <w:bookmarkStart w:id="785" w:name="_Toc14772"/>
      <w:bookmarkStart w:id="786" w:name="_Toc509218852"/>
      <w:bookmarkStart w:id="787" w:name="_Toc534185829"/>
      <w:bookmarkStart w:id="788" w:name="_Toc430530528"/>
    </w:p>
    <w:p w14:paraId="71F2311C">
      <w:pPr>
        <w:pStyle w:val="2"/>
        <w:spacing w:line="360" w:lineRule="auto"/>
        <w:ind w:firstLine="2209" w:firstLineChars="500"/>
        <w:rPr>
          <w:rFonts w:ascii="宋体" w:hAnsi="宋体" w:cs="宋体"/>
          <w:color w:val="auto"/>
          <w:highlight w:val="none"/>
        </w:rPr>
      </w:pPr>
      <w:r>
        <w:rPr>
          <w:rFonts w:hint="eastAsia" w:ascii="宋体" w:hAnsi="宋体" w:cs="宋体"/>
          <w:color w:val="auto"/>
          <w:highlight w:val="none"/>
        </w:rPr>
        <w:t>第六章  竞选文件格式</w:t>
      </w:r>
      <w:bookmarkEnd w:id="782"/>
      <w:bookmarkEnd w:id="783"/>
      <w:bookmarkEnd w:id="784"/>
      <w:bookmarkEnd w:id="785"/>
      <w:bookmarkEnd w:id="786"/>
      <w:bookmarkEnd w:id="787"/>
      <w:bookmarkEnd w:id="788"/>
    </w:p>
    <w:p w14:paraId="327A55B4">
      <w:pPr>
        <w:spacing w:line="360" w:lineRule="auto"/>
        <w:rPr>
          <w:rFonts w:ascii="宋体" w:hAnsi="宋体" w:cs="宋体"/>
          <w:color w:val="auto"/>
          <w:sz w:val="32"/>
          <w:szCs w:val="32"/>
          <w:highlight w:val="none"/>
        </w:rPr>
      </w:pPr>
    </w:p>
    <w:p w14:paraId="64D7C4A7">
      <w:pPr>
        <w:rPr>
          <w:rFonts w:ascii="宋体" w:hAnsi="宋体" w:cs="宋体"/>
          <w:color w:val="auto"/>
          <w:sz w:val="36"/>
          <w:szCs w:val="36"/>
          <w:highlight w:val="none"/>
        </w:rPr>
      </w:pPr>
    </w:p>
    <w:p w14:paraId="0DE4E5F7">
      <w:pPr>
        <w:pStyle w:val="19"/>
        <w:rPr>
          <w:rFonts w:ascii="宋体" w:hAnsi="宋体" w:cs="宋体"/>
          <w:color w:val="auto"/>
          <w:sz w:val="36"/>
          <w:szCs w:val="36"/>
          <w:highlight w:val="none"/>
        </w:rPr>
      </w:pPr>
    </w:p>
    <w:p w14:paraId="6D3A2FC4">
      <w:pPr>
        <w:rPr>
          <w:rFonts w:ascii="宋体" w:hAnsi="宋体" w:cs="宋体"/>
          <w:color w:val="auto"/>
          <w:sz w:val="36"/>
          <w:szCs w:val="36"/>
          <w:highlight w:val="none"/>
        </w:rPr>
      </w:pPr>
    </w:p>
    <w:p w14:paraId="1840FBA9">
      <w:pPr>
        <w:pStyle w:val="8"/>
        <w:rPr>
          <w:rFonts w:ascii="宋体" w:hAnsi="宋体" w:cs="宋体"/>
          <w:color w:val="auto"/>
          <w:sz w:val="36"/>
          <w:szCs w:val="36"/>
          <w:highlight w:val="none"/>
        </w:rPr>
      </w:pPr>
    </w:p>
    <w:p w14:paraId="21A63D42">
      <w:pPr>
        <w:rPr>
          <w:rFonts w:ascii="宋体" w:hAnsi="宋体" w:cs="宋体"/>
          <w:color w:val="auto"/>
          <w:sz w:val="36"/>
          <w:szCs w:val="36"/>
          <w:highlight w:val="none"/>
        </w:rPr>
      </w:pPr>
    </w:p>
    <w:p w14:paraId="24204FAE">
      <w:pPr>
        <w:pStyle w:val="8"/>
        <w:rPr>
          <w:rFonts w:ascii="宋体" w:hAnsi="宋体"/>
          <w:color w:val="auto"/>
          <w:highlight w:val="none"/>
        </w:rPr>
      </w:pPr>
    </w:p>
    <w:p w14:paraId="08D70F87">
      <w:pPr>
        <w:rPr>
          <w:rFonts w:ascii="宋体" w:hAnsi="宋体" w:cs="宋体"/>
          <w:color w:val="auto"/>
          <w:sz w:val="36"/>
          <w:szCs w:val="36"/>
          <w:highlight w:val="none"/>
        </w:rPr>
      </w:pPr>
    </w:p>
    <w:p w14:paraId="5CC024D2">
      <w:pPr>
        <w:spacing w:line="360" w:lineRule="auto"/>
        <w:jc w:val="center"/>
        <w:outlineLvl w:val="1"/>
        <w:rPr>
          <w:rFonts w:ascii="宋体" w:hAnsi="宋体" w:cs="宋体"/>
          <w:color w:val="auto"/>
          <w:sz w:val="36"/>
          <w:szCs w:val="36"/>
          <w:highlight w:val="none"/>
        </w:rPr>
      </w:pPr>
    </w:p>
    <w:p w14:paraId="6A566BCE">
      <w:pPr>
        <w:spacing w:line="360" w:lineRule="auto"/>
        <w:jc w:val="center"/>
        <w:outlineLvl w:val="1"/>
        <w:rPr>
          <w:rFonts w:ascii="宋体" w:hAnsi="宋体" w:cs="宋体"/>
          <w:color w:val="auto"/>
          <w:sz w:val="36"/>
          <w:szCs w:val="36"/>
          <w:highlight w:val="none"/>
        </w:rPr>
      </w:pPr>
    </w:p>
    <w:p w14:paraId="68D5BC9B">
      <w:pPr>
        <w:spacing w:line="360" w:lineRule="auto"/>
        <w:jc w:val="center"/>
        <w:outlineLvl w:val="1"/>
        <w:rPr>
          <w:rFonts w:ascii="宋体" w:hAnsi="宋体" w:cs="宋体"/>
          <w:color w:val="auto"/>
          <w:sz w:val="36"/>
          <w:szCs w:val="36"/>
          <w:highlight w:val="none"/>
        </w:rPr>
        <w:sectPr>
          <w:headerReference r:id="rId4" w:type="default"/>
          <w:footerReference r:id="rId5" w:type="default"/>
          <w:pgSz w:w="11905" w:h="16838"/>
          <w:pgMar w:top="1134" w:right="1134" w:bottom="1134" w:left="1134" w:header="0" w:footer="0" w:gutter="0"/>
          <w:cols w:space="0" w:num="1"/>
          <w:docGrid w:type="lines" w:linePitch="317" w:charSpace="0"/>
        </w:sectPr>
      </w:pPr>
    </w:p>
    <w:p w14:paraId="79A20E16">
      <w:pPr>
        <w:spacing w:line="360" w:lineRule="auto"/>
        <w:jc w:val="center"/>
        <w:outlineLvl w:val="1"/>
        <w:rPr>
          <w:rFonts w:ascii="宋体" w:hAnsi="宋体" w:cs="宋体"/>
          <w:color w:val="auto"/>
          <w:sz w:val="36"/>
          <w:szCs w:val="36"/>
          <w:highlight w:val="none"/>
        </w:rPr>
      </w:pPr>
      <w:r>
        <w:rPr>
          <w:rFonts w:ascii="宋体" w:hAnsi="宋体" w:cs="宋体"/>
          <w:color w:val="auto"/>
          <w:highlight w:val="none"/>
        </w:rPr>
        <w:pict>
          <v:rect id="_x0000_s1026" o:spid="_x0000_s1026" o:spt="1" style="position:absolute;left:0pt;margin-left:186.25pt;margin-top:666.6pt;height:54.6pt;width:63.6pt;z-index:251659264;mso-width-relative:page;mso-height-relative:page;"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path/>
            <v:fill focussize="0,0"/>
            <v:stroke on="f"/>
            <v:imagedata o:title=""/>
            <o:lock v:ext="edit"/>
            <v:textbox>
              <w:txbxContent>
                <w:p w14:paraId="3BDD945A"/>
              </w:txbxContent>
            </v:textbox>
          </v:rect>
        </w:pict>
      </w:r>
      <w:bookmarkStart w:id="789" w:name="_Toc224103493"/>
      <w:r>
        <w:rPr>
          <w:rFonts w:hint="eastAsia" w:ascii="宋体" w:hAnsi="宋体" w:cs="宋体"/>
          <w:color w:val="auto"/>
          <w:sz w:val="36"/>
          <w:szCs w:val="36"/>
          <w:highlight w:val="none"/>
        </w:rPr>
        <w:t>目  录</w:t>
      </w:r>
      <w:bookmarkEnd w:id="789"/>
    </w:p>
    <w:p w14:paraId="10CF3481">
      <w:pPr>
        <w:pStyle w:val="8"/>
        <w:rPr>
          <w:rFonts w:ascii="宋体" w:hAnsi="宋体"/>
          <w:color w:val="auto"/>
          <w:highlight w:val="none"/>
        </w:rPr>
      </w:pPr>
    </w:p>
    <w:p w14:paraId="5598F3A5">
      <w:pPr>
        <w:spacing w:line="360" w:lineRule="auto"/>
        <w:rPr>
          <w:rFonts w:ascii="宋体" w:hAnsi="宋体"/>
          <w:b/>
          <w:color w:val="auto"/>
          <w:highlight w:val="none"/>
        </w:rPr>
      </w:pPr>
      <w:bookmarkStart w:id="790" w:name="OLE_LINK21"/>
      <w:r>
        <w:rPr>
          <w:rFonts w:hint="eastAsia" w:ascii="宋体" w:hAnsi="宋体"/>
          <w:b/>
          <w:color w:val="auto"/>
          <w:highlight w:val="none"/>
        </w:rPr>
        <w:t>一</w:t>
      </w:r>
      <w:r>
        <w:rPr>
          <w:rFonts w:ascii="宋体" w:hAnsi="宋体"/>
          <w:b/>
          <w:color w:val="auto"/>
          <w:highlight w:val="none"/>
        </w:rPr>
        <w:t>、投标函部分</w:t>
      </w:r>
    </w:p>
    <w:bookmarkEnd w:id="790"/>
    <w:p w14:paraId="3A2CBC89">
      <w:pPr>
        <w:spacing w:line="360" w:lineRule="auto"/>
        <w:ind w:firstLine="420" w:firstLineChars="200"/>
        <w:rPr>
          <w:rFonts w:ascii="宋体" w:hAnsi="宋体"/>
          <w:color w:val="auto"/>
          <w:highlight w:val="none"/>
        </w:rPr>
      </w:pPr>
      <w:bookmarkStart w:id="791" w:name="OLE_LINK22"/>
      <w:r>
        <w:rPr>
          <w:rFonts w:ascii="宋体" w:hAnsi="宋体"/>
          <w:color w:val="auto"/>
          <w:highlight w:val="none"/>
        </w:rPr>
        <w:t>（一）</w:t>
      </w:r>
      <w:r>
        <w:rPr>
          <w:rFonts w:hint="eastAsia" w:ascii="宋体" w:hAnsi="宋体"/>
          <w:color w:val="auto"/>
          <w:highlight w:val="none"/>
        </w:rPr>
        <w:t>竞选</w:t>
      </w:r>
      <w:r>
        <w:rPr>
          <w:rFonts w:ascii="宋体" w:hAnsi="宋体"/>
          <w:color w:val="auto"/>
          <w:highlight w:val="none"/>
        </w:rPr>
        <w:t>函</w:t>
      </w:r>
    </w:p>
    <w:bookmarkEnd w:id="791"/>
    <w:p w14:paraId="2CB84B19">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法定代表人身份证明或附有法定代表人身份证明的授权委托书</w:t>
      </w:r>
    </w:p>
    <w:p w14:paraId="74D9A794">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、技术部分</w:t>
      </w:r>
    </w:p>
    <w:p w14:paraId="2C22ECF4">
      <w:pPr>
        <w:spacing w:line="360" w:lineRule="auto"/>
        <w:ind w:firstLine="420" w:firstLineChars="200"/>
        <w:rPr>
          <w:rFonts w:ascii="宋体" w:hAnsi="宋体"/>
          <w:color w:val="auto"/>
          <w:highlight w:val="none"/>
        </w:rPr>
      </w:pPr>
      <w:r>
        <w:rPr>
          <w:rFonts w:hint="eastAsia" w:ascii="宋体" w:hAnsi="宋体"/>
          <w:color w:val="auto"/>
          <w:highlight w:val="none"/>
        </w:rPr>
        <w:t>服务方案</w:t>
      </w:r>
    </w:p>
    <w:p w14:paraId="1B38D8E7">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w:t>
      </w:r>
      <w:r>
        <w:rPr>
          <w:rFonts w:hint="eastAsia" w:ascii="宋体" w:hAnsi="宋体"/>
          <w:b/>
          <w:color w:val="auto"/>
          <w:highlight w:val="none"/>
        </w:rPr>
        <w:t>资格审查部分</w:t>
      </w:r>
    </w:p>
    <w:p w14:paraId="674AEEC0">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48529A87">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竞选人</w:t>
      </w:r>
      <w:r>
        <w:rPr>
          <w:rFonts w:ascii="宋体" w:hAnsi="宋体"/>
          <w:color w:val="auto"/>
          <w:highlight w:val="none"/>
        </w:rPr>
        <w:t>基本情况表</w:t>
      </w:r>
    </w:p>
    <w:p w14:paraId="7118304F">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3A9C1A10">
      <w:pPr>
        <w:spacing w:line="360" w:lineRule="auto"/>
        <w:ind w:firstLine="420" w:firstLineChars="200"/>
        <w:rPr>
          <w:rFonts w:ascii="宋体" w:hAnsi="宋体"/>
          <w:color w:val="auto"/>
          <w:highlight w:val="none"/>
        </w:rPr>
      </w:pPr>
      <w:r>
        <w:rPr>
          <w:rFonts w:ascii="宋体" w:hAnsi="宋体"/>
          <w:color w:val="auto"/>
          <w:highlight w:val="none"/>
        </w:rPr>
        <w:t>（四）近年财务状况表</w:t>
      </w:r>
    </w:p>
    <w:p w14:paraId="224F05EF">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承诺</w:t>
      </w:r>
    </w:p>
    <w:p w14:paraId="233EB8DC">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）其他资料</w:t>
      </w:r>
    </w:p>
    <w:p w14:paraId="6824C691">
      <w:pPr>
        <w:spacing w:line="360" w:lineRule="auto"/>
        <w:rPr>
          <w:rFonts w:ascii="宋体" w:hAnsi="宋体" w:cs="宋体"/>
          <w:b/>
          <w:color w:val="auto"/>
          <w:highlight w:val="none"/>
        </w:rPr>
      </w:pPr>
    </w:p>
    <w:p w14:paraId="68EE48D7">
      <w:pPr>
        <w:spacing w:line="360" w:lineRule="auto"/>
        <w:jc w:val="center"/>
        <w:rPr>
          <w:rFonts w:ascii="宋体" w:hAnsi="宋体" w:cs="宋体"/>
          <w:color w:val="auto"/>
          <w:kern w:val="0"/>
          <w:sz w:val="24"/>
          <w:highlight w:val="none"/>
        </w:rPr>
      </w:pPr>
      <w:bookmarkStart w:id="792" w:name="_Toc6306"/>
      <w:bookmarkStart w:id="793" w:name="_Toc27983320"/>
      <w:bookmarkStart w:id="794" w:name="_Toc534185830"/>
      <w:bookmarkStart w:id="795" w:name="_Toc15801"/>
      <w:bookmarkStart w:id="796" w:name="_Toc509218853"/>
    </w:p>
    <w:p w14:paraId="4CE0645B">
      <w:pPr>
        <w:spacing w:line="360" w:lineRule="auto"/>
        <w:jc w:val="center"/>
        <w:rPr>
          <w:rFonts w:ascii="宋体" w:hAnsi="宋体"/>
          <w:color w:val="auto"/>
          <w:sz w:val="44"/>
          <w:szCs w:val="44"/>
          <w:highlight w:val="none"/>
        </w:rPr>
      </w:pPr>
    </w:p>
    <w:p w14:paraId="35BCDD05">
      <w:pPr>
        <w:spacing w:line="360" w:lineRule="auto"/>
        <w:jc w:val="center"/>
        <w:rPr>
          <w:rFonts w:ascii="宋体" w:hAnsi="宋体"/>
          <w:color w:val="auto"/>
          <w:sz w:val="44"/>
          <w:szCs w:val="44"/>
          <w:highlight w:val="none"/>
        </w:rPr>
      </w:pPr>
    </w:p>
    <w:p w14:paraId="1FD5B32D">
      <w:pPr>
        <w:spacing w:line="360" w:lineRule="auto"/>
        <w:jc w:val="center"/>
        <w:rPr>
          <w:rFonts w:ascii="宋体" w:hAnsi="宋体"/>
          <w:color w:val="auto"/>
          <w:sz w:val="44"/>
          <w:szCs w:val="44"/>
          <w:highlight w:val="none"/>
        </w:rPr>
      </w:pPr>
    </w:p>
    <w:p w14:paraId="42D2D1C7">
      <w:pPr>
        <w:spacing w:line="360" w:lineRule="auto"/>
        <w:jc w:val="center"/>
        <w:rPr>
          <w:rFonts w:ascii="宋体" w:hAnsi="宋体"/>
          <w:color w:val="auto"/>
          <w:sz w:val="44"/>
          <w:szCs w:val="44"/>
          <w:highlight w:val="none"/>
        </w:rPr>
      </w:pPr>
    </w:p>
    <w:p w14:paraId="0AE64349">
      <w:pPr>
        <w:spacing w:line="360" w:lineRule="auto"/>
        <w:jc w:val="center"/>
        <w:rPr>
          <w:rFonts w:ascii="宋体" w:hAnsi="宋体"/>
          <w:color w:val="auto"/>
          <w:sz w:val="44"/>
          <w:szCs w:val="44"/>
          <w:highlight w:val="none"/>
        </w:rPr>
      </w:pPr>
    </w:p>
    <w:p w14:paraId="6290C813">
      <w:pPr>
        <w:spacing w:line="360" w:lineRule="auto"/>
        <w:jc w:val="center"/>
        <w:rPr>
          <w:rFonts w:ascii="宋体" w:hAnsi="宋体"/>
          <w:color w:val="auto"/>
          <w:sz w:val="44"/>
          <w:szCs w:val="44"/>
          <w:highlight w:val="none"/>
        </w:rPr>
      </w:pPr>
    </w:p>
    <w:p w14:paraId="2C753393">
      <w:pPr>
        <w:spacing w:line="360" w:lineRule="auto"/>
        <w:jc w:val="center"/>
        <w:rPr>
          <w:rFonts w:ascii="宋体" w:hAnsi="宋体"/>
          <w:color w:val="auto"/>
          <w:sz w:val="44"/>
          <w:szCs w:val="44"/>
          <w:highlight w:val="none"/>
        </w:rPr>
      </w:pPr>
    </w:p>
    <w:bookmarkEnd w:id="792"/>
    <w:bookmarkEnd w:id="793"/>
    <w:bookmarkEnd w:id="794"/>
    <w:bookmarkEnd w:id="795"/>
    <w:bookmarkEnd w:id="796"/>
    <w:p w14:paraId="72DF8D8F">
      <w:pPr>
        <w:spacing w:line="360" w:lineRule="auto"/>
        <w:jc w:val="center"/>
        <w:rPr>
          <w:rFonts w:ascii="宋体" w:hAnsi="宋体" w:cs="宋体"/>
          <w:color w:val="auto"/>
          <w:sz w:val="44"/>
          <w:szCs w:val="44"/>
          <w:highlight w:val="none"/>
        </w:rPr>
      </w:pPr>
      <w:bookmarkStart w:id="797" w:name="_Toc28457"/>
      <w:bookmarkStart w:id="798" w:name="_Toc287607874"/>
      <w:bookmarkStart w:id="799" w:name="_Toc3391"/>
      <w:bookmarkStart w:id="800" w:name="_Toc224103502"/>
      <w:bookmarkStart w:id="801" w:name="_Toc287620821"/>
      <w:bookmarkStart w:id="802" w:name="_Toc430530536"/>
      <w:bookmarkStart w:id="803" w:name="_Toc15678"/>
    </w:p>
    <w:p w14:paraId="1A50D7B8">
      <w:pPr>
        <w:spacing w:line="480" w:lineRule="auto"/>
        <w:ind w:right="-152"/>
        <w:jc w:val="center"/>
        <w:rPr>
          <w:rFonts w:ascii="宋体" w:hAnsi="宋体" w:cs="宋体"/>
          <w:b/>
          <w:color w:val="auto"/>
          <w:sz w:val="52"/>
          <w:szCs w:val="72"/>
          <w:highlight w:val="none"/>
        </w:rPr>
      </w:pPr>
    </w:p>
    <w:bookmarkEnd w:id="690"/>
    <w:bookmarkEnd w:id="691"/>
    <w:bookmarkEnd w:id="692"/>
    <w:bookmarkEnd w:id="797"/>
    <w:bookmarkEnd w:id="798"/>
    <w:bookmarkEnd w:id="799"/>
    <w:bookmarkEnd w:id="800"/>
    <w:bookmarkEnd w:id="801"/>
    <w:bookmarkEnd w:id="802"/>
    <w:bookmarkEnd w:id="803"/>
    <w:p w14:paraId="040D40DD">
      <w:pPr>
        <w:jc w:val="center"/>
        <w:outlineLvl w:val="1"/>
        <w:rPr>
          <w:rFonts w:ascii="宋体" w:hAnsi="宋体"/>
          <w:b/>
          <w:color w:val="auto"/>
          <w:sz w:val="44"/>
          <w:szCs w:val="44"/>
          <w:highlight w:val="none"/>
        </w:rPr>
      </w:pPr>
      <w:bookmarkStart w:id="804" w:name="_Toc27983321"/>
    </w:p>
    <w:p w14:paraId="44987ADC">
      <w:pPr>
        <w:jc w:val="center"/>
        <w:outlineLvl w:val="1"/>
        <w:rPr>
          <w:rFonts w:ascii="宋体" w:hAnsi="宋体"/>
          <w:b/>
          <w:color w:val="auto"/>
          <w:sz w:val="44"/>
          <w:szCs w:val="44"/>
          <w:highlight w:val="none"/>
        </w:rPr>
      </w:pPr>
    </w:p>
    <w:p w14:paraId="3114117D">
      <w:pPr>
        <w:jc w:val="center"/>
        <w:outlineLvl w:val="1"/>
        <w:rPr>
          <w:rFonts w:ascii="宋体" w:hAnsi="宋体"/>
          <w:color w:val="auto"/>
          <w:highlight w:val="none"/>
        </w:rPr>
      </w:pPr>
      <w:r>
        <w:rPr>
          <w:rFonts w:hint="eastAsia" w:ascii="宋体" w:hAnsi="宋体"/>
          <w:b/>
          <w:color w:val="auto"/>
          <w:sz w:val="44"/>
          <w:szCs w:val="44"/>
          <w:highlight w:val="none"/>
        </w:rPr>
        <w:t>一、竞选函部分</w:t>
      </w:r>
      <w:bookmarkEnd w:id="804"/>
    </w:p>
    <w:p w14:paraId="5317C5FF">
      <w:pPr>
        <w:pStyle w:val="8"/>
        <w:rPr>
          <w:rFonts w:ascii="宋体" w:hAnsi="宋体"/>
          <w:color w:val="auto"/>
          <w:highlight w:val="none"/>
        </w:rPr>
      </w:pPr>
    </w:p>
    <w:p w14:paraId="35C692FD">
      <w:pPr>
        <w:spacing w:line="480" w:lineRule="auto"/>
        <w:ind w:right="-152"/>
        <w:jc w:val="center"/>
        <w:rPr>
          <w:rFonts w:ascii="宋体" w:hAnsi="宋体" w:cs="宋体"/>
          <w:b/>
          <w:color w:val="auto"/>
          <w:sz w:val="52"/>
          <w:szCs w:val="72"/>
          <w:highlight w:val="none"/>
        </w:rPr>
      </w:pPr>
      <w:r>
        <w:rPr>
          <w:rFonts w:ascii="宋体" w:hAnsi="宋体" w:cs="宋体"/>
          <w:b/>
          <w:color w:val="auto"/>
          <w:sz w:val="52"/>
          <w:szCs w:val="72"/>
          <w:highlight w:val="none"/>
        </w:rPr>
        <w:br w:type="page"/>
      </w:r>
    </w:p>
    <w:p w14:paraId="08788FE2">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0559A13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95B2F0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6E3EAD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A2E446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EC4957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EA7580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0BDF5887">
      <w:pPr>
        <w:autoSpaceDE w:val="0"/>
        <w:autoSpaceDN w:val="0"/>
        <w:adjustRightInd w:val="0"/>
        <w:snapToGrid w:val="0"/>
        <w:spacing w:line="360" w:lineRule="auto"/>
        <w:jc w:val="left"/>
        <w:rPr>
          <w:rFonts w:ascii="宋体" w:hAnsi="宋体"/>
          <w:color w:val="auto"/>
          <w:kern w:val="0"/>
          <w:sz w:val="16"/>
          <w:szCs w:val="16"/>
          <w:highlight w:val="none"/>
        </w:rPr>
      </w:pPr>
    </w:p>
    <w:p w14:paraId="686019E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竞选函部分</w:t>
      </w:r>
    </w:p>
    <w:p w14:paraId="78953C1B">
      <w:pPr>
        <w:autoSpaceDE w:val="0"/>
        <w:autoSpaceDN w:val="0"/>
        <w:adjustRightInd w:val="0"/>
        <w:snapToGrid w:val="0"/>
        <w:spacing w:line="360" w:lineRule="auto"/>
        <w:jc w:val="left"/>
        <w:rPr>
          <w:rFonts w:ascii="宋体" w:hAnsi="宋体"/>
          <w:b/>
          <w:color w:val="auto"/>
          <w:kern w:val="0"/>
          <w:sz w:val="20"/>
          <w:szCs w:val="20"/>
          <w:highlight w:val="none"/>
        </w:rPr>
      </w:pPr>
    </w:p>
    <w:p w14:paraId="7DB52E40">
      <w:pPr>
        <w:autoSpaceDE w:val="0"/>
        <w:autoSpaceDN w:val="0"/>
        <w:adjustRightInd w:val="0"/>
        <w:snapToGrid w:val="0"/>
        <w:spacing w:line="360" w:lineRule="auto"/>
        <w:jc w:val="left"/>
        <w:rPr>
          <w:rFonts w:ascii="宋体" w:hAnsi="宋体"/>
          <w:b/>
          <w:color w:val="auto"/>
          <w:kern w:val="0"/>
          <w:sz w:val="20"/>
          <w:szCs w:val="20"/>
          <w:highlight w:val="none"/>
        </w:rPr>
      </w:pPr>
    </w:p>
    <w:p w14:paraId="4E4A9277">
      <w:pPr>
        <w:autoSpaceDE w:val="0"/>
        <w:autoSpaceDN w:val="0"/>
        <w:adjustRightInd w:val="0"/>
        <w:snapToGrid w:val="0"/>
        <w:spacing w:line="360" w:lineRule="auto"/>
        <w:jc w:val="left"/>
        <w:rPr>
          <w:rFonts w:ascii="宋体" w:hAnsi="宋体"/>
          <w:b/>
          <w:color w:val="auto"/>
          <w:kern w:val="0"/>
          <w:sz w:val="20"/>
          <w:szCs w:val="20"/>
          <w:highlight w:val="none"/>
        </w:rPr>
      </w:pPr>
    </w:p>
    <w:p w14:paraId="295EAD45">
      <w:pPr>
        <w:autoSpaceDE w:val="0"/>
        <w:autoSpaceDN w:val="0"/>
        <w:adjustRightInd w:val="0"/>
        <w:snapToGrid w:val="0"/>
        <w:spacing w:line="360" w:lineRule="auto"/>
        <w:jc w:val="left"/>
        <w:rPr>
          <w:rFonts w:ascii="宋体" w:hAnsi="宋体"/>
          <w:b/>
          <w:color w:val="auto"/>
          <w:kern w:val="0"/>
          <w:sz w:val="20"/>
          <w:szCs w:val="20"/>
          <w:highlight w:val="none"/>
        </w:rPr>
      </w:pPr>
    </w:p>
    <w:p w14:paraId="5A4E2BCD">
      <w:pPr>
        <w:autoSpaceDE w:val="0"/>
        <w:autoSpaceDN w:val="0"/>
        <w:adjustRightInd w:val="0"/>
        <w:snapToGrid w:val="0"/>
        <w:spacing w:line="360" w:lineRule="auto"/>
        <w:jc w:val="left"/>
        <w:rPr>
          <w:rFonts w:ascii="宋体" w:hAnsi="宋体"/>
          <w:b/>
          <w:color w:val="auto"/>
          <w:kern w:val="0"/>
          <w:sz w:val="20"/>
          <w:szCs w:val="20"/>
          <w:highlight w:val="none"/>
        </w:rPr>
      </w:pPr>
    </w:p>
    <w:p w14:paraId="7C1599A9">
      <w:pPr>
        <w:autoSpaceDE w:val="0"/>
        <w:autoSpaceDN w:val="0"/>
        <w:adjustRightInd w:val="0"/>
        <w:snapToGrid w:val="0"/>
        <w:spacing w:line="360" w:lineRule="auto"/>
        <w:jc w:val="left"/>
        <w:rPr>
          <w:rFonts w:ascii="宋体" w:hAnsi="宋体"/>
          <w:b/>
          <w:color w:val="auto"/>
          <w:kern w:val="0"/>
          <w:sz w:val="20"/>
          <w:szCs w:val="20"/>
          <w:highlight w:val="none"/>
        </w:rPr>
      </w:pPr>
    </w:p>
    <w:p w14:paraId="327035DC">
      <w:pPr>
        <w:autoSpaceDE w:val="0"/>
        <w:autoSpaceDN w:val="0"/>
        <w:adjustRightInd w:val="0"/>
        <w:snapToGrid w:val="0"/>
        <w:spacing w:line="360" w:lineRule="auto"/>
        <w:jc w:val="left"/>
        <w:rPr>
          <w:rFonts w:ascii="宋体" w:hAnsi="宋体"/>
          <w:b/>
          <w:color w:val="auto"/>
          <w:kern w:val="0"/>
          <w:sz w:val="20"/>
          <w:szCs w:val="20"/>
          <w:highlight w:val="none"/>
        </w:rPr>
      </w:pPr>
    </w:p>
    <w:p w14:paraId="738EF61B">
      <w:pPr>
        <w:autoSpaceDE w:val="0"/>
        <w:autoSpaceDN w:val="0"/>
        <w:adjustRightInd w:val="0"/>
        <w:snapToGrid w:val="0"/>
        <w:spacing w:line="360" w:lineRule="auto"/>
        <w:jc w:val="left"/>
        <w:rPr>
          <w:rFonts w:ascii="宋体" w:hAnsi="宋体"/>
          <w:b/>
          <w:color w:val="auto"/>
          <w:kern w:val="0"/>
          <w:sz w:val="20"/>
          <w:szCs w:val="20"/>
          <w:highlight w:val="none"/>
        </w:rPr>
      </w:pPr>
    </w:p>
    <w:p w14:paraId="22305031">
      <w:pPr>
        <w:autoSpaceDE w:val="0"/>
        <w:autoSpaceDN w:val="0"/>
        <w:adjustRightInd w:val="0"/>
        <w:snapToGrid w:val="0"/>
        <w:spacing w:line="360" w:lineRule="auto"/>
        <w:jc w:val="left"/>
        <w:rPr>
          <w:rFonts w:ascii="宋体" w:hAnsi="宋体"/>
          <w:b/>
          <w:color w:val="auto"/>
          <w:kern w:val="0"/>
          <w:sz w:val="20"/>
          <w:szCs w:val="20"/>
          <w:highlight w:val="none"/>
        </w:rPr>
      </w:pPr>
    </w:p>
    <w:p w14:paraId="37D28681">
      <w:pPr>
        <w:autoSpaceDE w:val="0"/>
        <w:autoSpaceDN w:val="0"/>
        <w:adjustRightInd w:val="0"/>
        <w:snapToGrid w:val="0"/>
        <w:spacing w:line="360" w:lineRule="auto"/>
        <w:jc w:val="left"/>
        <w:rPr>
          <w:rFonts w:ascii="宋体" w:hAnsi="宋体"/>
          <w:b/>
          <w:color w:val="auto"/>
          <w:kern w:val="0"/>
          <w:sz w:val="20"/>
          <w:szCs w:val="20"/>
          <w:highlight w:val="none"/>
        </w:rPr>
      </w:pPr>
    </w:p>
    <w:p w14:paraId="3145A7B9">
      <w:pPr>
        <w:autoSpaceDE w:val="0"/>
        <w:autoSpaceDN w:val="0"/>
        <w:adjustRightInd w:val="0"/>
        <w:snapToGrid w:val="0"/>
        <w:spacing w:line="360" w:lineRule="auto"/>
        <w:jc w:val="left"/>
        <w:rPr>
          <w:rFonts w:ascii="宋体" w:hAnsi="宋体"/>
          <w:b/>
          <w:color w:val="auto"/>
          <w:kern w:val="0"/>
          <w:sz w:val="20"/>
          <w:szCs w:val="20"/>
          <w:highlight w:val="none"/>
        </w:rPr>
      </w:pPr>
    </w:p>
    <w:p w14:paraId="65A015B9">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EE993FE">
      <w:pPr>
        <w:tabs>
          <w:tab w:val="left" w:pos="6080"/>
          <w:tab w:val="left" w:pos="6640"/>
        </w:tabs>
        <w:autoSpaceDE w:val="0"/>
        <w:autoSpaceDN w:val="0"/>
        <w:adjustRightInd w:val="0"/>
        <w:snapToGrid w:val="0"/>
        <w:spacing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16C4E98">
      <w:pPr>
        <w:autoSpaceDE w:val="0"/>
        <w:autoSpaceDN w:val="0"/>
        <w:adjustRightInd w:val="0"/>
        <w:snapToGrid w:val="0"/>
        <w:spacing w:line="360" w:lineRule="auto"/>
        <w:ind w:firstLine="554"/>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年月日</w:t>
      </w:r>
    </w:p>
    <w:p w14:paraId="35FED224">
      <w:pPr>
        <w:autoSpaceDE w:val="0"/>
        <w:autoSpaceDN w:val="0"/>
        <w:adjustRightInd w:val="0"/>
        <w:snapToGrid w:val="0"/>
        <w:spacing w:line="360" w:lineRule="auto"/>
        <w:ind w:firstLine="554"/>
        <w:jc w:val="center"/>
        <w:rPr>
          <w:rFonts w:ascii="宋体" w:hAnsi="宋体"/>
          <w:color w:val="auto"/>
          <w:kern w:val="0"/>
          <w:sz w:val="24"/>
          <w:szCs w:val="21"/>
          <w:highlight w:val="none"/>
        </w:rPr>
      </w:pPr>
    </w:p>
    <w:p w14:paraId="2F089BC9">
      <w:pPr>
        <w:autoSpaceDE w:val="0"/>
        <w:autoSpaceDN w:val="0"/>
        <w:adjustRightInd w:val="0"/>
        <w:snapToGrid w:val="0"/>
        <w:spacing w:line="360" w:lineRule="auto"/>
        <w:ind w:firstLine="554"/>
        <w:jc w:val="center"/>
        <w:rPr>
          <w:rFonts w:ascii="宋体" w:hAnsi="宋体"/>
          <w:color w:val="auto"/>
          <w:kern w:val="0"/>
          <w:sz w:val="24"/>
          <w:szCs w:val="21"/>
          <w:highlight w:val="none"/>
        </w:rPr>
      </w:pPr>
    </w:p>
    <w:p w14:paraId="43AB1346">
      <w:pPr>
        <w:autoSpaceDE w:val="0"/>
        <w:autoSpaceDN w:val="0"/>
        <w:adjustRightInd w:val="0"/>
        <w:snapToGrid w:val="0"/>
        <w:spacing w:line="360" w:lineRule="auto"/>
        <w:ind w:firstLine="554"/>
        <w:jc w:val="center"/>
        <w:rPr>
          <w:rFonts w:ascii="宋体" w:hAnsi="宋体"/>
          <w:color w:val="auto"/>
          <w:kern w:val="0"/>
          <w:sz w:val="24"/>
          <w:szCs w:val="21"/>
          <w:highlight w:val="none"/>
        </w:rPr>
      </w:pPr>
    </w:p>
    <w:p w14:paraId="15FDF7AC">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55D9A17D">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w:t>
      </w:r>
      <w:r>
        <w:rPr>
          <w:rFonts w:hint="eastAsia" w:ascii="宋体" w:hAnsi="宋体"/>
          <w:color w:val="auto"/>
          <w:kern w:val="0"/>
          <w:sz w:val="24"/>
          <w:highlight w:val="none"/>
        </w:rPr>
        <w:t>竞选</w:t>
      </w:r>
      <w:r>
        <w:rPr>
          <w:rFonts w:ascii="宋体" w:hAnsi="宋体"/>
          <w:color w:val="auto"/>
          <w:kern w:val="0"/>
          <w:sz w:val="24"/>
          <w:highlight w:val="none"/>
        </w:rPr>
        <w:t>函</w:t>
      </w:r>
    </w:p>
    <w:p w14:paraId="15505F0F">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二</w:t>
      </w:r>
      <w:r>
        <w:rPr>
          <w:rFonts w:ascii="宋体" w:hAnsi="宋体"/>
          <w:color w:val="auto"/>
          <w:kern w:val="0"/>
          <w:sz w:val="24"/>
          <w:highlight w:val="none"/>
        </w:rPr>
        <w:t>）</w:t>
      </w:r>
      <w:r>
        <w:rPr>
          <w:rFonts w:hint="eastAsia" w:ascii="宋体" w:hAnsi="宋体"/>
          <w:color w:val="auto"/>
          <w:kern w:val="0"/>
          <w:sz w:val="24"/>
          <w:highlight w:val="none"/>
        </w:rPr>
        <w:t>法定代表人身份证明或附有法定代表人身份证明的授权委托书</w:t>
      </w:r>
    </w:p>
    <w:p w14:paraId="7293917B">
      <w:pPr>
        <w:autoSpaceDE w:val="0"/>
        <w:autoSpaceDN w:val="0"/>
        <w:adjustRightInd w:val="0"/>
        <w:snapToGrid w:val="0"/>
        <w:spacing w:line="360" w:lineRule="auto"/>
        <w:ind w:firstLine="554"/>
        <w:rPr>
          <w:rFonts w:ascii="宋体" w:hAnsi="宋体"/>
          <w:color w:val="auto"/>
          <w:kern w:val="0"/>
          <w:sz w:val="24"/>
          <w:szCs w:val="21"/>
          <w:highlight w:val="none"/>
        </w:rPr>
      </w:pPr>
      <w:r>
        <w:rPr>
          <w:rFonts w:ascii="宋体" w:hAnsi="宋体"/>
          <w:color w:val="auto"/>
          <w:kern w:val="0"/>
          <w:sz w:val="24"/>
          <w:szCs w:val="21"/>
          <w:highlight w:val="none"/>
        </w:rPr>
        <w:br w:type="page"/>
      </w:r>
    </w:p>
    <w:p w14:paraId="136DD53A">
      <w:pPr>
        <w:autoSpaceDE w:val="0"/>
        <w:autoSpaceDN w:val="0"/>
        <w:adjustRightInd w:val="0"/>
        <w:snapToGrid w:val="0"/>
        <w:spacing w:line="480" w:lineRule="auto"/>
        <w:jc w:val="center"/>
        <w:rPr>
          <w:rFonts w:ascii="宋体" w:hAnsi="宋体" w:cs="宋体"/>
          <w:b/>
          <w:color w:val="auto"/>
          <w:w w:val="99"/>
          <w:kern w:val="0"/>
          <w:sz w:val="36"/>
          <w:szCs w:val="36"/>
          <w:highlight w:val="none"/>
        </w:rPr>
      </w:pPr>
      <w:bookmarkStart w:id="805" w:name="OLE_LINK23"/>
      <w:r>
        <w:rPr>
          <w:rFonts w:hint="eastAsia" w:ascii="宋体" w:hAnsi="宋体" w:cs="宋体"/>
          <w:b/>
          <w:bCs/>
          <w:color w:val="auto"/>
          <w:sz w:val="36"/>
          <w:szCs w:val="36"/>
          <w:highlight w:val="none"/>
        </w:rPr>
        <w:t>竞选函</w:t>
      </w:r>
    </w:p>
    <w:p w14:paraId="2577DE23">
      <w:pPr>
        <w:tabs>
          <w:tab w:val="left" w:pos="2640"/>
        </w:tabs>
        <w:autoSpaceDE w:val="0"/>
        <w:autoSpaceDN w:val="0"/>
        <w:adjustRightIn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（比选人名称）：</w:t>
      </w:r>
    </w:p>
    <w:p w14:paraId="37D7BEA3">
      <w:pPr>
        <w:tabs>
          <w:tab w:val="left" w:pos="3495"/>
          <w:tab w:val="left" w:pos="4920"/>
          <w:tab w:val="left" w:pos="5715"/>
          <w:tab w:val="left" w:pos="6945"/>
          <w:tab w:val="left" w:pos="7980"/>
        </w:tabs>
        <w:autoSpaceDE w:val="0"/>
        <w:autoSpaceDN w:val="0"/>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MingLiU"/>
          <w:snapToGrid w:val="0"/>
          <w:color w:val="auto"/>
          <w:kern w:val="0"/>
          <w:szCs w:val="21"/>
          <w:highlight w:val="none"/>
        </w:rPr>
        <w:t>我方已仔细研究了（项目名称）比选文件的全部内容，</w:t>
      </w:r>
      <w:r>
        <w:rPr>
          <w:rFonts w:hint="eastAsia" w:ascii="宋体" w:hAnsi="宋体" w:cs="宋体"/>
          <w:color w:val="auto"/>
          <w:spacing w:val="20"/>
          <w:szCs w:val="21"/>
          <w:highlight w:val="none"/>
        </w:rPr>
        <w:t>竞选总报价为：</w:t>
      </w:r>
      <w:r>
        <w:rPr>
          <w:rFonts w:hint="eastAsia" w:ascii="宋体" w:hAnsi="宋体"/>
          <w:color w:val="auto"/>
          <w:szCs w:val="21"/>
          <w:highlight w:val="none"/>
        </w:rPr>
        <w:t>工程量清单编制及组价</w:t>
      </w:r>
      <w:r>
        <w:rPr>
          <w:rFonts w:hint="eastAsia" w:ascii="宋体" w:hAnsi="宋体"/>
          <w:color w:val="auto"/>
          <w:szCs w:val="21"/>
          <w:highlight w:val="none"/>
          <w:lang w:val="en-US" w:eastAsia="zh-CN"/>
        </w:rPr>
        <w:t>固定</w:t>
      </w:r>
      <w:r>
        <w:rPr>
          <w:rFonts w:hint="eastAsia"/>
          <w:color w:val="auto"/>
          <w:highlight w:val="none"/>
          <w:lang w:val="en-US" w:eastAsia="zh-CN"/>
        </w:rPr>
        <w:t>费率</w:t>
      </w:r>
      <w:r>
        <w:rPr>
          <w:rFonts w:hint="eastAsia" w:ascii="宋体" w:hAnsi="宋体"/>
          <w:color w:val="auto"/>
          <w:szCs w:val="21"/>
          <w:highlight w:val="none"/>
        </w:rPr>
        <w:t>为：</w:t>
      </w:r>
      <w:r>
        <w:rPr>
          <w:rFonts w:hint="eastAsia" w:ascii="宋体" w:hAnsi="宋体"/>
          <w:b/>
          <w:color w:val="auto"/>
          <w:szCs w:val="21"/>
          <w:highlight w:val="none"/>
          <w:u w:val="single"/>
        </w:rPr>
        <w:t xml:space="preserve">  %</w:t>
      </w:r>
      <w:r>
        <w:rPr>
          <w:rFonts w:hint="eastAsia" w:ascii="宋体" w:hAnsi="宋体"/>
          <w:b/>
          <w:color w:val="auto"/>
          <w:szCs w:val="21"/>
          <w:highlight w:val="none"/>
          <w:u w:val="none"/>
          <w:lang w:eastAsia="zh-CN"/>
        </w:rPr>
        <w:t>，</w:t>
      </w:r>
      <w:r>
        <w:rPr>
          <w:rFonts w:hint="eastAsia" w:ascii="宋体" w:hAnsi="宋体"/>
          <w:color w:val="auto"/>
          <w:szCs w:val="21"/>
          <w:highlight w:val="none"/>
        </w:rPr>
        <w:t>工程量清单编制及组价</w:t>
      </w:r>
      <w:r>
        <w:rPr>
          <w:rFonts w:hint="eastAsia" w:ascii="宋体" w:hAnsi="宋体"/>
          <w:color w:val="auto"/>
          <w:szCs w:val="21"/>
          <w:highlight w:val="none"/>
          <w:lang w:val="en-US" w:eastAsia="zh-CN"/>
        </w:rPr>
        <w:t>报价</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b/>
          <w:bCs/>
          <w:color w:val="auto"/>
          <w:szCs w:val="21"/>
          <w:highlight w:val="none"/>
          <w:u w:val="single"/>
          <w:lang w:val="en-US" w:eastAsia="zh-CN"/>
        </w:rPr>
        <w:t xml:space="preserve">    元</w:t>
      </w:r>
      <w:r>
        <w:rPr>
          <w:rFonts w:hint="eastAsia" w:ascii="宋体" w:hAnsi="宋体"/>
          <w:color w:val="auto"/>
          <w:szCs w:val="21"/>
          <w:highlight w:val="none"/>
          <w:lang w:eastAsia="zh-CN"/>
        </w:rPr>
        <w:t>；</w:t>
      </w:r>
      <w:r>
        <w:rPr>
          <w:rFonts w:hint="eastAsia" w:ascii="宋体" w:hAnsi="宋体" w:cs="MingLiU"/>
          <w:snapToGrid w:val="0"/>
          <w:color w:val="auto"/>
          <w:kern w:val="0"/>
          <w:szCs w:val="21"/>
          <w:highlight w:val="none"/>
        </w:rPr>
        <w:t>服务期限</w:t>
      </w:r>
      <w:r>
        <w:rPr>
          <w:rFonts w:hint="eastAsia" w:ascii="宋体" w:hAnsi="宋体" w:cs="MingLiU"/>
          <w:snapToGrid w:val="0"/>
          <w:color w:val="auto"/>
          <w:kern w:val="0"/>
          <w:szCs w:val="21"/>
          <w:highlight w:val="none"/>
          <w:u w:val="single"/>
        </w:rPr>
        <w:t>满足比选文件要求</w:t>
      </w:r>
      <w:r>
        <w:rPr>
          <w:rFonts w:hint="eastAsia" w:ascii="宋体" w:hAnsi="宋体" w:cs="MingLiU"/>
          <w:snapToGrid w:val="0"/>
          <w:color w:val="auto"/>
          <w:kern w:val="0"/>
          <w:szCs w:val="21"/>
          <w:highlight w:val="none"/>
        </w:rPr>
        <w:t>，完成比选文件规定的所有规定任务，质量要求达到比选文件要求。</w:t>
      </w:r>
    </w:p>
    <w:p w14:paraId="25BF0C49">
      <w:pPr>
        <w:tabs>
          <w:tab w:val="left" w:pos="2445"/>
          <w:tab w:val="left" w:pos="3520"/>
          <w:tab w:val="left" w:pos="4920"/>
          <w:tab w:val="left" w:pos="6105"/>
          <w:tab w:val="left" w:pos="7980"/>
        </w:tabs>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2. 本次竞选有效期为90日历天，我方承诺在本次有效期内不修改、撤销竞选文件。</w:t>
      </w:r>
    </w:p>
    <w:p w14:paraId="106B5125">
      <w:pPr>
        <w:tabs>
          <w:tab w:val="left" w:pos="2730"/>
          <w:tab w:val="left" w:pos="7350"/>
        </w:tabs>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3. 随同本竞选函提交比选保证金一份，金额为人民币（大写）</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元（¥</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）。比选保证金有限期与比选有限期一致，在此期间，若我方违反比选有关法律、法规及本比选文件的相关规定，比选保证金的受益人为比选人。</w:t>
      </w:r>
    </w:p>
    <w:p w14:paraId="4AF18F71">
      <w:pPr>
        <w:autoSpaceDE w:val="0"/>
        <w:autoSpaceDN w:val="0"/>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 如我方中选：</w:t>
      </w:r>
    </w:p>
    <w:p w14:paraId="0AA87ED0">
      <w:pPr>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（1）我方承诺在收到中选通知书后，在中选通知书规定的期限内与你方签订合同。</w:t>
      </w:r>
    </w:p>
    <w:p w14:paraId="55C62BEC">
      <w:pPr>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（2）我方承诺按照比选文件规定向你方递交履约担保（如比选人要求）。</w:t>
      </w:r>
    </w:p>
    <w:p w14:paraId="73CA4A48">
      <w:pPr>
        <w:autoSpaceDE w:val="0"/>
        <w:autoSpaceDN w:val="0"/>
        <w:adjustRightInd w:val="0"/>
        <w:spacing w:line="360" w:lineRule="auto"/>
        <w:ind w:firstLine="420" w:firstLineChars="200"/>
        <w:rPr>
          <w:rFonts w:ascii="宋体" w:hAnsi="宋体" w:cs="宋体"/>
          <w:snapToGrid w:val="0"/>
          <w:color w:val="auto"/>
          <w:kern w:val="0"/>
          <w:sz w:val="10"/>
          <w:szCs w:val="10"/>
          <w:highlight w:val="none"/>
        </w:rPr>
      </w:pPr>
      <w:r>
        <w:rPr>
          <w:rFonts w:hint="eastAsia" w:ascii="宋体" w:hAnsi="宋体" w:cs="宋体"/>
          <w:snapToGrid w:val="0"/>
          <w:color w:val="auto"/>
          <w:kern w:val="0"/>
          <w:szCs w:val="21"/>
          <w:highlight w:val="none"/>
        </w:rPr>
        <w:t>（3）</w:t>
      </w:r>
      <w:r>
        <w:rPr>
          <w:rFonts w:ascii="宋体" w:hAnsi="宋体"/>
          <w:snapToGrid w:val="0"/>
          <w:color w:val="auto"/>
          <w:kern w:val="0"/>
          <w:szCs w:val="21"/>
          <w:highlight w:val="none"/>
        </w:rPr>
        <w:t>我方承诺在合同约定的期限内完成并</w:t>
      </w:r>
      <w:r>
        <w:rPr>
          <w:rFonts w:hint="eastAsia" w:ascii="宋体" w:hAnsi="宋体"/>
          <w:snapToGrid w:val="0"/>
          <w:color w:val="auto"/>
          <w:kern w:val="0"/>
          <w:szCs w:val="21"/>
          <w:highlight w:val="none"/>
        </w:rPr>
        <w:t>出具成果文件</w:t>
      </w:r>
      <w:r>
        <w:rPr>
          <w:rFonts w:hint="eastAsia" w:ascii="宋体" w:hAnsi="宋体" w:cs="宋体"/>
          <w:snapToGrid w:val="0"/>
          <w:color w:val="auto"/>
          <w:kern w:val="0"/>
          <w:szCs w:val="21"/>
          <w:highlight w:val="none"/>
        </w:rPr>
        <w:t>。</w:t>
      </w:r>
    </w:p>
    <w:p w14:paraId="3B5CC2C9">
      <w:pPr>
        <w:autoSpaceDE w:val="0"/>
        <w:autoSpaceDN w:val="0"/>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 我方</w:t>
      </w:r>
      <w:r>
        <w:rPr>
          <w:rFonts w:hint="eastAsia" w:ascii="宋体" w:hAnsi="宋体" w:cs="宋体"/>
          <w:snapToGrid w:val="0"/>
          <w:color w:val="auto"/>
          <w:spacing w:val="-2"/>
          <w:kern w:val="0"/>
          <w:szCs w:val="21"/>
          <w:highlight w:val="none"/>
        </w:rPr>
        <w:t>在此声明，所递交的竞选文件及有关资料内容完整、真实和准确，且不存在第二章“竞选人</w:t>
      </w:r>
      <w:r>
        <w:rPr>
          <w:rFonts w:hint="eastAsia" w:ascii="宋体" w:hAnsi="宋体" w:cs="宋体"/>
          <w:snapToGrid w:val="0"/>
          <w:color w:val="auto"/>
          <w:kern w:val="0"/>
          <w:szCs w:val="21"/>
          <w:highlight w:val="none"/>
        </w:rPr>
        <w:t>须知”第 1.4.3 项规定的任何一种情形。同时我方承诺接受比选文件及附件、答疑及补遗通知中所有的内容。</w:t>
      </w:r>
    </w:p>
    <w:p w14:paraId="1EBE443F">
      <w:pPr>
        <w:tabs>
          <w:tab w:val="left" w:pos="5985"/>
        </w:tabs>
        <w:autoSpaceDE w:val="0"/>
        <w:autoSpaceDN w:val="0"/>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6.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（其他补充说明）。</w:t>
      </w:r>
    </w:p>
    <w:p w14:paraId="1C2AB143">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highlight w:val="none"/>
        </w:rPr>
      </w:pPr>
    </w:p>
    <w:p w14:paraId="0F0EB8B1">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  选 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（盖单位法人章） </w:t>
      </w:r>
    </w:p>
    <w:p w14:paraId="2F095E94">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法定代表人或其委托代理人：（签字或盖章）</w:t>
      </w:r>
    </w:p>
    <w:p w14:paraId="7F5CEC75">
      <w:pPr>
        <w:tabs>
          <w:tab w:val="left" w:pos="7035"/>
          <w:tab w:val="left" w:pos="7560"/>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    址：</w:t>
      </w:r>
    </w:p>
    <w:p w14:paraId="7828B958">
      <w:pPr>
        <w:tabs>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p w14:paraId="6C7BA8A0">
      <w:pPr>
        <w:tabs>
          <w:tab w:val="left" w:pos="8300"/>
        </w:tabs>
        <w:autoSpaceDE w:val="0"/>
        <w:autoSpaceDN w:val="0"/>
        <w:adjustRightInd w:val="0"/>
        <w:spacing w:line="360" w:lineRule="auto"/>
        <w:ind w:firstLine="3150" w:firstLineChars="15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p w14:paraId="02E23EC0">
      <w:pPr>
        <w:spacing w:line="360" w:lineRule="auto"/>
        <w:jc w:val="right"/>
        <w:rPr>
          <w:rFonts w:ascii="宋体" w:hAnsi="宋体" w:cs="宋体"/>
          <w:snapToGrid w:val="0"/>
          <w:color w:val="auto"/>
          <w:w w:val="99"/>
          <w:highlight w:val="none"/>
        </w:rPr>
      </w:pPr>
      <w:r>
        <w:rPr>
          <w:rFonts w:hint="eastAsia" w:ascii="宋体" w:hAnsi="宋体" w:cs="宋体"/>
          <w:color w:val="auto"/>
          <w:kern w:val="0"/>
          <w:szCs w:val="21"/>
          <w:highlight w:val="none"/>
        </w:rPr>
        <w:t>年月日</w:t>
      </w:r>
    </w:p>
    <w:bookmarkEnd w:id="805"/>
    <w:p w14:paraId="1E906FF3">
      <w:pPr>
        <w:jc w:val="center"/>
        <w:rPr>
          <w:rFonts w:ascii="宋体" w:hAnsi="宋体" w:cs="宋体"/>
          <w:b/>
          <w:snapToGrid w:val="0"/>
          <w:color w:val="auto"/>
          <w:w w:val="99"/>
          <w:sz w:val="36"/>
          <w:szCs w:val="32"/>
          <w:highlight w:val="none"/>
        </w:rPr>
      </w:pPr>
    </w:p>
    <w:p w14:paraId="601495DB">
      <w:pPr>
        <w:spacing w:line="360" w:lineRule="auto"/>
        <w:jc w:val="center"/>
        <w:rPr>
          <w:rFonts w:ascii="宋体" w:hAnsi="宋体" w:cs="宋体"/>
          <w:b/>
          <w:snapToGrid w:val="0"/>
          <w:color w:val="auto"/>
          <w:w w:val="99"/>
          <w:sz w:val="36"/>
          <w:szCs w:val="32"/>
          <w:highlight w:val="none"/>
        </w:rPr>
      </w:pPr>
      <w:r>
        <w:rPr>
          <w:rFonts w:hint="eastAsia" w:ascii="宋体" w:hAnsi="宋体" w:cs="宋体"/>
          <w:b/>
          <w:snapToGrid w:val="0"/>
          <w:color w:val="auto"/>
          <w:w w:val="99"/>
          <w:sz w:val="36"/>
          <w:szCs w:val="32"/>
          <w:highlight w:val="none"/>
        </w:rPr>
        <w:br w:type="page"/>
      </w:r>
    </w:p>
    <w:p w14:paraId="4B71E5F8">
      <w:pPr>
        <w:pStyle w:val="4"/>
        <w:jc w:val="center"/>
        <w:rPr>
          <w:rFonts w:ascii="宋体" w:hAnsi="宋体"/>
          <w:b w:val="0"/>
          <w:snapToGrid w:val="0"/>
          <w:color w:val="auto"/>
          <w:kern w:val="0"/>
          <w:sz w:val="30"/>
          <w:szCs w:val="30"/>
          <w:highlight w:val="none"/>
        </w:rPr>
      </w:pPr>
      <w:bookmarkStart w:id="806" w:name="_Toc224103497"/>
      <w:bookmarkStart w:id="807" w:name="_Toc57905921"/>
      <w:bookmarkStart w:id="808" w:name="_Toc287620816"/>
      <w:bookmarkStart w:id="809" w:name="_Toc277082645"/>
      <w:bookmarkStart w:id="810" w:name="_Toc430530532"/>
      <w:bookmarkStart w:id="811" w:name="_Toc8650"/>
      <w:bookmarkStart w:id="812" w:name="_Toc287607869"/>
      <w:r>
        <w:rPr>
          <w:rFonts w:ascii="宋体" w:hAnsi="宋体"/>
          <w:color w:val="auto"/>
          <w:sz w:val="30"/>
          <w:szCs w:val="30"/>
          <w:highlight w:val="none"/>
        </w:rPr>
        <w:t>（</w:t>
      </w:r>
      <w:r>
        <w:rPr>
          <w:rFonts w:hint="eastAsia" w:ascii="宋体" w:hAnsi="宋体"/>
          <w:color w:val="auto"/>
          <w:sz w:val="30"/>
          <w:szCs w:val="30"/>
          <w:highlight w:val="none"/>
        </w:rPr>
        <w:t>二</w:t>
      </w:r>
      <w:r>
        <w:rPr>
          <w:rFonts w:ascii="宋体" w:hAnsi="宋体"/>
          <w:color w:val="auto"/>
          <w:sz w:val="30"/>
          <w:szCs w:val="30"/>
          <w:highlight w:val="none"/>
        </w:rPr>
        <w:t>）</w:t>
      </w:r>
      <w:r>
        <w:rPr>
          <w:rFonts w:hint="eastAsia" w:ascii="宋体" w:hAnsi="宋体"/>
          <w:color w:val="auto"/>
          <w:sz w:val="30"/>
          <w:szCs w:val="30"/>
          <w:highlight w:val="none"/>
        </w:rPr>
        <w:t>法定代表人身份证明或附有法定代表人身份证明的授权委托书</w:t>
      </w:r>
      <w:bookmarkEnd w:id="806"/>
      <w:bookmarkEnd w:id="807"/>
      <w:bookmarkEnd w:id="808"/>
      <w:bookmarkEnd w:id="809"/>
      <w:bookmarkEnd w:id="810"/>
      <w:bookmarkEnd w:id="811"/>
      <w:bookmarkEnd w:id="812"/>
    </w:p>
    <w:p w14:paraId="52B4C722">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E8A7C5A">
      <w:pPr>
        <w:spacing w:line="480" w:lineRule="auto"/>
        <w:jc w:val="center"/>
        <w:rPr>
          <w:rFonts w:ascii="宋体" w:hAnsi="宋体"/>
          <w:color w:val="auto"/>
          <w:highlight w:val="none"/>
        </w:rPr>
      </w:pPr>
    </w:p>
    <w:p w14:paraId="727BAE3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p>
    <w:p w14:paraId="0723CD2F">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p>
    <w:p w14:paraId="415FAB3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地址：</w:t>
      </w:r>
    </w:p>
    <w:p w14:paraId="6BD5515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成立时间：年月日</w:t>
      </w:r>
    </w:p>
    <w:p w14:paraId="3A461D9A">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p>
    <w:p w14:paraId="44AAF66E">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姓名：性别</w:t>
      </w:r>
      <w:r>
        <w:rPr>
          <w:rFonts w:ascii="宋体" w:hAnsi="宋体"/>
          <w:color w:val="auto"/>
          <w:spacing w:val="-1"/>
          <w:kern w:val="0"/>
          <w:szCs w:val="21"/>
          <w:highlight w:val="none"/>
        </w:rPr>
        <w:t>：年</w:t>
      </w:r>
      <w:r>
        <w:rPr>
          <w:rFonts w:ascii="宋体" w:hAnsi="宋体"/>
          <w:color w:val="auto"/>
          <w:kern w:val="0"/>
          <w:szCs w:val="21"/>
          <w:highlight w:val="none"/>
        </w:rPr>
        <w:t>龄：职务：</w:t>
      </w:r>
    </w:p>
    <w:p w14:paraId="7B3C4168">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0FBFBD6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0E0C4E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2473B819">
      <w:pPr>
        <w:pStyle w:val="8"/>
        <w:spacing w:after="0" w:line="360" w:lineRule="auto"/>
        <w:rPr>
          <w:rFonts w:ascii="宋体" w:hAnsi="宋体"/>
          <w:color w:val="auto"/>
          <w:szCs w:val="21"/>
          <w:highlight w:val="none"/>
        </w:rPr>
      </w:pPr>
    </w:p>
    <w:p w14:paraId="7FEE385D">
      <w:pPr>
        <w:pStyle w:val="8"/>
        <w:spacing w:after="0" w:line="360" w:lineRule="auto"/>
        <w:rPr>
          <w:rFonts w:ascii="宋体" w:hAnsi="宋体"/>
          <w:color w:val="auto"/>
          <w:szCs w:val="21"/>
          <w:highlight w:val="none"/>
        </w:rPr>
      </w:pPr>
    </w:p>
    <w:p w14:paraId="6FA5FE91">
      <w:pPr>
        <w:pStyle w:val="8"/>
        <w:spacing w:after="0" w:line="360" w:lineRule="auto"/>
        <w:rPr>
          <w:rFonts w:ascii="宋体" w:hAnsi="宋体"/>
          <w:color w:val="auto"/>
          <w:szCs w:val="21"/>
          <w:highlight w:val="none"/>
        </w:rPr>
      </w:pPr>
    </w:p>
    <w:p w14:paraId="09B13E01">
      <w:pPr>
        <w:pStyle w:val="8"/>
        <w:spacing w:after="0" w:line="360" w:lineRule="auto"/>
        <w:rPr>
          <w:rFonts w:ascii="宋体" w:hAnsi="宋体"/>
          <w:color w:val="auto"/>
          <w:szCs w:val="21"/>
          <w:highlight w:val="none"/>
        </w:rPr>
      </w:pPr>
    </w:p>
    <w:p w14:paraId="26D02491">
      <w:pPr>
        <w:pStyle w:val="8"/>
        <w:spacing w:after="0" w:line="360" w:lineRule="auto"/>
        <w:rPr>
          <w:rFonts w:ascii="宋体" w:hAnsi="宋体"/>
          <w:color w:val="auto"/>
          <w:szCs w:val="21"/>
          <w:highlight w:val="none"/>
        </w:rPr>
      </w:pPr>
    </w:p>
    <w:p w14:paraId="37BFAA91">
      <w:pPr>
        <w:pStyle w:val="8"/>
        <w:spacing w:after="0" w:line="360" w:lineRule="auto"/>
        <w:rPr>
          <w:rFonts w:ascii="宋体" w:hAnsi="宋体"/>
          <w:color w:val="auto"/>
          <w:szCs w:val="21"/>
          <w:highlight w:val="none"/>
        </w:rPr>
      </w:pPr>
    </w:p>
    <w:p w14:paraId="217168CA">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57223E9">
      <w:pPr>
        <w:autoSpaceDE w:val="0"/>
        <w:autoSpaceDN w:val="0"/>
        <w:adjustRightInd w:val="0"/>
        <w:snapToGrid w:val="0"/>
        <w:spacing w:line="480" w:lineRule="auto"/>
        <w:jc w:val="left"/>
        <w:rPr>
          <w:rFonts w:ascii="宋体" w:hAnsi="宋体"/>
          <w:color w:val="auto"/>
          <w:kern w:val="0"/>
          <w:sz w:val="20"/>
          <w:szCs w:val="20"/>
          <w:highlight w:val="none"/>
        </w:rPr>
      </w:pPr>
    </w:p>
    <w:p w14:paraId="1B282D69">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ascii="宋体" w:hAnsi="宋体"/>
          <w:color w:val="auto"/>
          <w:kern w:val="0"/>
          <w:szCs w:val="21"/>
          <w:highlight w:val="none"/>
        </w:rPr>
        <w:t>年月日</w:t>
      </w:r>
    </w:p>
    <w:p w14:paraId="7FC021F2">
      <w:pPr>
        <w:autoSpaceDE w:val="0"/>
        <w:autoSpaceDN w:val="0"/>
        <w:adjustRightInd w:val="0"/>
        <w:snapToGrid w:val="0"/>
        <w:spacing w:line="360" w:lineRule="auto"/>
        <w:jc w:val="left"/>
        <w:rPr>
          <w:rFonts w:ascii="宋体" w:hAnsi="宋体"/>
          <w:color w:val="auto"/>
          <w:kern w:val="0"/>
          <w:highlight w:val="none"/>
        </w:rPr>
      </w:pPr>
    </w:p>
    <w:p w14:paraId="5ECA1815">
      <w:pPr>
        <w:autoSpaceDE w:val="0"/>
        <w:autoSpaceDN w:val="0"/>
        <w:adjustRightInd w:val="0"/>
        <w:snapToGrid w:val="0"/>
        <w:spacing w:line="360" w:lineRule="auto"/>
        <w:jc w:val="left"/>
        <w:rPr>
          <w:rFonts w:ascii="宋体" w:hAnsi="宋体"/>
          <w:color w:val="auto"/>
          <w:kern w:val="0"/>
          <w:highlight w:val="none"/>
        </w:rPr>
      </w:pPr>
    </w:p>
    <w:p w14:paraId="652B85CF">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5CC34C73">
      <w:pPr>
        <w:autoSpaceDE w:val="0"/>
        <w:autoSpaceDN w:val="0"/>
        <w:adjustRightInd w:val="0"/>
        <w:snapToGrid w:val="0"/>
        <w:spacing w:line="360" w:lineRule="auto"/>
        <w:jc w:val="left"/>
        <w:rPr>
          <w:rFonts w:ascii="宋体" w:hAnsi="宋体"/>
          <w:color w:val="auto"/>
          <w:kern w:val="0"/>
          <w:highlight w:val="none"/>
        </w:rPr>
      </w:pPr>
    </w:p>
    <w:p w14:paraId="71866620">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1A480B9">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kern w:val="0"/>
          <w:szCs w:val="21"/>
          <w:highlight w:val="none"/>
          <w:u w:val="single"/>
        </w:rPr>
        <w:t>（姓名）</w:t>
      </w:r>
      <w:r>
        <w:rPr>
          <w:rFonts w:ascii="宋体" w:hAnsi="宋体"/>
          <w:color w:val="auto"/>
          <w:kern w:val="0"/>
          <w:szCs w:val="21"/>
          <w:highlight w:val="none"/>
        </w:rPr>
        <w:t>系</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3039C67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 xml:space="preserve">限：。 </w:t>
      </w:r>
    </w:p>
    <w:p w14:paraId="27AAF00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CE2D22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309EE2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竞选</w:t>
      </w:r>
      <w:r>
        <w:rPr>
          <w:rFonts w:ascii="宋体" w:hAnsi="宋体"/>
          <w:color w:val="auto"/>
          <w:kern w:val="0"/>
          <w:szCs w:val="21"/>
          <w:highlight w:val="none"/>
        </w:rPr>
        <w:t>人：（</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CC2E7A6">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B80BB8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p>
    <w:p w14:paraId="2D20221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签名</w:t>
      </w:r>
      <w:r>
        <w:rPr>
          <w:rFonts w:ascii="宋体" w:hAnsi="宋体"/>
          <w:color w:val="auto"/>
          <w:kern w:val="0"/>
          <w:szCs w:val="21"/>
          <w:highlight w:val="none"/>
        </w:rPr>
        <w:t>）</w:t>
      </w:r>
    </w:p>
    <w:p w14:paraId="01D3BEC1">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p>
    <w:p w14:paraId="788B4D5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3BE740B4">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0B792E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305DC85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2F5B17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A1B70E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5B3006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68078A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92961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339023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03CD6C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ascii="宋体" w:hAnsi="宋体"/>
          <w:color w:val="auto"/>
          <w:kern w:val="0"/>
          <w:szCs w:val="21"/>
          <w:highlight w:val="none"/>
        </w:rPr>
        <w:t>年月日</w:t>
      </w:r>
    </w:p>
    <w:p w14:paraId="388F36E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574BE36">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99F8C9F">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51C2244A">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B94669C">
      <w:pPr>
        <w:jc w:val="center"/>
        <w:rPr>
          <w:rFonts w:ascii="宋体" w:hAnsi="宋体"/>
          <w:b/>
          <w:color w:val="auto"/>
          <w:sz w:val="44"/>
          <w:szCs w:val="44"/>
          <w:highlight w:val="none"/>
        </w:rPr>
      </w:pPr>
    </w:p>
    <w:p w14:paraId="360C5335">
      <w:pPr>
        <w:jc w:val="center"/>
        <w:outlineLvl w:val="1"/>
        <w:rPr>
          <w:rFonts w:ascii="宋体" w:hAnsi="宋体"/>
          <w:b/>
          <w:color w:val="auto"/>
          <w:sz w:val="44"/>
          <w:szCs w:val="44"/>
          <w:highlight w:val="none"/>
        </w:rPr>
      </w:pPr>
      <w:r>
        <w:rPr>
          <w:rFonts w:hint="eastAsia" w:ascii="宋体" w:hAnsi="宋体"/>
          <w:b/>
          <w:color w:val="auto"/>
          <w:sz w:val="44"/>
          <w:szCs w:val="44"/>
          <w:highlight w:val="none"/>
        </w:rPr>
        <w:t>二、</w:t>
      </w:r>
      <w:r>
        <w:rPr>
          <w:rFonts w:hint="eastAsia" w:ascii="宋体" w:hAnsi="宋体"/>
          <w:color w:val="auto"/>
          <w:sz w:val="44"/>
          <w:szCs w:val="44"/>
          <w:highlight w:val="none"/>
        </w:rPr>
        <w:t>技术部分</w:t>
      </w:r>
    </w:p>
    <w:p w14:paraId="5CB2969F">
      <w:pPr>
        <w:pStyle w:val="8"/>
        <w:rPr>
          <w:rFonts w:ascii="宋体" w:hAnsi="宋体"/>
          <w:b/>
          <w:color w:val="auto"/>
          <w:sz w:val="44"/>
          <w:szCs w:val="44"/>
          <w:highlight w:val="none"/>
        </w:rPr>
      </w:pPr>
    </w:p>
    <w:p w14:paraId="5201D68B">
      <w:pPr>
        <w:rPr>
          <w:rFonts w:ascii="宋体" w:hAnsi="宋体"/>
          <w:b/>
          <w:color w:val="auto"/>
          <w:sz w:val="44"/>
          <w:szCs w:val="44"/>
          <w:highlight w:val="none"/>
        </w:rPr>
      </w:pPr>
    </w:p>
    <w:p w14:paraId="51AF6261">
      <w:pPr>
        <w:rPr>
          <w:rFonts w:ascii="宋体" w:hAnsi="宋体"/>
          <w:b/>
          <w:color w:val="auto"/>
          <w:sz w:val="44"/>
          <w:szCs w:val="44"/>
          <w:highlight w:val="none"/>
        </w:rPr>
      </w:pPr>
    </w:p>
    <w:p w14:paraId="7A4CE405">
      <w:pPr>
        <w:rPr>
          <w:rFonts w:ascii="宋体" w:hAnsi="宋体"/>
          <w:b/>
          <w:color w:val="auto"/>
          <w:sz w:val="44"/>
          <w:szCs w:val="44"/>
          <w:highlight w:val="none"/>
        </w:rPr>
      </w:pPr>
    </w:p>
    <w:p w14:paraId="3A4C1EDD">
      <w:pPr>
        <w:pStyle w:val="8"/>
        <w:rPr>
          <w:rFonts w:ascii="宋体" w:hAnsi="宋体"/>
          <w:b/>
          <w:color w:val="auto"/>
          <w:sz w:val="44"/>
          <w:szCs w:val="44"/>
          <w:highlight w:val="none"/>
        </w:rPr>
      </w:pPr>
    </w:p>
    <w:p w14:paraId="26C81054">
      <w:pPr>
        <w:rPr>
          <w:rFonts w:ascii="宋体" w:hAnsi="宋体"/>
          <w:b/>
          <w:color w:val="auto"/>
          <w:sz w:val="44"/>
          <w:szCs w:val="44"/>
          <w:highlight w:val="none"/>
        </w:rPr>
      </w:pPr>
    </w:p>
    <w:p w14:paraId="1AF48544">
      <w:pPr>
        <w:pStyle w:val="8"/>
        <w:rPr>
          <w:rFonts w:ascii="宋体" w:hAnsi="宋体"/>
          <w:b/>
          <w:color w:val="auto"/>
          <w:sz w:val="44"/>
          <w:szCs w:val="44"/>
          <w:highlight w:val="none"/>
        </w:rPr>
      </w:pPr>
    </w:p>
    <w:p w14:paraId="3D36BAF7">
      <w:pPr>
        <w:rPr>
          <w:rFonts w:ascii="宋体" w:hAnsi="宋体"/>
          <w:b/>
          <w:color w:val="auto"/>
          <w:sz w:val="44"/>
          <w:szCs w:val="44"/>
          <w:highlight w:val="none"/>
        </w:rPr>
      </w:pPr>
    </w:p>
    <w:p w14:paraId="3BBB47E1">
      <w:pPr>
        <w:pStyle w:val="8"/>
        <w:rPr>
          <w:rFonts w:ascii="宋体" w:hAnsi="宋体"/>
          <w:b/>
          <w:color w:val="auto"/>
          <w:sz w:val="44"/>
          <w:szCs w:val="44"/>
          <w:highlight w:val="none"/>
        </w:rPr>
      </w:pPr>
    </w:p>
    <w:p w14:paraId="0CB4AA15">
      <w:pPr>
        <w:rPr>
          <w:rFonts w:ascii="宋体" w:hAnsi="宋体"/>
          <w:b/>
          <w:color w:val="auto"/>
          <w:sz w:val="44"/>
          <w:szCs w:val="44"/>
          <w:highlight w:val="none"/>
        </w:rPr>
      </w:pPr>
    </w:p>
    <w:p w14:paraId="17291525">
      <w:pPr>
        <w:pStyle w:val="8"/>
        <w:rPr>
          <w:rFonts w:ascii="宋体" w:hAnsi="宋体"/>
          <w:b/>
          <w:color w:val="auto"/>
          <w:sz w:val="44"/>
          <w:szCs w:val="44"/>
          <w:highlight w:val="none"/>
        </w:rPr>
      </w:pPr>
    </w:p>
    <w:p w14:paraId="7C27DCF6">
      <w:pPr>
        <w:rPr>
          <w:rFonts w:ascii="宋体" w:hAnsi="宋体"/>
          <w:b/>
          <w:color w:val="auto"/>
          <w:sz w:val="44"/>
          <w:szCs w:val="44"/>
          <w:highlight w:val="none"/>
        </w:rPr>
      </w:pPr>
    </w:p>
    <w:p w14:paraId="15C12E49">
      <w:pPr>
        <w:pStyle w:val="8"/>
        <w:rPr>
          <w:rFonts w:ascii="宋体" w:hAnsi="宋体"/>
          <w:b/>
          <w:color w:val="auto"/>
          <w:sz w:val="44"/>
          <w:szCs w:val="44"/>
          <w:highlight w:val="none"/>
        </w:rPr>
      </w:pPr>
    </w:p>
    <w:p w14:paraId="33290A2D">
      <w:pPr>
        <w:rPr>
          <w:rFonts w:ascii="宋体" w:hAnsi="宋体"/>
          <w:b/>
          <w:color w:val="auto"/>
          <w:sz w:val="44"/>
          <w:szCs w:val="44"/>
          <w:highlight w:val="none"/>
        </w:rPr>
      </w:pPr>
    </w:p>
    <w:p w14:paraId="5D1CD329">
      <w:pPr>
        <w:pStyle w:val="8"/>
        <w:rPr>
          <w:rFonts w:ascii="宋体" w:hAnsi="宋体"/>
          <w:b/>
          <w:color w:val="auto"/>
          <w:sz w:val="44"/>
          <w:szCs w:val="44"/>
          <w:highlight w:val="none"/>
        </w:rPr>
      </w:pPr>
    </w:p>
    <w:p w14:paraId="757F48BB">
      <w:pPr>
        <w:rPr>
          <w:rFonts w:ascii="宋体" w:hAnsi="宋体"/>
          <w:b/>
          <w:color w:val="auto"/>
          <w:sz w:val="44"/>
          <w:szCs w:val="44"/>
          <w:highlight w:val="none"/>
        </w:rPr>
      </w:pPr>
    </w:p>
    <w:p w14:paraId="02722006">
      <w:pPr>
        <w:pStyle w:val="8"/>
        <w:rPr>
          <w:rFonts w:ascii="宋体" w:hAnsi="宋体"/>
          <w:b/>
          <w:color w:val="auto"/>
          <w:sz w:val="44"/>
          <w:szCs w:val="44"/>
          <w:highlight w:val="none"/>
        </w:rPr>
      </w:pPr>
    </w:p>
    <w:p w14:paraId="7997EAAF">
      <w:pPr>
        <w:rPr>
          <w:rFonts w:ascii="宋体" w:hAnsi="宋体"/>
          <w:b/>
          <w:color w:val="auto"/>
          <w:sz w:val="44"/>
          <w:szCs w:val="44"/>
          <w:highlight w:val="none"/>
        </w:rPr>
      </w:pPr>
    </w:p>
    <w:p w14:paraId="62C1F31E">
      <w:pPr>
        <w:pStyle w:val="8"/>
        <w:rPr>
          <w:rFonts w:ascii="宋体" w:hAnsi="宋体"/>
          <w:b/>
          <w:color w:val="auto"/>
          <w:sz w:val="44"/>
          <w:szCs w:val="44"/>
          <w:highlight w:val="none"/>
        </w:rPr>
      </w:pPr>
    </w:p>
    <w:p w14:paraId="726D1AD5">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58C8F9C2">
      <w:pPr>
        <w:autoSpaceDE w:val="0"/>
        <w:autoSpaceDN w:val="0"/>
        <w:adjustRightInd w:val="0"/>
        <w:snapToGrid w:val="0"/>
        <w:spacing w:line="360" w:lineRule="auto"/>
        <w:jc w:val="left"/>
        <w:rPr>
          <w:rFonts w:ascii="宋体" w:hAnsi="宋体"/>
          <w:color w:val="auto"/>
          <w:kern w:val="0"/>
          <w:sz w:val="32"/>
          <w:szCs w:val="32"/>
          <w:highlight w:val="none"/>
        </w:rPr>
      </w:pPr>
    </w:p>
    <w:p w14:paraId="4721CCBF">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竞选人</w:t>
      </w:r>
      <w:r>
        <w:rPr>
          <w:rFonts w:ascii="宋体" w:hAnsi="宋体"/>
          <w:i/>
          <w:iCs/>
          <w:color w:val="auto"/>
          <w:kern w:val="0"/>
          <w:szCs w:val="21"/>
          <w:highlight w:val="none"/>
        </w:rPr>
        <w:t>自行编制]</w:t>
      </w:r>
    </w:p>
    <w:p w14:paraId="50144C81">
      <w:pPr>
        <w:autoSpaceDE w:val="0"/>
        <w:autoSpaceDN w:val="0"/>
        <w:adjustRightInd w:val="0"/>
        <w:snapToGrid w:val="0"/>
        <w:spacing w:line="360" w:lineRule="auto"/>
        <w:jc w:val="left"/>
        <w:rPr>
          <w:rFonts w:ascii="宋体" w:hAnsi="宋体"/>
          <w:color w:val="auto"/>
          <w:w w:val="99"/>
          <w:kern w:val="0"/>
          <w:sz w:val="28"/>
          <w:szCs w:val="28"/>
          <w:highlight w:val="none"/>
        </w:rPr>
      </w:pPr>
    </w:p>
    <w:p w14:paraId="665EE2F9">
      <w:pPr>
        <w:rPr>
          <w:rFonts w:ascii="宋体" w:hAnsi="宋体"/>
          <w:color w:val="auto"/>
          <w:highlight w:val="none"/>
        </w:rPr>
      </w:pPr>
    </w:p>
    <w:p w14:paraId="1A6D0E21">
      <w:pPr>
        <w:pStyle w:val="8"/>
        <w:rPr>
          <w:rFonts w:ascii="宋体" w:hAnsi="宋体"/>
          <w:color w:val="auto"/>
          <w:highlight w:val="none"/>
        </w:rPr>
      </w:pPr>
    </w:p>
    <w:p w14:paraId="36BE65F1">
      <w:pPr>
        <w:rPr>
          <w:rFonts w:ascii="宋体" w:hAnsi="宋体"/>
          <w:color w:val="auto"/>
          <w:highlight w:val="none"/>
        </w:rPr>
      </w:pPr>
    </w:p>
    <w:p w14:paraId="276E39E3">
      <w:pPr>
        <w:pStyle w:val="8"/>
        <w:rPr>
          <w:rFonts w:ascii="宋体" w:hAnsi="宋体"/>
          <w:color w:val="auto"/>
          <w:highlight w:val="none"/>
        </w:rPr>
      </w:pPr>
    </w:p>
    <w:p w14:paraId="7D0995C2">
      <w:pPr>
        <w:rPr>
          <w:rFonts w:ascii="宋体" w:hAnsi="宋体"/>
          <w:color w:val="auto"/>
          <w:highlight w:val="none"/>
        </w:rPr>
      </w:pPr>
    </w:p>
    <w:p w14:paraId="7E50FDE2">
      <w:pPr>
        <w:pStyle w:val="8"/>
        <w:rPr>
          <w:rFonts w:ascii="宋体" w:hAnsi="宋体"/>
          <w:color w:val="auto"/>
          <w:highlight w:val="none"/>
        </w:rPr>
      </w:pPr>
    </w:p>
    <w:p w14:paraId="61B27552">
      <w:pPr>
        <w:rPr>
          <w:rFonts w:ascii="宋体" w:hAnsi="宋体"/>
          <w:color w:val="auto"/>
          <w:highlight w:val="none"/>
        </w:rPr>
      </w:pPr>
    </w:p>
    <w:p w14:paraId="71186380">
      <w:pPr>
        <w:pStyle w:val="8"/>
        <w:rPr>
          <w:rFonts w:ascii="宋体" w:hAnsi="宋体"/>
          <w:color w:val="auto"/>
          <w:highlight w:val="none"/>
        </w:rPr>
      </w:pPr>
    </w:p>
    <w:p w14:paraId="779E27F8">
      <w:pPr>
        <w:rPr>
          <w:rFonts w:ascii="宋体" w:hAnsi="宋体"/>
          <w:color w:val="auto"/>
          <w:highlight w:val="none"/>
        </w:rPr>
      </w:pPr>
    </w:p>
    <w:p w14:paraId="5F6923DB">
      <w:pPr>
        <w:pStyle w:val="8"/>
        <w:rPr>
          <w:rFonts w:ascii="宋体" w:hAnsi="宋体"/>
          <w:color w:val="auto"/>
          <w:highlight w:val="none"/>
        </w:rPr>
      </w:pPr>
    </w:p>
    <w:p w14:paraId="20F9BD36">
      <w:pPr>
        <w:rPr>
          <w:rFonts w:ascii="宋体" w:hAnsi="宋体"/>
          <w:color w:val="auto"/>
          <w:highlight w:val="none"/>
        </w:rPr>
      </w:pPr>
    </w:p>
    <w:p w14:paraId="6ED3C38D">
      <w:pPr>
        <w:pStyle w:val="8"/>
        <w:rPr>
          <w:rFonts w:ascii="宋体" w:hAnsi="宋体"/>
          <w:color w:val="auto"/>
          <w:highlight w:val="none"/>
        </w:rPr>
      </w:pPr>
    </w:p>
    <w:p w14:paraId="0A5DFE10">
      <w:pPr>
        <w:rPr>
          <w:rFonts w:ascii="宋体" w:hAnsi="宋体"/>
          <w:color w:val="auto"/>
          <w:highlight w:val="none"/>
        </w:rPr>
      </w:pPr>
    </w:p>
    <w:p w14:paraId="3FCB3B9B">
      <w:pPr>
        <w:pStyle w:val="8"/>
        <w:rPr>
          <w:rFonts w:ascii="宋体" w:hAnsi="宋体"/>
          <w:color w:val="auto"/>
          <w:highlight w:val="none"/>
        </w:rPr>
      </w:pPr>
    </w:p>
    <w:p w14:paraId="24CCCEFD">
      <w:pPr>
        <w:rPr>
          <w:rFonts w:ascii="宋体" w:hAnsi="宋体"/>
          <w:color w:val="auto"/>
          <w:highlight w:val="none"/>
        </w:rPr>
      </w:pPr>
    </w:p>
    <w:p w14:paraId="0596A6C8">
      <w:pPr>
        <w:pStyle w:val="8"/>
        <w:rPr>
          <w:rFonts w:ascii="宋体" w:hAnsi="宋体"/>
          <w:color w:val="auto"/>
          <w:highlight w:val="none"/>
        </w:rPr>
      </w:pPr>
    </w:p>
    <w:p w14:paraId="359E1B34">
      <w:pPr>
        <w:rPr>
          <w:rFonts w:ascii="宋体" w:hAnsi="宋体"/>
          <w:color w:val="auto"/>
          <w:highlight w:val="none"/>
        </w:rPr>
      </w:pPr>
    </w:p>
    <w:p w14:paraId="00FCC4CB">
      <w:pPr>
        <w:pStyle w:val="8"/>
        <w:rPr>
          <w:rFonts w:ascii="宋体" w:hAnsi="宋体"/>
          <w:color w:val="auto"/>
          <w:highlight w:val="none"/>
        </w:rPr>
      </w:pPr>
    </w:p>
    <w:p w14:paraId="621B3360">
      <w:pPr>
        <w:rPr>
          <w:rFonts w:ascii="宋体" w:hAnsi="宋体"/>
          <w:color w:val="auto"/>
          <w:highlight w:val="none"/>
        </w:rPr>
      </w:pPr>
    </w:p>
    <w:p w14:paraId="2B43C7BD">
      <w:pPr>
        <w:pStyle w:val="8"/>
        <w:rPr>
          <w:rFonts w:ascii="宋体" w:hAnsi="宋体"/>
          <w:color w:val="auto"/>
          <w:highlight w:val="none"/>
        </w:rPr>
      </w:pPr>
    </w:p>
    <w:p w14:paraId="159B471F">
      <w:pPr>
        <w:rPr>
          <w:rFonts w:ascii="宋体" w:hAnsi="宋体"/>
          <w:color w:val="auto"/>
          <w:highlight w:val="none"/>
        </w:rPr>
      </w:pPr>
    </w:p>
    <w:p w14:paraId="2EDC90DB">
      <w:pPr>
        <w:rPr>
          <w:rFonts w:ascii="宋体" w:hAnsi="宋体"/>
          <w:color w:val="auto"/>
          <w:highlight w:val="none"/>
        </w:rPr>
      </w:pPr>
    </w:p>
    <w:p w14:paraId="448FFA6E">
      <w:pPr>
        <w:pStyle w:val="8"/>
        <w:rPr>
          <w:rFonts w:ascii="宋体" w:hAnsi="宋体"/>
          <w:color w:val="auto"/>
          <w:highlight w:val="none"/>
        </w:rPr>
      </w:pPr>
    </w:p>
    <w:p w14:paraId="171EEA0B">
      <w:pPr>
        <w:rPr>
          <w:rFonts w:ascii="宋体" w:hAnsi="宋体"/>
          <w:color w:val="auto"/>
          <w:highlight w:val="none"/>
        </w:rPr>
      </w:pPr>
    </w:p>
    <w:p w14:paraId="14ECF070">
      <w:pPr>
        <w:pStyle w:val="8"/>
        <w:rPr>
          <w:rFonts w:ascii="宋体" w:hAnsi="宋体"/>
          <w:color w:val="auto"/>
          <w:highlight w:val="none"/>
        </w:rPr>
      </w:pPr>
    </w:p>
    <w:p w14:paraId="78862823">
      <w:pPr>
        <w:rPr>
          <w:rFonts w:ascii="宋体" w:hAnsi="宋体"/>
          <w:color w:val="auto"/>
          <w:highlight w:val="none"/>
        </w:rPr>
      </w:pPr>
    </w:p>
    <w:p w14:paraId="5977AD05">
      <w:pPr>
        <w:pStyle w:val="8"/>
        <w:rPr>
          <w:rFonts w:ascii="宋体" w:hAnsi="宋体"/>
          <w:color w:val="auto"/>
          <w:highlight w:val="none"/>
        </w:rPr>
      </w:pPr>
    </w:p>
    <w:p w14:paraId="15BD62CC">
      <w:pPr>
        <w:rPr>
          <w:rFonts w:ascii="宋体" w:hAnsi="宋体"/>
          <w:color w:val="auto"/>
          <w:highlight w:val="none"/>
        </w:rPr>
      </w:pPr>
    </w:p>
    <w:p w14:paraId="205E8496">
      <w:pPr>
        <w:pStyle w:val="8"/>
        <w:rPr>
          <w:rFonts w:ascii="宋体" w:hAnsi="宋体"/>
          <w:color w:val="auto"/>
          <w:highlight w:val="none"/>
        </w:rPr>
      </w:pPr>
    </w:p>
    <w:p w14:paraId="40199061">
      <w:pPr>
        <w:pStyle w:val="8"/>
        <w:rPr>
          <w:rFonts w:ascii="宋体" w:hAnsi="宋体"/>
          <w:color w:val="auto"/>
          <w:highlight w:val="none"/>
        </w:rPr>
      </w:pPr>
    </w:p>
    <w:p w14:paraId="3720E877">
      <w:pPr>
        <w:jc w:val="center"/>
        <w:outlineLvl w:val="1"/>
        <w:rPr>
          <w:rFonts w:ascii="宋体" w:hAnsi="宋体"/>
          <w:b/>
          <w:color w:val="auto"/>
          <w:sz w:val="44"/>
          <w:szCs w:val="44"/>
          <w:highlight w:val="none"/>
        </w:rPr>
        <w:sectPr>
          <w:pgSz w:w="11905" w:h="16838"/>
          <w:pgMar w:top="1134" w:right="1134" w:bottom="1134" w:left="1134" w:header="0" w:footer="0" w:gutter="0"/>
          <w:cols w:space="0" w:num="1"/>
          <w:docGrid w:type="lines" w:linePitch="317" w:charSpace="0"/>
        </w:sectPr>
      </w:pPr>
    </w:p>
    <w:p w14:paraId="2CBF0DAC">
      <w:pPr>
        <w:jc w:val="center"/>
        <w:outlineLvl w:val="1"/>
        <w:rPr>
          <w:rFonts w:ascii="宋体" w:hAnsi="宋体"/>
          <w:b/>
          <w:color w:val="auto"/>
          <w:sz w:val="44"/>
          <w:szCs w:val="44"/>
          <w:highlight w:val="none"/>
        </w:rPr>
      </w:pPr>
      <w:r>
        <w:rPr>
          <w:rFonts w:hint="eastAsia" w:ascii="宋体" w:hAnsi="宋体"/>
          <w:b/>
          <w:color w:val="auto"/>
          <w:sz w:val="44"/>
          <w:szCs w:val="44"/>
          <w:highlight w:val="none"/>
        </w:rPr>
        <w:t>三、资格审查部分</w:t>
      </w:r>
    </w:p>
    <w:p w14:paraId="01064588">
      <w:pPr>
        <w:spacing w:line="480" w:lineRule="auto"/>
        <w:ind w:right="-152"/>
        <w:jc w:val="center"/>
        <w:rPr>
          <w:rFonts w:ascii="宋体" w:hAnsi="宋体" w:cs="宋体"/>
          <w:b/>
          <w:color w:val="auto"/>
          <w:sz w:val="52"/>
          <w:szCs w:val="72"/>
          <w:highlight w:val="none"/>
        </w:rPr>
      </w:pPr>
      <w:r>
        <w:rPr>
          <w:rFonts w:ascii="宋体" w:hAnsi="宋体"/>
          <w:color w:val="auto"/>
          <w:highlight w:val="none"/>
        </w:rPr>
        <w:br w:type="page"/>
      </w:r>
    </w:p>
    <w:p w14:paraId="1A031A1D">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0154D32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58AF62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F79FC9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E57D31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2351173">
      <w:pPr>
        <w:autoSpaceDE w:val="0"/>
        <w:autoSpaceDN w:val="0"/>
        <w:adjustRightInd w:val="0"/>
        <w:snapToGrid w:val="0"/>
        <w:spacing w:line="360" w:lineRule="auto"/>
        <w:jc w:val="left"/>
        <w:rPr>
          <w:rFonts w:ascii="宋体" w:hAnsi="宋体"/>
          <w:color w:val="auto"/>
          <w:kern w:val="0"/>
          <w:sz w:val="16"/>
          <w:szCs w:val="16"/>
          <w:highlight w:val="none"/>
        </w:rPr>
      </w:pPr>
    </w:p>
    <w:p w14:paraId="7E6F0FA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13C51FE0">
      <w:pPr>
        <w:autoSpaceDE w:val="0"/>
        <w:autoSpaceDN w:val="0"/>
        <w:adjustRightInd w:val="0"/>
        <w:snapToGrid w:val="0"/>
        <w:spacing w:line="360" w:lineRule="auto"/>
        <w:jc w:val="left"/>
        <w:rPr>
          <w:rFonts w:ascii="宋体" w:hAnsi="宋体" w:cs="MingLiU"/>
          <w:color w:val="auto"/>
          <w:kern w:val="0"/>
          <w:sz w:val="20"/>
          <w:szCs w:val="20"/>
          <w:highlight w:val="none"/>
        </w:rPr>
      </w:pPr>
    </w:p>
    <w:p w14:paraId="182527F4">
      <w:pPr>
        <w:adjustRightInd w:val="0"/>
        <w:snapToGrid w:val="0"/>
        <w:spacing w:line="264" w:lineRule="auto"/>
        <w:rPr>
          <w:rFonts w:ascii="宋体" w:hAnsi="宋体"/>
          <w:color w:val="auto"/>
          <w:szCs w:val="21"/>
          <w:highlight w:val="none"/>
        </w:rPr>
      </w:pPr>
    </w:p>
    <w:p w14:paraId="0219EA58">
      <w:pPr>
        <w:autoSpaceDE w:val="0"/>
        <w:autoSpaceDN w:val="0"/>
        <w:adjustRightInd w:val="0"/>
        <w:snapToGrid w:val="0"/>
        <w:spacing w:line="360" w:lineRule="auto"/>
        <w:jc w:val="left"/>
        <w:rPr>
          <w:rFonts w:ascii="宋体" w:hAnsi="宋体" w:cs="MingLiU"/>
          <w:color w:val="auto"/>
          <w:kern w:val="0"/>
          <w:sz w:val="20"/>
          <w:szCs w:val="20"/>
          <w:highlight w:val="none"/>
        </w:rPr>
      </w:pPr>
    </w:p>
    <w:p w14:paraId="52056B85">
      <w:pPr>
        <w:autoSpaceDE w:val="0"/>
        <w:autoSpaceDN w:val="0"/>
        <w:adjustRightInd w:val="0"/>
        <w:snapToGrid w:val="0"/>
        <w:spacing w:line="360" w:lineRule="auto"/>
        <w:jc w:val="left"/>
        <w:rPr>
          <w:rFonts w:ascii="宋体" w:hAnsi="宋体" w:cs="MingLiU"/>
          <w:color w:val="auto"/>
          <w:kern w:val="0"/>
          <w:sz w:val="20"/>
          <w:szCs w:val="20"/>
          <w:highlight w:val="none"/>
        </w:rPr>
      </w:pPr>
    </w:p>
    <w:p w14:paraId="60B339AC">
      <w:pPr>
        <w:autoSpaceDE w:val="0"/>
        <w:autoSpaceDN w:val="0"/>
        <w:adjustRightInd w:val="0"/>
        <w:snapToGrid w:val="0"/>
        <w:spacing w:line="360" w:lineRule="auto"/>
        <w:jc w:val="left"/>
        <w:rPr>
          <w:rFonts w:ascii="宋体" w:hAnsi="宋体" w:cs="MingLiU"/>
          <w:color w:val="auto"/>
          <w:kern w:val="0"/>
          <w:sz w:val="20"/>
          <w:szCs w:val="20"/>
          <w:highlight w:val="none"/>
        </w:rPr>
      </w:pPr>
    </w:p>
    <w:p w14:paraId="4AFEF08D">
      <w:pPr>
        <w:autoSpaceDE w:val="0"/>
        <w:autoSpaceDN w:val="0"/>
        <w:adjustRightInd w:val="0"/>
        <w:snapToGrid w:val="0"/>
        <w:spacing w:line="360" w:lineRule="auto"/>
        <w:jc w:val="left"/>
        <w:rPr>
          <w:rFonts w:ascii="宋体" w:hAnsi="宋体" w:cs="MingLiU"/>
          <w:color w:val="auto"/>
          <w:kern w:val="0"/>
          <w:sz w:val="20"/>
          <w:szCs w:val="20"/>
          <w:highlight w:val="none"/>
        </w:rPr>
      </w:pPr>
    </w:p>
    <w:p w14:paraId="64513F4A">
      <w:pPr>
        <w:autoSpaceDE w:val="0"/>
        <w:autoSpaceDN w:val="0"/>
        <w:adjustRightInd w:val="0"/>
        <w:snapToGrid w:val="0"/>
        <w:spacing w:line="360" w:lineRule="auto"/>
        <w:jc w:val="left"/>
        <w:rPr>
          <w:rFonts w:ascii="宋体" w:hAnsi="宋体" w:cs="MingLiU"/>
          <w:color w:val="auto"/>
          <w:kern w:val="0"/>
          <w:sz w:val="20"/>
          <w:szCs w:val="20"/>
          <w:highlight w:val="none"/>
        </w:rPr>
      </w:pPr>
    </w:p>
    <w:p w14:paraId="6FC0D244">
      <w:pPr>
        <w:autoSpaceDE w:val="0"/>
        <w:autoSpaceDN w:val="0"/>
        <w:adjustRightInd w:val="0"/>
        <w:snapToGrid w:val="0"/>
        <w:spacing w:line="360" w:lineRule="auto"/>
        <w:jc w:val="left"/>
        <w:rPr>
          <w:rFonts w:ascii="宋体" w:hAnsi="宋体" w:cs="MingLiU"/>
          <w:color w:val="auto"/>
          <w:kern w:val="0"/>
          <w:sz w:val="20"/>
          <w:szCs w:val="20"/>
          <w:highlight w:val="none"/>
        </w:rPr>
      </w:pPr>
    </w:p>
    <w:p w14:paraId="1FCCEFBB">
      <w:pPr>
        <w:autoSpaceDE w:val="0"/>
        <w:autoSpaceDN w:val="0"/>
        <w:adjustRightInd w:val="0"/>
        <w:snapToGrid w:val="0"/>
        <w:spacing w:line="360" w:lineRule="auto"/>
        <w:jc w:val="left"/>
        <w:rPr>
          <w:rFonts w:ascii="宋体" w:hAnsi="宋体" w:cs="MingLiU"/>
          <w:color w:val="auto"/>
          <w:kern w:val="0"/>
          <w:sz w:val="20"/>
          <w:szCs w:val="20"/>
          <w:highlight w:val="none"/>
        </w:rPr>
      </w:pPr>
    </w:p>
    <w:p w14:paraId="48FA60DB">
      <w:pPr>
        <w:autoSpaceDE w:val="0"/>
        <w:autoSpaceDN w:val="0"/>
        <w:adjustRightInd w:val="0"/>
        <w:snapToGrid w:val="0"/>
        <w:spacing w:line="360" w:lineRule="auto"/>
        <w:jc w:val="left"/>
        <w:rPr>
          <w:rFonts w:ascii="宋体" w:hAnsi="宋体" w:cs="MingLiU"/>
          <w:color w:val="auto"/>
          <w:kern w:val="0"/>
          <w:sz w:val="20"/>
          <w:szCs w:val="20"/>
          <w:highlight w:val="none"/>
        </w:rPr>
      </w:pPr>
    </w:p>
    <w:p w14:paraId="1EA4D1E6">
      <w:pPr>
        <w:autoSpaceDE w:val="0"/>
        <w:autoSpaceDN w:val="0"/>
        <w:adjustRightInd w:val="0"/>
        <w:snapToGrid w:val="0"/>
        <w:spacing w:line="360" w:lineRule="auto"/>
        <w:jc w:val="left"/>
        <w:rPr>
          <w:rFonts w:ascii="宋体" w:hAnsi="宋体" w:cs="MingLiU"/>
          <w:color w:val="auto"/>
          <w:kern w:val="0"/>
          <w:sz w:val="20"/>
          <w:szCs w:val="20"/>
          <w:highlight w:val="none"/>
        </w:rPr>
      </w:pPr>
    </w:p>
    <w:p w14:paraId="02C0AFF7">
      <w:pPr>
        <w:autoSpaceDE w:val="0"/>
        <w:autoSpaceDN w:val="0"/>
        <w:adjustRightInd w:val="0"/>
        <w:snapToGrid w:val="0"/>
        <w:spacing w:line="360" w:lineRule="auto"/>
        <w:jc w:val="left"/>
        <w:rPr>
          <w:rFonts w:ascii="宋体" w:hAnsi="宋体" w:cs="MingLiU"/>
          <w:color w:val="auto"/>
          <w:kern w:val="0"/>
          <w:sz w:val="20"/>
          <w:szCs w:val="20"/>
          <w:highlight w:val="none"/>
        </w:rPr>
      </w:pPr>
    </w:p>
    <w:p w14:paraId="487A3CA6">
      <w:pPr>
        <w:autoSpaceDE w:val="0"/>
        <w:autoSpaceDN w:val="0"/>
        <w:adjustRightInd w:val="0"/>
        <w:snapToGrid w:val="0"/>
        <w:spacing w:line="360" w:lineRule="auto"/>
        <w:jc w:val="left"/>
        <w:rPr>
          <w:rFonts w:ascii="宋体" w:hAnsi="宋体" w:cs="MingLiU"/>
          <w:color w:val="auto"/>
          <w:kern w:val="0"/>
          <w:sz w:val="20"/>
          <w:szCs w:val="20"/>
          <w:highlight w:val="none"/>
        </w:rPr>
      </w:pPr>
    </w:p>
    <w:p w14:paraId="5BCD5B87">
      <w:pPr>
        <w:autoSpaceDE w:val="0"/>
        <w:autoSpaceDN w:val="0"/>
        <w:adjustRightInd w:val="0"/>
        <w:snapToGrid w:val="0"/>
        <w:spacing w:line="360" w:lineRule="auto"/>
        <w:jc w:val="left"/>
        <w:rPr>
          <w:rFonts w:ascii="宋体" w:hAnsi="宋体" w:cs="MingLiU"/>
          <w:color w:val="auto"/>
          <w:kern w:val="0"/>
          <w:sz w:val="20"/>
          <w:szCs w:val="20"/>
          <w:highlight w:val="none"/>
        </w:rPr>
      </w:pPr>
    </w:p>
    <w:p w14:paraId="00F3BB86">
      <w:pPr>
        <w:autoSpaceDE w:val="0"/>
        <w:autoSpaceDN w:val="0"/>
        <w:adjustRightInd w:val="0"/>
        <w:snapToGrid w:val="0"/>
        <w:spacing w:line="360" w:lineRule="auto"/>
        <w:jc w:val="left"/>
        <w:rPr>
          <w:rFonts w:ascii="宋体" w:hAnsi="宋体" w:cs="MingLiU"/>
          <w:color w:val="auto"/>
          <w:kern w:val="0"/>
          <w:sz w:val="20"/>
          <w:szCs w:val="20"/>
          <w:highlight w:val="none"/>
        </w:rPr>
      </w:pPr>
    </w:p>
    <w:p w14:paraId="4A10D388">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E17BCF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27E958A">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年月日</w:t>
      </w:r>
    </w:p>
    <w:p w14:paraId="2F00215D">
      <w:pPr>
        <w:jc w:val="center"/>
        <w:rPr>
          <w:rFonts w:ascii="宋体" w:hAnsi="宋体" w:cs="宋体"/>
          <w:b/>
          <w:color w:val="auto"/>
          <w:kern w:val="0"/>
          <w:sz w:val="48"/>
          <w:szCs w:val="48"/>
          <w:highlight w:val="none"/>
        </w:rPr>
      </w:pPr>
    </w:p>
    <w:p w14:paraId="1F49BF20">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CA4D23A">
      <w:pPr>
        <w:spacing w:line="360" w:lineRule="auto"/>
        <w:jc w:val="center"/>
        <w:rPr>
          <w:rFonts w:ascii="宋体" w:hAnsi="宋体"/>
          <w:b/>
          <w:color w:val="auto"/>
          <w:kern w:val="0"/>
          <w:sz w:val="32"/>
          <w:szCs w:val="32"/>
          <w:highlight w:val="none"/>
        </w:rPr>
      </w:pPr>
    </w:p>
    <w:p w14:paraId="00BE27CC">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1FB84EF4">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竞选人</w:t>
      </w:r>
      <w:r>
        <w:rPr>
          <w:rFonts w:ascii="宋体" w:hAnsi="宋体"/>
          <w:color w:val="auto"/>
          <w:szCs w:val="21"/>
          <w:highlight w:val="none"/>
        </w:rPr>
        <w:t>基本情况表</w:t>
      </w:r>
    </w:p>
    <w:p w14:paraId="54865575">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2BDAD45D">
      <w:pPr>
        <w:spacing w:line="360" w:lineRule="auto"/>
        <w:ind w:firstLine="420" w:firstLineChars="200"/>
        <w:rPr>
          <w:rFonts w:ascii="宋体" w:hAnsi="宋体"/>
          <w:color w:val="auto"/>
          <w:szCs w:val="21"/>
          <w:highlight w:val="none"/>
        </w:rPr>
      </w:pPr>
      <w:r>
        <w:rPr>
          <w:rFonts w:ascii="宋体" w:hAnsi="宋体"/>
          <w:color w:val="auto"/>
          <w:szCs w:val="21"/>
          <w:highlight w:val="none"/>
        </w:rPr>
        <w:t>（四）近年财务状况表</w:t>
      </w:r>
    </w:p>
    <w:p w14:paraId="1F21C316">
      <w:pPr>
        <w:spacing w:line="360" w:lineRule="auto"/>
        <w:ind w:firstLine="420" w:firstLineChars="200"/>
        <w:rPr>
          <w:rFonts w:ascii="宋体" w:hAnsi="宋体"/>
          <w:color w:val="auto"/>
          <w:szCs w:val="21"/>
          <w:highlight w:val="none"/>
        </w:rPr>
      </w:pPr>
      <w:r>
        <w:rPr>
          <w:rFonts w:ascii="宋体" w:hAnsi="宋体"/>
          <w:color w:val="auto"/>
          <w:szCs w:val="21"/>
          <w:highlight w:val="none"/>
        </w:rPr>
        <w:t>（五）</w:t>
      </w:r>
      <w:r>
        <w:rPr>
          <w:rFonts w:hint="eastAsia" w:ascii="宋体" w:hAnsi="宋体"/>
          <w:color w:val="auto"/>
          <w:szCs w:val="21"/>
          <w:highlight w:val="none"/>
        </w:rPr>
        <w:t>承诺</w:t>
      </w:r>
    </w:p>
    <w:p w14:paraId="76965821">
      <w:pPr>
        <w:spacing w:line="360" w:lineRule="auto"/>
        <w:ind w:firstLine="420" w:firstLineChars="200"/>
        <w:rPr>
          <w:rFonts w:ascii="宋体" w:hAnsi="宋体"/>
          <w:color w:val="auto"/>
          <w:szCs w:val="21"/>
          <w:highlight w:val="none"/>
        </w:rPr>
      </w:pPr>
      <w:r>
        <w:rPr>
          <w:rFonts w:ascii="宋体" w:hAnsi="宋体"/>
          <w:color w:val="auto"/>
          <w:szCs w:val="21"/>
          <w:highlight w:val="none"/>
        </w:rPr>
        <w:t>（六）其他资料</w:t>
      </w:r>
    </w:p>
    <w:p w14:paraId="6B091134">
      <w:pPr>
        <w:pStyle w:val="8"/>
        <w:rPr>
          <w:rFonts w:ascii="宋体" w:hAnsi="宋体"/>
          <w:color w:val="auto"/>
          <w:highlight w:val="none"/>
        </w:rPr>
      </w:pPr>
    </w:p>
    <w:p w14:paraId="67FBED80">
      <w:pPr>
        <w:pStyle w:val="4"/>
        <w:jc w:val="center"/>
        <w:rPr>
          <w:rFonts w:ascii="宋体" w:hAnsi="宋体"/>
          <w:snapToGrid w:val="0"/>
          <w:color w:val="auto"/>
          <w:kern w:val="0"/>
          <w:sz w:val="30"/>
          <w:szCs w:val="30"/>
          <w:highlight w:val="none"/>
        </w:rPr>
      </w:pPr>
      <w:r>
        <w:rPr>
          <w:rFonts w:ascii="宋体" w:hAnsi="宋体" w:cs="宋体"/>
          <w:color w:val="auto"/>
          <w:sz w:val="44"/>
          <w:highlight w:val="none"/>
        </w:rPr>
        <w:br w:type="page"/>
      </w:r>
      <w:bookmarkStart w:id="813" w:name="_Toc5633"/>
      <w:bookmarkStart w:id="814" w:name="_Toc57905929"/>
      <w:bookmarkStart w:id="815" w:name="_Toc287607883"/>
      <w:bookmarkStart w:id="816" w:name="_Toc277082657"/>
      <w:bookmarkStart w:id="817" w:name="_Toc224103511"/>
      <w:bookmarkStart w:id="818" w:name="_Toc287620830"/>
      <w:bookmarkStart w:id="819" w:name="_Toc430530546"/>
      <w:r>
        <w:rPr>
          <w:rFonts w:ascii="宋体" w:hAnsi="宋体"/>
          <w:color w:val="auto"/>
          <w:sz w:val="30"/>
          <w:szCs w:val="30"/>
          <w:highlight w:val="none"/>
        </w:rPr>
        <w:t>（一）</w:t>
      </w:r>
      <w:r>
        <w:rPr>
          <w:rFonts w:hint="eastAsia" w:ascii="宋体" w:hAnsi="宋体"/>
          <w:color w:val="auto"/>
          <w:sz w:val="30"/>
          <w:szCs w:val="30"/>
          <w:highlight w:val="none"/>
        </w:rPr>
        <w:t>法定代表人身份证明或附有法定代表人身份证明的授权委托书</w:t>
      </w:r>
      <w:bookmarkEnd w:id="813"/>
      <w:bookmarkEnd w:id="814"/>
    </w:p>
    <w:p w14:paraId="734CDDF8">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EFF461D">
      <w:pPr>
        <w:spacing w:line="480" w:lineRule="auto"/>
        <w:jc w:val="center"/>
        <w:rPr>
          <w:rFonts w:ascii="宋体" w:hAnsi="宋体"/>
          <w:color w:val="auto"/>
          <w:highlight w:val="none"/>
        </w:rPr>
      </w:pPr>
    </w:p>
    <w:p w14:paraId="53B7A8A0">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p>
    <w:p w14:paraId="1D28E15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p>
    <w:p w14:paraId="260AB07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地址：</w:t>
      </w:r>
    </w:p>
    <w:p w14:paraId="7F984E2D">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成立时间：年月日</w:t>
      </w:r>
    </w:p>
    <w:p w14:paraId="20C5066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p>
    <w:p w14:paraId="4E6DA10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姓名：性别</w:t>
      </w:r>
      <w:r>
        <w:rPr>
          <w:rFonts w:ascii="宋体" w:hAnsi="宋体"/>
          <w:color w:val="auto"/>
          <w:spacing w:val="-1"/>
          <w:kern w:val="0"/>
          <w:szCs w:val="21"/>
          <w:highlight w:val="none"/>
        </w:rPr>
        <w:t>：年</w:t>
      </w:r>
      <w:r>
        <w:rPr>
          <w:rFonts w:ascii="宋体" w:hAnsi="宋体"/>
          <w:color w:val="auto"/>
          <w:kern w:val="0"/>
          <w:szCs w:val="21"/>
          <w:highlight w:val="none"/>
        </w:rPr>
        <w:t>龄：职务：</w:t>
      </w:r>
    </w:p>
    <w:p w14:paraId="661A59D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6B063648">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B070F3B">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51191681">
      <w:pPr>
        <w:autoSpaceDE w:val="0"/>
        <w:autoSpaceDN w:val="0"/>
        <w:adjustRightInd w:val="0"/>
        <w:snapToGrid w:val="0"/>
        <w:spacing w:line="360" w:lineRule="auto"/>
        <w:jc w:val="left"/>
        <w:rPr>
          <w:rFonts w:ascii="宋体" w:hAnsi="宋体"/>
          <w:color w:val="auto"/>
          <w:szCs w:val="21"/>
          <w:highlight w:val="none"/>
        </w:rPr>
      </w:pPr>
    </w:p>
    <w:p w14:paraId="596A9E93">
      <w:pPr>
        <w:pStyle w:val="8"/>
        <w:spacing w:after="0" w:line="360" w:lineRule="auto"/>
        <w:rPr>
          <w:rFonts w:ascii="宋体" w:hAnsi="宋体"/>
          <w:color w:val="auto"/>
          <w:szCs w:val="21"/>
          <w:highlight w:val="none"/>
        </w:rPr>
      </w:pPr>
    </w:p>
    <w:p w14:paraId="2049B12B">
      <w:pPr>
        <w:pStyle w:val="8"/>
        <w:spacing w:after="0" w:line="360" w:lineRule="auto"/>
        <w:rPr>
          <w:rFonts w:ascii="宋体" w:hAnsi="宋体"/>
          <w:color w:val="auto"/>
          <w:szCs w:val="21"/>
          <w:highlight w:val="none"/>
        </w:rPr>
      </w:pPr>
    </w:p>
    <w:p w14:paraId="29B18EB1">
      <w:pPr>
        <w:pStyle w:val="8"/>
        <w:spacing w:after="0" w:line="360" w:lineRule="auto"/>
        <w:rPr>
          <w:rFonts w:ascii="宋体" w:hAnsi="宋体"/>
          <w:color w:val="auto"/>
          <w:szCs w:val="21"/>
          <w:highlight w:val="none"/>
        </w:rPr>
      </w:pPr>
    </w:p>
    <w:p w14:paraId="271D5FC1">
      <w:pPr>
        <w:pStyle w:val="8"/>
        <w:spacing w:after="0" w:line="360" w:lineRule="auto"/>
        <w:rPr>
          <w:rFonts w:ascii="宋体" w:hAnsi="宋体"/>
          <w:color w:val="auto"/>
          <w:szCs w:val="21"/>
          <w:highlight w:val="none"/>
        </w:rPr>
      </w:pPr>
    </w:p>
    <w:p w14:paraId="438D11BA">
      <w:pPr>
        <w:pStyle w:val="8"/>
        <w:spacing w:after="0" w:line="360" w:lineRule="auto"/>
        <w:rPr>
          <w:rFonts w:ascii="宋体" w:hAnsi="宋体"/>
          <w:color w:val="auto"/>
          <w:szCs w:val="21"/>
          <w:highlight w:val="none"/>
        </w:rPr>
      </w:pPr>
    </w:p>
    <w:p w14:paraId="71E9175D">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6F34B6C7">
      <w:pPr>
        <w:autoSpaceDE w:val="0"/>
        <w:autoSpaceDN w:val="0"/>
        <w:adjustRightInd w:val="0"/>
        <w:snapToGrid w:val="0"/>
        <w:spacing w:line="480" w:lineRule="auto"/>
        <w:jc w:val="left"/>
        <w:rPr>
          <w:rFonts w:ascii="宋体" w:hAnsi="宋体"/>
          <w:color w:val="auto"/>
          <w:kern w:val="0"/>
          <w:sz w:val="20"/>
          <w:szCs w:val="20"/>
          <w:highlight w:val="none"/>
        </w:rPr>
      </w:pPr>
    </w:p>
    <w:p w14:paraId="23DCFC2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ascii="宋体" w:hAnsi="宋体"/>
          <w:color w:val="auto"/>
          <w:kern w:val="0"/>
          <w:szCs w:val="21"/>
          <w:highlight w:val="none"/>
        </w:rPr>
        <w:t>年月日</w:t>
      </w:r>
    </w:p>
    <w:p w14:paraId="1A57E06B">
      <w:pPr>
        <w:autoSpaceDE w:val="0"/>
        <w:autoSpaceDN w:val="0"/>
        <w:adjustRightInd w:val="0"/>
        <w:snapToGrid w:val="0"/>
        <w:spacing w:line="360" w:lineRule="auto"/>
        <w:jc w:val="left"/>
        <w:rPr>
          <w:rFonts w:ascii="宋体" w:hAnsi="宋体"/>
          <w:color w:val="auto"/>
          <w:kern w:val="0"/>
          <w:highlight w:val="none"/>
        </w:rPr>
      </w:pPr>
    </w:p>
    <w:p w14:paraId="093AAED1">
      <w:pPr>
        <w:autoSpaceDE w:val="0"/>
        <w:autoSpaceDN w:val="0"/>
        <w:adjustRightInd w:val="0"/>
        <w:snapToGrid w:val="0"/>
        <w:spacing w:line="360" w:lineRule="auto"/>
        <w:jc w:val="left"/>
        <w:rPr>
          <w:rFonts w:ascii="宋体" w:hAnsi="宋体"/>
          <w:color w:val="auto"/>
          <w:kern w:val="0"/>
          <w:highlight w:val="none"/>
        </w:rPr>
      </w:pPr>
    </w:p>
    <w:p w14:paraId="67DA64B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bookmarkEnd w:id="815"/>
      <w:bookmarkEnd w:id="816"/>
      <w:bookmarkEnd w:id="817"/>
      <w:bookmarkEnd w:id="818"/>
      <w:bookmarkEnd w:id="819"/>
      <w:r>
        <w:rPr>
          <w:rFonts w:hint="eastAsia" w:ascii="宋体" w:hAnsi="宋体"/>
          <w:color w:val="auto"/>
          <w:kern w:val="0"/>
          <w:szCs w:val="21"/>
          <w:highlight w:val="none"/>
        </w:rPr>
        <w:t>。</w:t>
      </w:r>
    </w:p>
    <w:p w14:paraId="048A46A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8E200B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kern w:val="0"/>
          <w:szCs w:val="21"/>
          <w:highlight w:val="none"/>
          <w:u w:val="single"/>
        </w:rPr>
        <w:t>（姓名）</w:t>
      </w:r>
      <w:r>
        <w:rPr>
          <w:rFonts w:ascii="宋体" w:hAnsi="宋体"/>
          <w:color w:val="auto"/>
          <w:kern w:val="0"/>
          <w:szCs w:val="21"/>
          <w:highlight w:val="none"/>
        </w:rPr>
        <w:t>系</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0EFB535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 xml:space="preserve">限：。 </w:t>
      </w:r>
    </w:p>
    <w:p w14:paraId="5DA15D1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1E24285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53D800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竞选</w:t>
      </w:r>
      <w:r>
        <w:rPr>
          <w:rFonts w:ascii="宋体" w:hAnsi="宋体"/>
          <w:color w:val="auto"/>
          <w:kern w:val="0"/>
          <w:szCs w:val="21"/>
          <w:highlight w:val="none"/>
        </w:rPr>
        <w:t>人：（</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B2DF943">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BE87A4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p>
    <w:p w14:paraId="4451159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签名</w:t>
      </w:r>
      <w:r>
        <w:rPr>
          <w:rFonts w:ascii="宋体" w:hAnsi="宋体"/>
          <w:color w:val="auto"/>
          <w:kern w:val="0"/>
          <w:szCs w:val="21"/>
          <w:highlight w:val="none"/>
        </w:rPr>
        <w:t>）</w:t>
      </w:r>
    </w:p>
    <w:p w14:paraId="1B3678BE">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p>
    <w:p w14:paraId="590DBD1A">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720524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22432D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34FBF56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5C1ACA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D269EE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3DDF10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3B6E6F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7A18B8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5250E51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ascii="宋体" w:hAnsi="宋体"/>
          <w:color w:val="auto"/>
          <w:kern w:val="0"/>
          <w:szCs w:val="21"/>
          <w:highlight w:val="none"/>
        </w:rPr>
        <w:t>年月日</w:t>
      </w:r>
    </w:p>
    <w:p w14:paraId="72A0189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23108018">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E08B16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3405BBCD">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ECFB5C7">
      <w:pPr>
        <w:pStyle w:val="4"/>
        <w:spacing w:before="0" w:after="0" w:line="240" w:lineRule="auto"/>
        <w:jc w:val="center"/>
        <w:rPr>
          <w:rFonts w:ascii="宋体" w:hAnsi="宋体"/>
          <w:color w:val="auto"/>
          <w:highlight w:val="none"/>
        </w:rPr>
      </w:pPr>
      <w:bookmarkStart w:id="820" w:name="_Toc57905931"/>
      <w:r>
        <w:rPr>
          <w:rFonts w:hint="eastAsia" w:ascii="宋体" w:hAnsi="宋体"/>
          <w:color w:val="auto"/>
          <w:highlight w:val="none"/>
        </w:rPr>
        <w:t>（二）竞选人基本情况表</w:t>
      </w:r>
      <w:bookmarkEnd w:id="820"/>
    </w:p>
    <w:tbl>
      <w:tblPr>
        <w:tblStyle w:val="28"/>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6E9C1E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F59B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竞选人名称</w:t>
            </w:r>
          </w:p>
        </w:tc>
        <w:tc>
          <w:tcPr>
            <w:tcW w:w="7607" w:type="dxa"/>
            <w:gridSpan w:val="9"/>
            <w:vAlign w:val="center"/>
          </w:tcPr>
          <w:p w14:paraId="3E8A9D5D">
            <w:pPr>
              <w:autoSpaceDE w:val="0"/>
              <w:autoSpaceDN w:val="0"/>
              <w:adjustRightInd w:val="0"/>
              <w:snapToGrid w:val="0"/>
              <w:jc w:val="center"/>
              <w:rPr>
                <w:rFonts w:ascii="宋体" w:hAnsi="宋体"/>
                <w:color w:val="auto"/>
                <w:kern w:val="0"/>
                <w:szCs w:val="21"/>
                <w:highlight w:val="none"/>
              </w:rPr>
            </w:pPr>
          </w:p>
        </w:tc>
      </w:tr>
      <w:tr w14:paraId="211C69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622E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7906CB7C">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E5777D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5FA75A3">
            <w:pPr>
              <w:autoSpaceDE w:val="0"/>
              <w:autoSpaceDN w:val="0"/>
              <w:adjustRightInd w:val="0"/>
              <w:snapToGrid w:val="0"/>
              <w:jc w:val="center"/>
              <w:rPr>
                <w:rFonts w:ascii="宋体" w:hAnsi="宋体"/>
                <w:color w:val="auto"/>
                <w:kern w:val="0"/>
                <w:szCs w:val="21"/>
                <w:highlight w:val="none"/>
              </w:rPr>
            </w:pPr>
          </w:p>
        </w:tc>
      </w:tr>
      <w:tr w14:paraId="1CB70C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D21C2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653064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2C4AB50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77FF020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647E57AC">
            <w:pPr>
              <w:autoSpaceDE w:val="0"/>
              <w:autoSpaceDN w:val="0"/>
              <w:adjustRightInd w:val="0"/>
              <w:snapToGrid w:val="0"/>
              <w:jc w:val="center"/>
              <w:rPr>
                <w:rFonts w:ascii="宋体" w:hAnsi="宋体"/>
                <w:color w:val="auto"/>
                <w:kern w:val="0"/>
                <w:szCs w:val="21"/>
                <w:highlight w:val="none"/>
              </w:rPr>
            </w:pPr>
          </w:p>
        </w:tc>
      </w:tr>
      <w:tr w14:paraId="3BA1F3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5B78A6EE">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37C465A">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32B426C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29D60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14774019">
            <w:pPr>
              <w:autoSpaceDE w:val="0"/>
              <w:autoSpaceDN w:val="0"/>
              <w:adjustRightInd w:val="0"/>
              <w:snapToGrid w:val="0"/>
              <w:jc w:val="center"/>
              <w:rPr>
                <w:rFonts w:ascii="宋体" w:hAnsi="宋体"/>
                <w:color w:val="auto"/>
                <w:kern w:val="0"/>
                <w:szCs w:val="21"/>
                <w:highlight w:val="none"/>
              </w:rPr>
            </w:pPr>
          </w:p>
        </w:tc>
      </w:tr>
      <w:tr w14:paraId="4957CC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B655C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4F671175">
            <w:pPr>
              <w:autoSpaceDE w:val="0"/>
              <w:autoSpaceDN w:val="0"/>
              <w:adjustRightInd w:val="0"/>
              <w:snapToGrid w:val="0"/>
              <w:jc w:val="center"/>
              <w:rPr>
                <w:rFonts w:ascii="宋体" w:hAnsi="宋体"/>
                <w:color w:val="auto"/>
                <w:kern w:val="0"/>
                <w:szCs w:val="21"/>
                <w:highlight w:val="none"/>
              </w:rPr>
            </w:pPr>
          </w:p>
        </w:tc>
      </w:tr>
      <w:tr w14:paraId="26982A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C8875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0CA537F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09B01E1A">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75D6023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FB44511">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59D1C9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54EAED6F">
            <w:pPr>
              <w:autoSpaceDE w:val="0"/>
              <w:autoSpaceDN w:val="0"/>
              <w:adjustRightInd w:val="0"/>
              <w:snapToGrid w:val="0"/>
              <w:jc w:val="center"/>
              <w:rPr>
                <w:rFonts w:ascii="宋体" w:hAnsi="宋体"/>
                <w:color w:val="auto"/>
                <w:kern w:val="0"/>
                <w:szCs w:val="21"/>
                <w:highlight w:val="none"/>
              </w:rPr>
            </w:pPr>
          </w:p>
        </w:tc>
      </w:tr>
      <w:tr w14:paraId="1B3666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F6564B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54A0182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2AE43188">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0AC4A7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A01061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5193A9E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BA4E86E">
            <w:pPr>
              <w:autoSpaceDE w:val="0"/>
              <w:autoSpaceDN w:val="0"/>
              <w:adjustRightInd w:val="0"/>
              <w:snapToGrid w:val="0"/>
              <w:jc w:val="center"/>
              <w:rPr>
                <w:rFonts w:ascii="宋体" w:hAnsi="宋体"/>
                <w:color w:val="auto"/>
                <w:kern w:val="0"/>
                <w:szCs w:val="21"/>
                <w:highlight w:val="none"/>
              </w:rPr>
            </w:pPr>
          </w:p>
        </w:tc>
      </w:tr>
      <w:tr w14:paraId="5A040D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BD7E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CE6FCAC">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1E38C27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3B66E7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5D68F2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777FFF1C">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7AC9284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6C69C8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42161E9C">
            <w:pPr>
              <w:autoSpaceDE w:val="0"/>
              <w:autoSpaceDN w:val="0"/>
              <w:adjustRightInd w:val="0"/>
              <w:snapToGrid w:val="0"/>
              <w:jc w:val="center"/>
              <w:rPr>
                <w:rFonts w:ascii="宋体" w:hAnsi="宋体"/>
                <w:color w:val="auto"/>
                <w:kern w:val="0"/>
                <w:szCs w:val="21"/>
                <w:highlight w:val="none"/>
              </w:rPr>
            </w:pPr>
          </w:p>
        </w:tc>
      </w:tr>
      <w:tr w14:paraId="00818A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BC3D5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71B7A94E">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5253EBE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E4DE7B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6EBC2CB5">
            <w:pPr>
              <w:autoSpaceDE w:val="0"/>
              <w:autoSpaceDN w:val="0"/>
              <w:adjustRightInd w:val="0"/>
              <w:snapToGrid w:val="0"/>
              <w:jc w:val="center"/>
              <w:rPr>
                <w:rFonts w:ascii="宋体" w:hAnsi="宋体"/>
                <w:color w:val="auto"/>
                <w:kern w:val="0"/>
                <w:szCs w:val="21"/>
                <w:highlight w:val="none"/>
              </w:rPr>
            </w:pPr>
          </w:p>
        </w:tc>
      </w:tr>
      <w:tr w14:paraId="78CD72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1DEB5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505600B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53B8D1E1">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406A3B4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AA08104">
            <w:pPr>
              <w:autoSpaceDE w:val="0"/>
              <w:autoSpaceDN w:val="0"/>
              <w:adjustRightInd w:val="0"/>
              <w:snapToGrid w:val="0"/>
              <w:jc w:val="center"/>
              <w:rPr>
                <w:rFonts w:ascii="宋体" w:hAnsi="宋体"/>
                <w:color w:val="auto"/>
                <w:kern w:val="0"/>
                <w:szCs w:val="21"/>
                <w:highlight w:val="none"/>
              </w:rPr>
            </w:pPr>
          </w:p>
        </w:tc>
      </w:tr>
      <w:tr w14:paraId="5E3706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221DEC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595732CB">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D3A90C8">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FBEF6D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5D217F0C">
            <w:pPr>
              <w:autoSpaceDE w:val="0"/>
              <w:autoSpaceDN w:val="0"/>
              <w:adjustRightInd w:val="0"/>
              <w:snapToGrid w:val="0"/>
              <w:jc w:val="center"/>
              <w:rPr>
                <w:rFonts w:ascii="宋体" w:hAnsi="宋体"/>
                <w:color w:val="auto"/>
                <w:kern w:val="0"/>
                <w:szCs w:val="21"/>
                <w:highlight w:val="none"/>
              </w:rPr>
            </w:pPr>
          </w:p>
        </w:tc>
      </w:tr>
      <w:tr w14:paraId="214E74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EEC7FF">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4C0CCF3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FF37163">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FBA32C3">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55FC9DA9">
            <w:pPr>
              <w:autoSpaceDE w:val="0"/>
              <w:autoSpaceDN w:val="0"/>
              <w:adjustRightInd w:val="0"/>
              <w:snapToGrid w:val="0"/>
              <w:jc w:val="center"/>
              <w:rPr>
                <w:rFonts w:ascii="宋体" w:hAnsi="宋体"/>
                <w:color w:val="auto"/>
                <w:kern w:val="0"/>
                <w:szCs w:val="21"/>
                <w:highlight w:val="none"/>
              </w:rPr>
            </w:pPr>
          </w:p>
        </w:tc>
      </w:tr>
      <w:tr w14:paraId="0928A8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2A87EB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72A6868B">
            <w:pPr>
              <w:autoSpaceDE w:val="0"/>
              <w:autoSpaceDN w:val="0"/>
              <w:adjustRightInd w:val="0"/>
              <w:snapToGrid w:val="0"/>
              <w:jc w:val="center"/>
              <w:rPr>
                <w:rFonts w:ascii="宋体" w:hAnsi="宋体"/>
                <w:color w:val="auto"/>
                <w:kern w:val="0"/>
                <w:szCs w:val="21"/>
                <w:highlight w:val="none"/>
              </w:rPr>
            </w:pPr>
          </w:p>
        </w:tc>
      </w:tr>
      <w:tr w14:paraId="6079B1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D8AADE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660074D0">
            <w:pPr>
              <w:autoSpaceDE w:val="0"/>
              <w:autoSpaceDN w:val="0"/>
              <w:adjustRightInd w:val="0"/>
              <w:snapToGrid w:val="0"/>
              <w:jc w:val="center"/>
              <w:rPr>
                <w:rFonts w:ascii="宋体" w:hAnsi="宋体"/>
                <w:color w:val="auto"/>
                <w:kern w:val="0"/>
                <w:szCs w:val="21"/>
                <w:highlight w:val="none"/>
              </w:rPr>
            </w:pPr>
          </w:p>
        </w:tc>
      </w:tr>
    </w:tbl>
    <w:p w14:paraId="25B94AC8">
      <w:pPr>
        <w:spacing w:line="340" w:lineRule="exact"/>
        <w:rPr>
          <w:rFonts w:ascii="宋体" w:hAnsi="宋体"/>
          <w:color w:val="auto"/>
          <w:szCs w:val="21"/>
          <w:highlight w:val="none"/>
        </w:rPr>
      </w:pPr>
    </w:p>
    <w:p w14:paraId="24A5071C">
      <w:pPr>
        <w:pStyle w:val="4"/>
        <w:spacing w:before="0" w:after="0" w:line="240" w:lineRule="auto"/>
        <w:jc w:val="center"/>
        <w:rPr>
          <w:rFonts w:ascii="宋体" w:hAnsi="宋体"/>
          <w:color w:val="auto"/>
          <w:highlight w:val="none"/>
        </w:rPr>
      </w:pPr>
      <w:r>
        <w:rPr>
          <w:rFonts w:ascii="宋体" w:hAnsi="宋体"/>
          <w:color w:val="auto"/>
          <w:szCs w:val="21"/>
          <w:highlight w:val="none"/>
        </w:rPr>
        <w:br w:type="page"/>
      </w:r>
      <w:bookmarkStart w:id="821" w:name="_Toc534185840"/>
      <w:bookmarkStart w:id="822" w:name="_Toc57905932"/>
      <w:bookmarkStart w:id="823" w:name="_Toc509218863"/>
      <w:r>
        <w:rPr>
          <w:rFonts w:hint="eastAsia" w:ascii="宋体" w:hAnsi="宋体"/>
          <w:color w:val="auto"/>
          <w:highlight w:val="none"/>
        </w:rPr>
        <w:t>（三）项目管理机构</w:t>
      </w:r>
      <w:bookmarkEnd w:id="821"/>
      <w:bookmarkEnd w:id="822"/>
      <w:bookmarkEnd w:id="823"/>
    </w:p>
    <w:p w14:paraId="1849360E">
      <w:pPr>
        <w:spacing w:line="360" w:lineRule="auto"/>
        <w:rPr>
          <w:rFonts w:ascii="宋体" w:hAnsi="宋体"/>
          <w:color w:val="auto"/>
          <w:highlight w:val="none"/>
        </w:rPr>
      </w:pPr>
    </w:p>
    <w:p w14:paraId="3A3767B5">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28"/>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14:paraId="22745A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14:paraId="4B4E36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627" w:type="dxa"/>
            <w:vMerge w:val="restart"/>
            <w:vAlign w:val="center"/>
          </w:tcPr>
          <w:p w14:paraId="205C93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851" w:type="dxa"/>
            <w:vMerge w:val="restart"/>
            <w:vAlign w:val="center"/>
          </w:tcPr>
          <w:p w14:paraId="073D804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5887" w:type="dxa"/>
            <w:gridSpan w:val="5"/>
            <w:vAlign w:val="center"/>
          </w:tcPr>
          <w:p w14:paraId="4D10797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68D45B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350114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14:paraId="19B3404D">
            <w:pPr>
              <w:autoSpaceDE w:val="0"/>
              <w:autoSpaceDN w:val="0"/>
              <w:adjustRightInd w:val="0"/>
              <w:snapToGrid w:val="0"/>
              <w:jc w:val="left"/>
              <w:rPr>
                <w:rFonts w:ascii="宋体" w:hAnsi="宋体"/>
                <w:color w:val="auto"/>
                <w:kern w:val="0"/>
                <w:szCs w:val="21"/>
                <w:highlight w:val="none"/>
              </w:rPr>
            </w:pPr>
          </w:p>
        </w:tc>
        <w:tc>
          <w:tcPr>
            <w:tcW w:w="627" w:type="dxa"/>
            <w:vMerge w:val="continue"/>
          </w:tcPr>
          <w:p w14:paraId="0C6C1F07">
            <w:pPr>
              <w:autoSpaceDE w:val="0"/>
              <w:autoSpaceDN w:val="0"/>
              <w:adjustRightInd w:val="0"/>
              <w:snapToGrid w:val="0"/>
              <w:jc w:val="left"/>
              <w:rPr>
                <w:rFonts w:ascii="宋体" w:hAnsi="宋体"/>
                <w:color w:val="auto"/>
                <w:kern w:val="0"/>
                <w:szCs w:val="21"/>
                <w:highlight w:val="none"/>
              </w:rPr>
            </w:pPr>
          </w:p>
        </w:tc>
        <w:tc>
          <w:tcPr>
            <w:tcW w:w="851" w:type="dxa"/>
            <w:vMerge w:val="continue"/>
          </w:tcPr>
          <w:p w14:paraId="7E5273E7">
            <w:pPr>
              <w:autoSpaceDE w:val="0"/>
              <w:autoSpaceDN w:val="0"/>
              <w:adjustRightInd w:val="0"/>
              <w:snapToGrid w:val="0"/>
              <w:jc w:val="left"/>
              <w:rPr>
                <w:rFonts w:ascii="宋体" w:hAnsi="宋体"/>
                <w:color w:val="auto"/>
                <w:kern w:val="0"/>
                <w:szCs w:val="21"/>
                <w:highlight w:val="none"/>
              </w:rPr>
            </w:pPr>
          </w:p>
        </w:tc>
        <w:tc>
          <w:tcPr>
            <w:tcW w:w="1134" w:type="dxa"/>
            <w:vAlign w:val="center"/>
          </w:tcPr>
          <w:p w14:paraId="57A5EC8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992" w:type="dxa"/>
            <w:vAlign w:val="center"/>
          </w:tcPr>
          <w:p w14:paraId="30EEB9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992" w:type="dxa"/>
            <w:vAlign w:val="center"/>
          </w:tcPr>
          <w:p w14:paraId="14839A5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992" w:type="dxa"/>
            <w:vAlign w:val="center"/>
          </w:tcPr>
          <w:p w14:paraId="3A5793D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777" w:type="dxa"/>
            <w:vAlign w:val="center"/>
          </w:tcPr>
          <w:p w14:paraId="11BAEB2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3D7059BA">
            <w:pPr>
              <w:autoSpaceDE w:val="0"/>
              <w:autoSpaceDN w:val="0"/>
              <w:adjustRightInd w:val="0"/>
              <w:snapToGrid w:val="0"/>
              <w:jc w:val="left"/>
              <w:rPr>
                <w:rFonts w:ascii="宋体" w:hAnsi="宋体"/>
                <w:color w:val="auto"/>
                <w:kern w:val="0"/>
                <w:szCs w:val="21"/>
                <w:highlight w:val="none"/>
              </w:rPr>
            </w:pPr>
          </w:p>
        </w:tc>
      </w:tr>
      <w:tr w14:paraId="3EE8C1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14:paraId="608519FA">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项目负责人</w:t>
            </w:r>
          </w:p>
        </w:tc>
        <w:tc>
          <w:tcPr>
            <w:tcW w:w="627" w:type="dxa"/>
          </w:tcPr>
          <w:p w14:paraId="46555BA3">
            <w:pPr>
              <w:autoSpaceDE w:val="0"/>
              <w:autoSpaceDN w:val="0"/>
              <w:adjustRightInd w:val="0"/>
              <w:snapToGrid w:val="0"/>
              <w:jc w:val="left"/>
              <w:rPr>
                <w:rFonts w:ascii="宋体" w:hAnsi="宋体"/>
                <w:color w:val="auto"/>
                <w:kern w:val="0"/>
                <w:szCs w:val="21"/>
                <w:highlight w:val="none"/>
              </w:rPr>
            </w:pPr>
          </w:p>
        </w:tc>
        <w:tc>
          <w:tcPr>
            <w:tcW w:w="851" w:type="dxa"/>
          </w:tcPr>
          <w:p w14:paraId="2ED76260">
            <w:pPr>
              <w:autoSpaceDE w:val="0"/>
              <w:autoSpaceDN w:val="0"/>
              <w:adjustRightInd w:val="0"/>
              <w:snapToGrid w:val="0"/>
              <w:jc w:val="left"/>
              <w:rPr>
                <w:rFonts w:ascii="宋体" w:hAnsi="宋体"/>
                <w:color w:val="auto"/>
                <w:kern w:val="0"/>
                <w:szCs w:val="21"/>
                <w:highlight w:val="none"/>
              </w:rPr>
            </w:pPr>
          </w:p>
        </w:tc>
        <w:tc>
          <w:tcPr>
            <w:tcW w:w="1134" w:type="dxa"/>
          </w:tcPr>
          <w:p w14:paraId="2104D33A">
            <w:pPr>
              <w:autoSpaceDE w:val="0"/>
              <w:autoSpaceDN w:val="0"/>
              <w:adjustRightInd w:val="0"/>
              <w:snapToGrid w:val="0"/>
              <w:jc w:val="left"/>
              <w:rPr>
                <w:rFonts w:ascii="宋体" w:hAnsi="宋体"/>
                <w:color w:val="auto"/>
                <w:kern w:val="0"/>
                <w:szCs w:val="21"/>
                <w:highlight w:val="none"/>
              </w:rPr>
            </w:pPr>
          </w:p>
        </w:tc>
        <w:tc>
          <w:tcPr>
            <w:tcW w:w="992" w:type="dxa"/>
          </w:tcPr>
          <w:p w14:paraId="7B721AC3">
            <w:pPr>
              <w:autoSpaceDE w:val="0"/>
              <w:autoSpaceDN w:val="0"/>
              <w:adjustRightInd w:val="0"/>
              <w:snapToGrid w:val="0"/>
              <w:jc w:val="left"/>
              <w:rPr>
                <w:rFonts w:ascii="宋体" w:hAnsi="宋体"/>
                <w:color w:val="auto"/>
                <w:kern w:val="0"/>
                <w:szCs w:val="21"/>
                <w:highlight w:val="none"/>
              </w:rPr>
            </w:pPr>
          </w:p>
        </w:tc>
        <w:tc>
          <w:tcPr>
            <w:tcW w:w="992" w:type="dxa"/>
          </w:tcPr>
          <w:p w14:paraId="1B9720C0">
            <w:pPr>
              <w:autoSpaceDE w:val="0"/>
              <w:autoSpaceDN w:val="0"/>
              <w:adjustRightInd w:val="0"/>
              <w:snapToGrid w:val="0"/>
              <w:jc w:val="left"/>
              <w:rPr>
                <w:rFonts w:ascii="宋体" w:hAnsi="宋体"/>
                <w:color w:val="auto"/>
                <w:kern w:val="0"/>
                <w:szCs w:val="21"/>
                <w:highlight w:val="none"/>
              </w:rPr>
            </w:pPr>
          </w:p>
        </w:tc>
        <w:tc>
          <w:tcPr>
            <w:tcW w:w="992" w:type="dxa"/>
          </w:tcPr>
          <w:p w14:paraId="184C4548">
            <w:pPr>
              <w:autoSpaceDE w:val="0"/>
              <w:autoSpaceDN w:val="0"/>
              <w:adjustRightInd w:val="0"/>
              <w:snapToGrid w:val="0"/>
              <w:jc w:val="left"/>
              <w:rPr>
                <w:rFonts w:ascii="宋体" w:hAnsi="宋体"/>
                <w:color w:val="auto"/>
                <w:kern w:val="0"/>
                <w:szCs w:val="21"/>
                <w:highlight w:val="none"/>
              </w:rPr>
            </w:pPr>
          </w:p>
        </w:tc>
        <w:tc>
          <w:tcPr>
            <w:tcW w:w="1777" w:type="dxa"/>
          </w:tcPr>
          <w:p w14:paraId="64446922">
            <w:pPr>
              <w:autoSpaceDE w:val="0"/>
              <w:autoSpaceDN w:val="0"/>
              <w:adjustRightInd w:val="0"/>
              <w:snapToGrid w:val="0"/>
              <w:jc w:val="left"/>
              <w:rPr>
                <w:rFonts w:ascii="宋体" w:hAnsi="宋体"/>
                <w:color w:val="auto"/>
                <w:kern w:val="0"/>
                <w:szCs w:val="21"/>
                <w:highlight w:val="none"/>
              </w:rPr>
            </w:pPr>
          </w:p>
        </w:tc>
        <w:tc>
          <w:tcPr>
            <w:tcW w:w="896" w:type="dxa"/>
          </w:tcPr>
          <w:p w14:paraId="24A08FA4">
            <w:pPr>
              <w:autoSpaceDE w:val="0"/>
              <w:autoSpaceDN w:val="0"/>
              <w:adjustRightInd w:val="0"/>
              <w:snapToGrid w:val="0"/>
              <w:jc w:val="left"/>
              <w:rPr>
                <w:rFonts w:ascii="宋体" w:hAnsi="宋体"/>
                <w:color w:val="auto"/>
                <w:kern w:val="0"/>
                <w:szCs w:val="21"/>
                <w:highlight w:val="none"/>
              </w:rPr>
            </w:pPr>
          </w:p>
        </w:tc>
      </w:tr>
      <w:tr w14:paraId="32C1D8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14:paraId="483538F9">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土建专业负责人</w:t>
            </w:r>
          </w:p>
        </w:tc>
        <w:tc>
          <w:tcPr>
            <w:tcW w:w="627" w:type="dxa"/>
          </w:tcPr>
          <w:p w14:paraId="0C758AD0">
            <w:pPr>
              <w:autoSpaceDE w:val="0"/>
              <w:autoSpaceDN w:val="0"/>
              <w:adjustRightInd w:val="0"/>
              <w:snapToGrid w:val="0"/>
              <w:jc w:val="left"/>
              <w:rPr>
                <w:rFonts w:ascii="宋体" w:hAnsi="宋体"/>
                <w:color w:val="auto"/>
                <w:kern w:val="0"/>
                <w:szCs w:val="21"/>
                <w:highlight w:val="none"/>
              </w:rPr>
            </w:pPr>
          </w:p>
        </w:tc>
        <w:tc>
          <w:tcPr>
            <w:tcW w:w="851" w:type="dxa"/>
          </w:tcPr>
          <w:p w14:paraId="0D22F681">
            <w:pPr>
              <w:autoSpaceDE w:val="0"/>
              <w:autoSpaceDN w:val="0"/>
              <w:adjustRightInd w:val="0"/>
              <w:snapToGrid w:val="0"/>
              <w:jc w:val="left"/>
              <w:rPr>
                <w:rFonts w:ascii="宋体" w:hAnsi="宋体"/>
                <w:color w:val="auto"/>
                <w:kern w:val="0"/>
                <w:szCs w:val="21"/>
                <w:highlight w:val="none"/>
              </w:rPr>
            </w:pPr>
          </w:p>
        </w:tc>
        <w:tc>
          <w:tcPr>
            <w:tcW w:w="1134" w:type="dxa"/>
          </w:tcPr>
          <w:p w14:paraId="68D79108">
            <w:pPr>
              <w:autoSpaceDE w:val="0"/>
              <w:autoSpaceDN w:val="0"/>
              <w:adjustRightInd w:val="0"/>
              <w:snapToGrid w:val="0"/>
              <w:jc w:val="left"/>
              <w:rPr>
                <w:rFonts w:ascii="宋体" w:hAnsi="宋体"/>
                <w:color w:val="auto"/>
                <w:kern w:val="0"/>
                <w:szCs w:val="21"/>
                <w:highlight w:val="none"/>
              </w:rPr>
            </w:pPr>
          </w:p>
        </w:tc>
        <w:tc>
          <w:tcPr>
            <w:tcW w:w="992" w:type="dxa"/>
          </w:tcPr>
          <w:p w14:paraId="5AC72C7C">
            <w:pPr>
              <w:autoSpaceDE w:val="0"/>
              <w:autoSpaceDN w:val="0"/>
              <w:adjustRightInd w:val="0"/>
              <w:snapToGrid w:val="0"/>
              <w:jc w:val="left"/>
              <w:rPr>
                <w:rFonts w:ascii="宋体" w:hAnsi="宋体"/>
                <w:color w:val="auto"/>
                <w:kern w:val="0"/>
                <w:szCs w:val="21"/>
                <w:highlight w:val="none"/>
              </w:rPr>
            </w:pPr>
          </w:p>
        </w:tc>
        <w:tc>
          <w:tcPr>
            <w:tcW w:w="992" w:type="dxa"/>
          </w:tcPr>
          <w:p w14:paraId="2C5721C6">
            <w:pPr>
              <w:autoSpaceDE w:val="0"/>
              <w:autoSpaceDN w:val="0"/>
              <w:adjustRightInd w:val="0"/>
              <w:snapToGrid w:val="0"/>
              <w:jc w:val="left"/>
              <w:rPr>
                <w:rFonts w:ascii="宋体" w:hAnsi="宋体"/>
                <w:color w:val="auto"/>
                <w:kern w:val="0"/>
                <w:szCs w:val="21"/>
                <w:highlight w:val="none"/>
              </w:rPr>
            </w:pPr>
          </w:p>
        </w:tc>
        <w:tc>
          <w:tcPr>
            <w:tcW w:w="992" w:type="dxa"/>
          </w:tcPr>
          <w:p w14:paraId="23003657">
            <w:pPr>
              <w:autoSpaceDE w:val="0"/>
              <w:autoSpaceDN w:val="0"/>
              <w:adjustRightInd w:val="0"/>
              <w:snapToGrid w:val="0"/>
              <w:jc w:val="left"/>
              <w:rPr>
                <w:rFonts w:ascii="宋体" w:hAnsi="宋体"/>
                <w:color w:val="auto"/>
                <w:kern w:val="0"/>
                <w:szCs w:val="21"/>
                <w:highlight w:val="none"/>
              </w:rPr>
            </w:pPr>
          </w:p>
        </w:tc>
        <w:tc>
          <w:tcPr>
            <w:tcW w:w="1777" w:type="dxa"/>
          </w:tcPr>
          <w:p w14:paraId="0F18B276">
            <w:pPr>
              <w:autoSpaceDE w:val="0"/>
              <w:autoSpaceDN w:val="0"/>
              <w:adjustRightInd w:val="0"/>
              <w:snapToGrid w:val="0"/>
              <w:jc w:val="left"/>
              <w:rPr>
                <w:rFonts w:ascii="宋体" w:hAnsi="宋体"/>
                <w:color w:val="auto"/>
                <w:kern w:val="0"/>
                <w:szCs w:val="21"/>
                <w:highlight w:val="none"/>
              </w:rPr>
            </w:pPr>
          </w:p>
        </w:tc>
        <w:tc>
          <w:tcPr>
            <w:tcW w:w="896" w:type="dxa"/>
          </w:tcPr>
          <w:p w14:paraId="283AB2EF">
            <w:pPr>
              <w:autoSpaceDE w:val="0"/>
              <w:autoSpaceDN w:val="0"/>
              <w:adjustRightInd w:val="0"/>
              <w:snapToGrid w:val="0"/>
              <w:jc w:val="left"/>
              <w:rPr>
                <w:rFonts w:ascii="宋体" w:hAnsi="宋体"/>
                <w:color w:val="auto"/>
                <w:kern w:val="0"/>
                <w:szCs w:val="21"/>
                <w:highlight w:val="none"/>
              </w:rPr>
            </w:pPr>
          </w:p>
        </w:tc>
      </w:tr>
      <w:tr w14:paraId="55251B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14:paraId="09B75426">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安装专业负责人</w:t>
            </w:r>
          </w:p>
        </w:tc>
        <w:tc>
          <w:tcPr>
            <w:tcW w:w="627" w:type="dxa"/>
          </w:tcPr>
          <w:p w14:paraId="19F76BBA">
            <w:pPr>
              <w:autoSpaceDE w:val="0"/>
              <w:autoSpaceDN w:val="0"/>
              <w:adjustRightInd w:val="0"/>
              <w:snapToGrid w:val="0"/>
              <w:jc w:val="left"/>
              <w:rPr>
                <w:rFonts w:ascii="宋体" w:hAnsi="宋体"/>
                <w:color w:val="auto"/>
                <w:kern w:val="0"/>
                <w:szCs w:val="21"/>
                <w:highlight w:val="none"/>
              </w:rPr>
            </w:pPr>
          </w:p>
        </w:tc>
        <w:tc>
          <w:tcPr>
            <w:tcW w:w="851" w:type="dxa"/>
          </w:tcPr>
          <w:p w14:paraId="05E5E5F4">
            <w:pPr>
              <w:autoSpaceDE w:val="0"/>
              <w:autoSpaceDN w:val="0"/>
              <w:adjustRightInd w:val="0"/>
              <w:snapToGrid w:val="0"/>
              <w:jc w:val="left"/>
              <w:rPr>
                <w:rFonts w:ascii="宋体" w:hAnsi="宋体"/>
                <w:color w:val="auto"/>
                <w:kern w:val="0"/>
                <w:szCs w:val="21"/>
                <w:highlight w:val="none"/>
              </w:rPr>
            </w:pPr>
          </w:p>
        </w:tc>
        <w:tc>
          <w:tcPr>
            <w:tcW w:w="1134" w:type="dxa"/>
          </w:tcPr>
          <w:p w14:paraId="704E0CC3">
            <w:pPr>
              <w:autoSpaceDE w:val="0"/>
              <w:autoSpaceDN w:val="0"/>
              <w:adjustRightInd w:val="0"/>
              <w:snapToGrid w:val="0"/>
              <w:jc w:val="left"/>
              <w:rPr>
                <w:rFonts w:ascii="宋体" w:hAnsi="宋体"/>
                <w:color w:val="auto"/>
                <w:kern w:val="0"/>
                <w:szCs w:val="21"/>
                <w:highlight w:val="none"/>
              </w:rPr>
            </w:pPr>
          </w:p>
        </w:tc>
        <w:tc>
          <w:tcPr>
            <w:tcW w:w="992" w:type="dxa"/>
          </w:tcPr>
          <w:p w14:paraId="4E80F820">
            <w:pPr>
              <w:autoSpaceDE w:val="0"/>
              <w:autoSpaceDN w:val="0"/>
              <w:adjustRightInd w:val="0"/>
              <w:snapToGrid w:val="0"/>
              <w:jc w:val="left"/>
              <w:rPr>
                <w:rFonts w:ascii="宋体" w:hAnsi="宋体"/>
                <w:color w:val="auto"/>
                <w:kern w:val="0"/>
                <w:szCs w:val="21"/>
                <w:highlight w:val="none"/>
              </w:rPr>
            </w:pPr>
          </w:p>
        </w:tc>
        <w:tc>
          <w:tcPr>
            <w:tcW w:w="992" w:type="dxa"/>
          </w:tcPr>
          <w:p w14:paraId="4AE109C0">
            <w:pPr>
              <w:autoSpaceDE w:val="0"/>
              <w:autoSpaceDN w:val="0"/>
              <w:adjustRightInd w:val="0"/>
              <w:snapToGrid w:val="0"/>
              <w:jc w:val="left"/>
              <w:rPr>
                <w:rFonts w:ascii="宋体" w:hAnsi="宋体"/>
                <w:color w:val="auto"/>
                <w:kern w:val="0"/>
                <w:szCs w:val="21"/>
                <w:highlight w:val="none"/>
              </w:rPr>
            </w:pPr>
          </w:p>
        </w:tc>
        <w:tc>
          <w:tcPr>
            <w:tcW w:w="992" w:type="dxa"/>
          </w:tcPr>
          <w:p w14:paraId="1F808ABE">
            <w:pPr>
              <w:autoSpaceDE w:val="0"/>
              <w:autoSpaceDN w:val="0"/>
              <w:adjustRightInd w:val="0"/>
              <w:snapToGrid w:val="0"/>
              <w:jc w:val="left"/>
              <w:rPr>
                <w:rFonts w:ascii="宋体" w:hAnsi="宋体"/>
                <w:color w:val="auto"/>
                <w:kern w:val="0"/>
                <w:szCs w:val="21"/>
                <w:highlight w:val="none"/>
              </w:rPr>
            </w:pPr>
          </w:p>
        </w:tc>
        <w:tc>
          <w:tcPr>
            <w:tcW w:w="1777" w:type="dxa"/>
          </w:tcPr>
          <w:p w14:paraId="08382D13">
            <w:pPr>
              <w:autoSpaceDE w:val="0"/>
              <w:autoSpaceDN w:val="0"/>
              <w:adjustRightInd w:val="0"/>
              <w:snapToGrid w:val="0"/>
              <w:jc w:val="left"/>
              <w:rPr>
                <w:rFonts w:ascii="宋体" w:hAnsi="宋体"/>
                <w:color w:val="auto"/>
                <w:kern w:val="0"/>
                <w:szCs w:val="21"/>
                <w:highlight w:val="none"/>
              </w:rPr>
            </w:pPr>
          </w:p>
        </w:tc>
        <w:tc>
          <w:tcPr>
            <w:tcW w:w="896" w:type="dxa"/>
          </w:tcPr>
          <w:p w14:paraId="5DBB4D36">
            <w:pPr>
              <w:autoSpaceDE w:val="0"/>
              <w:autoSpaceDN w:val="0"/>
              <w:adjustRightInd w:val="0"/>
              <w:snapToGrid w:val="0"/>
              <w:jc w:val="left"/>
              <w:rPr>
                <w:rFonts w:ascii="宋体" w:hAnsi="宋体"/>
                <w:color w:val="auto"/>
                <w:kern w:val="0"/>
                <w:szCs w:val="21"/>
                <w:highlight w:val="none"/>
              </w:rPr>
            </w:pPr>
          </w:p>
        </w:tc>
      </w:tr>
      <w:tr w14:paraId="43F297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2AFCD262">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其他成员</w:t>
            </w:r>
          </w:p>
        </w:tc>
        <w:tc>
          <w:tcPr>
            <w:tcW w:w="627" w:type="dxa"/>
          </w:tcPr>
          <w:p w14:paraId="4C8225F3">
            <w:pPr>
              <w:autoSpaceDE w:val="0"/>
              <w:autoSpaceDN w:val="0"/>
              <w:adjustRightInd w:val="0"/>
              <w:snapToGrid w:val="0"/>
              <w:jc w:val="left"/>
              <w:rPr>
                <w:rFonts w:ascii="宋体" w:hAnsi="宋体"/>
                <w:color w:val="auto"/>
                <w:kern w:val="0"/>
                <w:szCs w:val="21"/>
                <w:highlight w:val="none"/>
              </w:rPr>
            </w:pPr>
          </w:p>
        </w:tc>
        <w:tc>
          <w:tcPr>
            <w:tcW w:w="851" w:type="dxa"/>
          </w:tcPr>
          <w:p w14:paraId="4CE40C45">
            <w:pPr>
              <w:autoSpaceDE w:val="0"/>
              <w:autoSpaceDN w:val="0"/>
              <w:adjustRightInd w:val="0"/>
              <w:snapToGrid w:val="0"/>
              <w:jc w:val="left"/>
              <w:rPr>
                <w:rFonts w:ascii="宋体" w:hAnsi="宋体"/>
                <w:color w:val="auto"/>
                <w:kern w:val="0"/>
                <w:szCs w:val="21"/>
                <w:highlight w:val="none"/>
              </w:rPr>
            </w:pPr>
          </w:p>
        </w:tc>
        <w:tc>
          <w:tcPr>
            <w:tcW w:w="1134" w:type="dxa"/>
          </w:tcPr>
          <w:p w14:paraId="784E9226">
            <w:pPr>
              <w:autoSpaceDE w:val="0"/>
              <w:autoSpaceDN w:val="0"/>
              <w:adjustRightInd w:val="0"/>
              <w:snapToGrid w:val="0"/>
              <w:jc w:val="left"/>
              <w:rPr>
                <w:rFonts w:ascii="宋体" w:hAnsi="宋体"/>
                <w:color w:val="auto"/>
                <w:kern w:val="0"/>
                <w:szCs w:val="21"/>
                <w:highlight w:val="none"/>
              </w:rPr>
            </w:pPr>
          </w:p>
        </w:tc>
        <w:tc>
          <w:tcPr>
            <w:tcW w:w="992" w:type="dxa"/>
          </w:tcPr>
          <w:p w14:paraId="423B36BC">
            <w:pPr>
              <w:autoSpaceDE w:val="0"/>
              <w:autoSpaceDN w:val="0"/>
              <w:adjustRightInd w:val="0"/>
              <w:snapToGrid w:val="0"/>
              <w:jc w:val="left"/>
              <w:rPr>
                <w:rFonts w:ascii="宋体" w:hAnsi="宋体"/>
                <w:color w:val="auto"/>
                <w:kern w:val="0"/>
                <w:szCs w:val="21"/>
                <w:highlight w:val="none"/>
              </w:rPr>
            </w:pPr>
          </w:p>
        </w:tc>
        <w:tc>
          <w:tcPr>
            <w:tcW w:w="992" w:type="dxa"/>
          </w:tcPr>
          <w:p w14:paraId="28A4D10A">
            <w:pPr>
              <w:autoSpaceDE w:val="0"/>
              <w:autoSpaceDN w:val="0"/>
              <w:adjustRightInd w:val="0"/>
              <w:snapToGrid w:val="0"/>
              <w:jc w:val="left"/>
              <w:rPr>
                <w:rFonts w:ascii="宋体" w:hAnsi="宋体"/>
                <w:color w:val="auto"/>
                <w:kern w:val="0"/>
                <w:szCs w:val="21"/>
                <w:highlight w:val="none"/>
              </w:rPr>
            </w:pPr>
          </w:p>
        </w:tc>
        <w:tc>
          <w:tcPr>
            <w:tcW w:w="992" w:type="dxa"/>
          </w:tcPr>
          <w:p w14:paraId="516A0E7E">
            <w:pPr>
              <w:autoSpaceDE w:val="0"/>
              <w:autoSpaceDN w:val="0"/>
              <w:adjustRightInd w:val="0"/>
              <w:snapToGrid w:val="0"/>
              <w:jc w:val="left"/>
              <w:rPr>
                <w:rFonts w:ascii="宋体" w:hAnsi="宋体"/>
                <w:color w:val="auto"/>
                <w:kern w:val="0"/>
                <w:szCs w:val="21"/>
                <w:highlight w:val="none"/>
              </w:rPr>
            </w:pPr>
          </w:p>
        </w:tc>
        <w:tc>
          <w:tcPr>
            <w:tcW w:w="1777" w:type="dxa"/>
          </w:tcPr>
          <w:p w14:paraId="4AA5CC09">
            <w:pPr>
              <w:autoSpaceDE w:val="0"/>
              <w:autoSpaceDN w:val="0"/>
              <w:adjustRightInd w:val="0"/>
              <w:snapToGrid w:val="0"/>
              <w:jc w:val="left"/>
              <w:rPr>
                <w:rFonts w:ascii="宋体" w:hAnsi="宋体"/>
                <w:color w:val="auto"/>
                <w:kern w:val="0"/>
                <w:szCs w:val="21"/>
                <w:highlight w:val="none"/>
              </w:rPr>
            </w:pPr>
          </w:p>
        </w:tc>
        <w:tc>
          <w:tcPr>
            <w:tcW w:w="896" w:type="dxa"/>
          </w:tcPr>
          <w:p w14:paraId="752E4B14">
            <w:pPr>
              <w:autoSpaceDE w:val="0"/>
              <w:autoSpaceDN w:val="0"/>
              <w:adjustRightInd w:val="0"/>
              <w:snapToGrid w:val="0"/>
              <w:jc w:val="left"/>
              <w:rPr>
                <w:rFonts w:ascii="宋体" w:hAnsi="宋体"/>
                <w:color w:val="auto"/>
                <w:kern w:val="0"/>
                <w:szCs w:val="21"/>
                <w:highlight w:val="none"/>
              </w:rPr>
            </w:pPr>
          </w:p>
        </w:tc>
      </w:tr>
      <w:tr w14:paraId="290C35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545E4B04">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其他成员</w:t>
            </w:r>
          </w:p>
        </w:tc>
        <w:tc>
          <w:tcPr>
            <w:tcW w:w="627" w:type="dxa"/>
          </w:tcPr>
          <w:p w14:paraId="5FBBB329">
            <w:pPr>
              <w:autoSpaceDE w:val="0"/>
              <w:autoSpaceDN w:val="0"/>
              <w:adjustRightInd w:val="0"/>
              <w:snapToGrid w:val="0"/>
              <w:jc w:val="left"/>
              <w:rPr>
                <w:rFonts w:ascii="宋体" w:hAnsi="宋体"/>
                <w:color w:val="auto"/>
                <w:kern w:val="0"/>
                <w:szCs w:val="21"/>
                <w:highlight w:val="none"/>
              </w:rPr>
            </w:pPr>
          </w:p>
        </w:tc>
        <w:tc>
          <w:tcPr>
            <w:tcW w:w="851" w:type="dxa"/>
          </w:tcPr>
          <w:p w14:paraId="6760FC48">
            <w:pPr>
              <w:autoSpaceDE w:val="0"/>
              <w:autoSpaceDN w:val="0"/>
              <w:adjustRightInd w:val="0"/>
              <w:snapToGrid w:val="0"/>
              <w:jc w:val="left"/>
              <w:rPr>
                <w:rFonts w:ascii="宋体" w:hAnsi="宋体"/>
                <w:color w:val="auto"/>
                <w:kern w:val="0"/>
                <w:szCs w:val="21"/>
                <w:highlight w:val="none"/>
              </w:rPr>
            </w:pPr>
          </w:p>
        </w:tc>
        <w:tc>
          <w:tcPr>
            <w:tcW w:w="1134" w:type="dxa"/>
          </w:tcPr>
          <w:p w14:paraId="7CAF8621">
            <w:pPr>
              <w:autoSpaceDE w:val="0"/>
              <w:autoSpaceDN w:val="0"/>
              <w:adjustRightInd w:val="0"/>
              <w:snapToGrid w:val="0"/>
              <w:jc w:val="left"/>
              <w:rPr>
                <w:rFonts w:ascii="宋体" w:hAnsi="宋体"/>
                <w:color w:val="auto"/>
                <w:kern w:val="0"/>
                <w:szCs w:val="21"/>
                <w:highlight w:val="none"/>
              </w:rPr>
            </w:pPr>
          </w:p>
        </w:tc>
        <w:tc>
          <w:tcPr>
            <w:tcW w:w="992" w:type="dxa"/>
          </w:tcPr>
          <w:p w14:paraId="23F55E5F">
            <w:pPr>
              <w:autoSpaceDE w:val="0"/>
              <w:autoSpaceDN w:val="0"/>
              <w:adjustRightInd w:val="0"/>
              <w:snapToGrid w:val="0"/>
              <w:jc w:val="left"/>
              <w:rPr>
                <w:rFonts w:ascii="宋体" w:hAnsi="宋体"/>
                <w:color w:val="auto"/>
                <w:kern w:val="0"/>
                <w:szCs w:val="21"/>
                <w:highlight w:val="none"/>
              </w:rPr>
            </w:pPr>
          </w:p>
        </w:tc>
        <w:tc>
          <w:tcPr>
            <w:tcW w:w="992" w:type="dxa"/>
          </w:tcPr>
          <w:p w14:paraId="443C5C4D">
            <w:pPr>
              <w:autoSpaceDE w:val="0"/>
              <w:autoSpaceDN w:val="0"/>
              <w:adjustRightInd w:val="0"/>
              <w:snapToGrid w:val="0"/>
              <w:jc w:val="left"/>
              <w:rPr>
                <w:rFonts w:ascii="宋体" w:hAnsi="宋体"/>
                <w:color w:val="auto"/>
                <w:kern w:val="0"/>
                <w:szCs w:val="21"/>
                <w:highlight w:val="none"/>
              </w:rPr>
            </w:pPr>
          </w:p>
        </w:tc>
        <w:tc>
          <w:tcPr>
            <w:tcW w:w="992" w:type="dxa"/>
          </w:tcPr>
          <w:p w14:paraId="0E522077">
            <w:pPr>
              <w:autoSpaceDE w:val="0"/>
              <w:autoSpaceDN w:val="0"/>
              <w:adjustRightInd w:val="0"/>
              <w:snapToGrid w:val="0"/>
              <w:jc w:val="left"/>
              <w:rPr>
                <w:rFonts w:ascii="宋体" w:hAnsi="宋体"/>
                <w:color w:val="auto"/>
                <w:kern w:val="0"/>
                <w:szCs w:val="21"/>
                <w:highlight w:val="none"/>
              </w:rPr>
            </w:pPr>
          </w:p>
        </w:tc>
        <w:tc>
          <w:tcPr>
            <w:tcW w:w="1777" w:type="dxa"/>
          </w:tcPr>
          <w:p w14:paraId="3DE86B91">
            <w:pPr>
              <w:autoSpaceDE w:val="0"/>
              <w:autoSpaceDN w:val="0"/>
              <w:adjustRightInd w:val="0"/>
              <w:snapToGrid w:val="0"/>
              <w:jc w:val="left"/>
              <w:rPr>
                <w:rFonts w:ascii="宋体" w:hAnsi="宋体"/>
                <w:color w:val="auto"/>
                <w:kern w:val="0"/>
                <w:szCs w:val="21"/>
                <w:highlight w:val="none"/>
              </w:rPr>
            </w:pPr>
          </w:p>
        </w:tc>
        <w:tc>
          <w:tcPr>
            <w:tcW w:w="896" w:type="dxa"/>
          </w:tcPr>
          <w:p w14:paraId="13BD5424">
            <w:pPr>
              <w:autoSpaceDE w:val="0"/>
              <w:autoSpaceDN w:val="0"/>
              <w:adjustRightInd w:val="0"/>
              <w:snapToGrid w:val="0"/>
              <w:jc w:val="left"/>
              <w:rPr>
                <w:rFonts w:ascii="宋体" w:hAnsi="宋体"/>
                <w:color w:val="auto"/>
                <w:kern w:val="0"/>
                <w:szCs w:val="21"/>
                <w:highlight w:val="none"/>
              </w:rPr>
            </w:pPr>
          </w:p>
        </w:tc>
      </w:tr>
      <w:tr w14:paraId="1D47B5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14:paraId="253CF476">
            <w:pPr>
              <w:autoSpaceDE w:val="0"/>
              <w:autoSpaceDN w:val="0"/>
              <w:adjustRightInd w:val="0"/>
              <w:snapToGrid w:val="0"/>
              <w:jc w:val="left"/>
              <w:rPr>
                <w:rFonts w:ascii="宋体" w:hAnsi="宋体"/>
                <w:color w:val="auto"/>
                <w:kern w:val="0"/>
                <w:szCs w:val="21"/>
                <w:highlight w:val="none"/>
              </w:rPr>
            </w:pPr>
            <w:r>
              <w:rPr>
                <w:rFonts w:hint="eastAsia" w:ascii="宋体" w:hAnsi="宋体"/>
                <w:color w:val="auto"/>
                <w:kern w:val="0"/>
                <w:szCs w:val="21"/>
                <w:highlight w:val="none"/>
              </w:rPr>
              <w:t>……</w:t>
            </w:r>
          </w:p>
        </w:tc>
        <w:tc>
          <w:tcPr>
            <w:tcW w:w="627" w:type="dxa"/>
          </w:tcPr>
          <w:p w14:paraId="1ECDED79">
            <w:pPr>
              <w:autoSpaceDE w:val="0"/>
              <w:autoSpaceDN w:val="0"/>
              <w:adjustRightInd w:val="0"/>
              <w:snapToGrid w:val="0"/>
              <w:jc w:val="left"/>
              <w:rPr>
                <w:rFonts w:ascii="宋体" w:hAnsi="宋体"/>
                <w:color w:val="auto"/>
                <w:kern w:val="0"/>
                <w:szCs w:val="21"/>
                <w:highlight w:val="none"/>
              </w:rPr>
            </w:pPr>
          </w:p>
        </w:tc>
        <w:tc>
          <w:tcPr>
            <w:tcW w:w="851" w:type="dxa"/>
          </w:tcPr>
          <w:p w14:paraId="77291D2D">
            <w:pPr>
              <w:autoSpaceDE w:val="0"/>
              <w:autoSpaceDN w:val="0"/>
              <w:adjustRightInd w:val="0"/>
              <w:snapToGrid w:val="0"/>
              <w:jc w:val="left"/>
              <w:rPr>
                <w:rFonts w:ascii="宋体" w:hAnsi="宋体"/>
                <w:color w:val="auto"/>
                <w:kern w:val="0"/>
                <w:szCs w:val="21"/>
                <w:highlight w:val="none"/>
              </w:rPr>
            </w:pPr>
          </w:p>
        </w:tc>
        <w:tc>
          <w:tcPr>
            <w:tcW w:w="1134" w:type="dxa"/>
          </w:tcPr>
          <w:p w14:paraId="47BEF583">
            <w:pPr>
              <w:autoSpaceDE w:val="0"/>
              <w:autoSpaceDN w:val="0"/>
              <w:adjustRightInd w:val="0"/>
              <w:snapToGrid w:val="0"/>
              <w:jc w:val="left"/>
              <w:rPr>
                <w:rFonts w:ascii="宋体" w:hAnsi="宋体"/>
                <w:color w:val="auto"/>
                <w:kern w:val="0"/>
                <w:szCs w:val="21"/>
                <w:highlight w:val="none"/>
              </w:rPr>
            </w:pPr>
          </w:p>
        </w:tc>
        <w:tc>
          <w:tcPr>
            <w:tcW w:w="992" w:type="dxa"/>
          </w:tcPr>
          <w:p w14:paraId="209D4F2E">
            <w:pPr>
              <w:autoSpaceDE w:val="0"/>
              <w:autoSpaceDN w:val="0"/>
              <w:adjustRightInd w:val="0"/>
              <w:snapToGrid w:val="0"/>
              <w:jc w:val="left"/>
              <w:rPr>
                <w:rFonts w:ascii="宋体" w:hAnsi="宋体"/>
                <w:color w:val="auto"/>
                <w:kern w:val="0"/>
                <w:szCs w:val="21"/>
                <w:highlight w:val="none"/>
              </w:rPr>
            </w:pPr>
          </w:p>
        </w:tc>
        <w:tc>
          <w:tcPr>
            <w:tcW w:w="992" w:type="dxa"/>
          </w:tcPr>
          <w:p w14:paraId="7142CF00">
            <w:pPr>
              <w:autoSpaceDE w:val="0"/>
              <w:autoSpaceDN w:val="0"/>
              <w:adjustRightInd w:val="0"/>
              <w:snapToGrid w:val="0"/>
              <w:jc w:val="left"/>
              <w:rPr>
                <w:rFonts w:ascii="宋体" w:hAnsi="宋体"/>
                <w:color w:val="auto"/>
                <w:kern w:val="0"/>
                <w:szCs w:val="21"/>
                <w:highlight w:val="none"/>
              </w:rPr>
            </w:pPr>
          </w:p>
        </w:tc>
        <w:tc>
          <w:tcPr>
            <w:tcW w:w="992" w:type="dxa"/>
          </w:tcPr>
          <w:p w14:paraId="01F33BCD">
            <w:pPr>
              <w:autoSpaceDE w:val="0"/>
              <w:autoSpaceDN w:val="0"/>
              <w:adjustRightInd w:val="0"/>
              <w:snapToGrid w:val="0"/>
              <w:jc w:val="left"/>
              <w:rPr>
                <w:rFonts w:ascii="宋体" w:hAnsi="宋体"/>
                <w:color w:val="auto"/>
                <w:kern w:val="0"/>
                <w:szCs w:val="21"/>
                <w:highlight w:val="none"/>
              </w:rPr>
            </w:pPr>
          </w:p>
        </w:tc>
        <w:tc>
          <w:tcPr>
            <w:tcW w:w="1777" w:type="dxa"/>
          </w:tcPr>
          <w:p w14:paraId="3CECDDEA">
            <w:pPr>
              <w:autoSpaceDE w:val="0"/>
              <w:autoSpaceDN w:val="0"/>
              <w:adjustRightInd w:val="0"/>
              <w:snapToGrid w:val="0"/>
              <w:jc w:val="left"/>
              <w:rPr>
                <w:rFonts w:ascii="宋体" w:hAnsi="宋体"/>
                <w:color w:val="auto"/>
                <w:kern w:val="0"/>
                <w:szCs w:val="21"/>
                <w:highlight w:val="none"/>
              </w:rPr>
            </w:pPr>
          </w:p>
        </w:tc>
        <w:tc>
          <w:tcPr>
            <w:tcW w:w="896" w:type="dxa"/>
          </w:tcPr>
          <w:p w14:paraId="6DF21D6E">
            <w:pPr>
              <w:autoSpaceDE w:val="0"/>
              <w:autoSpaceDN w:val="0"/>
              <w:adjustRightInd w:val="0"/>
              <w:snapToGrid w:val="0"/>
              <w:jc w:val="left"/>
              <w:rPr>
                <w:rFonts w:ascii="宋体" w:hAnsi="宋体"/>
                <w:color w:val="auto"/>
                <w:kern w:val="0"/>
                <w:szCs w:val="21"/>
                <w:highlight w:val="none"/>
              </w:rPr>
            </w:pPr>
          </w:p>
        </w:tc>
      </w:tr>
      <w:tr w14:paraId="7D811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4240CA75">
            <w:pPr>
              <w:autoSpaceDE w:val="0"/>
              <w:autoSpaceDN w:val="0"/>
              <w:adjustRightInd w:val="0"/>
              <w:snapToGrid w:val="0"/>
              <w:jc w:val="left"/>
              <w:rPr>
                <w:rFonts w:ascii="宋体" w:hAnsi="宋体"/>
                <w:color w:val="auto"/>
                <w:kern w:val="0"/>
                <w:szCs w:val="21"/>
                <w:highlight w:val="none"/>
              </w:rPr>
            </w:pPr>
          </w:p>
        </w:tc>
        <w:tc>
          <w:tcPr>
            <w:tcW w:w="627" w:type="dxa"/>
          </w:tcPr>
          <w:p w14:paraId="0EB4198E">
            <w:pPr>
              <w:autoSpaceDE w:val="0"/>
              <w:autoSpaceDN w:val="0"/>
              <w:adjustRightInd w:val="0"/>
              <w:snapToGrid w:val="0"/>
              <w:jc w:val="left"/>
              <w:rPr>
                <w:rFonts w:ascii="宋体" w:hAnsi="宋体"/>
                <w:color w:val="auto"/>
                <w:kern w:val="0"/>
                <w:szCs w:val="21"/>
                <w:highlight w:val="none"/>
              </w:rPr>
            </w:pPr>
          </w:p>
        </w:tc>
        <w:tc>
          <w:tcPr>
            <w:tcW w:w="851" w:type="dxa"/>
          </w:tcPr>
          <w:p w14:paraId="401DCD58">
            <w:pPr>
              <w:autoSpaceDE w:val="0"/>
              <w:autoSpaceDN w:val="0"/>
              <w:adjustRightInd w:val="0"/>
              <w:snapToGrid w:val="0"/>
              <w:jc w:val="left"/>
              <w:rPr>
                <w:rFonts w:ascii="宋体" w:hAnsi="宋体"/>
                <w:color w:val="auto"/>
                <w:kern w:val="0"/>
                <w:szCs w:val="21"/>
                <w:highlight w:val="none"/>
              </w:rPr>
            </w:pPr>
          </w:p>
        </w:tc>
        <w:tc>
          <w:tcPr>
            <w:tcW w:w="1134" w:type="dxa"/>
          </w:tcPr>
          <w:p w14:paraId="1C2F0325">
            <w:pPr>
              <w:autoSpaceDE w:val="0"/>
              <w:autoSpaceDN w:val="0"/>
              <w:adjustRightInd w:val="0"/>
              <w:snapToGrid w:val="0"/>
              <w:jc w:val="left"/>
              <w:rPr>
                <w:rFonts w:ascii="宋体" w:hAnsi="宋体"/>
                <w:color w:val="auto"/>
                <w:kern w:val="0"/>
                <w:szCs w:val="21"/>
                <w:highlight w:val="none"/>
              </w:rPr>
            </w:pPr>
          </w:p>
        </w:tc>
        <w:tc>
          <w:tcPr>
            <w:tcW w:w="992" w:type="dxa"/>
          </w:tcPr>
          <w:p w14:paraId="50202F1D">
            <w:pPr>
              <w:autoSpaceDE w:val="0"/>
              <w:autoSpaceDN w:val="0"/>
              <w:adjustRightInd w:val="0"/>
              <w:snapToGrid w:val="0"/>
              <w:jc w:val="left"/>
              <w:rPr>
                <w:rFonts w:ascii="宋体" w:hAnsi="宋体"/>
                <w:color w:val="auto"/>
                <w:kern w:val="0"/>
                <w:szCs w:val="21"/>
                <w:highlight w:val="none"/>
              </w:rPr>
            </w:pPr>
          </w:p>
        </w:tc>
        <w:tc>
          <w:tcPr>
            <w:tcW w:w="992" w:type="dxa"/>
          </w:tcPr>
          <w:p w14:paraId="1A8F1AE7">
            <w:pPr>
              <w:autoSpaceDE w:val="0"/>
              <w:autoSpaceDN w:val="0"/>
              <w:adjustRightInd w:val="0"/>
              <w:snapToGrid w:val="0"/>
              <w:jc w:val="left"/>
              <w:rPr>
                <w:rFonts w:ascii="宋体" w:hAnsi="宋体"/>
                <w:color w:val="auto"/>
                <w:kern w:val="0"/>
                <w:szCs w:val="21"/>
                <w:highlight w:val="none"/>
              </w:rPr>
            </w:pPr>
          </w:p>
        </w:tc>
        <w:tc>
          <w:tcPr>
            <w:tcW w:w="992" w:type="dxa"/>
          </w:tcPr>
          <w:p w14:paraId="2E1013C7">
            <w:pPr>
              <w:autoSpaceDE w:val="0"/>
              <w:autoSpaceDN w:val="0"/>
              <w:adjustRightInd w:val="0"/>
              <w:snapToGrid w:val="0"/>
              <w:jc w:val="left"/>
              <w:rPr>
                <w:rFonts w:ascii="宋体" w:hAnsi="宋体"/>
                <w:color w:val="auto"/>
                <w:kern w:val="0"/>
                <w:szCs w:val="21"/>
                <w:highlight w:val="none"/>
              </w:rPr>
            </w:pPr>
          </w:p>
        </w:tc>
        <w:tc>
          <w:tcPr>
            <w:tcW w:w="1777" w:type="dxa"/>
          </w:tcPr>
          <w:p w14:paraId="6E519E4C">
            <w:pPr>
              <w:autoSpaceDE w:val="0"/>
              <w:autoSpaceDN w:val="0"/>
              <w:adjustRightInd w:val="0"/>
              <w:snapToGrid w:val="0"/>
              <w:jc w:val="left"/>
              <w:rPr>
                <w:rFonts w:ascii="宋体" w:hAnsi="宋体"/>
                <w:color w:val="auto"/>
                <w:kern w:val="0"/>
                <w:szCs w:val="21"/>
                <w:highlight w:val="none"/>
              </w:rPr>
            </w:pPr>
          </w:p>
        </w:tc>
        <w:tc>
          <w:tcPr>
            <w:tcW w:w="896" w:type="dxa"/>
          </w:tcPr>
          <w:p w14:paraId="3F015011">
            <w:pPr>
              <w:autoSpaceDE w:val="0"/>
              <w:autoSpaceDN w:val="0"/>
              <w:adjustRightInd w:val="0"/>
              <w:snapToGrid w:val="0"/>
              <w:jc w:val="left"/>
              <w:rPr>
                <w:rFonts w:ascii="宋体" w:hAnsi="宋体"/>
                <w:color w:val="auto"/>
                <w:kern w:val="0"/>
                <w:szCs w:val="21"/>
                <w:highlight w:val="none"/>
              </w:rPr>
            </w:pPr>
          </w:p>
        </w:tc>
      </w:tr>
    </w:tbl>
    <w:p w14:paraId="071F7D55">
      <w:pPr>
        <w:spacing w:line="20" w:lineRule="exact"/>
        <w:jc w:val="center"/>
        <w:rPr>
          <w:rFonts w:ascii="宋体" w:hAnsi="宋体"/>
          <w:color w:val="auto"/>
          <w:szCs w:val="21"/>
          <w:highlight w:val="none"/>
        </w:rPr>
      </w:pPr>
    </w:p>
    <w:p w14:paraId="728EE7DA">
      <w:pPr>
        <w:spacing w:line="480" w:lineRule="auto"/>
        <w:rPr>
          <w:rFonts w:ascii="宋体" w:hAnsi="宋体"/>
          <w:color w:val="auto"/>
          <w:szCs w:val="21"/>
          <w:highlight w:val="none"/>
        </w:rPr>
      </w:pPr>
      <w:r>
        <w:rPr>
          <w:rFonts w:hint="eastAsia" w:ascii="宋体" w:hAnsi="宋体"/>
          <w:color w:val="auto"/>
          <w:szCs w:val="21"/>
          <w:highlight w:val="none"/>
        </w:rPr>
        <w:t>备注：本表按“第二篇 竞选人须知前附表  1.4.1”规定的“拟派项目人员”要求列明人员信息</w:t>
      </w:r>
    </w:p>
    <w:p w14:paraId="5AD2F9CE">
      <w:pPr>
        <w:autoSpaceDE w:val="0"/>
        <w:autoSpaceDN w:val="0"/>
        <w:adjustRightInd w:val="0"/>
        <w:snapToGrid w:val="0"/>
        <w:spacing w:line="360" w:lineRule="auto"/>
        <w:jc w:val="center"/>
        <w:rPr>
          <w:rFonts w:ascii="宋体" w:hAnsi="宋体"/>
          <w:color w:val="auto"/>
          <w:sz w:val="32"/>
          <w:szCs w:val="32"/>
          <w:highlight w:val="none"/>
        </w:rPr>
      </w:pPr>
      <w:r>
        <w:rPr>
          <w:rFonts w:ascii="宋体" w:hAnsi="宋体"/>
          <w:color w:val="auto"/>
          <w:szCs w:val="21"/>
          <w:highlight w:val="none"/>
        </w:rPr>
        <w:br w:type="page"/>
      </w:r>
      <w:r>
        <w:rPr>
          <w:rFonts w:hint="eastAsia" w:ascii="宋体" w:hAnsi="宋体" w:cs="宋体"/>
          <w:b/>
          <w:color w:val="auto"/>
          <w:kern w:val="0"/>
          <w:sz w:val="32"/>
          <w:szCs w:val="32"/>
          <w:highlight w:val="none"/>
        </w:rPr>
        <w:t>主要人员简历表</w:t>
      </w:r>
    </w:p>
    <w:tbl>
      <w:tblPr>
        <w:tblStyle w:val="28"/>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4536AC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116DF2">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056756B8">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79097E5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4B20C1F8">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3A7F004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60A3903E">
            <w:pPr>
              <w:autoSpaceDE w:val="0"/>
              <w:autoSpaceDN w:val="0"/>
              <w:adjustRightInd w:val="0"/>
              <w:snapToGrid w:val="0"/>
              <w:jc w:val="center"/>
              <w:rPr>
                <w:rFonts w:ascii="宋体" w:hAnsi="宋体"/>
                <w:color w:val="auto"/>
                <w:kern w:val="0"/>
                <w:szCs w:val="21"/>
                <w:highlight w:val="none"/>
              </w:rPr>
            </w:pPr>
          </w:p>
        </w:tc>
      </w:tr>
      <w:tr w14:paraId="19D5A5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F30C0EF">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2EF3EEA4">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5E71ED5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371B5A0D">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76A8DE1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128DE61">
            <w:pPr>
              <w:autoSpaceDE w:val="0"/>
              <w:autoSpaceDN w:val="0"/>
              <w:adjustRightInd w:val="0"/>
              <w:snapToGrid w:val="0"/>
              <w:jc w:val="center"/>
              <w:rPr>
                <w:rFonts w:ascii="宋体" w:hAnsi="宋体"/>
                <w:color w:val="auto"/>
                <w:kern w:val="0"/>
                <w:szCs w:val="21"/>
                <w:highlight w:val="none"/>
              </w:rPr>
            </w:pPr>
          </w:p>
        </w:tc>
      </w:tr>
      <w:tr w14:paraId="3FCFA9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25A8D9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1B14F188">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5D1C9B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F9FC1F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164DD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E8BA1D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7CA00C2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0DD6437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31FACED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69EA10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006C0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8276DAF">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9CF538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DC68E9D">
            <w:pPr>
              <w:autoSpaceDE w:val="0"/>
              <w:autoSpaceDN w:val="0"/>
              <w:adjustRightInd w:val="0"/>
              <w:snapToGrid w:val="0"/>
              <w:jc w:val="center"/>
              <w:rPr>
                <w:rFonts w:ascii="宋体" w:hAnsi="宋体"/>
                <w:color w:val="auto"/>
                <w:kern w:val="0"/>
                <w:szCs w:val="21"/>
                <w:highlight w:val="none"/>
              </w:rPr>
            </w:pPr>
          </w:p>
        </w:tc>
      </w:tr>
      <w:tr w14:paraId="01973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6E85D3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5E9933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8D1BEF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2D52954">
            <w:pPr>
              <w:autoSpaceDE w:val="0"/>
              <w:autoSpaceDN w:val="0"/>
              <w:adjustRightInd w:val="0"/>
              <w:snapToGrid w:val="0"/>
              <w:jc w:val="center"/>
              <w:rPr>
                <w:rFonts w:ascii="宋体" w:hAnsi="宋体"/>
                <w:color w:val="auto"/>
                <w:kern w:val="0"/>
                <w:szCs w:val="21"/>
                <w:highlight w:val="none"/>
              </w:rPr>
            </w:pPr>
          </w:p>
        </w:tc>
      </w:tr>
      <w:tr w14:paraId="0CE4CE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B8D7EF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3BD79F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33B4B1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485C2D">
            <w:pPr>
              <w:autoSpaceDE w:val="0"/>
              <w:autoSpaceDN w:val="0"/>
              <w:adjustRightInd w:val="0"/>
              <w:snapToGrid w:val="0"/>
              <w:jc w:val="center"/>
              <w:rPr>
                <w:rFonts w:ascii="宋体" w:hAnsi="宋体"/>
                <w:color w:val="auto"/>
                <w:kern w:val="0"/>
                <w:szCs w:val="21"/>
                <w:highlight w:val="none"/>
              </w:rPr>
            </w:pPr>
          </w:p>
        </w:tc>
      </w:tr>
      <w:tr w14:paraId="5F364D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B24008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CE5405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752C45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FF6B6FD">
            <w:pPr>
              <w:autoSpaceDE w:val="0"/>
              <w:autoSpaceDN w:val="0"/>
              <w:adjustRightInd w:val="0"/>
              <w:snapToGrid w:val="0"/>
              <w:jc w:val="center"/>
              <w:rPr>
                <w:rFonts w:ascii="宋体" w:hAnsi="宋体"/>
                <w:color w:val="auto"/>
                <w:kern w:val="0"/>
                <w:szCs w:val="21"/>
                <w:highlight w:val="none"/>
              </w:rPr>
            </w:pPr>
          </w:p>
        </w:tc>
      </w:tr>
      <w:tr w14:paraId="148935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D2E005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79B51D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73678F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995F2D6">
            <w:pPr>
              <w:autoSpaceDE w:val="0"/>
              <w:autoSpaceDN w:val="0"/>
              <w:adjustRightInd w:val="0"/>
              <w:snapToGrid w:val="0"/>
              <w:jc w:val="center"/>
              <w:rPr>
                <w:rFonts w:ascii="宋体" w:hAnsi="宋体"/>
                <w:color w:val="auto"/>
                <w:kern w:val="0"/>
                <w:szCs w:val="21"/>
                <w:highlight w:val="none"/>
              </w:rPr>
            </w:pPr>
          </w:p>
        </w:tc>
      </w:tr>
      <w:tr w14:paraId="29D186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648177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5A3120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FA9D8F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B4D5B51">
            <w:pPr>
              <w:autoSpaceDE w:val="0"/>
              <w:autoSpaceDN w:val="0"/>
              <w:adjustRightInd w:val="0"/>
              <w:snapToGrid w:val="0"/>
              <w:jc w:val="center"/>
              <w:rPr>
                <w:rFonts w:ascii="宋体" w:hAnsi="宋体"/>
                <w:color w:val="auto"/>
                <w:kern w:val="0"/>
                <w:szCs w:val="21"/>
                <w:highlight w:val="none"/>
              </w:rPr>
            </w:pPr>
          </w:p>
        </w:tc>
      </w:tr>
      <w:tr w14:paraId="4C840B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D441CD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A3C163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6FBA8C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55FB9E9">
            <w:pPr>
              <w:autoSpaceDE w:val="0"/>
              <w:autoSpaceDN w:val="0"/>
              <w:adjustRightInd w:val="0"/>
              <w:snapToGrid w:val="0"/>
              <w:jc w:val="center"/>
              <w:rPr>
                <w:rFonts w:ascii="宋体" w:hAnsi="宋体"/>
                <w:color w:val="auto"/>
                <w:kern w:val="0"/>
                <w:szCs w:val="21"/>
                <w:highlight w:val="none"/>
              </w:rPr>
            </w:pPr>
          </w:p>
        </w:tc>
      </w:tr>
      <w:tr w14:paraId="30824A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08B9B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E576A6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C2327F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62DD0E9">
            <w:pPr>
              <w:autoSpaceDE w:val="0"/>
              <w:autoSpaceDN w:val="0"/>
              <w:adjustRightInd w:val="0"/>
              <w:snapToGrid w:val="0"/>
              <w:jc w:val="center"/>
              <w:rPr>
                <w:rFonts w:ascii="宋体" w:hAnsi="宋体"/>
                <w:color w:val="auto"/>
                <w:kern w:val="0"/>
                <w:szCs w:val="21"/>
                <w:highlight w:val="none"/>
              </w:rPr>
            </w:pPr>
          </w:p>
        </w:tc>
      </w:tr>
      <w:tr w14:paraId="61B578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505C74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36CE2D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590A4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A49482B">
            <w:pPr>
              <w:autoSpaceDE w:val="0"/>
              <w:autoSpaceDN w:val="0"/>
              <w:adjustRightInd w:val="0"/>
              <w:snapToGrid w:val="0"/>
              <w:jc w:val="center"/>
              <w:rPr>
                <w:rFonts w:ascii="宋体" w:hAnsi="宋体"/>
                <w:color w:val="auto"/>
                <w:kern w:val="0"/>
                <w:szCs w:val="21"/>
                <w:highlight w:val="none"/>
              </w:rPr>
            </w:pPr>
          </w:p>
        </w:tc>
      </w:tr>
    </w:tbl>
    <w:p w14:paraId="4884BDCC">
      <w:pPr>
        <w:spacing w:line="360" w:lineRule="auto"/>
        <w:rPr>
          <w:rFonts w:ascii="宋体" w:hAnsi="宋体" w:cs="仿宋_GB2312"/>
          <w:color w:val="auto"/>
          <w:kern w:val="0"/>
          <w:szCs w:val="21"/>
          <w:highlight w:val="none"/>
        </w:rPr>
      </w:pPr>
      <w:r>
        <w:rPr>
          <w:rFonts w:hint="eastAsia" w:ascii="宋体" w:hAnsi="宋体" w:cs="仿宋_GB2312"/>
          <w:color w:val="auto"/>
          <w:kern w:val="0"/>
          <w:highlight w:val="none"/>
        </w:rPr>
        <w:t>注：本表格式用于填写</w:t>
      </w:r>
      <w:r>
        <w:rPr>
          <w:rFonts w:hint="eastAsia" w:ascii="宋体" w:hAnsi="宋体"/>
          <w:color w:val="auto"/>
          <w:szCs w:val="21"/>
          <w:highlight w:val="none"/>
        </w:rPr>
        <w:t>“第二篇 竞选人须知前附表  1.4.1”规定的“拟派项目人员”详细情况</w:t>
      </w:r>
      <w:r>
        <w:rPr>
          <w:rFonts w:hint="eastAsia" w:ascii="宋体" w:hAnsi="宋体" w:cs="仿宋_GB2312"/>
          <w:color w:val="auto"/>
          <w:kern w:val="0"/>
          <w:szCs w:val="21"/>
          <w:highlight w:val="none"/>
        </w:rPr>
        <w:t>，每名人员单独填写一张表格，并按竞选人须知前附表1.4.1条规定提供相关证明资料复印件附在表后。</w:t>
      </w:r>
    </w:p>
    <w:p w14:paraId="026E68F7">
      <w:pPr>
        <w:spacing w:line="360" w:lineRule="auto"/>
        <w:rPr>
          <w:rFonts w:ascii="宋体" w:hAnsi="宋体" w:cs="仿宋_GB2312"/>
          <w:color w:val="auto"/>
          <w:kern w:val="0"/>
          <w:szCs w:val="21"/>
          <w:highlight w:val="none"/>
        </w:rPr>
      </w:pPr>
    </w:p>
    <w:p w14:paraId="6F60860E">
      <w:pPr>
        <w:spacing w:line="360" w:lineRule="exact"/>
        <w:ind w:firstLine="8312" w:firstLineChars="2300"/>
        <w:rPr>
          <w:rFonts w:ascii="宋体" w:hAnsi="宋体" w:cs="宋体"/>
          <w:color w:val="auto"/>
          <w:szCs w:val="21"/>
          <w:highlight w:val="none"/>
          <w:u w:val="single"/>
        </w:rPr>
      </w:pPr>
      <w:r>
        <w:rPr>
          <w:rFonts w:ascii="宋体" w:hAnsi="宋体"/>
          <w:b/>
          <w:snapToGrid w:val="0"/>
          <w:color w:val="auto"/>
          <w:kern w:val="0"/>
          <w:sz w:val="36"/>
          <w:szCs w:val="32"/>
          <w:highlight w:val="none"/>
        </w:rPr>
        <w:br w:type="page"/>
      </w:r>
    </w:p>
    <w:p w14:paraId="3885F27A">
      <w:pPr>
        <w:pStyle w:val="8"/>
        <w:spacing w:after="0" w:line="360" w:lineRule="auto"/>
        <w:jc w:val="center"/>
        <w:rPr>
          <w:rFonts w:ascii="宋体" w:hAnsi="宋体" w:cs="宋体"/>
          <w:b/>
          <w:bCs/>
          <w:color w:val="auto"/>
          <w:sz w:val="36"/>
          <w:szCs w:val="36"/>
          <w:highlight w:val="none"/>
        </w:rPr>
        <w:sectPr>
          <w:pgSz w:w="11905" w:h="16838"/>
          <w:pgMar w:top="1134" w:right="1134" w:bottom="1134" w:left="1134" w:header="0" w:footer="0" w:gutter="0"/>
          <w:cols w:space="0" w:num="1"/>
          <w:docGrid w:type="lines" w:linePitch="317" w:charSpace="0"/>
        </w:sectPr>
      </w:pPr>
      <w:bookmarkStart w:id="824" w:name="_Toc287620834"/>
      <w:bookmarkStart w:id="825" w:name="_Toc534185841"/>
      <w:bookmarkStart w:id="826" w:name="_Toc277082660"/>
      <w:bookmarkStart w:id="827" w:name="_Toc287607888"/>
      <w:bookmarkStart w:id="828" w:name="_Toc509218864"/>
      <w:bookmarkStart w:id="829" w:name="_Toc57905933"/>
      <w:bookmarkStart w:id="830" w:name="_Toc430530550"/>
      <w:r>
        <w:rPr>
          <w:rFonts w:hint="eastAsia" w:ascii="宋体" w:hAnsi="宋体"/>
          <w:b/>
          <w:bCs/>
          <w:color w:val="auto"/>
          <w:sz w:val="32"/>
          <w:szCs w:val="32"/>
          <w:highlight w:val="none"/>
        </w:rPr>
        <w:t>（四）近年财务状况</w:t>
      </w:r>
      <w:bookmarkEnd w:id="824"/>
      <w:bookmarkEnd w:id="825"/>
      <w:bookmarkEnd w:id="826"/>
      <w:bookmarkEnd w:id="827"/>
      <w:bookmarkEnd w:id="828"/>
      <w:bookmarkEnd w:id="829"/>
      <w:bookmarkEnd w:id="830"/>
    </w:p>
    <w:p w14:paraId="2D434E91">
      <w:pPr>
        <w:pStyle w:val="8"/>
        <w:spacing w:after="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w:t>
      </w:r>
      <w:r>
        <w:rPr>
          <w:rFonts w:hint="eastAsia" w:ascii="宋体" w:hAnsi="宋体" w:cs="宋体"/>
          <w:b/>
          <w:bCs/>
          <w:color w:val="auto"/>
          <w:sz w:val="36"/>
          <w:szCs w:val="36"/>
          <w:highlight w:val="none"/>
          <w:lang w:val="en-US" w:eastAsia="zh-CN"/>
        </w:rPr>
        <w:t>五</w:t>
      </w:r>
      <w:r>
        <w:rPr>
          <w:rFonts w:hint="eastAsia" w:ascii="宋体" w:hAnsi="宋体" w:cs="宋体"/>
          <w:b/>
          <w:bCs/>
          <w:color w:val="auto"/>
          <w:sz w:val="36"/>
          <w:szCs w:val="36"/>
          <w:highlight w:val="none"/>
        </w:rPr>
        <w:t>）承诺</w:t>
      </w:r>
    </w:p>
    <w:p w14:paraId="06BDB78B">
      <w:pPr>
        <w:snapToGrid w:val="0"/>
        <w:spacing w:line="36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045B229A">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  </w:t>
      </w:r>
      <w:r>
        <w:rPr>
          <w:rFonts w:hint="eastAsia" w:ascii="宋体" w:hAnsi="宋体"/>
          <w:color w:val="auto"/>
          <w:szCs w:val="21"/>
          <w:highlight w:val="none"/>
        </w:rPr>
        <w:t>申请了贵单位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的比选，自愿作出以下承诺：</w:t>
      </w:r>
    </w:p>
    <w:p w14:paraId="07C79B89">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1、我公司比选截止日比选资格情况不存在下列情形之一：</w:t>
      </w:r>
    </w:p>
    <w:p w14:paraId="600D416F">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（1）被人民法院在“信用中国”网站（www.creditchina.gov.cn）列入失信被执行人名单且在被执行期内；</w:t>
      </w:r>
    </w:p>
    <w:p w14:paraId="44497B7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14:paraId="67CF0C6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（3）被列入《重庆市工程建设领域招标投标信用管理暂行办法》规定的重庆市工程建设领域招标投标失信惩戒对象名单（以下称黑名单）且在记分有效期内；</w:t>
      </w:r>
    </w:p>
    <w:p w14:paraId="308E2BC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14:paraId="5647505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（5）被重庆市住房和城乡建设主管部门暂停在渝承揽新业务且在暂停期内；</w:t>
      </w:r>
    </w:p>
    <w:p w14:paraId="45EA783C">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2、我公司不存在第二章 竞选人须知第 1.4.3 项规定的任何一种情形。</w:t>
      </w:r>
    </w:p>
    <w:p w14:paraId="515F36C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3、我公司的竞选文件符合第四章 合同条款及格式规定，竞选文件中没有贵单位不能接受的条件。</w:t>
      </w:r>
    </w:p>
    <w:p w14:paraId="50C3B22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4、我公司的竞选文件符合第二章 竞选人须知第 1.3.1 项的规定。</w:t>
      </w:r>
    </w:p>
    <w:p w14:paraId="65D1D07C">
      <w:pPr>
        <w:pStyle w:val="8"/>
        <w:rPr>
          <w:rFonts w:ascii="宋体" w:hAnsi="宋体"/>
          <w:color w:val="auto"/>
          <w:highlight w:val="none"/>
        </w:rPr>
      </w:pPr>
    </w:p>
    <w:p w14:paraId="581EFD0F">
      <w:pPr>
        <w:tabs>
          <w:tab w:val="left" w:pos="4200"/>
          <w:tab w:val="left" w:pos="4620"/>
        </w:tabs>
        <w:autoSpaceDE w:val="0"/>
        <w:autoSpaceDN w:val="0"/>
        <w:adjustRightInd w:val="0"/>
        <w:snapToGrid w:val="0"/>
        <w:spacing w:line="3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2C797BF2">
      <w:pPr>
        <w:tabs>
          <w:tab w:val="left" w:pos="6300"/>
        </w:tabs>
        <w:autoSpaceDE w:val="0"/>
        <w:autoSpaceDN w:val="0"/>
        <w:adjustRightInd w:val="0"/>
        <w:snapToGrid w:val="0"/>
        <w:spacing w:line="360" w:lineRule="exact"/>
        <w:ind w:firstLine="420" w:firstLineChars="200"/>
        <w:jc w:val="left"/>
        <w:rPr>
          <w:rFonts w:ascii="宋体" w:hAnsi="宋体"/>
          <w:color w:val="auto"/>
          <w:kern w:val="0"/>
          <w:szCs w:val="21"/>
          <w:highlight w:val="none"/>
        </w:rPr>
      </w:pPr>
    </w:p>
    <w:p w14:paraId="557A09B7">
      <w:pPr>
        <w:tabs>
          <w:tab w:val="left" w:pos="6300"/>
        </w:tabs>
        <w:autoSpaceDE w:val="0"/>
        <w:autoSpaceDN w:val="0"/>
        <w:adjustRightInd w:val="0"/>
        <w:snapToGrid w:val="0"/>
        <w:spacing w:line="36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olor w:val="auto"/>
          <w:kern w:val="0"/>
          <w:szCs w:val="21"/>
          <w:highlight w:val="none"/>
        </w:rPr>
        <w:t>或委托代理人</w:t>
      </w:r>
      <w:r>
        <w:rPr>
          <w:rFonts w:ascii="宋体" w:hAnsi="宋体"/>
          <w:color w:val="auto"/>
          <w:kern w:val="0"/>
          <w:szCs w:val="21"/>
          <w:highlight w:val="none"/>
        </w:rPr>
        <w:t>：（签字或盖章）</w:t>
      </w:r>
    </w:p>
    <w:p w14:paraId="1238CEE5">
      <w:pPr>
        <w:pStyle w:val="8"/>
        <w:spacing w:after="0" w:line="360" w:lineRule="exact"/>
        <w:jc w:val="right"/>
        <w:rPr>
          <w:rFonts w:ascii="宋体" w:hAnsi="宋体"/>
          <w:color w:val="auto"/>
          <w:kern w:val="0"/>
          <w:szCs w:val="21"/>
          <w:highlight w:val="none"/>
          <w:u w:val="single"/>
        </w:rPr>
      </w:pPr>
    </w:p>
    <w:p w14:paraId="177CDD68">
      <w:pPr>
        <w:pStyle w:val="8"/>
        <w:spacing w:after="0" w:line="360" w:lineRule="exact"/>
        <w:jc w:val="right"/>
        <w:rPr>
          <w:rFonts w:ascii="宋体" w:hAnsi="宋体" w:cs="宋体"/>
          <w:b/>
          <w:bCs/>
          <w:color w:val="auto"/>
          <w:sz w:val="36"/>
          <w:szCs w:val="36"/>
          <w:highlight w:val="none"/>
        </w:rPr>
      </w:pPr>
      <w:r>
        <w:rPr>
          <w:rFonts w:ascii="宋体" w:hAnsi="宋体"/>
          <w:color w:val="auto"/>
          <w:kern w:val="0"/>
          <w:szCs w:val="21"/>
          <w:highlight w:val="none"/>
        </w:rPr>
        <w:t>年月</w:t>
      </w:r>
      <w:r>
        <w:rPr>
          <w:rFonts w:hint="eastAsia" w:ascii="宋体" w:hAnsi="宋体"/>
          <w:color w:val="auto"/>
          <w:kern w:val="0"/>
          <w:szCs w:val="21"/>
          <w:highlight w:val="none"/>
          <w:u w:val="single"/>
        </w:rPr>
        <w:t xml:space="preserve">    日</w:t>
      </w:r>
    </w:p>
    <w:p w14:paraId="454A4170">
      <w:pPr>
        <w:rPr>
          <w:rFonts w:ascii="宋体" w:hAnsi="宋体"/>
          <w:color w:val="auto"/>
          <w:highlight w:val="none"/>
        </w:rPr>
      </w:pPr>
      <w:r>
        <w:rPr>
          <w:rFonts w:ascii="宋体" w:hAnsi="宋体"/>
          <w:color w:val="auto"/>
          <w:highlight w:val="none"/>
        </w:rPr>
        <w:br w:type="page"/>
      </w:r>
    </w:p>
    <w:p w14:paraId="6138C2CD">
      <w:pPr>
        <w:pStyle w:val="8"/>
        <w:rPr>
          <w:rFonts w:ascii="宋体" w:hAnsi="宋体"/>
          <w:color w:val="auto"/>
          <w:highlight w:val="none"/>
        </w:rPr>
      </w:pPr>
    </w:p>
    <w:p w14:paraId="67C93D65">
      <w:pPr>
        <w:pStyle w:val="8"/>
        <w:numPr>
          <w:ilvl w:val="0"/>
          <w:numId w:val="2"/>
        </w:numPr>
        <w:spacing w:after="0" w:line="360" w:lineRule="auto"/>
        <w:jc w:val="center"/>
        <w:rPr>
          <w:rFonts w:ascii="宋体" w:hAnsi="宋体"/>
          <w:b/>
          <w:bCs/>
          <w:color w:val="auto"/>
          <w:sz w:val="32"/>
          <w:szCs w:val="32"/>
          <w:highlight w:val="none"/>
        </w:rPr>
      </w:pPr>
      <w:bookmarkStart w:id="831" w:name="_Toc57905936"/>
      <w:r>
        <w:rPr>
          <w:rFonts w:hint="eastAsia" w:ascii="宋体" w:hAnsi="宋体"/>
          <w:b/>
          <w:bCs/>
          <w:color w:val="auto"/>
          <w:sz w:val="32"/>
          <w:szCs w:val="32"/>
          <w:highlight w:val="none"/>
        </w:rPr>
        <w:t>其他资料</w:t>
      </w:r>
      <w:bookmarkEnd w:id="831"/>
    </w:p>
    <w:p w14:paraId="40C8807E">
      <w:pPr>
        <w:rPr>
          <w:rFonts w:ascii="宋体" w:hAnsi="宋体"/>
          <w:color w:val="auto"/>
          <w:highlight w:val="none"/>
        </w:rPr>
      </w:pPr>
    </w:p>
    <w:p w14:paraId="0CE10F19">
      <w:pPr>
        <w:pStyle w:val="8"/>
        <w:rPr>
          <w:rFonts w:ascii="宋体" w:hAnsi="宋体"/>
          <w:color w:val="auto"/>
          <w:highlight w:val="none"/>
        </w:rPr>
      </w:pPr>
    </w:p>
    <w:p w14:paraId="7B6DDDCB">
      <w:pPr>
        <w:rPr>
          <w:rFonts w:ascii="宋体" w:hAnsi="宋体"/>
          <w:color w:val="auto"/>
          <w:highlight w:val="none"/>
        </w:rPr>
      </w:pPr>
    </w:p>
    <w:p w14:paraId="5A2972C6">
      <w:pPr>
        <w:pStyle w:val="8"/>
        <w:rPr>
          <w:rFonts w:ascii="宋体" w:hAnsi="宋体"/>
          <w:color w:val="auto"/>
          <w:highlight w:val="none"/>
        </w:rPr>
      </w:pPr>
    </w:p>
    <w:p w14:paraId="2EA5B1BA">
      <w:pPr>
        <w:rPr>
          <w:rFonts w:ascii="宋体" w:hAnsi="宋体"/>
          <w:color w:val="auto"/>
          <w:highlight w:val="none"/>
        </w:rPr>
      </w:pPr>
    </w:p>
    <w:p w14:paraId="29AD5498">
      <w:pPr>
        <w:pStyle w:val="8"/>
        <w:rPr>
          <w:rFonts w:ascii="宋体" w:hAnsi="宋体"/>
          <w:color w:val="auto"/>
          <w:highlight w:val="none"/>
        </w:rPr>
      </w:pPr>
    </w:p>
    <w:p w14:paraId="5D8905AC">
      <w:pPr>
        <w:rPr>
          <w:rFonts w:ascii="宋体" w:hAnsi="宋体"/>
          <w:color w:val="auto"/>
          <w:highlight w:val="none"/>
        </w:rPr>
      </w:pPr>
    </w:p>
    <w:p w14:paraId="74A19275">
      <w:pPr>
        <w:pStyle w:val="8"/>
        <w:rPr>
          <w:rFonts w:ascii="宋体" w:hAnsi="宋体"/>
          <w:color w:val="auto"/>
          <w:highlight w:val="none"/>
        </w:rPr>
      </w:pPr>
    </w:p>
    <w:p w14:paraId="549132ED">
      <w:pPr>
        <w:rPr>
          <w:rFonts w:ascii="宋体" w:hAnsi="宋体"/>
          <w:color w:val="auto"/>
          <w:highlight w:val="none"/>
        </w:rPr>
      </w:pPr>
    </w:p>
    <w:p w14:paraId="0B0A0AE1">
      <w:pPr>
        <w:pStyle w:val="8"/>
        <w:rPr>
          <w:rFonts w:ascii="宋体" w:hAnsi="宋体"/>
          <w:color w:val="auto"/>
          <w:highlight w:val="none"/>
        </w:rPr>
      </w:pPr>
    </w:p>
    <w:p w14:paraId="040CB8C3">
      <w:pPr>
        <w:rPr>
          <w:rFonts w:ascii="宋体" w:hAnsi="宋体"/>
          <w:color w:val="auto"/>
          <w:highlight w:val="none"/>
        </w:rPr>
      </w:pPr>
    </w:p>
    <w:p w14:paraId="2BE1ED78">
      <w:pPr>
        <w:pStyle w:val="8"/>
        <w:rPr>
          <w:rFonts w:ascii="宋体" w:hAnsi="宋体"/>
          <w:color w:val="auto"/>
          <w:highlight w:val="none"/>
        </w:rPr>
      </w:pPr>
    </w:p>
    <w:p w14:paraId="1F9B4142">
      <w:pPr>
        <w:rPr>
          <w:rFonts w:ascii="宋体" w:hAnsi="宋体"/>
          <w:color w:val="auto"/>
          <w:highlight w:val="none"/>
        </w:rPr>
      </w:pPr>
    </w:p>
    <w:p w14:paraId="6DB98212">
      <w:pPr>
        <w:pStyle w:val="8"/>
        <w:rPr>
          <w:rFonts w:ascii="宋体" w:hAnsi="宋体"/>
          <w:color w:val="auto"/>
          <w:highlight w:val="none"/>
        </w:rPr>
      </w:pPr>
    </w:p>
    <w:p w14:paraId="65A20BDA">
      <w:pPr>
        <w:rPr>
          <w:rFonts w:ascii="宋体" w:hAnsi="宋体"/>
          <w:color w:val="auto"/>
          <w:highlight w:val="none"/>
        </w:rPr>
      </w:pPr>
    </w:p>
    <w:p w14:paraId="7A92E5E3">
      <w:pPr>
        <w:pStyle w:val="8"/>
        <w:rPr>
          <w:rFonts w:ascii="宋体" w:hAnsi="宋体"/>
          <w:color w:val="auto"/>
          <w:highlight w:val="none"/>
        </w:rPr>
      </w:pPr>
    </w:p>
    <w:p w14:paraId="21D31434">
      <w:pPr>
        <w:rPr>
          <w:rFonts w:ascii="宋体" w:hAnsi="宋体"/>
          <w:color w:val="auto"/>
          <w:highlight w:val="none"/>
        </w:rPr>
      </w:pPr>
    </w:p>
    <w:p w14:paraId="2AA5BFE2">
      <w:pPr>
        <w:pStyle w:val="8"/>
        <w:rPr>
          <w:rFonts w:ascii="宋体" w:hAnsi="宋体"/>
          <w:color w:val="auto"/>
          <w:highlight w:val="none"/>
        </w:rPr>
      </w:pPr>
    </w:p>
    <w:p w14:paraId="607880AF">
      <w:pPr>
        <w:rPr>
          <w:rFonts w:ascii="宋体" w:hAnsi="宋体"/>
          <w:color w:val="auto"/>
          <w:highlight w:val="none"/>
        </w:rPr>
      </w:pPr>
    </w:p>
    <w:p w14:paraId="232DD632">
      <w:pPr>
        <w:pStyle w:val="8"/>
        <w:rPr>
          <w:rFonts w:ascii="宋体" w:hAnsi="宋体"/>
          <w:color w:val="auto"/>
          <w:highlight w:val="none"/>
        </w:rPr>
      </w:pPr>
    </w:p>
    <w:p w14:paraId="10FBEA72">
      <w:pPr>
        <w:rPr>
          <w:rFonts w:ascii="宋体" w:hAnsi="宋体"/>
          <w:color w:val="auto"/>
          <w:highlight w:val="none"/>
        </w:rPr>
      </w:pPr>
    </w:p>
    <w:p w14:paraId="56B0BC55">
      <w:pPr>
        <w:pStyle w:val="8"/>
        <w:rPr>
          <w:rFonts w:ascii="宋体" w:hAnsi="宋体"/>
          <w:color w:val="auto"/>
          <w:highlight w:val="none"/>
        </w:rPr>
      </w:pPr>
    </w:p>
    <w:p w14:paraId="430E167D">
      <w:pPr>
        <w:rPr>
          <w:rFonts w:ascii="宋体" w:hAnsi="宋体"/>
          <w:color w:val="auto"/>
          <w:highlight w:val="none"/>
        </w:rPr>
      </w:pPr>
    </w:p>
    <w:p w14:paraId="79EC517D">
      <w:pPr>
        <w:pStyle w:val="8"/>
        <w:rPr>
          <w:rFonts w:ascii="宋体" w:hAnsi="宋体"/>
          <w:color w:val="auto"/>
          <w:highlight w:val="none"/>
        </w:rPr>
      </w:pPr>
    </w:p>
    <w:p w14:paraId="2665FD7B">
      <w:pPr>
        <w:rPr>
          <w:rFonts w:ascii="宋体" w:hAnsi="宋体"/>
          <w:color w:val="auto"/>
          <w:highlight w:val="none"/>
        </w:rPr>
      </w:pPr>
    </w:p>
    <w:p w14:paraId="7D97FBDD">
      <w:pPr>
        <w:pStyle w:val="8"/>
        <w:rPr>
          <w:rFonts w:ascii="宋体" w:hAnsi="宋体"/>
          <w:color w:val="auto"/>
          <w:highlight w:val="none"/>
        </w:rPr>
      </w:pPr>
    </w:p>
    <w:p w14:paraId="1CE4AA03">
      <w:pPr>
        <w:rPr>
          <w:rFonts w:ascii="宋体" w:hAnsi="宋体"/>
          <w:color w:val="auto"/>
          <w:highlight w:val="none"/>
        </w:rPr>
      </w:pPr>
    </w:p>
    <w:p w14:paraId="3377D296">
      <w:pPr>
        <w:pStyle w:val="8"/>
        <w:rPr>
          <w:rFonts w:ascii="宋体" w:hAnsi="宋体"/>
          <w:color w:val="auto"/>
          <w:highlight w:val="none"/>
        </w:rPr>
      </w:pPr>
    </w:p>
    <w:p w14:paraId="5A4270C6">
      <w:pPr>
        <w:rPr>
          <w:rFonts w:ascii="宋体" w:hAnsi="宋体"/>
          <w:color w:val="auto"/>
          <w:highlight w:val="none"/>
        </w:rPr>
      </w:pPr>
    </w:p>
    <w:p w14:paraId="49FFDEB2">
      <w:pPr>
        <w:pStyle w:val="8"/>
        <w:rPr>
          <w:rFonts w:ascii="宋体" w:hAnsi="宋体"/>
          <w:color w:val="auto"/>
          <w:highlight w:val="none"/>
        </w:rPr>
      </w:pPr>
    </w:p>
    <w:p w14:paraId="55B25569">
      <w:pPr>
        <w:rPr>
          <w:rFonts w:ascii="宋体" w:hAnsi="宋体"/>
          <w:color w:val="auto"/>
          <w:highlight w:val="none"/>
        </w:rPr>
      </w:pPr>
    </w:p>
    <w:p w14:paraId="1571EA3E">
      <w:pPr>
        <w:pStyle w:val="8"/>
        <w:rPr>
          <w:rFonts w:ascii="宋体" w:hAnsi="宋体"/>
          <w:color w:val="auto"/>
          <w:highlight w:val="none"/>
        </w:rPr>
      </w:pPr>
    </w:p>
    <w:p w14:paraId="6ED8191D">
      <w:pPr>
        <w:rPr>
          <w:rFonts w:ascii="宋体" w:hAnsi="宋体"/>
          <w:color w:val="auto"/>
          <w:highlight w:val="none"/>
        </w:rPr>
      </w:pPr>
    </w:p>
    <w:p w14:paraId="0EABEF60">
      <w:pPr>
        <w:pStyle w:val="8"/>
        <w:rPr>
          <w:rFonts w:ascii="宋体" w:hAnsi="宋体"/>
          <w:color w:val="auto"/>
          <w:highlight w:val="none"/>
        </w:rPr>
      </w:pPr>
    </w:p>
    <w:p w14:paraId="5A01CB80">
      <w:pPr>
        <w:rPr>
          <w:rFonts w:ascii="宋体" w:hAnsi="宋体"/>
          <w:color w:val="auto"/>
          <w:highlight w:val="none"/>
        </w:rPr>
      </w:pPr>
    </w:p>
    <w:p w14:paraId="07D1B148">
      <w:pPr>
        <w:pStyle w:val="8"/>
        <w:rPr>
          <w:rFonts w:ascii="宋体" w:hAnsi="宋体"/>
          <w:color w:val="auto"/>
          <w:highlight w:val="none"/>
        </w:rPr>
      </w:pPr>
    </w:p>
    <w:p w14:paraId="4A69C730">
      <w:pPr>
        <w:rPr>
          <w:rFonts w:ascii="宋体" w:hAnsi="宋体"/>
          <w:b/>
          <w:color w:val="auto"/>
          <w:highlight w:val="none"/>
        </w:rPr>
      </w:pPr>
      <w:r>
        <w:rPr>
          <w:rFonts w:ascii="宋体" w:hAnsi="宋体"/>
          <w:color w:val="auto"/>
          <w:highlight w:val="none"/>
        </w:rPr>
        <w:pict>
          <v:rect id="矩形 111" o:spid="_x0000_s1034" o:spt="1" style="position:absolute;left:0pt;margin-left:142.2pt;margin-top:106.4pt;height:62.4pt;width:168.05pt;mso-position-horizontal-relative:char;mso-position-vertical-relative:line;mso-wrap-style:none;z-index:251664384;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path/>
            <v:fill on="f" focussize="0,0"/>
            <v:stroke on="f"/>
            <v:imagedata o:title=""/>
            <o:lock v:ext="edit"/>
            <v:textbox inset="0mm,0mm,0mm,0mm" style="mso-fit-shape-to-text:t;">
              <w:txbxContent>
                <w:p w14:paraId="1A7AA2F3">
                  <w:pPr>
                    <w:jc w:val="center"/>
                    <w:rPr>
                      <w:rFonts w:ascii="仿宋" w:hAnsi="仿宋" w:eastAsia="仿宋" w:cs="仿宋"/>
                      <w:sz w:val="84"/>
                      <w:szCs w:val="84"/>
                    </w:rPr>
                  </w:pPr>
                  <w:r>
                    <w:rPr>
                      <w:rFonts w:hint="eastAsia" w:ascii="仿宋" w:hAnsi="仿宋" w:eastAsia="仿宋" w:cs="仿宋"/>
                      <w:color w:val="000000"/>
                      <w:sz w:val="84"/>
                      <w:szCs w:val="84"/>
                    </w:rPr>
                    <w:t>服务方案</w:t>
                  </w:r>
                </w:p>
              </w:txbxContent>
            </v:textbox>
          </v:rect>
        </w:pict>
      </w:r>
      <w:r>
        <w:rPr>
          <w:rFonts w:ascii="宋体" w:hAnsi="宋体"/>
          <w:color w:val="auto"/>
          <w:highlight w:val="none"/>
        </w:rPr>
        <w:pict>
          <v:rect id="_x0000_s1033" o:spid="_x0000_s1033" o:spt="1" style="position:absolute;left:0pt;margin-left:305.85pt;margin-top:736.45pt;height:15.6pt;width:33.05pt;mso-position-horizontal-relative:char;mso-position-vertical-relative:line;mso-wrap-style:none;rotation:-2883584f;z-index:25166848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path/>
            <v:fill on="f" focussize="0,0"/>
            <v:stroke on="f"/>
            <v:imagedata o:title=""/>
            <o:lock v:ext="edit"/>
            <v:textbox inset="0mm,0mm,0mm,0mm" style="mso-fit-shape-to-text:t;">
              <w:txbxContent>
                <w:p w14:paraId="09D074B8">
                  <w:pPr>
                    <w:rPr>
                      <w:sz w:val="20"/>
                    </w:rPr>
                  </w:pPr>
                  <w:r>
                    <w:rPr>
                      <w:rFonts w:hint="eastAsia" w:ascii="宋体" w:cs="宋体"/>
                      <w:bCs/>
                      <w:color w:val="000000"/>
                      <w:sz w:val="22"/>
                    </w:rPr>
                    <w:t>密封线</w:t>
                  </w:r>
                </w:p>
              </w:txbxContent>
            </v:textbox>
          </v:rect>
        </w:pict>
      </w:r>
      <w:r>
        <w:rPr>
          <w:rFonts w:ascii="宋体" w:hAnsi="宋体"/>
          <w:color w:val="auto"/>
          <w:highlight w:val="none"/>
        </w:rPr>
        <w:pict>
          <v:line id="直线 132" o:spid="_x0000_s1032" o:spt="20" style="position:absolute;left:0pt;flip:x y;margin-left:288.9pt;margin-top:533.35pt;height:246.3pt;width:0.25pt;mso-position-horizontal-relative:char;mso-position-vertical-relative:line;z-index:251666432;mso-width-relative:page;mso-height-relative:page;"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path arrowok="t"/>
            <v:fill focussize="0,0"/>
            <v:stroke joinstyle="miter" dashstyle="dash"/>
            <v:imagedata o:title=""/>
            <o:lock v:ext="edit"/>
          </v:line>
        </w:pict>
      </w:r>
      <w:r>
        <w:rPr>
          <w:rFonts w:ascii="宋体" w:hAnsi="宋体"/>
          <w:color w:val="auto"/>
          <w:highlight w:val="none"/>
        </w:rPr>
        <w:pict>
          <v:shape id="直接连接符 112" o:spid="_x0000_s1031" o:spt="32" type="#_x0000_t32" style="position:absolute;left:0pt;flip:y;margin-left:290.2pt;margin-top:533.6pt;height:0.35pt;width:242.3pt;mso-position-horizontal-relative:char;mso-position-vertical-relative:line;z-index:251661312;mso-width-relative:page;mso-height-relative:page;" filled="f"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path arrowok="t"/>
            <v:fill on="f" focussize="0,0"/>
            <v:stroke joinstyle="miter" dashstyle="dash"/>
            <v:imagedata o:title=""/>
            <o:lock v:ext="edit"/>
          </v:shape>
        </w:pict>
      </w:r>
      <w:r>
        <w:rPr>
          <w:rFonts w:ascii="宋体" w:hAnsi="宋体"/>
          <w:color w:val="auto"/>
          <w:highlight w:val="none"/>
        </w:rPr>
        <w:pict>
          <v:line id="直线 134" o:spid="_x0000_s1030" o:spt="20" style="position:absolute;left:0pt;flip:y;margin-left:290.6pt;margin-top:534.1pt;height:242.95pt;width:240.75pt;mso-position-horizontal-relative:char;mso-position-vertical-relative:line;z-index:251665408;mso-width-relative:page;mso-height-relative:page;"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path arrowok="t"/>
            <v:fill focussize="0,0"/>
            <v:stroke joinstyle="miter" dashstyle="dashDot"/>
            <v:imagedata o:title=""/>
            <o:lock v:ext="edit"/>
          </v:line>
        </w:pict>
      </w:r>
      <w:r>
        <w:rPr>
          <w:rFonts w:ascii="宋体" w:hAnsi="宋体"/>
          <w:color w:val="auto"/>
          <w:highlight w:val="none"/>
        </w:rPr>
        <w:pict>
          <v:shape id="椭圆 115" o:spid="_x0000_s1029" o:spt="3" type="#_x0000_t3" style="position:absolute;left:0pt;margin-left:335.15pt;margin-top:579.5pt;height:146.2pt;width:146.25pt;mso-position-horizontal-relative:char;mso-position-vertical-relative:line;z-index:251662336;mso-width-relative:page;mso-height-relative:page;" filled="f"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path/>
            <v:fill on="f" focussize="0,0"/>
            <v:stroke joinstyle="miter" dashstyle="dashDot"/>
            <v:imagedata o:title=""/>
            <o:lock v:ext="edit"/>
            <v:textbox>
              <w:txbxContent>
                <w:p w14:paraId="48681368"/>
              </w:txbxContent>
            </v:textbox>
          </v:shape>
        </w:pict>
      </w:r>
      <w:r>
        <w:rPr>
          <w:rFonts w:ascii="宋体" w:hAnsi="宋体"/>
          <w:color w:val="auto"/>
          <w:highlight w:val="none"/>
        </w:rPr>
        <w:pict>
          <v:rect id="矩形 114" o:spid="_x0000_s1028" o:spt="1" style="position:absolute;left:0pt;margin-left:483.5pt;margin-top:558.3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path/>
            <v:fill on="f" focussize="0,0"/>
            <v:stroke on="f"/>
            <v:imagedata o:title=""/>
            <o:lock v:ext="edit"/>
            <v:textbox inset="0mm,0mm,0mm,0mm" style="mso-fit-shape-to-text:t;">
              <w:txbxContent>
                <w:p w14:paraId="56A0CA7A">
                  <w:pPr>
                    <w:rPr>
                      <w:sz w:val="20"/>
                    </w:rPr>
                  </w:pPr>
                  <w:r>
                    <w:rPr>
                      <w:rFonts w:hint="eastAsia" w:ascii="宋体" w:cs="宋体"/>
                      <w:bCs/>
                      <w:color w:val="000000"/>
                      <w:sz w:val="22"/>
                    </w:rPr>
                    <w:t>密封线</w:t>
                  </w:r>
                </w:p>
              </w:txbxContent>
            </v:textbox>
          </v:rect>
        </w:pict>
      </w:r>
      <w:r>
        <w:rPr>
          <w:rFonts w:ascii="宋体" w:hAnsi="宋体"/>
          <w:color w:val="auto"/>
          <w:highlight w:val="none"/>
        </w:rPr>
        <w:pict>
          <v:rect id="矩形 113" o:spid="_x0000_s1027" o:spt="1" style="position:absolute;left:0pt;margin-left:363.4pt;margin-top:638.7pt;height:31.2pt;width:91.05pt;mso-position-horizontal-relative:char;mso-position-vertical-relative:line;mso-wrap-style:none;z-index:251663360;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path/>
            <v:fill on="f" focussize="0,0"/>
            <v:stroke on="f"/>
            <v:imagedata o:title=""/>
            <o:lock v:ext="edit"/>
            <v:textbox inset="0mm,0mm,0mm,0mm" style="mso-fit-shape-to-text:t;">
              <w:txbxContent>
                <w:p w14:paraId="1527DA4E">
                  <w:pPr>
                    <w:rPr>
                      <w:sz w:val="20"/>
                    </w:rPr>
                  </w:pPr>
                  <w:r>
                    <w:rPr>
                      <w:rFonts w:hint="eastAsia" w:ascii="宋体" w:cs="宋体"/>
                      <w:bCs/>
                      <w:color w:val="000000"/>
                      <w:sz w:val="28"/>
                      <w:szCs w:val="30"/>
                    </w:rPr>
                    <w:t>(盖单位章处）</w:t>
                  </w:r>
                </w:p>
              </w:txbxContent>
            </v:textbox>
          </v:rect>
        </w:pict>
      </w:r>
    </w:p>
    <w:p w14:paraId="26F31308">
      <w:pPr>
        <w:pStyle w:val="8"/>
        <w:rPr>
          <w:rFonts w:ascii="宋体" w:hAnsi="宋体"/>
          <w:color w:val="auto"/>
          <w:highlight w:val="none"/>
        </w:rPr>
      </w:pPr>
    </w:p>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052"/>
    </w:sdtPr>
    <w:sdtContent>
      <w:sdt>
        <w:sdtPr>
          <w:id w:val="147461192"/>
        </w:sdtPr>
        <w:sdtContent>
          <w:p w14:paraId="6F418B36">
            <w:pPr>
              <w:pStyle w:val="17"/>
              <w:jc w:val="center"/>
            </w:pPr>
          </w:p>
        </w:sdtContent>
      </w:sdt>
    </w:sdtContent>
  </w:sdt>
  <w:p w14:paraId="14DA862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0107">
    <w:pPr>
      <w:pStyle w:val="17"/>
      <w:jc w:val="cente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path/>
          <v:fill on="f" focussize="0,0"/>
          <v:stroke on="f" weight="0.5pt" joinstyle="miter"/>
          <v:imagedata o:title=""/>
          <o:lock v:ext="edit"/>
          <v:textbox inset="0mm,0mm,0mm,0mm" style="mso-fit-shape-to-text:t;">
            <w:txbxContent>
              <w:p w14:paraId="29D97B2E">
                <w:pPr>
                  <w:pStyle w:val="17"/>
                </w:pPr>
                <w:r>
                  <w:fldChar w:fldCharType="begin"/>
                </w:r>
                <w:r>
                  <w:instrText xml:space="preserve"> PAGE  \* MERGEFORMAT </w:instrText>
                </w:r>
                <w:r>
                  <w:fldChar w:fldCharType="separate"/>
                </w:r>
                <w:r>
                  <w:t>88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FB32">
    <w:pPr>
      <w:pStyle w:val="18"/>
      <w:pBdr>
        <w:bottom w:val="none" w:color="auto" w:sz="0" w:space="1"/>
      </w:pBdr>
      <w:ind w:firstLine="540" w:firstLineChars="300"/>
      <w:jc w:val="both"/>
    </w:pPr>
  </w:p>
  <w:p w14:paraId="501B75F5">
    <w:pPr>
      <w:pStyle w:val="18"/>
      <w:pBdr>
        <w:bottom w:val="none" w:color="auto" w:sz="0" w:space="1"/>
      </w:pBdr>
      <w:ind w:firstLine="540" w:firstLineChars="300"/>
      <w:jc w:val="both"/>
    </w:pPr>
  </w:p>
  <w:p w14:paraId="19B00327">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MzMzEwNDYxZjRmY2FiM2ViZjM4Nzc0ZWUxMzc5MzMifQ=="/>
    <w:docVar w:name="KSO_WPS_MARK_KEY" w:val="09899503-0025-4136-af5e-479c82b28b39"/>
  </w:docVars>
  <w:rsids>
    <w:rsidRoot w:val="2FFE23A7"/>
    <w:rsid w:val="0001767F"/>
    <w:rsid w:val="000421DD"/>
    <w:rsid w:val="0004282F"/>
    <w:rsid w:val="00044E68"/>
    <w:rsid w:val="000515B5"/>
    <w:rsid w:val="00080CD0"/>
    <w:rsid w:val="00091CB6"/>
    <w:rsid w:val="00094DA2"/>
    <w:rsid w:val="000A5C0C"/>
    <w:rsid w:val="000E44F5"/>
    <w:rsid w:val="00107DE6"/>
    <w:rsid w:val="00113131"/>
    <w:rsid w:val="00154A7F"/>
    <w:rsid w:val="001562F1"/>
    <w:rsid w:val="001A2968"/>
    <w:rsid w:val="001B39C5"/>
    <w:rsid w:val="00225681"/>
    <w:rsid w:val="002633B0"/>
    <w:rsid w:val="002B22D5"/>
    <w:rsid w:val="002B7C23"/>
    <w:rsid w:val="00301316"/>
    <w:rsid w:val="0032001C"/>
    <w:rsid w:val="003641D9"/>
    <w:rsid w:val="0037633D"/>
    <w:rsid w:val="00391004"/>
    <w:rsid w:val="00392B56"/>
    <w:rsid w:val="003A23F6"/>
    <w:rsid w:val="003A34F3"/>
    <w:rsid w:val="003A62AA"/>
    <w:rsid w:val="003B3F98"/>
    <w:rsid w:val="003C10B7"/>
    <w:rsid w:val="003F3A4C"/>
    <w:rsid w:val="0041262C"/>
    <w:rsid w:val="00454E2A"/>
    <w:rsid w:val="00455D59"/>
    <w:rsid w:val="004A135E"/>
    <w:rsid w:val="004A59DB"/>
    <w:rsid w:val="004C1AFA"/>
    <w:rsid w:val="004C4B4A"/>
    <w:rsid w:val="004E7CD8"/>
    <w:rsid w:val="004F3C69"/>
    <w:rsid w:val="005370DE"/>
    <w:rsid w:val="00555E15"/>
    <w:rsid w:val="005604C1"/>
    <w:rsid w:val="00561144"/>
    <w:rsid w:val="00565F90"/>
    <w:rsid w:val="005E6CE6"/>
    <w:rsid w:val="00637EEC"/>
    <w:rsid w:val="006D6CFC"/>
    <w:rsid w:val="006E69D2"/>
    <w:rsid w:val="00721D8D"/>
    <w:rsid w:val="007271B2"/>
    <w:rsid w:val="007358D2"/>
    <w:rsid w:val="0075411B"/>
    <w:rsid w:val="00791957"/>
    <w:rsid w:val="007959FF"/>
    <w:rsid w:val="007C259C"/>
    <w:rsid w:val="007D58BC"/>
    <w:rsid w:val="007F07F1"/>
    <w:rsid w:val="007F6088"/>
    <w:rsid w:val="00805EDB"/>
    <w:rsid w:val="00813FC0"/>
    <w:rsid w:val="0086345E"/>
    <w:rsid w:val="00872210"/>
    <w:rsid w:val="008765C2"/>
    <w:rsid w:val="008966EC"/>
    <w:rsid w:val="008A28FC"/>
    <w:rsid w:val="008B5AE2"/>
    <w:rsid w:val="008D313A"/>
    <w:rsid w:val="00935703"/>
    <w:rsid w:val="00952502"/>
    <w:rsid w:val="00955378"/>
    <w:rsid w:val="009710CF"/>
    <w:rsid w:val="00982DEC"/>
    <w:rsid w:val="009939D7"/>
    <w:rsid w:val="009A13B3"/>
    <w:rsid w:val="009B5687"/>
    <w:rsid w:val="009C2597"/>
    <w:rsid w:val="009C4AFC"/>
    <w:rsid w:val="00AA21E7"/>
    <w:rsid w:val="00AE4E5E"/>
    <w:rsid w:val="00AF48AF"/>
    <w:rsid w:val="00B02662"/>
    <w:rsid w:val="00B263E7"/>
    <w:rsid w:val="00B62430"/>
    <w:rsid w:val="00B62DBC"/>
    <w:rsid w:val="00B67F69"/>
    <w:rsid w:val="00B8215B"/>
    <w:rsid w:val="00BF09F6"/>
    <w:rsid w:val="00BF6F24"/>
    <w:rsid w:val="00C01B0B"/>
    <w:rsid w:val="00C02039"/>
    <w:rsid w:val="00C229CA"/>
    <w:rsid w:val="00C66302"/>
    <w:rsid w:val="00C67720"/>
    <w:rsid w:val="00C9616F"/>
    <w:rsid w:val="00CA7F37"/>
    <w:rsid w:val="00CB163C"/>
    <w:rsid w:val="00CD79DA"/>
    <w:rsid w:val="00CF57A1"/>
    <w:rsid w:val="00D15BBE"/>
    <w:rsid w:val="00D85AC0"/>
    <w:rsid w:val="00D94FBE"/>
    <w:rsid w:val="00DA5888"/>
    <w:rsid w:val="00DD7B4B"/>
    <w:rsid w:val="00E22DB4"/>
    <w:rsid w:val="00E271C9"/>
    <w:rsid w:val="00E33062"/>
    <w:rsid w:val="00E47489"/>
    <w:rsid w:val="00E764AF"/>
    <w:rsid w:val="00EB564C"/>
    <w:rsid w:val="00ED3BD8"/>
    <w:rsid w:val="00EE0BD9"/>
    <w:rsid w:val="00EE5AAE"/>
    <w:rsid w:val="00EF11C2"/>
    <w:rsid w:val="00F258BC"/>
    <w:rsid w:val="00F26BE2"/>
    <w:rsid w:val="00F33064"/>
    <w:rsid w:val="00F82A0C"/>
    <w:rsid w:val="00F95EE5"/>
    <w:rsid w:val="00FC38F2"/>
    <w:rsid w:val="00FF0BC9"/>
    <w:rsid w:val="0101295B"/>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76FF5"/>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433F84"/>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A00C18"/>
    <w:rsid w:val="04B2316F"/>
    <w:rsid w:val="04E40345"/>
    <w:rsid w:val="04F44B3B"/>
    <w:rsid w:val="050829F7"/>
    <w:rsid w:val="051200B1"/>
    <w:rsid w:val="05243941"/>
    <w:rsid w:val="052E1B4C"/>
    <w:rsid w:val="05324F15"/>
    <w:rsid w:val="053F6F8A"/>
    <w:rsid w:val="05455E06"/>
    <w:rsid w:val="05492C0D"/>
    <w:rsid w:val="055A7363"/>
    <w:rsid w:val="0562046B"/>
    <w:rsid w:val="056B0B53"/>
    <w:rsid w:val="058A5E9A"/>
    <w:rsid w:val="058E3945"/>
    <w:rsid w:val="058E3AD8"/>
    <w:rsid w:val="05967B74"/>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061D0"/>
    <w:rsid w:val="06FC6923"/>
    <w:rsid w:val="06FE70E5"/>
    <w:rsid w:val="0706182A"/>
    <w:rsid w:val="071A149F"/>
    <w:rsid w:val="071A27E2"/>
    <w:rsid w:val="07230354"/>
    <w:rsid w:val="07263260"/>
    <w:rsid w:val="072B7208"/>
    <w:rsid w:val="0730382D"/>
    <w:rsid w:val="073B7D2E"/>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0410C"/>
    <w:rsid w:val="0AC77248"/>
    <w:rsid w:val="0ACC27E4"/>
    <w:rsid w:val="0ACF3A80"/>
    <w:rsid w:val="0AD23916"/>
    <w:rsid w:val="0AD35BED"/>
    <w:rsid w:val="0AD656DD"/>
    <w:rsid w:val="0ADE5E64"/>
    <w:rsid w:val="0AF22B35"/>
    <w:rsid w:val="0AFA34B1"/>
    <w:rsid w:val="0B106CAC"/>
    <w:rsid w:val="0B1A5CD3"/>
    <w:rsid w:val="0B220922"/>
    <w:rsid w:val="0B2823DD"/>
    <w:rsid w:val="0B2E4A56"/>
    <w:rsid w:val="0B307789"/>
    <w:rsid w:val="0B460AB5"/>
    <w:rsid w:val="0B4D7E8E"/>
    <w:rsid w:val="0B50723E"/>
    <w:rsid w:val="0B6308E9"/>
    <w:rsid w:val="0B705B32"/>
    <w:rsid w:val="0B7145D0"/>
    <w:rsid w:val="0B7373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7E427E"/>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F0B75"/>
    <w:rsid w:val="0D336E17"/>
    <w:rsid w:val="0D470B14"/>
    <w:rsid w:val="0D4C22C8"/>
    <w:rsid w:val="0D57447A"/>
    <w:rsid w:val="0D5A25F6"/>
    <w:rsid w:val="0D5D42FF"/>
    <w:rsid w:val="0D8608DB"/>
    <w:rsid w:val="0D9961D1"/>
    <w:rsid w:val="0DA9532B"/>
    <w:rsid w:val="0DA97B2E"/>
    <w:rsid w:val="0DC4745D"/>
    <w:rsid w:val="0DCB16CB"/>
    <w:rsid w:val="0DCC0A89"/>
    <w:rsid w:val="0DCF5CF9"/>
    <w:rsid w:val="0DEC1F6C"/>
    <w:rsid w:val="0E0235FA"/>
    <w:rsid w:val="0E023819"/>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492922"/>
    <w:rsid w:val="0F587009"/>
    <w:rsid w:val="0F627C4F"/>
    <w:rsid w:val="0F821F29"/>
    <w:rsid w:val="0F844322"/>
    <w:rsid w:val="0F852E27"/>
    <w:rsid w:val="0F8E2509"/>
    <w:rsid w:val="0F951311"/>
    <w:rsid w:val="0F986B8D"/>
    <w:rsid w:val="0F9A17AC"/>
    <w:rsid w:val="0FA43FF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3E61FE"/>
    <w:rsid w:val="104B5127"/>
    <w:rsid w:val="104E0165"/>
    <w:rsid w:val="10521CAA"/>
    <w:rsid w:val="10604498"/>
    <w:rsid w:val="106A794E"/>
    <w:rsid w:val="106D12E6"/>
    <w:rsid w:val="10A76C83"/>
    <w:rsid w:val="10B24586"/>
    <w:rsid w:val="10CC32E8"/>
    <w:rsid w:val="10CC559A"/>
    <w:rsid w:val="10D562A1"/>
    <w:rsid w:val="10DE52EC"/>
    <w:rsid w:val="10E3528B"/>
    <w:rsid w:val="10E87F18"/>
    <w:rsid w:val="10F40931"/>
    <w:rsid w:val="10F96D68"/>
    <w:rsid w:val="10FB17CA"/>
    <w:rsid w:val="10FC788B"/>
    <w:rsid w:val="10FD46D7"/>
    <w:rsid w:val="10FE14EA"/>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3F000C"/>
    <w:rsid w:val="124675EC"/>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49287D"/>
    <w:rsid w:val="144F242A"/>
    <w:rsid w:val="14506500"/>
    <w:rsid w:val="145A616C"/>
    <w:rsid w:val="145A79EE"/>
    <w:rsid w:val="145D5680"/>
    <w:rsid w:val="147A1C07"/>
    <w:rsid w:val="147A7952"/>
    <w:rsid w:val="148F7029"/>
    <w:rsid w:val="14A20FD8"/>
    <w:rsid w:val="14C052F1"/>
    <w:rsid w:val="14C21B6F"/>
    <w:rsid w:val="14C411E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D5A96"/>
    <w:rsid w:val="15B12FCF"/>
    <w:rsid w:val="15CB06E2"/>
    <w:rsid w:val="15D41132"/>
    <w:rsid w:val="15D564C4"/>
    <w:rsid w:val="15DD5B72"/>
    <w:rsid w:val="15DE44D2"/>
    <w:rsid w:val="15E77AEE"/>
    <w:rsid w:val="15EB6829"/>
    <w:rsid w:val="15F2470E"/>
    <w:rsid w:val="15F5735F"/>
    <w:rsid w:val="15F64E85"/>
    <w:rsid w:val="15F7061B"/>
    <w:rsid w:val="15F829AC"/>
    <w:rsid w:val="16027CCE"/>
    <w:rsid w:val="16175528"/>
    <w:rsid w:val="162923AE"/>
    <w:rsid w:val="16452C82"/>
    <w:rsid w:val="166B5873"/>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F71BF"/>
    <w:rsid w:val="17426B8D"/>
    <w:rsid w:val="17555615"/>
    <w:rsid w:val="1779404E"/>
    <w:rsid w:val="17804C49"/>
    <w:rsid w:val="178070FD"/>
    <w:rsid w:val="17955DED"/>
    <w:rsid w:val="179A111C"/>
    <w:rsid w:val="179A5FEC"/>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BD7EDC"/>
    <w:rsid w:val="18DD4E57"/>
    <w:rsid w:val="18EF45F9"/>
    <w:rsid w:val="18FD277E"/>
    <w:rsid w:val="190E0109"/>
    <w:rsid w:val="192A24B1"/>
    <w:rsid w:val="194817FC"/>
    <w:rsid w:val="194B0481"/>
    <w:rsid w:val="194F38AF"/>
    <w:rsid w:val="195720DF"/>
    <w:rsid w:val="19735F7B"/>
    <w:rsid w:val="19805192"/>
    <w:rsid w:val="198124BA"/>
    <w:rsid w:val="19892807"/>
    <w:rsid w:val="19A215AC"/>
    <w:rsid w:val="19B65058"/>
    <w:rsid w:val="19B678E2"/>
    <w:rsid w:val="19C24C2F"/>
    <w:rsid w:val="1A0A6E6B"/>
    <w:rsid w:val="1A115BD9"/>
    <w:rsid w:val="1A13070C"/>
    <w:rsid w:val="1A270452"/>
    <w:rsid w:val="1A2B6E03"/>
    <w:rsid w:val="1A2D15F7"/>
    <w:rsid w:val="1A330C7D"/>
    <w:rsid w:val="1A3438DD"/>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BB4BA7"/>
    <w:rsid w:val="1BC62263"/>
    <w:rsid w:val="1BC77369"/>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DEA3522"/>
    <w:rsid w:val="1E0F6B52"/>
    <w:rsid w:val="1E18679A"/>
    <w:rsid w:val="1E1E141D"/>
    <w:rsid w:val="1E2F0B1F"/>
    <w:rsid w:val="1E3824DF"/>
    <w:rsid w:val="1E567BD3"/>
    <w:rsid w:val="1E5E31B8"/>
    <w:rsid w:val="1E6731D5"/>
    <w:rsid w:val="1E7320C1"/>
    <w:rsid w:val="1E8C5541"/>
    <w:rsid w:val="1E9320FC"/>
    <w:rsid w:val="1EAC7E0A"/>
    <w:rsid w:val="1EAF2075"/>
    <w:rsid w:val="1EC42614"/>
    <w:rsid w:val="1ED80344"/>
    <w:rsid w:val="1EEA1677"/>
    <w:rsid w:val="1EED1389"/>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10954"/>
    <w:rsid w:val="1FEB3CBD"/>
    <w:rsid w:val="1FF115A0"/>
    <w:rsid w:val="1FF36207"/>
    <w:rsid w:val="1FF75D21"/>
    <w:rsid w:val="1FFC6307"/>
    <w:rsid w:val="20104D96"/>
    <w:rsid w:val="20135C1B"/>
    <w:rsid w:val="20237641"/>
    <w:rsid w:val="202730EF"/>
    <w:rsid w:val="20370574"/>
    <w:rsid w:val="203942EC"/>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A783F"/>
    <w:rsid w:val="20F546B7"/>
    <w:rsid w:val="2107263D"/>
    <w:rsid w:val="21082D78"/>
    <w:rsid w:val="210A0830"/>
    <w:rsid w:val="210A0DA2"/>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8710B"/>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A312AB"/>
    <w:rsid w:val="25B74631"/>
    <w:rsid w:val="25D56542"/>
    <w:rsid w:val="25E1345C"/>
    <w:rsid w:val="25E14A26"/>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600EFE"/>
    <w:rsid w:val="26751DF6"/>
    <w:rsid w:val="26830A83"/>
    <w:rsid w:val="268F7F2A"/>
    <w:rsid w:val="26960004"/>
    <w:rsid w:val="269A185A"/>
    <w:rsid w:val="269C2FFA"/>
    <w:rsid w:val="26BB3CAD"/>
    <w:rsid w:val="26CF7759"/>
    <w:rsid w:val="26DA7746"/>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7582C"/>
    <w:rsid w:val="29086F52"/>
    <w:rsid w:val="29237B49"/>
    <w:rsid w:val="292756D2"/>
    <w:rsid w:val="29290FE4"/>
    <w:rsid w:val="293C1946"/>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D119E6"/>
    <w:rsid w:val="2AD4237F"/>
    <w:rsid w:val="2ADE7F6A"/>
    <w:rsid w:val="2AEB2687"/>
    <w:rsid w:val="2AF73315"/>
    <w:rsid w:val="2AF754D0"/>
    <w:rsid w:val="2B0A5203"/>
    <w:rsid w:val="2B3719D8"/>
    <w:rsid w:val="2B382E7E"/>
    <w:rsid w:val="2B3E4634"/>
    <w:rsid w:val="2B4E6910"/>
    <w:rsid w:val="2B516104"/>
    <w:rsid w:val="2B58149E"/>
    <w:rsid w:val="2B5F76F3"/>
    <w:rsid w:val="2B612949"/>
    <w:rsid w:val="2B7733E2"/>
    <w:rsid w:val="2B7A3236"/>
    <w:rsid w:val="2B940F71"/>
    <w:rsid w:val="2BAD443E"/>
    <w:rsid w:val="2BC77C2C"/>
    <w:rsid w:val="2BE9306B"/>
    <w:rsid w:val="2C161CE8"/>
    <w:rsid w:val="2C1E25F3"/>
    <w:rsid w:val="2C2600D1"/>
    <w:rsid w:val="2C275941"/>
    <w:rsid w:val="2C2E0A7D"/>
    <w:rsid w:val="2C332538"/>
    <w:rsid w:val="2C3712E3"/>
    <w:rsid w:val="2C4C1D59"/>
    <w:rsid w:val="2C504D9D"/>
    <w:rsid w:val="2C5D65F6"/>
    <w:rsid w:val="2C623180"/>
    <w:rsid w:val="2C6D7E6F"/>
    <w:rsid w:val="2C6E531E"/>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732009"/>
    <w:rsid w:val="2D7626DC"/>
    <w:rsid w:val="2D806F7B"/>
    <w:rsid w:val="2D880661"/>
    <w:rsid w:val="2D9000E0"/>
    <w:rsid w:val="2D905B14"/>
    <w:rsid w:val="2DA43325"/>
    <w:rsid w:val="2DAC5BF8"/>
    <w:rsid w:val="2DB66F7C"/>
    <w:rsid w:val="2DCA22A1"/>
    <w:rsid w:val="2DCE3AC5"/>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5A62E5"/>
    <w:rsid w:val="3062166C"/>
    <w:rsid w:val="30640F12"/>
    <w:rsid w:val="306554F5"/>
    <w:rsid w:val="307750E9"/>
    <w:rsid w:val="30A60B13"/>
    <w:rsid w:val="30B56118"/>
    <w:rsid w:val="30D96CC6"/>
    <w:rsid w:val="30E80016"/>
    <w:rsid w:val="30F37C1F"/>
    <w:rsid w:val="31092C45"/>
    <w:rsid w:val="310A45D6"/>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D3845"/>
    <w:rsid w:val="33E97C32"/>
    <w:rsid w:val="33EA23A5"/>
    <w:rsid w:val="33EB36B7"/>
    <w:rsid w:val="33EE0FFB"/>
    <w:rsid w:val="34117602"/>
    <w:rsid w:val="34286628"/>
    <w:rsid w:val="342C61EA"/>
    <w:rsid w:val="343E1A7A"/>
    <w:rsid w:val="344D358E"/>
    <w:rsid w:val="344D77BF"/>
    <w:rsid w:val="346C2BB5"/>
    <w:rsid w:val="347D0BB7"/>
    <w:rsid w:val="348F2F0F"/>
    <w:rsid w:val="34BC3B37"/>
    <w:rsid w:val="34BD5094"/>
    <w:rsid w:val="34D50630"/>
    <w:rsid w:val="34D843EB"/>
    <w:rsid w:val="34D90BF1"/>
    <w:rsid w:val="34D94A8F"/>
    <w:rsid w:val="34F729B7"/>
    <w:rsid w:val="350D564C"/>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CF6FF8"/>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CB11E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9F1476"/>
    <w:rsid w:val="37A140C3"/>
    <w:rsid w:val="37C24A54"/>
    <w:rsid w:val="37C8447C"/>
    <w:rsid w:val="37D921E5"/>
    <w:rsid w:val="37DE5A4E"/>
    <w:rsid w:val="37ED3EE3"/>
    <w:rsid w:val="37F9735D"/>
    <w:rsid w:val="37FF4CEF"/>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BB7B3D"/>
    <w:rsid w:val="38C22C79"/>
    <w:rsid w:val="38C34C43"/>
    <w:rsid w:val="38C728D0"/>
    <w:rsid w:val="38C74734"/>
    <w:rsid w:val="38C9721B"/>
    <w:rsid w:val="38E70932"/>
    <w:rsid w:val="38F5268D"/>
    <w:rsid w:val="390220DA"/>
    <w:rsid w:val="39055318"/>
    <w:rsid w:val="39116746"/>
    <w:rsid w:val="391D359F"/>
    <w:rsid w:val="392022AF"/>
    <w:rsid w:val="394311D0"/>
    <w:rsid w:val="394D1BA4"/>
    <w:rsid w:val="39525EAF"/>
    <w:rsid w:val="39536350"/>
    <w:rsid w:val="397B454D"/>
    <w:rsid w:val="3986069A"/>
    <w:rsid w:val="39873EC3"/>
    <w:rsid w:val="39A9208B"/>
    <w:rsid w:val="39AC3A04"/>
    <w:rsid w:val="39B00ABA"/>
    <w:rsid w:val="39BE36C4"/>
    <w:rsid w:val="39C40C73"/>
    <w:rsid w:val="39F72DF7"/>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A36ADA"/>
    <w:rsid w:val="3AAA6566"/>
    <w:rsid w:val="3AD1769C"/>
    <w:rsid w:val="3AEC4B8A"/>
    <w:rsid w:val="3AFB171C"/>
    <w:rsid w:val="3B0D5ACF"/>
    <w:rsid w:val="3B1A12EE"/>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AD3C40"/>
    <w:rsid w:val="3CAE403E"/>
    <w:rsid w:val="3CB56D79"/>
    <w:rsid w:val="3CB73432"/>
    <w:rsid w:val="3CBD5E00"/>
    <w:rsid w:val="3CBE6E54"/>
    <w:rsid w:val="3CC13A13"/>
    <w:rsid w:val="3CDC6557"/>
    <w:rsid w:val="3CF81D1D"/>
    <w:rsid w:val="3D016EA4"/>
    <w:rsid w:val="3D157F9D"/>
    <w:rsid w:val="3D1D5906"/>
    <w:rsid w:val="3D20362C"/>
    <w:rsid w:val="3D296F62"/>
    <w:rsid w:val="3D31229A"/>
    <w:rsid w:val="3D387FE4"/>
    <w:rsid w:val="3D3B408D"/>
    <w:rsid w:val="3D3B56F0"/>
    <w:rsid w:val="3D4139CE"/>
    <w:rsid w:val="3D491BBB"/>
    <w:rsid w:val="3D5200E0"/>
    <w:rsid w:val="3D5347E8"/>
    <w:rsid w:val="3D580050"/>
    <w:rsid w:val="3D622FB8"/>
    <w:rsid w:val="3D6267D9"/>
    <w:rsid w:val="3D65609E"/>
    <w:rsid w:val="3D667075"/>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D07E4"/>
    <w:rsid w:val="3FFF2A05"/>
    <w:rsid w:val="40037546"/>
    <w:rsid w:val="400C350F"/>
    <w:rsid w:val="401A20DF"/>
    <w:rsid w:val="4022763E"/>
    <w:rsid w:val="40311450"/>
    <w:rsid w:val="403A3A3D"/>
    <w:rsid w:val="403F3D64"/>
    <w:rsid w:val="40490124"/>
    <w:rsid w:val="404E15E0"/>
    <w:rsid w:val="40634359"/>
    <w:rsid w:val="407D63D8"/>
    <w:rsid w:val="408D0011"/>
    <w:rsid w:val="409649A1"/>
    <w:rsid w:val="409F3A5B"/>
    <w:rsid w:val="40B01F51"/>
    <w:rsid w:val="40B52255"/>
    <w:rsid w:val="40B96025"/>
    <w:rsid w:val="40BB6C9A"/>
    <w:rsid w:val="40C12CBE"/>
    <w:rsid w:val="40C40EA7"/>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E71A9"/>
    <w:rsid w:val="41C3319D"/>
    <w:rsid w:val="41CC1514"/>
    <w:rsid w:val="41CF6407"/>
    <w:rsid w:val="41D13F2D"/>
    <w:rsid w:val="41D34149"/>
    <w:rsid w:val="41F6270F"/>
    <w:rsid w:val="41FE4B63"/>
    <w:rsid w:val="421856C2"/>
    <w:rsid w:val="421D0400"/>
    <w:rsid w:val="423D7815"/>
    <w:rsid w:val="42410916"/>
    <w:rsid w:val="424A1FDF"/>
    <w:rsid w:val="426D00FA"/>
    <w:rsid w:val="42777DEC"/>
    <w:rsid w:val="427A320B"/>
    <w:rsid w:val="42911696"/>
    <w:rsid w:val="4294615F"/>
    <w:rsid w:val="42A81132"/>
    <w:rsid w:val="42B765BA"/>
    <w:rsid w:val="42C60127"/>
    <w:rsid w:val="42CB12D6"/>
    <w:rsid w:val="42CF7A53"/>
    <w:rsid w:val="42D05017"/>
    <w:rsid w:val="42D737C5"/>
    <w:rsid w:val="42DD6902"/>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D45DE8"/>
    <w:rsid w:val="43F3462F"/>
    <w:rsid w:val="440214C7"/>
    <w:rsid w:val="44124799"/>
    <w:rsid w:val="442212E6"/>
    <w:rsid w:val="442D3EBD"/>
    <w:rsid w:val="44307C27"/>
    <w:rsid w:val="443268BF"/>
    <w:rsid w:val="443B7D84"/>
    <w:rsid w:val="44433E7C"/>
    <w:rsid w:val="44466F58"/>
    <w:rsid w:val="444924DF"/>
    <w:rsid w:val="444B65C3"/>
    <w:rsid w:val="444B685F"/>
    <w:rsid w:val="444F55DD"/>
    <w:rsid w:val="44616DE6"/>
    <w:rsid w:val="44654E01"/>
    <w:rsid w:val="446E05EA"/>
    <w:rsid w:val="447115C6"/>
    <w:rsid w:val="447C11F3"/>
    <w:rsid w:val="44827C1E"/>
    <w:rsid w:val="44897EF7"/>
    <w:rsid w:val="448B66CE"/>
    <w:rsid w:val="449E2B67"/>
    <w:rsid w:val="44A70245"/>
    <w:rsid w:val="44A90864"/>
    <w:rsid w:val="44BD4C3D"/>
    <w:rsid w:val="44C0425C"/>
    <w:rsid w:val="44C23F10"/>
    <w:rsid w:val="44D06BB2"/>
    <w:rsid w:val="44D53D34"/>
    <w:rsid w:val="44D95BAD"/>
    <w:rsid w:val="44E330C9"/>
    <w:rsid w:val="44EC6F5A"/>
    <w:rsid w:val="450150F5"/>
    <w:rsid w:val="45123BB5"/>
    <w:rsid w:val="452B293F"/>
    <w:rsid w:val="45380234"/>
    <w:rsid w:val="453F772D"/>
    <w:rsid w:val="454027D1"/>
    <w:rsid w:val="45533857"/>
    <w:rsid w:val="455D6C5E"/>
    <w:rsid w:val="45673672"/>
    <w:rsid w:val="456E5A7F"/>
    <w:rsid w:val="45813EBC"/>
    <w:rsid w:val="458B0E76"/>
    <w:rsid w:val="459745C2"/>
    <w:rsid w:val="45AC2850"/>
    <w:rsid w:val="45B5598A"/>
    <w:rsid w:val="45B778DE"/>
    <w:rsid w:val="45C12DB2"/>
    <w:rsid w:val="45EA00DF"/>
    <w:rsid w:val="460344F5"/>
    <w:rsid w:val="460B6100"/>
    <w:rsid w:val="46177EB4"/>
    <w:rsid w:val="462B4361"/>
    <w:rsid w:val="4642189D"/>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8D1990"/>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A63257"/>
    <w:rsid w:val="48B9571B"/>
    <w:rsid w:val="48C51A56"/>
    <w:rsid w:val="48D03950"/>
    <w:rsid w:val="48F61E83"/>
    <w:rsid w:val="49085B65"/>
    <w:rsid w:val="49211C3E"/>
    <w:rsid w:val="49215AD9"/>
    <w:rsid w:val="492301FF"/>
    <w:rsid w:val="492573E6"/>
    <w:rsid w:val="492F498D"/>
    <w:rsid w:val="492F5A35"/>
    <w:rsid w:val="493150F6"/>
    <w:rsid w:val="49363A71"/>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174DEF"/>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4F1B18"/>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058F8"/>
    <w:rsid w:val="4BF337A4"/>
    <w:rsid w:val="4C053B3E"/>
    <w:rsid w:val="4C211923"/>
    <w:rsid w:val="4C256776"/>
    <w:rsid w:val="4C26756B"/>
    <w:rsid w:val="4C2745BE"/>
    <w:rsid w:val="4C6E1633"/>
    <w:rsid w:val="4C716A38"/>
    <w:rsid w:val="4C792A51"/>
    <w:rsid w:val="4CA17BB8"/>
    <w:rsid w:val="4CBB5434"/>
    <w:rsid w:val="4CBD1C7E"/>
    <w:rsid w:val="4CC743C2"/>
    <w:rsid w:val="4CCE3E8B"/>
    <w:rsid w:val="4CD46968"/>
    <w:rsid w:val="4CE0596C"/>
    <w:rsid w:val="4CF82CB6"/>
    <w:rsid w:val="4CFA1B21"/>
    <w:rsid w:val="4CFD2D0A"/>
    <w:rsid w:val="4D0A5D2E"/>
    <w:rsid w:val="4D0B530A"/>
    <w:rsid w:val="4D1B0752"/>
    <w:rsid w:val="4D3161C8"/>
    <w:rsid w:val="4D41465D"/>
    <w:rsid w:val="4D4E0C74"/>
    <w:rsid w:val="4D526945"/>
    <w:rsid w:val="4D6E2F78"/>
    <w:rsid w:val="4D73764A"/>
    <w:rsid w:val="4D956577"/>
    <w:rsid w:val="4DA16EA9"/>
    <w:rsid w:val="4DAE7D3B"/>
    <w:rsid w:val="4DB10EE0"/>
    <w:rsid w:val="4DE1374A"/>
    <w:rsid w:val="4DE3193D"/>
    <w:rsid w:val="4DE5696E"/>
    <w:rsid w:val="4DE8094E"/>
    <w:rsid w:val="4DEB5302"/>
    <w:rsid w:val="4DFF382E"/>
    <w:rsid w:val="4E115CB4"/>
    <w:rsid w:val="4E143B1F"/>
    <w:rsid w:val="4E165694"/>
    <w:rsid w:val="4E17716C"/>
    <w:rsid w:val="4E1C29D4"/>
    <w:rsid w:val="4E2D6F9C"/>
    <w:rsid w:val="4E340E16"/>
    <w:rsid w:val="4E3A0E53"/>
    <w:rsid w:val="4E4D0AC1"/>
    <w:rsid w:val="4E5B174E"/>
    <w:rsid w:val="4E752EF3"/>
    <w:rsid w:val="4E854A1D"/>
    <w:rsid w:val="4E9764FE"/>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F1986"/>
    <w:rsid w:val="4F5D5865"/>
    <w:rsid w:val="4F645A57"/>
    <w:rsid w:val="4F6463E1"/>
    <w:rsid w:val="4F7C7BCE"/>
    <w:rsid w:val="4F845801"/>
    <w:rsid w:val="4F9076EA"/>
    <w:rsid w:val="4F93316A"/>
    <w:rsid w:val="4F950C90"/>
    <w:rsid w:val="4F952A4C"/>
    <w:rsid w:val="4FB05ACA"/>
    <w:rsid w:val="4FB84E80"/>
    <w:rsid w:val="4FC450D1"/>
    <w:rsid w:val="4FC60F8B"/>
    <w:rsid w:val="4FC6467C"/>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970A38"/>
    <w:rsid w:val="509E6E33"/>
    <w:rsid w:val="50AB1563"/>
    <w:rsid w:val="50BB4726"/>
    <w:rsid w:val="50C14189"/>
    <w:rsid w:val="50CE050E"/>
    <w:rsid w:val="50DD58C1"/>
    <w:rsid w:val="50E109B3"/>
    <w:rsid w:val="50F43794"/>
    <w:rsid w:val="50FA2286"/>
    <w:rsid w:val="511278B0"/>
    <w:rsid w:val="5134684C"/>
    <w:rsid w:val="513D42F6"/>
    <w:rsid w:val="515348AE"/>
    <w:rsid w:val="515F1555"/>
    <w:rsid w:val="51621462"/>
    <w:rsid w:val="5162632D"/>
    <w:rsid w:val="51652001"/>
    <w:rsid w:val="516923D4"/>
    <w:rsid w:val="516A768B"/>
    <w:rsid w:val="516F7FCA"/>
    <w:rsid w:val="517E442B"/>
    <w:rsid w:val="51960CEF"/>
    <w:rsid w:val="51A60F32"/>
    <w:rsid w:val="51C06B27"/>
    <w:rsid w:val="51C5706A"/>
    <w:rsid w:val="51CC6A9E"/>
    <w:rsid w:val="51D84860"/>
    <w:rsid w:val="51F76393"/>
    <w:rsid w:val="51F83758"/>
    <w:rsid w:val="52097713"/>
    <w:rsid w:val="52157E66"/>
    <w:rsid w:val="521B28B9"/>
    <w:rsid w:val="522E04F4"/>
    <w:rsid w:val="522E717A"/>
    <w:rsid w:val="52354064"/>
    <w:rsid w:val="52397FF8"/>
    <w:rsid w:val="525C5A95"/>
    <w:rsid w:val="525F6E60"/>
    <w:rsid w:val="5261208C"/>
    <w:rsid w:val="52796647"/>
    <w:rsid w:val="52873552"/>
    <w:rsid w:val="52A663C2"/>
    <w:rsid w:val="52B92EE7"/>
    <w:rsid w:val="52BC3484"/>
    <w:rsid w:val="52BE677D"/>
    <w:rsid w:val="52C06024"/>
    <w:rsid w:val="52C13B4A"/>
    <w:rsid w:val="52C22C4B"/>
    <w:rsid w:val="52CB68A8"/>
    <w:rsid w:val="52DC5CD4"/>
    <w:rsid w:val="52E866AE"/>
    <w:rsid w:val="52FB2297"/>
    <w:rsid w:val="530750B7"/>
    <w:rsid w:val="53200C5D"/>
    <w:rsid w:val="534832EF"/>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8184D"/>
    <w:rsid w:val="546E7D01"/>
    <w:rsid w:val="54826A6F"/>
    <w:rsid w:val="548A7D0C"/>
    <w:rsid w:val="548D63DA"/>
    <w:rsid w:val="549652A5"/>
    <w:rsid w:val="5499691E"/>
    <w:rsid w:val="54A75974"/>
    <w:rsid w:val="54AD4386"/>
    <w:rsid w:val="54BC082D"/>
    <w:rsid w:val="54C857C3"/>
    <w:rsid w:val="54EA55DA"/>
    <w:rsid w:val="54FA7F82"/>
    <w:rsid w:val="54FC530D"/>
    <w:rsid w:val="551E08BC"/>
    <w:rsid w:val="55307A0C"/>
    <w:rsid w:val="55313209"/>
    <w:rsid w:val="553A7B7B"/>
    <w:rsid w:val="55665755"/>
    <w:rsid w:val="556665E0"/>
    <w:rsid w:val="558E68EA"/>
    <w:rsid w:val="5590733F"/>
    <w:rsid w:val="55910A92"/>
    <w:rsid w:val="559757D0"/>
    <w:rsid w:val="55975BA7"/>
    <w:rsid w:val="55A0213D"/>
    <w:rsid w:val="55A506DF"/>
    <w:rsid w:val="55AE4F5C"/>
    <w:rsid w:val="55AE6607"/>
    <w:rsid w:val="55BB2AD2"/>
    <w:rsid w:val="55BB5576"/>
    <w:rsid w:val="56002A66"/>
    <w:rsid w:val="5604091D"/>
    <w:rsid w:val="56054571"/>
    <w:rsid w:val="560B1D82"/>
    <w:rsid w:val="561048D4"/>
    <w:rsid w:val="56431446"/>
    <w:rsid w:val="5645325F"/>
    <w:rsid w:val="564E6B95"/>
    <w:rsid w:val="56562848"/>
    <w:rsid w:val="566F311B"/>
    <w:rsid w:val="56781FA5"/>
    <w:rsid w:val="569154CE"/>
    <w:rsid w:val="56995180"/>
    <w:rsid w:val="56A11917"/>
    <w:rsid w:val="56AD5CE8"/>
    <w:rsid w:val="56BD031C"/>
    <w:rsid w:val="56BF20BE"/>
    <w:rsid w:val="56BF6D5B"/>
    <w:rsid w:val="56D007FF"/>
    <w:rsid w:val="56DB7934"/>
    <w:rsid w:val="56E7079F"/>
    <w:rsid w:val="56E73D89"/>
    <w:rsid w:val="57007337"/>
    <w:rsid w:val="57031F7F"/>
    <w:rsid w:val="572570B3"/>
    <w:rsid w:val="573B07A2"/>
    <w:rsid w:val="573E6B31"/>
    <w:rsid w:val="575603AD"/>
    <w:rsid w:val="5770255E"/>
    <w:rsid w:val="57750ADF"/>
    <w:rsid w:val="57811AFA"/>
    <w:rsid w:val="57A8352A"/>
    <w:rsid w:val="57B341DC"/>
    <w:rsid w:val="57B51F24"/>
    <w:rsid w:val="57C73676"/>
    <w:rsid w:val="57C87CAB"/>
    <w:rsid w:val="57F60509"/>
    <w:rsid w:val="57FB6145"/>
    <w:rsid w:val="57FC328C"/>
    <w:rsid w:val="57FF145C"/>
    <w:rsid w:val="58033991"/>
    <w:rsid w:val="581214E9"/>
    <w:rsid w:val="58374890"/>
    <w:rsid w:val="583921D7"/>
    <w:rsid w:val="5847689F"/>
    <w:rsid w:val="584B538A"/>
    <w:rsid w:val="584E7AA5"/>
    <w:rsid w:val="5853780C"/>
    <w:rsid w:val="585D2567"/>
    <w:rsid w:val="5866181E"/>
    <w:rsid w:val="58726012"/>
    <w:rsid w:val="58737694"/>
    <w:rsid w:val="58AC4CBD"/>
    <w:rsid w:val="58C058EB"/>
    <w:rsid w:val="58CD28A0"/>
    <w:rsid w:val="58D228D1"/>
    <w:rsid w:val="58D3388C"/>
    <w:rsid w:val="58D82D25"/>
    <w:rsid w:val="58E050FF"/>
    <w:rsid w:val="58F92290"/>
    <w:rsid w:val="590A19FE"/>
    <w:rsid w:val="590A624B"/>
    <w:rsid w:val="590B2E55"/>
    <w:rsid w:val="591E1CF6"/>
    <w:rsid w:val="592B3B37"/>
    <w:rsid w:val="593E3679"/>
    <w:rsid w:val="59463EAD"/>
    <w:rsid w:val="594A0F21"/>
    <w:rsid w:val="595600CF"/>
    <w:rsid w:val="59570C09"/>
    <w:rsid w:val="595A535A"/>
    <w:rsid w:val="595A5BCE"/>
    <w:rsid w:val="596040BD"/>
    <w:rsid w:val="596742B3"/>
    <w:rsid w:val="596C5157"/>
    <w:rsid w:val="59814033"/>
    <w:rsid w:val="599C2C1B"/>
    <w:rsid w:val="599C6916"/>
    <w:rsid w:val="59A24A11"/>
    <w:rsid w:val="59A93DB0"/>
    <w:rsid w:val="59AD337E"/>
    <w:rsid w:val="59B85EB7"/>
    <w:rsid w:val="59C208D3"/>
    <w:rsid w:val="59C3464B"/>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113"/>
    <w:rsid w:val="5B2F1F99"/>
    <w:rsid w:val="5B3220B7"/>
    <w:rsid w:val="5B322BEC"/>
    <w:rsid w:val="5B5F03A4"/>
    <w:rsid w:val="5B5F5DFF"/>
    <w:rsid w:val="5B602550"/>
    <w:rsid w:val="5B684D9D"/>
    <w:rsid w:val="5B6D7F8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E7F25"/>
    <w:rsid w:val="5C5477DD"/>
    <w:rsid w:val="5C5E240A"/>
    <w:rsid w:val="5C6E212C"/>
    <w:rsid w:val="5C73096B"/>
    <w:rsid w:val="5C7376E4"/>
    <w:rsid w:val="5C797243"/>
    <w:rsid w:val="5CA03123"/>
    <w:rsid w:val="5CAA564F"/>
    <w:rsid w:val="5CC11F40"/>
    <w:rsid w:val="5CCE77E0"/>
    <w:rsid w:val="5CDA3F46"/>
    <w:rsid w:val="5CE327FE"/>
    <w:rsid w:val="5CF644C9"/>
    <w:rsid w:val="5CF85EE2"/>
    <w:rsid w:val="5D192F00"/>
    <w:rsid w:val="5D1D22C5"/>
    <w:rsid w:val="5D1F7DEB"/>
    <w:rsid w:val="5D2F3C01"/>
    <w:rsid w:val="5D3874C9"/>
    <w:rsid w:val="5D4A3E3F"/>
    <w:rsid w:val="5D4F0E61"/>
    <w:rsid w:val="5D673093"/>
    <w:rsid w:val="5D675B54"/>
    <w:rsid w:val="5D977AC6"/>
    <w:rsid w:val="5D9B52A7"/>
    <w:rsid w:val="5D9F5DAC"/>
    <w:rsid w:val="5DD15589"/>
    <w:rsid w:val="5DEC23C3"/>
    <w:rsid w:val="5DEF3C61"/>
    <w:rsid w:val="5DFE3466"/>
    <w:rsid w:val="5E032122"/>
    <w:rsid w:val="5E344177"/>
    <w:rsid w:val="5E4529B2"/>
    <w:rsid w:val="5E6F4DA2"/>
    <w:rsid w:val="5E920F46"/>
    <w:rsid w:val="5E9842F9"/>
    <w:rsid w:val="5E9C5CCD"/>
    <w:rsid w:val="5EA207F7"/>
    <w:rsid w:val="5EA507C4"/>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8B79B9"/>
    <w:rsid w:val="5F941C25"/>
    <w:rsid w:val="5FA04873"/>
    <w:rsid w:val="5FA32F55"/>
    <w:rsid w:val="5FB143B2"/>
    <w:rsid w:val="5FB52C88"/>
    <w:rsid w:val="5FB76A00"/>
    <w:rsid w:val="5FCA04E2"/>
    <w:rsid w:val="5FD255E8"/>
    <w:rsid w:val="5FD86DED"/>
    <w:rsid w:val="5FE2350C"/>
    <w:rsid w:val="5FE666BB"/>
    <w:rsid w:val="5FF2020B"/>
    <w:rsid w:val="600C592F"/>
    <w:rsid w:val="600D6E2B"/>
    <w:rsid w:val="60116111"/>
    <w:rsid w:val="60133D7D"/>
    <w:rsid w:val="601B52DF"/>
    <w:rsid w:val="602164FD"/>
    <w:rsid w:val="60326087"/>
    <w:rsid w:val="60367925"/>
    <w:rsid w:val="60395667"/>
    <w:rsid w:val="60455DBA"/>
    <w:rsid w:val="604604FA"/>
    <w:rsid w:val="604C0EF7"/>
    <w:rsid w:val="604F4E8B"/>
    <w:rsid w:val="60667166"/>
    <w:rsid w:val="60724006"/>
    <w:rsid w:val="6086012E"/>
    <w:rsid w:val="608C65AA"/>
    <w:rsid w:val="60911000"/>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147D4"/>
    <w:rsid w:val="614721A4"/>
    <w:rsid w:val="6148335E"/>
    <w:rsid w:val="61483DB4"/>
    <w:rsid w:val="61545484"/>
    <w:rsid w:val="615C4C67"/>
    <w:rsid w:val="615C785F"/>
    <w:rsid w:val="616C4315"/>
    <w:rsid w:val="61785D1C"/>
    <w:rsid w:val="61882668"/>
    <w:rsid w:val="618E6E5E"/>
    <w:rsid w:val="61A06C8C"/>
    <w:rsid w:val="61A35C11"/>
    <w:rsid w:val="61AF1358"/>
    <w:rsid w:val="61B25B61"/>
    <w:rsid w:val="61C277CE"/>
    <w:rsid w:val="61DC274E"/>
    <w:rsid w:val="61E248A8"/>
    <w:rsid w:val="61E73D9A"/>
    <w:rsid w:val="61EC1462"/>
    <w:rsid w:val="61EC3930"/>
    <w:rsid w:val="61F30221"/>
    <w:rsid w:val="61FB5718"/>
    <w:rsid w:val="622C1C5B"/>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455E77"/>
    <w:rsid w:val="63473FE4"/>
    <w:rsid w:val="63495BC1"/>
    <w:rsid w:val="63503AD3"/>
    <w:rsid w:val="63543CFC"/>
    <w:rsid w:val="635F7193"/>
    <w:rsid w:val="63640C4D"/>
    <w:rsid w:val="63696264"/>
    <w:rsid w:val="637137DA"/>
    <w:rsid w:val="63877E58"/>
    <w:rsid w:val="63A17834"/>
    <w:rsid w:val="63A23C32"/>
    <w:rsid w:val="63A97528"/>
    <w:rsid w:val="63AB6153"/>
    <w:rsid w:val="63C82F8A"/>
    <w:rsid w:val="63D36B90"/>
    <w:rsid w:val="63DD630A"/>
    <w:rsid w:val="63F024E1"/>
    <w:rsid w:val="640C709A"/>
    <w:rsid w:val="642F1EE3"/>
    <w:rsid w:val="64340620"/>
    <w:rsid w:val="64380936"/>
    <w:rsid w:val="64466BF9"/>
    <w:rsid w:val="644D348F"/>
    <w:rsid w:val="646157CA"/>
    <w:rsid w:val="646A5DEF"/>
    <w:rsid w:val="646B6CFE"/>
    <w:rsid w:val="647749B0"/>
    <w:rsid w:val="64984C1A"/>
    <w:rsid w:val="649C61C5"/>
    <w:rsid w:val="649E7F9E"/>
    <w:rsid w:val="64A15589"/>
    <w:rsid w:val="64AF7CA6"/>
    <w:rsid w:val="64C03C61"/>
    <w:rsid w:val="64D9638C"/>
    <w:rsid w:val="64DE2339"/>
    <w:rsid w:val="64E02555"/>
    <w:rsid w:val="64E13C6F"/>
    <w:rsid w:val="64EF072B"/>
    <w:rsid w:val="64FD5934"/>
    <w:rsid w:val="65051B7F"/>
    <w:rsid w:val="65384669"/>
    <w:rsid w:val="653B3873"/>
    <w:rsid w:val="654C11BD"/>
    <w:rsid w:val="6557447D"/>
    <w:rsid w:val="655D5589"/>
    <w:rsid w:val="65622F6B"/>
    <w:rsid w:val="65643203"/>
    <w:rsid w:val="65794991"/>
    <w:rsid w:val="65887501"/>
    <w:rsid w:val="658E1B4A"/>
    <w:rsid w:val="65915FCB"/>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66492F"/>
    <w:rsid w:val="667A7554"/>
    <w:rsid w:val="667E6DAD"/>
    <w:rsid w:val="668F0F17"/>
    <w:rsid w:val="66A11D0C"/>
    <w:rsid w:val="66CC2D91"/>
    <w:rsid w:val="66D76929"/>
    <w:rsid w:val="66E101FB"/>
    <w:rsid w:val="66E31E33"/>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C77CB4"/>
    <w:rsid w:val="68D87B11"/>
    <w:rsid w:val="68DA5BAB"/>
    <w:rsid w:val="68DC7647"/>
    <w:rsid w:val="68DD019B"/>
    <w:rsid w:val="68E65F5E"/>
    <w:rsid w:val="68EC147D"/>
    <w:rsid w:val="68F3077A"/>
    <w:rsid w:val="692C1018"/>
    <w:rsid w:val="692C3FBB"/>
    <w:rsid w:val="693410C2"/>
    <w:rsid w:val="69377A2E"/>
    <w:rsid w:val="69562DE6"/>
    <w:rsid w:val="69567CE1"/>
    <w:rsid w:val="69610AF4"/>
    <w:rsid w:val="69711181"/>
    <w:rsid w:val="69724F1B"/>
    <w:rsid w:val="697C45DD"/>
    <w:rsid w:val="6980390A"/>
    <w:rsid w:val="69A00347"/>
    <w:rsid w:val="69A377E4"/>
    <w:rsid w:val="69A60D09"/>
    <w:rsid w:val="69C451FB"/>
    <w:rsid w:val="69D00BC4"/>
    <w:rsid w:val="69DB32EB"/>
    <w:rsid w:val="69DF6640"/>
    <w:rsid w:val="69EB1780"/>
    <w:rsid w:val="69EB79D2"/>
    <w:rsid w:val="6A0102D7"/>
    <w:rsid w:val="6A1011E7"/>
    <w:rsid w:val="6A2A5E71"/>
    <w:rsid w:val="6A311E94"/>
    <w:rsid w:val="6A35135B"/>
    <w:rsid w:val="6A61482D"/>
    <w:rsid w:val="6A6A6390"/>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AFF6047"/>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16803"/>
    <w:rsid w:val="6C726189"/>
    <w:rsid w:val="6C786C1F"/>
    <w:rsid w:val="6C8A4985"/>
    <w:rsid w:val="6C9500C9"/>
    <w:rsid w:val="6C963F34"/>
    <w:rsid w:val="6CD04C5E"/>
    <w:rsid w:val="6CD7713F"/>
    <w:rsid w:val="6CD81D64"/>
    <w:rsid w:val="6CF277BB"/>
    <w:rsid w:val="6CF67414"/>
    <w:rsid w:val="6D1949E6"/>
    <w:rsid w:val="6D301BA0"/>
    <w:rsid w:val="6D40341E"/>
    <w:rsid w:val="6D413222"/>
    <w:rsid w:val="6D4C69DA"/>
    <w:rsid w:val="6D527D69"/>
    <w:rsid w:val="6D582FC7"/>
    <w:rsid w:val="6D594C53"/>
    <w:rsid w:val="6D5C1DC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3F02ED"/>
    <w:rsid w:val="6E407BC1"/>
    <w:rsid w:val="6E437238"/>
    <w:rsid w:val="6E46551E"/>
    <w:rsid w:val="6E48779E"/>
    <w:rsid w:val="6E4B6C92"/>
    <w:rsid w:val="6E557B10"/>
    <w:rsid w:val="6E5830D8"/>
    <w:rsid w:val="6E723EE7"/>
    <w:rsid w:val="6E7C3A60"/>
    <w:rsid w:val="6E906D9A"/>
    <w:rsid w:val="6E92731E"/>
    <w:rsid w:val="6E934195"/>
    <w:rsid w:val="6E9C7DB8"/>
    <w:rsid w:val="6E9E63AA"/>
    <w:rsid w:val="6EBB19BE"/>
    <w:rsid w:val="6EBE21B5"/>
    <w:rsid w:val="6EF26375"/>
    <w:rsid w:val="6EFA027F"/>
    <w:rsid w:val="6EFD0E7E"/>
    <w:rsid w:val="6F0D0A9A"/>
    <w:rsid w:val="6F1329A4"/>
    <w:rsid w:val="6F1E43A6"/>
    <w:rsid w:val="6F235C72"/>
    <w:rsid w:val="6F3026C9"/>
    <w:rsid w:val="6F331FED"/>
    <w:rsid w:val="6F3B6D06"/>
    <w:rsid w:val="6F4653F3"/>
    <w:rsid w:val="6F4A65BA"/>
    <w:rsid w:val="6F502086"/>
    <w:rsid w:val="6F510FBE"/>
    <w:rsid w:val="6F536D49"/>
    <w:rsid w:val="6F5873A6"/>
    <w:rsid w:val="6F6421A4"/>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E7D34"/>
    <w:rsid w:val="70097E37"/>
    <w:rsid w:val="7012732D"/>
    <w:rsid w:val="701337DF"/>
    <w:rsid w:val="70251764"/>
    <w:rsid w:val="702B3CFA"/>
    <w:rsid w:val="702D3080"/>
    <w:rsid w:val="702F3D23"/>
    <w:rsid w:val="70314D0C"/>
    <w:rsid w:val="704C0A9F"/>
    <w:rsid w:val="7073057A"/>
    <w:rsid w:val="70746685"/>
    <w:rsid w:val="707A385E"/>
    <w:rsid w:val="708B2763"/>
    <w:rsid w:val="708C0DAF"/>
    <w:rsid w:val="709A3F00"/>
    <w:rsid w:val="70AC7790"/>
    <w:rsid w:val="70BE04C1"/>
    <w:rsid w:val="70C1323B"/>
    <w:rsid w:val="70C26FB3"/>
    <w:rsid w:val="70D25E29"/>
    <w:rsid w:val="70D96C86"/>
    <w:rsid w:val="70DC1223"/>
    <w:rsid w:val="70DF24FE"/>
    <w:rsid w:val="70E231B1"/>
    <w:rsid w:val="70E7213F"/>
    <w:rsid w:val="70E86455"/>
    <w:rsid w:val="70EB475C"/>
    <w:rsid w:val="70F37652"/>
    <w:rsid w:val="70F44F02"/>
    <w:rsid w:val="71002BCF"/>
    <w:rsid w:val="71030281"/>
    <w:rsid w:val="71097386"/>
    <w:rsid w:val="710A3200"/>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3839D1"/>
    <w:rsid w:val="72430D8D"/>
    <w:rsid w:val="724544E2"/>
    <w:rsid w:val="724931F0"/>
    <w:rsid w:val="724F0D1A"/>
    <w:rsid w:val="7254179F"/>
    <w:rsid w:val="726E11B5"/>
    <w:rsid w:val="72825C56"/>
    <w:rsid w:val="729C5585"/>
    <w:rsid w:val="72A76461"/>
    <w:rsid w:val="72A82F68"/>
    <w:rsid w:val="72AD502B"/>
    <w:rsid w:val="72B312A9"/>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1DCE"/>
    <w:rsid w:val="7422631D"/>
    <w:rsid w:val="742C0EB1"/>
    <w:rsid w:val="74405851"/>
    <w:rsid w:val="74512C62"/>
    <w:rsid w:val="74553AD1"/>
    <w:rsid w:val="745D7CFB"/>
    <w:rsid w:val="74614968"/>
    <w:rsid w:val="74623E8C"/>
    <w:rsid w:val="74734A2B"/>
    <w:rsid w:val="747F1ECC"/>
    <w:rsid w:val="749F50D2"/>
    <w:rsid w:val="74AF051B"/>
    <w:rsid w:val="74BE7A92"/>
    <w:rsid w:val="74C76EB4"/>
    <w:rsid w:val="74D24DF2"/>
    <w:rsid w:val="74E85037"/>
    <w:rsid w:val="74FC0CE6"/>
    <w:rsid w:val="74FF6B82"/>
    <w:rsid w:val="751A116C"/>
    <w:rsid w:val="751B30C5"/>
    <w:rsid w:val="75265F5C"/>
    <w:rsid w:val="752E4063"/>
    <w:rsid w:val="754206C3"/>
    <w:rsid w:val="75717D36"/>
    <w:rsid w:val="75764E9E"/>
    <w:rsid w:val="757D0E15"/>
    <w:rsid w:val="75935F7B"/>
    <w:rsid w:val="759D5513"/>
    <w:rsid w:val="75BF1D13"/>
    <w:rsid w:val="75C643F3"/>
    <w:rsid w:val="75EB48B6"/>
    <w:rsid w:val="75F12173"/>
    <w:rsid w:val="76097038"/>
    <w:rsid w:val="760A6649"/>
    <w:rsid w:val="762A1F2B"/>
    <w:rsid w:val="7648529B"/>
    <w:rsid w:val="76494A96"/>
    <w:rsid w:val="764B59A7"/>
    <w:rsid w:val="764D2AF5"/>
    <w:rsid w:val="76522B87"/>
    <w:rsid w:val="765E708E"/>
    <w:rsid w:val="76642751"/>
    <w:rsid w:val="767331A5"/>
    <w:rsid w:val="76A01B45"/>
    <w:rsid w:val="76A07890"/>
    <w:rsid w:val="76A421E3"/>
    <w:rsid w:val="76A927F4"/>
    <w:rsid w:val="76B828EB"/>
    <w:rsid w:val="76DD0A99"/>
    <w:rsid w:val="76DD68F5"/>
    <w:rsid w:val="76E732D0"/>
    <w:rsid w:val="77083097"/>
    <w:rsid w:val="770E2F52"/>
    <w:rsid w:val="771A1486"/>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054355"/>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0E7239"/>
    <w:rsid w:val="79110AD8"/>
    <w:rsid w:val="79246A5D"/>
    <w:rsid w:val="79273E57"/>
    <w:rsid w:val="792F20B5"/>
    <w:rsid w:val="79390854"/>
    <w:rsid w:val="79425135"/>
    <w:rsid w:val="795E1E90"/>
    <w:rsid w:val="796270F7"/>
    <w:rsid w:val="79667547"/>
    <w:rsid w:val="79752E15"/>
    <w:rsid w:val="798139A7"/>
    <w:rsid w:val="79A0658C"/>
    <w:rsid w:val="79A344F3"/>
    <w:rsid w:val="79A64C6E"/>
    <w:rsid w:val="79C66DEF"/>
    <w:rsid w:val="79DF5C9D"/>
    <w:rsid w:val="79E162E5"/>
    <w:rsid w:val="79ED77A5"/>
    <w:rsid w:val="7A044DC4"/>
    <w:rsid w:val="7A0E6035"/>
    <w:rsid w:val="7A17211E"/>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160627"/>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2D5C29"/>
    <w:rsid w:val="7C3C2310"/>
    <w:rsid w:val="7C4D5B3E"/>
    <w:rsid w:val="7C5133FE"/>
    <w:rsid w:val="7C6D3C66"/>
    <w:rsid w:val="7C7575D0"/>
    <w:rsid w:val="7C86358B"/>
    <w:rsid w:val="7CAA04DB"/>
    <w:rsid w:val="7CB4634A"/>
    <w:rsid w:val="7CC82A39"/>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0D5D12"/>
    <w:rsid w:val="7E1502D6"/>
    <w:rsid w:val="7E1650E1"/>
    <w:rsid w:val="7E176585"/>
    <w:rsid w:val="7E1F3157"/>
    <w:rsid w:val="7E201B39"/>
    <w:rsid w:val="7E2240DE"/>
    <w:rsid w:val="7E2429CB"/>
    <w:rsid w:val="7E2708C5"/>
    <w:rsid w:val="7E4576F9"/>
    <w:rsid w:val="7E4B683A"/>
    <w:rsid w:val="7E4E2D56"/>
    <w:rsid w:val="7E5833BE"/>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33236A"/>
    <w:rsid w:val="7F4B19C8"/>
    <w:rsid w:val="7F531E4A"/>
    <w:rsid w:val="7F5325AB"/>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1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Calibri" w:hAnsi="Calibri" w:cs="黑体"/>
      <w:szCs w:val="22"/>
    </w:rPr>
  </w:style>
  <w:style w:type="paragraph" w:styleId="7">
    <w:name w:val="annotation text"/>
    <w:basedOn w:val="1"/>
    <w:qFormat/>
    <w:uiPriority w:val="0"/>
    <w:pPr>
      <w:jc w:val="left"/>
    </w:pPr>
  </w:style>
  <w:style w:type="paragraph" w:styleId="8">
    <w:name w:val="Body Text"/>
    <w:basedOn w:val="1"/>
    <w:link w:val="51"/>
    <w:qFormat/>
    <w:uiPriority w:val="0"/>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0"/>
    <w:pPr>
      <w:ind w:left="1680" w:leftChars="800"/>
    </w:pPr>
    <w:rPr>
      <w:rFonts w:ascii="Calibri" w:hAnsi="Calibri" w:cs="黑体"/>
      <w:szCs w:val="22"/>
    </w:rPr>
  </w:style>
  <w:style w:type="paragraph" w:styleId="12">
    <w:name w:val="toc 3"/>
    <w:basedOn w:val="1"/>
    <w:next w:val="1"/>
    <w:qFormat/>
    <w:uiPriority w:val="0"/>
    <w:pPr>
      <w:ind w:left="840" w:leftChars="400"/>
    </w:pPr>
    <w:rPr>
      <w:rFonts w:ascii="Calibri" w:hAnsi="Calibri" w:cs="黑体"/>
      <w:szCs w:val="22"/>
    </w:rPr>
  </w:style>
  <w:style w:type="paragraph" w:styleId="13">
    <w:name w:val="Plain Text"/>
    <w:basedOn w:val="1"/>
    <w:unhideWhenUsed/>
    <w:qFormat/>
    <w:uiPriority w:val="99"/>
    <w:rPr>
      <w:rFonts w:ascii="宋体" w:hAnsi="Courier New" w:cs="Courier New"/>
      <w:szCs w:val="21"/>
    </w:rPr>
  </w:style>
  <w:style w:type="paragraph" w:styleId="14">
    <w:name w:val="toc 8"/>
    <w:basedOn w:val="1"/>
    <w:next w:val="1"/>
    <w:qFormat/>
    <w:uiPriority w:val="0"/>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59"/>
    <w:qFormat/>
    <w:uiPriority w:val="0"/>
    <w:rPr>
      <w:sz w:val="18"/>
      <w:szCs w:val="18"/>
    </w:rPr>
  </w:style>
  <w:style w:type="paragraph" w:styleId="17">
    <w:name w:val="footer"/>
    <w:basedOn w:val="1"/>
    <w:link w:val="64"/>
    <w:qFormat/>
    <w:uiPriority w:val="0"/>
    <w:pPr>
      <w:tabs>
        <w:tab w:val="center" w:pos="4153"/>
        <w:tab w:val="right" w:pos="8306"/>
      </w:tabs>
      <w:snapToGrid w:val="0"/>
      <w:jc w:val="left"/>
    </w:pPr>
    <w:rPr>
      <w:sz w:val="18"/>
      <w:szCs w:val="18"/>
    </w:rPr>
  </w:style>
  <w:style w:type="paragraph" w:styleId="18">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spacing w:before="120" w:after="120"/>
      <w:jc w:val="left"/>
    </w:pPr>
    <w:rPr>
      <w:caps/>
      <w:sz w:val="20"/>
      <w:szCs w:val="20"/>
    </w:rPr>
  </w:style>
  <w:style w:type="paragraph" w:styleId="20">
    <w:name w:val="toc 4"/>
    <w:basedOn w:val="1"/>
    <w:next w:val="1"/>
    <w:qFormat/>
    <w:uiPriority w:val="0"/>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0"/>
    <w:pPr>
      <w:ind w:left="2100" w:leftChars="1000"/>
    </w:pPr>
    <w:rPr>
      <w:rFonts w:ascii="Calibri" w:hAnsi="Calibri" w:cs="黑体"/>
      <w:szCs w:val="22"/>
    </w:rPr>
  </w:style>
  <w:style w:type="paragraph" w:styleId="23">
    <w:name w:val="toc 2"/>
    <w:basedOn w:val="1"/>
    <w:next w:val="1"/>
    <w:qFormat/>
    <w:uiPriority w:val="0"/>
    <w:pPr>
      <w:ind w:left="210"/>
      <w:jc w:val="left"/>
    </w:pPr>
    <w:rPr>
      <w:smallCaps/>
      <w:sz w:val="20"/>
      <w:szCs w:val="20"/>
    </w:rPr>
  </w:style>
  <w:style w:type="paragraph" w:styleId="24">
    <w:name w:val="toc 9"/>
    <w:basedOn w:val="1"/>
    <w:next w:val="1"/>
    <w:qFormat/>
    <w:uiPriority w:val="0"/>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Body Text First Indent"/>
    <w:basedOn w:val="8"/>
    <w:next w:val="1"/>
    <w:qFormat/>
    <w:uiPriority w:val="0"/>
    <w:pPr>
      <w:spacing w:line="275" w:lineRule="atLeast"/>
      <w:ind w:firstLine="420"/>
    </w:pPr>
    <w:rPr>
      <w:rFonts w:eastAsia="楷体"/>
      <w:kern w:val="1"/>
      <w:sz w:val="26"/>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qFormat/>
    <w:uiPriority w:val="0"/>
    <w:rPr>
      <w:color w:val="800080"/>
      <w:u w:val="none"/>
    </w:rPr>
  </w:style>
  <w:style w:type="character" w:styleId="33">
    <w:name w:val="Emphasis"/>
    <w:basedOn w:val="30"/>
    <w:qFormat/>
    <w:uiPriority w:val="0"/>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basedOn w:val="30"/>
    <w:qFormat/>
    <w:uiPriority w:val="0"/>
    <w:rPr>
      <w:color w:val="0000FF"/>
      <w:u w:val="non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basedOn w:val="30"/>
    <w:qFormat/>
    <w:uiPriority w:val="0"/>
    <w:rPr>
      <w:sz w:val="21"/>
      <w:szCs w:val="21"/>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5">
    <w:name w:val="BodyText"/>
    <w:basedOn w:val="1"/>
    <w:next w:val="1"/>
    <w:qFormat/>
    <w:uiPriority w:val="0"/>
    <w:pPr>
      <w:spacing w:after="120"/>
    </w:p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Table Paragraph"/>
    <w:basedOn w:val="1"/>
    <w:qFormat/>
    <w:uiPriority w:val="1"/>
  </w:style>
  <w:style w:type="character" w:customStyle="1" w:styleId="48">
    <w:name w:val="正文文本 (2)_"/>
    <w:link w:val="49"/>
    <w:qFormat/>
    <w:uiPriority w:val="0"/>
    <w:rPr>
      <w:rFonts w:ascii="宋体" w:hAnsi="宋体"/>
      <w:kern w:val="0"/>
      <w:sz w:val="20"/>
      <w:szCs w:val="20"/>
    </w:rPr>
  </w:style>
  <w:style w:type="paragraph" w:customStyle="1" w:styleId="49">
    <w:name w:val="正文文本 (2)1"/>
    <w:basedOn w:val="1"/>
    <w:link w:val="48"/>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0">
    <w:name w:val="无间隔2"/>
    <w:basedOn w:val="1"/>
    <w:qFormat/>
    <w:uiPriority w:val="0"/>
    <w:pPr>
      <w:spacing w:line="400" w:lineRule="exact"/>
    </w:pPr>
    <w:rPr>
      <w:sz w:val="24"/>
    </w:rPr>
  </w:style>
  <w:style w:type="character" w:customStyle="1" w:styleId="51">
    <w:name w:val="正文文本 Char"/>
    <w:basedOn w:val="30"/>
    <w:link w:val="8"/>
    <w:qFormat/>
    <w:uiPriority w:val="0"/>
    <w:rPr>
      <w:kern w:val="2"/>
      <w:sz w:val="21"/>
      <w:szCs w:val="24"/>
    </w:rPr>
  </w:style>
  <w:style w:type="paragraph" w:customStyle="1" w:styleId="52">
    <w:name w:val="无间隔1"/>
    <w:basedOn w:val="1"/>
    <w:qFormat/>
    <w:uiPriority w:val="0"/>
    <w:pPr>
      <w:spacing w:line="400" w:lineRule="exact"/>
    </w:pPr>
    <w:rPr>
      <w:sz w:val="24"/>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UserStyle_186"/>
    <w:basedOn w:val="1"/>
    <w:qFormat/>
    <w:uiPriority w:val="0"/>
    <w:rPr>
      <w:rFonts w:ascii="宋体" w:hAnsi="宋体"/>
      <w:lang w:val="zh-CN" w:bidi="zh-CN"/>
    </w:rPr>
  </w:style>
  <w:style w:type="character" w:customStyle="1" w:styleId="55">
    <w:name w:val="NormalCharacter"/>
    <w:semiHidden/>
    <w:qFormat/>
    <w:uiPriority w:val="0"/>
  </w:style>
  <w:style w:type="paragraph" w:customStyle="1" w:styleId="56">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
    <w:name w:val="列表段落"/>
    <w:basedOn w:val="1"/>
    <w:qFormat/>
    <w:uiPriority w:val="0"/>
    <w:pPr>
      <w:ind w:firstLine="420" w:firstLineChars="200"/>
    </w:pPr>
    <w:rPr>
      <w:sz w:val="28"/>
      <w:szCs w:val="28"/>
    </w:rPr>
  </w:style>
  <w:style w:type="paragraph" w:customStyle="1" w:styleId="58">
    <w:name w:val="招标正文"/>
    <w:basedOn w:val="1"/>
    <w:qFormat/>
    <w:uiPriority w:val="0"/>
    <w:pPr>
      <w:spacing w:line="300" w:lineRule="auto"/>
      <w:ind w:firstLine="420" w:firstLineChars="200"/>
    </w:pPr>
    <w:rPr>
      <w:rFonts w:ascii="Calibri" w:hAnsi="Calibri"/>
      <w:szCs w:val="18"/>
    </w:rPr>
  </w:style>
  <w:style w:type="character" w:customStyle="1" w:styleId="59">
    <w:name w:val="批注框文本 Char"/>
    <w:basedOn w:val="30"/>
    <w:link w:val="16"/>
    <w:qFormat/>
    <w:uiPriority w:val="0"/>
    <w:rPr>
      <w:kern w:val="2"/>
      <w:sz w:val="18"/>
      <w:szCs w:val="18"/>
    </w:rPr>
  </w:style>
  <w:style w:type="paragraph" w:customStyle="1" w:styleId="60">
    <w:name w:val="UserStyle_348"/>
    <w:basedOn w:val="1"/>
    <w:qFormat/>
    <w:uiPriority w:val="0"/>
    <w:pPr>
      <w:spacing w:line="288" w:lineRule="auto"/>
      <w:ind w:left="200" w:hanging="20"/>
      <w:textAlignment w:val="baseline"/>
    </w:pPr>
    <w:rPr>
      <w:color w:val="000000"/>
      <w:sz w:val="24"/>
    </w:rPr>
  </w:style>
  <w:style w:type="paragraph" w:styleId="61">
    <w:name w:val="List Paragraph"/>
    <w:basedOn w:val="1"/>
    <w:unhideWhenUsed/>
    <w:qFormat/>
    <w:uiPriority w:val="99"/>
    <w:pPr>
      <w:ind w:firstLine="420" w:firstLineChars="200"/>
    </w:pPr>
  </w:style>
  <w:style w:type="character" w:customStyle="1" w:styleId="62">
    <w:name w:val="标题 3 Char"/>
    <w:link w:val="4"/>
    <w:qFormat/>
    <w:uiPriority w:val="0"/>
    <w:rPr>
      <w:b/>
      <w:bCs/>
      <w:kern w:val="2"/>
      <w:sz w:val="32"/>
      <w:szCs w:val="32"/>
    </w:rPr>
  </w:style>
  <w:style w:type="character" w:customStyle="1" w:styleId="63">
    <w:name w:val="页眉 Char"/>
    <w:link w:val="18"/>
    <w:qFormat/>
    <w:uiPriority w:val="0"/>
    <w:rPr>
      <w:kern w:val="2"/>
      <w:sz w:val="18"/>
      <w:szCs w:val="18"/>
    </w:rPr>
  </w:style>
  <w:style w:type="character" w:customStyle="1" w:styleId="64">
    <w:name w:val="页脚 Char"/>
    <w:link w:val="17"/>
    <w:qFormat/>
    <w:uiPriority w:val="0"/>
    <w:rPr>
      <w:kern w:val="2"/>
      <w:sz w:val="18"/>
      <w:szCs w:val="18"/>
    </w:rPr>
  </w:style>
  <w:style w:type="character" w:customStyle="1" w:styleId="65">
    <w:name w:val="纯文本 Char"/>
    <w:link w:val="66"/>
    <w:qFormat/>
    <w:uiPriority w:val="0"/>
    <w:rPr>
      <w:rFonts w:ascii="黑体" w:eastAsia="黑体"/>
      <w:sz w:val="28"/>
      <w:lang w:eastAsia="en-US"/>
    </w:rPr>
  </w:style>
  <w:style w:type="paragraph" w:customStyle="1" w:styleId="66">
    <w:name w:val="纯文本1"/>
    <w:basedOn w:val="1"/>
    <w:link w:val="65"/>
    <w:qFormat/>
    <w:uiPriority w:val="0"/>
    <w:pPr>
      <w:spacing w:line="580" w:lineRule="exact"/>
      <w:ind w:right="-197" w:firstLine="200" w:firstLineChars="200"/>
    </w:pPr>
    <w:rPr>
      <w:rFonts w:ascii="黑体" w:eastAsia="黑体"/>
      <w:kern w:val="0"/>
      <w:sz w:val="28"/>
      <w:szCs w:val="20"/>
      <w:lang w:eastAsia="en-US"/>
    </w:rPr>
  </w:style>
  <w:style w:type="character" w:customStyle="1" w:styleId="67">
    <w:name w:val="批注引用1"/>
    <w:qFormat/>
    <w:uiPriority w:val="0"/>
    <w:rPr>
      <w:sz w:val="21"/>
      <w:szCs w:val="21"/>
    </w:rPr>
  </w:style>
  <w:style w:type="paragraph" w:customStyle="1" w:styleId="68">
    <w:name w:val="p0"/>
    <w:basedOn w:val="1"/>
    <w:qFormat/>
    <w:uiPriority w:val="0"/>
    <w:rPr>
      <w:szCs w:val="21"/>
    </w:rPr>
  </w:style>
  <w:style w:type="paragraph" w:customStyle="1" w:styleId="69">
    <w:name w:val="修订1"/>
    <w:qFormat/>
    <w:uiPriority w:val="0"/>
    <w:rPr>
      <w:rFonts w:ascii="Calibri" w:hAnsi="Calibri" w:eastAsia="宋体" w:cs="黑体"/>
      <w:kern w:val="2"/>
      <w:sz w:val="21"/>
      <w:szCs w:val="22"/>
      <w:lang w:val="en-US" w:eastAsia="zh-CN" w:bidi="ar-SA"/>
    </w:rPr>
  </w:style>
  <w:style w:type="paragraph" w:customStyle="1" w:styleId="7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1">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2">
    <w:name w:val="表体"/>
    <w:basedOn w:val="1"/>
    <w:next w:val="1"/>
    <w:qFormat/>
    <w:uiPriority w:val="0"/>
    <w:pPr>
      <w:spacing w:line="0" w:lineRule="atLeast"/>
    </w:pPr>
    <w:rPr>
      <w:b/>
      <w:snapToGrid w:val="0"/>
      <w:szCs w:val="20"/>
    </w:rPr>
  </w:style>
  <w:style w:type="paragraph" w:customStyle="1" w:styleId="73">
    <w:name w:val="pa-34"/>
    <w:basedOn w:val="1"/>
    <w:qFormat/>
    <w:uiPriority w:val="0"/>
    <w:pPr>
      <w:widowControl/>
      <w:spacing w:line="360" w:lineRule="atLeast"/>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10307</Words>
  <Characters>11140</Characters>
  <Lines>99</Lines>
  <Paragraphs>98</Paragraphs>
  <TotalTime>1</TotalTime>
  <ScaleCrop>false</ScaleCrop>
  <LinksUpToDate>false</LinksUpToDate>
  <CharactersWithSpaces>11314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2020-12-22T07:34:00Z</dcterms:created>
  <dc:creator>xiaomi</dc:creator>
  <cp:lastModifiedBy>123123</cp:lastModifiedBy>
  <cp:lastPrinted>2023-08-04T09:00:00Z</cp:lastPrinted>
  <dcterms:modified xsi:type="dcterms:W3CDTF">2025-06-12T10:09:32Z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3E71866377744DCD950C26389015FC04_13</vt:lpwstr>
  </property>
  <property fmtid="{D5CDD505-2E9C-101B-9397-08002B2CF9AE}" pid="4" name="KSOTemplateDocerSaveRecord">
    <vt:lpwstr>eyJoZGlkIjoiMDkxNWNkYjM4ZWFjNmE2ZGYxNTc0MzVlYmNhNzYwYjIiLCJ1c2VySWQiOiIyODUwMTI5NTMifQ==</vt:lpwstr>
  </property>
</Properties>
</file>