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5FBF">
      <w:pPr>
        <w:jc w:val="center"/>
        <w:outlineLvl w:val="0"/>
        <w:rPr>
          <w:rFonts w:hint="default" w:ascii="仿宋" w:hAnsi="仿宋" w:eastAsia="仿宋" w:cs="仿宋"/>
          <w:spacing w:val="80"/>
          <w:sz w:val="144"/>
          <w:szCs w:val="144"/>
          <w:lang w:val="en-US" w:eastAsia="zh-CN"/>
        </w:rPr>
      </w:pPr>
      <w:r>
        <w:rPr>
          <w:rFonts w:hint="eastAsia" w:ascii="仿宋" w:hAnsi="仿宋" w:eastAsia="仿宋" w:cs="仿宋"/>
          <w:spacing w:val="80"/>
          <w:sz w:val="144"/>
          <w:szCs w:val="144"/>
          <w:lang w:val="en-US" w:eastAsia="zh-CN"/>
        </w:rPr>
        <w:t>询价通知书</w:t>
      </w:r>
    </w:p>
    <w:p w14:paraId="572476BF">
      <w:pPr>
        <w:spacing w:line="700" w:lineRule="exact"/>
        <w:ind w:left="3152" w:leftChars="557" w:hanging="1982" w:hangingChars="708"/>
        <w:rPr>
          <w:rFonts w:hint="eastAsia" w:ascii="仿宋" w:hAnsi="仿宋" w:eastAsia="仿宋" w:cs="仿宋"/>
          <w:sz w:val="28"/>
          <w:szCs w:val="28"/>
        </w:rPr>
      </w:pPr>
    </w:p>
    <w:p w14:paraId="34B87738">
      <w:pPr>
        <w:spacing w:line="700" w:lineRule="exact"/>
        <w:ind w:left="3152" w:leftChars="557" w:hanging="1982" w:hangingChars="708"/>
        <w:rPr>
          <w:rFonts w:hint="eastAsia" w:ascii="仿宋" w:hAnsi="仿宋" w:eastAsia="仿宋" w:cs="仿宋"/>
          <w:sz w:val="28"/>
          <w:szCs w:val="28"/>
        </w:rPr>
      </w:pPr>
    </w:p>
    <w:p w14:paraId="59607DE4">
      <w:pPr>
        <w:spacing w:line="700" w:lineRule="exact"/>
        <w:ind w:left="3152" w:leftChars="557" w:hanging="1982" w:hangingChars="708"/>
        <w:rPr>
          <w:rFonts w:hint="eastAsia" w:ascii="仿宋" w:hAnsi="仿宋" w:eastAsia="仿宋" w:cs="仿宋"/>
          <w:sz w:val="28"/>
          <w:szCs w:val="28"/>
        </w:rPr>
      </w:pPr>
    </w:p>
    <w:p w14:paraId="06266B97">
      <w:pPr>
        <w:spacing w:line="700" w:lineRule="exact"/>
        <w:ind w:left="3152" w:leftChars="557" w:hanging="1982" w:hangingChars="708"/>
        <w:rPr>
          <w:rFonts w:hint="eastAsia" w:ascii="仿宋" w:hAnsi="仿宋" w:eastAsia="仿宋" w:cs="仿宋"/>
          <w:sz w:val="28"/>
          <w:szCs w:val="28"/>
        </w:rPr>
      </w:pPr>
    </w:p>
    <w:p w14:paraId="558B7FCA">
      <w:pPr>
        <w:spacing w:line="360" w:lineRule="auto"/>
        <w:ind w:left="3435" w:leftChars="557" w:hanging="2265" w:hangingChars="708"/>
        <w:jc w:val="left"/>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 xml:space="preserve">灭鼠灭蟑有害生物防制  </w:t>
      </w:r>
    </w:p>
    <w:p w14:paraId="20108D25">
      <w:pPr>
        <w:spacing w:line="360" w:lineRule="auto"/>
        <w:ind w:left="3435" w:leftChars="557" w:hanging="2265" w:hangingChars="708"/>
        <w:rPr>
          <w:rFonts w:hint="eastAsia" w:ascii="仿宋" w:hAnsi="仿宋" w:eastAsia="仿宋" w:cs="仿宋"/>
          <w:sz w:val="32"/>
          <w:szCs w:val="32"/>
        </w:rPr>
      </w:pPr>
    </w:p>
    <w:p w14:paraId="1E4A3695">
      <w:pPr>
        <w:spacing w:line="360" w:lineRule="auto"/>
        <w:ind w:left="3435" w:leftChars="557" w:hanging="2265" w:hangingChars="708"/>
        <w:rPr>
          <w:rFonts w:hint="eastAsia" w:ascii="仿宋" w:hAnsi="仿宋" w:eastAsia="仿宋" w:cs="仿宋"/>
          <w:sz w:val="32"/>
          <w:szCs w:val="32"/>
        </w:rPr>
      </w:pPr>
      <w:r>
        <w:rPr>
          <w:rFonts w:hint="eastAsia" w:ascii="仿宋" w:hAnsi="仿宋" w:eastAsia="仿宋" w:cs="仿宋"/>
          <w:sz w:val="32"/>
          <w:szCs w:val="32"/>
        </w:rPr>
        <w:t>采购单位： 重庆市农业学校</w:t>
      </w:r>
    </w:p>
    <w:p w14:paraId="234BE7BA">
      <w:pPr>
        <w:spacing w:line="700" w:lineRule="exact"/>
        <w:ind w:left="3435" w:leftChars="557" w:hanging="2265" w:hangingChars="708"/>
        <w:rPr>
          <w:rFonts w:hint="eastAsia" w:ascii="仿宋" w:hAnsi="仿宋" w:eastAsia="仿宋" w:cs="仿宋"/>
          <w:sz w:val="32"/>
          <w:szCs w:val="32"/>
        </w:rPr>
      </w:pPr>
    </w:p>
    <w:p w14:paraId="2B79C227">
      <w:pPr>
        <w:spacing w:line="700" w:lineRule="exact"/>
        <w:ind w:left="3435" w:leftChars="557" w:hanging="2265" w:hangingChars="708"/>
        <w:rPr>
          <w:rFonts w:hint="eastAsia" w:ascii="仿宋" w:hAnsi="仿宋" w:eastAsia="仿宋" w:cs="仿宋"/>
          <w:sz w:val="32"/>
          <w:szCs w:val="32"/>
        </w:rPr>
      </w:pPr>
    </w:p>
    <w:p w14:paraId="4A858F15">
      <w:pPr>
        <w:spacing w:line="700" w:lineRule="exact"/>
        <w:ind w:left="3435" w:leftChars="557" w:hanging="2265" w:hangingChars="708"/>
        <w:rPr>
          <w:rFonts w:hint="eastAsia" w:ascii="仿宋" w:hAnsi="仿宋" w:eastAsia="仿宋" w:cs="仿宋"/>
          <w:sz w:val="32"/>
          <w:szCs w:val="32"/>
        </w:rPr>
      </w:pPr>
    </w:p>
    <w:p w14:paraId="3FE9EB76">
      <w:pPr>
        <w:spacing w:line="700" w:lineRule="exact"/>
        <w:jc w:val="center"/>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月</w:t>
      </w:r>
    </w:p>
    <w:p w14:paraId="16E1F60E">
      <w:pPr>
        <w:spacing w:line="700" w:lineRule="exact"/>
        <w:ind w:left="3152" w:leftChars="557" w:hanging="1982" w:hangingChars="708"/>
        <w:rPr>
          <w:rFonts w:hint="eastAsia" w:ascii="仿宋" w:hAnsi="仿宋" w:eastAsia="仿宋" w:cs="仿宋"/>
          <w:sz w:val="28"/>
          <w:szCs w:val="28"/>
        </w:rPr>
      </w:pPr>
    </w:p>
    <w:p w14:paraId="0D9E63EA">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E676B29">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一、采购内容</w:t>
      </w:r>
    </w:p>
    <w:tbl>
      <w:tblPr>
        <w:tblStyle w:val="3"/>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2090"/>
        <w:gridCol w:w="2810"/>
      </w:tblGrid>
      <w:tr w14:paraId="337F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58" w:type="dxa"/>
            <w:tcBorders>
              <w:top w:val="single" w:color="auto" w:sz="4" w:space="0"/>
              <w:left w:val="single" w:color="auto" w:sz="4" w:space="0"/>
              <w:right w:val="single" w:color="auto" w:sz="4" w:space="0"/>
            </w:tcBorders>
            <w:noWrap w:val="0"/>
            <w:vAlign w:val="center"/>
          </w:tcPr>
          <w:p w14:paraId="0DD12E81">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项目名称</w:t>
            </w:r>
          </w:p>
        </w:tc>
        <w:tc>
          <w:tcPr>
            <w:tcW w:w="2090" w:type="dxa"/>
            <w:tcBorders>
              <w:top w:val="single" w:color="auto" w:sz="4" w:space="0"/>
              <w:left w:val="single" w:color="auto" w:sz="4" w:space="0"/>
              <w:right w:val="single" w:color="auto" w:sz="4" w:space="0"/>
            </w:tcBorders>
            <w:noWrap w:val="0"/>
            <w:vAlign w:val="center"/>
          </w:tcPr>
          <w:p w14:paraId="650100F5">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最高限价（元）</w:t>
            </w:r>
          </w:p>
        </w:tc>
        <w:tc>
          <w:tcPr>
            <w:tcW w:w="2810" w:type="dxa"/>
            <w:tcBorders>
              <w:top w:val="single" w:color="auto" w:sz="4" w:space="0"/>
              <w:left w:val="single" w:color="auto" w:sz="4" w:space="0"/>
              <w:right w:val="single" w:color="auto" w:sz="4" w:space="0"/>
            </w:tcBorders>
            <w:noWrap w:val="0"/>
            <w:vAlign w:val="center"/>
          </w:tcPr>
          <w:p w14:paraId="5663CCE1">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14:paraId="709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58" w:type="dxa"/>
            <w:tcBorders>
              <w:top w:val="single" w:color="auto" w:sz="4" w:space="0"/>
              <w:left w:val="single" w:color="auto" w:sz="4" w:space="0"/>
              <w:right w:val="single" w:color="auto" w:sz="4" w:space="0"/>
            </w:tcBorders>
            <w:noWrap w:val="0"/>
            <w:vAlign w:val="center"/>
          </w:tcPr>
          <w:p w14:paraId="57DCD22E">
            <w:pPr>
              <w:widowControl/>
              <w:spacing w:line="360" w:lineRule="auto"/>
              <w:jc w:val="center"/>
              <w:rPr>
                <w:rFonts w:hint="default" w:ascii="仿宋" w:hAnsi="仿宋" w:eastAsia="仿宋" w:cs="仿宋"/>
                <w:kern w:val="0"/>
                <w:sz w:val="28"/>
                <w:szCs w:val="28"/>
                <w:lang w:val="en-US" w:eastAsia="zh-CN"/>
              </w:rPr>
            </w:pPr>
            <w:bookmarkStart w:id="0" w:name="_Hlk344477914"/>
            <w:r>
              <w:rPr>
                <w:rFonts w:hint="eastAsia" w:ascii="仿宋" w:hAnsi="仿宋" w:eastAsia="仿宋" w:cs="仿宋"/>
                <w:kern w:val="0"/>
                <w:sz w:val="28"/>
                <w:szCs w:val="28"/>
                <w:lang w:val="en-US" w:eastAsia="zh-CN"/>
              </w:rPr>
              <w:t>灭鼠灭蟑有害生物防制</w:t>
            </w:r>
          </w:p>
        </w:tc>
        <w:tc>
          <w:tcPr>
            <w:tcW w:w="2090" w:type="dxa"/>
            <w:tcBorders>
              <w:top w:val="single" w:color="auto" w:sz="4" w:space="0"/>
              <w:left w:val="single" w:color="auto" w:sz="4" w:space="0"/>
              <w:right w:val="single" w:color="auto" w:sz="4" w:space="0"/>
            </w:tcBorders>
            <w:noWrap w:val="0"/>
            <w:vAlign w:val="center"/>
          </w:tcPr>
          <w:p w14:paraId="370B4CDA">
            <w:pPr>
              <w:widowControl/>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lang w:val="en-US" w:eastAsia="zh-CN"/>
              </w:rPr>
              <w:t>30000</w:t>
            </w:r>
          </w:p>
        </w:tc>
        <w:tc>
          <w:tcPr>
            <w:tcW w:w="2810" w:type="dxa"/>
            <w:tcBorders>
              <w:top w:val="single" w:color="auto" w:sz="4" w:space="0"/>
              <w:left w:val="single" w:color="auto" w:sz="4" w:space="0"/>
              <w:right w:val="single" w:color="auto" w:sz="4" w:space="0"/>
            </w:tcBorders>
            <w:noWrap w:val="0"/>
            <w:vAlign w:val="center"/>
          </w:tcPr>
          <w:p w14:paraId="541BA877">
            <w:pPr>
              <w:widowControl/>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b w:val="0"/>
                <w:bCs w:val="0"/>
                <w:kern w:val="0"/>
                <w:sz w:val="28"/>
                <w:szCs w:val="28"/>
                <w:lang w:val="en-US" w:eastAsia="zh-CN"/>
              </w:rPr>
              <w:t>服务时间自合同签订之日起1年</w:t>
            </w:r>
          </w:p>
        </w:tc>
      </w:tr>
      <w:bookmarkEnd w:id="0"/>
    </w:tbl>
    <w:p w14:paraId="2381BDA0">
      <w:pPr>
        <w:pStyle w:val="2"/>
        <w:spacing w:before="0" w:after="0" w:line="360" w:lineRule="auto"/>
        <w:rPr>
          <w:rFonts w:hint="eastAsia" w:ascii="仿宋" w:hAnsi="仿宋" w:eastAsia="仿宋" w:cs="仿宋"/>
          <w:sz w:val="28"/>
          <w:szCs w:val="28"/>
        </w:rPr>
      </w:pPr>
      <w:bookmarkStart w:id="1" w:name="_Toc22399"/>
      <w:bookmarkStart w:id="2" w:name="_Toc6462"/>
      <w:bookmarkStart w:id="3" w:name="_Toc19437"/>
      <w:bookmarkStart w:id="4" w:name="_Toc15727"/>
      <w:bookmarkStart w:id="5" w:name="_Toc15576"/>
      <w:bookmarkStart w:id="6" w:name="_Toc1790"/>
      <w:bookmarkStart w:id="7" w:name="_Toc25190"/>
      <w:bookmarkStart w:id="8" w:name="_Toc317775178"/>
      <w:bookmarkStart w:id="9" w:name="_Toc373860293"/>
    </w:p>
    <w:p w14:paraId="44E16990">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rPr>
        <w:t>二、</w:t>
      </w:r>
      <w:bookmarkEnd w:id="1"/>
      <w:bookmarkEnd w:id="2"/>
      <w:bookmarkEnd w:id="3"/>
      <w:bookmarkEnd w:id="4"/>
      <w:bookmarkEnd w:id="5"/>
      <w:bookmarkEnd w:id="6"/>
      <w:bookmarkEnd w:id="7"/>
      <w:r>
        <w:rPr>
          <w:rFonts w:hint="eastAsia" w:ascii="仿宋" w:hAnsi="仿宋" w:eastAsia="仿宋" w:cs="仿宋"/>
          <w:sz w:val="28"/>
          <w:szCs w:val="28"/>
        </w:rPr>
        <w:t>供应商资格条件</w:t>
      </w:r>
    </w:p>
    <w:bookmarkEnd w:id="8"/>
    <w:bookmarkEnd w:id="9"/>
    <w:p w14:paraId="203DB70A">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（一）基本资格条件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符合《中华人民共和国政府采购法》第二十二条资格条件：</w:t>
      </w:r>
    </w:p>
    <w:p w14:paraId="6F5B1E5E">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1.具有独立承担民事责任的能力；</w:t>
      </w:r>
    </w:p>
    <w:p w14:paraId="758AD8AC">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2.具有良好的商业信誉和健全的财务会计制度；</w:t>
      </w:r>
    </w:p>
    <w:p w14:paraId="555EF2CF">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3.具有履行合同所必需的设备和专业技术能力；</w:t>
      </w:r>
    </w:p>
    <w:p w14:paraId="22FDB22E">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4.有依法缴纳税收和社会保障资金的良好记录；</w:t>
      </w:r>
    </w:p>
    <w:p w14:paraId="55875E9D">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5.参加政府采购活动前3年内，在经营活动中没有重大违法记录；</w:t>
      </w:r>
    </w:p>
    <w:p w14:paraId="1279F3D5">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6.法律、行政法规规定的其他条件。</w:t>
      </w:r>
    </w:p>
    <w:p w14:paraId="7AEB1442">
      <w:pPr>
        <w:snapToGrid w:val="0"/>
        <w:spacing w:line="360" w:lineRule="auto"/>
        <w:ind w:firstLine="560" w:firstLineChars="200"/>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kern w:val="0"/>
          <w:sz w:val="28"/>
          <w:szCs w:val="28"/>
        </w:rPr>
        <w:t>（二）</w:t>
      </w:r>
      <w:r>
        <w:rPr>
          <w:rFonts w:hint="eastAsia" w:ascii="仿宋" w:hAnsi="仿宋" w:eastAsia="仿宋" w:cs="仿宋"/>
          <w:kern w:val="0"/>
          <w:sz w:val="28"/>
          <w:szCs w:val="28"/>
          <w:lang w:val="en-US" w:eastAsia="zh-CN"/>
        </w:rPr>
        <w:t>特定资格</w:t>
      </w:r>
      <w:r>
        <w:rPr>
          <w:rFonts w:hint="eastAsia" w:ascii="仿宋" w:hAnsi="仿宋" w:eastAsia="仿宋" w:cs="仿宋"/>
          <w:kern w:val="0"/>
          <w:sz w:val="28"/>
          <w:szCs w:val="28"/>
        </w:rPr>
        <w:t>条件</w:t>
      </w:r>
      <w:r>
        <w:rPr>
          <w:rFonts w:hint="eastAsia" w:ascii="仿宋" w:hAnsi="仿宋" w:eastAsia="仿宋" w:cs="仿宋"/>
          <w:kern w:val="0"/>
          <w:sz w:val="28"/>
          <w:szCs w:val="28"/>
          <w:lang w:eastAsia="zh-CN"/>
        </w:rPr>
        <w:t>：</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供应商营业执照经营范围须包含灭鼠、灭蟑、有害生物防制等相关服务内容。</w:t>
      </w:r>
    </w:p>
    <w:p w14:paraId="13DA0E5F">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单位负责人为同一人或者存在直接控股、管理关系的不同供应商，不得同时参加同一包的采购活动。</w:t>
      </w:r>
    </w:p>
    <w:p w14:paraId="704A3C33">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）本项目不接受联合体报价。</w:t>
      </w:r>
    </w:p>
    <w:p w14:paraId="563745B2">
      <w:pPr>
        <w:pStyle w:val="2"/>
        <w:spacing w:before="0" w:after="0" w:line="360" w:lineRule="auto"/>
        <w:ind w:firstLine="562" w:firstLineChars="200"/>
        <w:rPr>
          <w:rFonts w:hint="eastAsia" w:ascii="仿宋" w:hAnsi="仿宋" w:eastAsia="仿宋" w:cs="仿宋"/>
          <w:sz w:val="28"/>
          <w:szCs w:val="28"/>
          <w:lang w:eastAsia="zh-CN"/>
        </w:rPr>
      </w:pPr>
      <w:r>
        <w:rPr>
          <w:rFonts w:hint="eastAsia" w:ascii="仿宋" w:hAnsi="仿宋" w:eastAsia="仿宋" w:cs="仿宋"/>
          <w:sz w:val="28"/>
          <w:szCs w:val="28"/>
        </w:rPr>
        <w:t>三、项目技术（服务）需求</w:t>
      </w:r>
    </w:p>
    <w:p w14:paraId="4ADFB5DF">
      <w:pPr>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服务范围：重庆市农业学校校内所有区域以及校外的实训基地。</w:t>
      </w:r>
      <w:r>
        <w:rPr>
          <w:rFonts w:hint="eastAsia" w:ascii="仿宋" w:hAnsi="仿宋" w:eastAsia="仿宋" w:cs="仿宋"/>
          <w:b w:val="0"/>
          <w:bCs w:val="0"/>
          <w:kern w:val="0"/>
          <w:sz w:val="28"/>
          <w:szCs w:val="28"/>
          <w:u w:val="single"/>
          <w:lang w:val="en-US" w:eastAsia="zh-CN"/>
        </w:rPr>
        <w:t>（供应商可在周末自行前往学校现场查看服务区域，到校后在门卫室登记总务后勤科马老师姓名即可进入。）</w:t>
      </w:r>
    </w:p>
    <w:p w14:paraId="710D36E7">
      <w:pPr>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服务要求：</w:t>
      </w:r>
    </w:p>
    <w:p w14:paraId="1691A238">
      <w:pPr>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w:t>
      </w:r>
      <w:r>
        <w:rPr>
          <w:rFonts w:hint="default" w:ascii="仿宋" w:hAnsi="仿宋" w:eastAsia="仿宋" w:cs="仿宋"/>
          <w:kern w:val="0"/>
          <w:sz w:val="28"/>
          <w:szCs w:val="28"/>
          <w:lang w:val="en-US" w:eastAsia="zh-CN"/>
        </w:rPr>
        <w:t>日常防制服务要求</w:t>
      </w:r>
    </w:p>
    <w:p w14:paraId="5A304A63">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1.灭鼠灭蟑毒饵投放：每月开展灭鼠、灭蟑毒饵检查不少于2次，对消耗、缺失的毒饵及时进行投放和补充，确保毒饵足量、有效，投放位置合理，避免浪费及安全隐患。</w:t>
      </w:r>
    </w:p>
    <w:p w14:paraId="646E6402">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密度监测与设施指导：每季度按照国家相关标准要求，完成承包范围内鼠、蟑密度监测工作；针对重点区域（如食堂、卫生间、库房等），做好防鼠、防蟑设施的专业指导，协助优化防制效果；同步完善监测记录、数据统计等相关资料，确保资料真实、完整。</w:t>
      </w:r>
    </w:p>
    <w:p w14:paraId="7A2DF641">
      <w:pPr>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w:t>
      </w:r>
      <w:r>
        <w:rPr>
          <w:rFonts w:hint="default" w:ascii="仿宋" w:hAnsi="仿宋" w:eastAsia="仿宋" w:cs="仿宋"/>
          <w:kern w:val="0"/>
          <w:sz w:val="28"/>
          <w:szCs w:val="28"/>
          <w:lang w:val="en-US" w:eastAsia="zh-CN"/>
        </w:rPr>
        <w:t>服务记录与资料提交要求</w:t>
      </w:r>
    </w:p>
    <w:p w14:paraId="569F3268">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消杀详细记录：每次开展灭鼠、灭蟑消杀服务后，需对服务情况进行详细记录，具体包括但不限于：消杀日期、消杀具体地点、消杀内容（灭鼠/灭蟑）、消杀工作人员姓名、使用药物名称及规格、实际用药量、消杀现场图片等；所有记录需经我方负责人签字确认，确保可追溯。</w:t>
      </w:r>
    </w:p>
    <w:p w14:paraId="69B9B262">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资料提交频次：每季度向我方提交一次完整的消杀记录资料；每季度下旬，按照国家制定的标准要求与监测方法，完成一次鼠、蟑密度监测，准确如实记录监测数据、统计监测情况，并将季度监测统计报告、每次服务统计资料一并送达我方负责人处，经确认后存档。</w:t>
      </w:r>
    </w:p>
    <w:p w14:paraId="646D75CE">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3.档案管理：建立健全全年服务记录档案，对所有消杀记录、监测数据、统计资料、签字确认单据等进行分类整理，设立专柜妥善保管，确保档案完整、规范，便于我方查阅核查。</w:t>
      </w:r>
    </w:p>
    <w:p w14:paraId="43D25AF0">
      <w:pPr>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（三）</w:t>
      </w:r>
      <w:r>
        <w:rPr>
          <w:rFonts w:hint="default" w:ascii="仿宋" w:hAnsi="仿宋" w:eastAsia="仿宋" w:cs="仿宋"/>
          <w:kern w:val="0"/>
          <w:sz w:val="28"/>
          <w:szCs w:val="28"/>
          <w:lang w:val="en-US" w:eastAsia="zh-CN"/>
        </w:rPr>
        <w:t>安全与配套服务要求</w:t>
      </w:r>
    </w:p>
    <w:p w14:paraId="7D53332C">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1.安全警示与宣传：严格做好灭鼠毒物投放、消毒杀虫药品喷洒的安全警示工作，在投放点、喷洒区域设置明显的安全警示标识，防止无关人员接触；同步做好相关安全宣传工作，提醒我方人员注意安全。</w:t>
      </w:r>
    </w:p>
    <w:p w14:paraId="7FF99CB5">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2.毒饵盒配套：提供</w:t>
      </w:r>
      <w:r>
        <w:rPr>
          <w:rFonts w:hint="eastAsia" w:ascii="仿宋" w:hAnsi="仿宋" w:eastAsia="仿宋" w:cs="仿宋"/>
          <w:kern w:val="0"/>
          <w:sz w:val="28"/>
          <w:szCs w:val="28"/>
          <w:lang w:val="en-US" w:eastAsia="zh-CN"/>
        </w:rPr>
        <w:t>160</w:t>
      </w:r>
      <w:r>
        <w:rPr>
          <w:rFonts w:hint="default" w:ascii="仿宋" w:hAnsi="仿宋" w:eastAsia="仿宋" w:cs="仿宋"/>
          <w:kern w:val="0"/>
          <w:sz w:val="28"/>
          <w:szCs w:val="28"/>
          <w:lang w:val="en-US" w:eastAsia="zh-CN"/>
        </w:rPr>
        <w:t>个毒饵盒，用于规范投放毒饵；若毒饵盒上的毒饵标志出现脱落、模糊等情况，服务商需无偿进行更换，确保标识清晰可辨。</w:t>
      </w:r>
    </w:p>
    <w:p w14:paraId="2F00EE97">
      <w:pPr>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（四）</w:t>
      </w:r>
      <w:r>
        <w:rPr>
          <w:rFonts w:hint="default" w:ascii="仿宋" w:hAnsi="仿宋" w:eastAsia="仿宋" w:cs="仿宋"/>
          <w:kern w:val="0"/>
          <w:sz w:val="28"/>
          <w:szCs w:val="28"/>
          <w:lang w:val="en-US" w:eastAsia="zh-CN"/>
        </w:rPr>
        <w:t>应急处置要求</w:t>
      </w:r>
    </w:p>
    <w:p w14:paraId="7D8D3474">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若出现鼠、蟑泛滥等紧急情况，我方通知服务商后，服务商需在48小时内抵达现场处理，快速采取有效防制措施，控制事态发展，确保服务响应及时、处置高效。</w:t>
      </w:r>
    </w:p>
    <w:p w14:paraId="76CC4C5B">
      <w:pPr>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服务商需严格恪守上述所有服务要求，保质保量完成承包范围内的灭鼠灭蟑防制服务，接受我方的监督、检查与考核，对未达标项需及时整改，由此产生的相关费用由服务商自行承担。</w:t>
      </w:r>
    </w:p>
    <w:p w14:paraId="7FD7D62D">
      <w:pPr>
        <w:pStyle w:val="2"/>
        <w:spacing w:before="0" w:after="0" w:line="360" w:lineRule="auto"/>
        <w:ind w:firstLine="562"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、报价要求</w:t>
      </w:r>
    </w:p>
    <w:p w14:paraId="4D93D8D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本次报价为人民币报价，包含：设计费、货物费、运输费、安装调试费、装卸费、质检费、税费（含关税）等所有费用，因投标人自身原因造成漏报、少报皆由其自行承担责任，采购人不再补偿。</w:t>
      </w:r>
    </w:p>
    <w:p w14:paraId="479D506A">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五、</w:t>
      </w:r>
      <w:r>
        <w:rPr>
          <w:rFonts w:hint="eastAsia" w:ascii="仿宋" w:hAnsi="仿宋" w:eastAsia="仿宋" w:cs="仿宋"/>
          <w:sz w:val="28"/>
          <w:szCs w:val="28"/>
        </w:rPr>
        <w:t>付款方式</w:t>
      </w:r>
    </w:p>
    <w:p w14:paraId="241F193E">
      <w:pPr>
        <w:pStyle w:val="2"/>
        <w:spacing w:before="0" w:after="0" w:line="360" w:lineRule="auto"/>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签定合同后，合同款项按季度支付，支付时间为下个季度第一周。甲方在收到乙方开具的正规、合法、有效、等额，且发票内容与本合同约定提供的灭鼠灭蟑防制服务完全一致的增值税普通发票后，通过对公账户向乙方支付对应季度的合同款项。</w:t>
      </w:r>
    </w:p>
    <w:p w14:paraId="4C307594">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供应商响应文件要求</w:t>
      </w:r>
    </w:p>
    <w:p w14:paraId="5958D16B">
      <w:pPr>
        <w:ind w:firstLine="560" w:firstLineChars="200"/>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供应商营业执照经营范围须包含灭鼠、灭蟑、有害生物防制等相关服务内容，并上传清晰、加盖单位鲜章的营业执照扫描件，未按要求上传或不符合资格条件的，视为无效响应。</w:t>
      </w:r>
    </w:p>
    <w:p w14:paraId="58D77656">
      <w:pPr>
        <w:pStyle w:val="2"/>
        <w:numPr>
          <w:ilvl w:val="0"/>
          <w:numId w:val="0"/>
        </w:numPr>
        <w:spacing w:before="0" w:after="0" w:line="360" w:lineRule="auto"/>
        <w:ind w:firstLine="562" w:firstLineChars="200"/>
        <w:rPr>
          <w:rFonts w:hint="eastAsia"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七、成交规则</w:t>
      </w:r>
    </w:p>
    <w:p w14:paraId="08ECF571">
      <w:pPr>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采购人在</w:t>
      </w:r>
      <w:bookmarkStart w:id="24" w:name="_GoBack"/>
      <w:bookmarkEnd w:id="24"/>
      <w:r>
        <w:rPr>
          <w:rFonts w:hint="eastAsia" w:ascii="仿宋" w:hAnsi="仿宋" w:eastAsia="仿宋" w:cs="仿宋"/>
          <w:b w:val="0"/>
          <w:kern w:val="2"/>
          <w:sz w:val="28"/>
          <w:szCs w:val="28"/>
          <w:lang w:val="en-US" w:eastAsia="zh-CN" w:bidi="ar-SA"/>
        </w:rPr>
        <w:t>符合审查的供应商中，手动确认报价最低的成为成交供应商。</w:t>
      </w:r>
    </w:p>
    <w:p w14:paraId="551C351D">
      <w:pPr>
        <w:pStyle w:val="2"/>
        <w:spacing w:before="0" w:after="0" w:line="360" w:lineRule="auto"/>
        <w:ind w:firstLine="562" w:firstLineChars="200"/>
        <w:rPr>
          <w:rFonts w:hint="eastAsia" w:ascii="仿宋" w:hAnsi="仿宋" w:eastAsia="仿宋" w:cs="仿宋"/>
          <w:sz w:val="28"/>
          <w:szCs w:val="28"/>
        </w:rPr>
      </w:pPr>
      <w:bookmarkStart w:id="10" w:name="_Toc27955"/>
      <w:bookmarkStart w:id="11" w:name="_Toc11828"/>
      <w:bookmarkStart w:id="12" w:name="_Toc25886"/>
      <w:bookmarkStart w:id="13" w:name="_Toc20778"/>
      <w:bookmarkStart w:id="14" w:name="_Toc9654"/>
      <w:bookmarkStart w:id="15" w:name="_Toc5085"/>
      <w:bookmarkStart w:id="16" w:name="_Toc3475"/>
      <w:bookmarkStart w:id="17" w:name="_Toc9027"/>
      <w:bookmarkStart w:id="18" w:name="_Toc19730"/>
      <w:bookmarkStart w:id="19" w:name="_Toc15478"/>
      <w:bookmarkStart w:id="20" w:name="_Toc25516"/>
      <w:bookmarkStart w:id="21" w:name="_Toc14778"/>
      <w:bookmarkStart w:id="22" w:name="_Toc13969"/>
      <w:bookmarkStart w:id="23" w:name="_Toc31315"/>
      <w:r>
        <w:rPr>
          <w:rFonts w:hint="eastAsia" w:ascii="仿宋" w:hAnsi="仿宋" w:eastAsia="仿宋" w:cs="仿宋"/>
          <w:sz w:val="28"/>
          <w:szCs w:val="28"/>
          <w:lang w:val="en-US" w:eastAsia="zh-CN"/>
        </w:rPr>
        <w:t>八</w:t>
      </w:r>
      <w:r>
        <w:rPr>
          <w:rFonts w:hint="eastAsia" w:ascii="仿宋" w:hAnsi="仿宋" w:eastAsia="仿宋" w:cs="仿宋"/>
          <w:sz w:val="28"/>
          <w:szCs w:val="28"/>
        </w:rPr>
        <w:t>、联系方式</w:t>
      </w:r>
      <w:bookmarkEnd w:id="10"/>
      <w:bookmarkEnd w:id="11"/>
      <w:bookmarkEnd w:id="12"/>
      <w:bookmarkEnd w:id="13"/>
      <w:bookmarkEnd w:id="14"/>
      <w:bookmarkEnd w:id="15"/>
      <w:bookmarkEnd w:id="16"/>
    </w:p>
    <w:p w14:paraId="5DF23F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采购单位：重庆市农业学校</w:t>
      </w:r>
    </w:p>
    <w:p w14:paraId="24D6D2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马</w:t>
      </w:r>
      <w:r>
        <w:rPr>
          <w:rFonts w:hint="eastAsia" w:ascii="仿宋" w:hAnsi="仿宋" w:eastAsia="仿宋" w:cs="仿宋"/>
          <w:sz w:val="28"/>
          <w:szCs w:val="28"/>
        </w:rPr>
        <w:t xml:space="preserve">老师 </w:t>
      </w:r>
    </w:p>
    <w:p w14:paraId="04D2CC2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hint="eastAsia" w:ascii="Arial" w:hAnsi="Arial" w:eastAsia="宋体" w:cs="Arial"/>
          <w:color w:val="333333"/>
          <w:kern w:val="0"/>
          <w:sz w:val="28"/>
          <w:szCs w:val="28"/>
          <w:shd w:val="clear" w:color="auto" w:fill="FFFFFF"/>
          <w:lang w:val="en-US" w:eastAsia="zh-CN" w:bidi="ar"/>
        </w:rPr>
        <w:t>023-68033150</w:t>
      </w:r>
      <w:r>
        <w:rPr>
          <w:rFonts w:hint="eastAsia" w:ascii="仿宋" w:hAnsi="仿宋" w:eastAsia="仿宋" w:cs="仿宋"/>
          <w:sz w:val="28"/>
          <w:szCs w:val="28"/>
        </w:rPr>
        <w:t xml:space="preserve"> </w:t>
      </w:r>
    </w:p>
    <w:p w14:paraId="066CD2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  址：重庆高新区白市驿镇黄金桥2号</w:t>
      </w:r>
    </w:p>
    <w:bookmarkEnd w:id="17"/>
    <w:bookmarkEnd w:id="18"/>
    <w:bookmarkEnd w:id="19"/>
    <w:bookmarkEnd w:id="20"/>
    <w:bookmarkEnd w:id="21"/>
    <w:bookmarkEnd w:id="22"/>
    <w:bookmarkEnd w:id="23"/>
    <w:p w14:paraId="45C4ED8C">
      <w:pPr>
        <w:rPr>
          <w:rFonts w:hint="eastAsia" w:ascii="仿宋" w:hAnsi="仿宋" w:eastAsia="仿宋" w:cs="仿宋"/>
          <w:b w:val="0"/>
          <w:kern w:val="2"/>
          <w:sz w:val="28"/>
          <w:szCs w:val="28"/>
          <w:lang w:val="en-US" w:eastAsia="zh-CN" w:bidi="ar-SA"/>
        </w:rPr>
      </w:pPr>
    </w:p>
    <w:p w14:paraId="011E6071">
      <w:pPr>
        <w:rPr>
          <w:rFonts w:hint="eastAsia" w:ascii="仿宋" w:hAnsi="仿宋" w:eastAsia="仿宋" w:cs="仿宋"/>
          <w:b w:val="0"/>
          <w:kern w:val="2"/>
          <w:sz w:val="28"/>
          <w:szCs w:val="28"/>
          <w:lang w:val="en-US" w:eastAsia="zh-CN" w:bidi="ar-SA"/>
        </w:rPr>
      </w:pPr>
    </w:p>
    <w:p w14:paraId="7A6F4B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1646"/>
    <w:rsid w:val="606D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2026-04-24T07:06:00Z</dcterms:created>
  <dc:creator>Horsedaughter</dc:creator>
  <cp:lastModifiedBy>Horsedaughter</cp:lastModifiedBy>
  <dcterms:modified xsi:type="dcterms:W3CDTF">2026-04-24T07:31:43Z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2053D5EC1C8E401B86EE010C57D0442F_11</vt:lpwstr>
  </property>
  <property fmtid="{D5CDD505-2E9C-101B-9397-08002B2CF9AE}" pid="4" name="KSOTemplateDocerSaveRecord">
    <vt:lpwstr>eyJoZGlkIjoiYzk5NGU4Yzk4YmEzZGM2NDkzYjRlMjY5OGEyYTZlMDYiLCJ1c2VySWQiOiIyOTY0MTA3NzQifQ==</vt:lpwstr>
  </property>
</Properties>
</file>