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01E1A">
      <w:pPr>
        <w:rPr>
          <w:rFonts w:ascii="宋体" w:hAnsi="宋体"/>
        </w:rPr>
      </w:pPr>
    </w:p>
    <w:p w14:paraId="0A0B64BD">
      <w:pPr>
        <w:rPr>
          <w:rFonts w:ascii="宋体" w:hAnsi="宋体"/>
        </w:rPr>
      </w:pPr>
    </w:p>
    <w:p w14:paraId="0A842437">
      <w:pPr>
        <w:jc w:val="center"/>
        <w:outlineLvl w:val="0"/>
        <w:rPr>
          <w:rFonts w:ascii="方正黑体_GBK" w:hAnsi="宋体" w:eastAsia="方正黑体_GBK"/>
          <w:spacing w:val="80"/>
          <w:sz w:val="112"/>
          <w:szCs w:val="112"/>
        </w:rPr>
      </w:pPr>
      <w:bookmarkStart w:id="0" w:name="OLE_LINK5"/>
      <w:bookmarkStart w:id="1" w:name="OLE_LINK2"/>
      <w:r>
        <w:rPr>
          <w:rFonts w:hint="eastAsia" w:ascii="方正黑体_GBK" w:hAnsi="宋体" w:eastAsia="方正黑体_GBK"/>
          <w:spacing w:val="80"/>
          <w:sz w:val="112"/>
          <w:szCs w:val="112"/>
        </w:rPr>
        <w:t>竞争性磋商</w:t>
      </w:r>
      <w:bookmarkEnd w:id="0"/>
      <w:bookmarkEnd w:id="1"/>
      <w:r>
        <w:rPr>
          <w:rFonts w:hint="eastAsia" w:ascii="方正黑体_GBK" w:hAnsi="宋体" w:eastAsia="方正黑体_GBK"/>
          <w:spacing w:val="80"/>
          <w:sz w:val="112"/>
          <w:szCs w:val="112"/>
        </w:rPr>
        <w:t>文件</w:t>
      </w:r>
    </w:p>
    <w:p w14:paraId="034A7891">
      <w:pPr>
        <w:spacing w:line="700" w:lineRule="exact"/>
        <w:jc w:val="center"/>
        <w:rPr>
          <w:rFonts w:ascii="黑体" w:eastAsia="黑体"/>
          <w:sz w:val="32"/>
        </w:rPr>
      </w:pPr>
    </w:p>
    <w:p w14:paraId="3D39D355">
      <w:pPr>
        <w:spacing w:line="700" w:lineRule="exact"/>
        <w:jc w:val="center"/>
        <w:rPr>
          <w:rFonts w:ascii="黑体" w:eastAsia="黑体"/>
          <w:sz w:val="32"/>
        </w:rPr>
      </w:pPr>
    </w:p>
    <w:p w14:paraId="2C510B29">
      <w:pPr>
        <w:spacing w:line="700" w:lineRule="exact"/>
        <w:jc w:val="center"/>
        <w:rPr>
          <w:rFonts w:ascii="黑体" w:eastAsia="黑体"/>
          <w:sz w:val="32"/>
        </w:rPr>
      </w:pPr>
    </w:p>
    <w:p w14:paraId="08FDB863">
      <w:pPr>
        <w:spacing w:line="700" w:lineRule="exact"/>
        <w:jc w:val="center"/>
        <w:rPr>
          <w:rFonts w:ascii="黑体" w:eastAsia="黑体"/>
          <w:sz w:val="32"/>
        </w:rPr>
      </w:pPr>
    </w:p>
    <w:p w14:paraId="3F1FCC90">
      <w:pPr>
        <w:spacing w:line="700" w:lineRule="exact"/>
        <w:ind w:firstLine="1749" w:firstLineChars="486"/>
        <w:rPr>
          <w:rFonts w:hint="default" w:ascii="方正小标宋_GBK" w:hAnsi="宋体" w:eastAsia="方正小标宋_GBK"/>
          <w:color w:val="FF0000"/>
          <w:sz w:val="36"/>
          <w:szCs w:val="30"/>
          <w:lang w:val="en-US" w:eastAsia="zh-CN"/>
        </w:rPr>
      </w:pPr>
      <w:r>
        <w:rPr>
          <w:rFonts w:hint="eastAsia" w:ascii="方正小标宋_GBK" w:hAnsi="宋体" w:eastAsia="方正小标宋_GBK"/>
          <w:color w:val="FF0000"/>
          <w:sz w:val="36"/>
          <w:szCs w:val="30"/>
        </w:rPr>
        <w:t>采购计划编号：</w:t>
      </w:r>
      <w:r>
        <w:rPr>
          <w:rFonts w:hint="eastAsia" w:ascii="方正小标宋_GBK" w:hAnsi="宋体" w:eastAsia="方正小标宋_GBK"/>
          <w:color w:val="FF0000"/>
          <w:sz w:val="36"/>
          <w:szCs w:val="30"/>
          <w:lang w:val="en-US" w:eastAsia="zh-CN"/>
        </w:rPr>
        <w:t>ZB202503</w:t>
      </w:r>
    </w:p>
    <w:p w14:paraId="291F12DA">
      <w:pPr>
        <w:spacing w:line="700" w:lineRule="exact"/>
        <w:ind w:left="3646" w:leftChars="640" w:hanging="1854" w:hangingChars="515"/>
        <w:rPr>
          <w:rFonts w:ascii="方正小标宋_GBK" w:hAnsi="宋体" w:eastAsia="方正小标宋_GBK"/>
          <w:color w:val="FF0000"/>
          <w:sz w:val="36"/>
          <w:szCs w:val="30"/>
        </w:rPr>
      </w:pPr>
      <w:r>
        <w:rPr>
          <w:rFonts w:hint="eastAsia" w:ascii="方正小标宋_GBK" w:hAnsi="宋体" w:eastAsia="方正小标宋_GBK"/>
          <w:color w:val="FF0000"/>
          <w:sz w:val="36"/>
          <w:szCs w:val="30"/>
        </w:rPr>
        <w:t>项目名称：重庆市合川区妇幼保健院</w:t>
      </w:r>
      <w:r>
        <w:rPr>
          <w:rFonts w:hint="eastAsia" w:ascii="方正小标宋_GBK" w:hAnsi="宋体" w:eastAsia="方正小标宋_GBK"/>
          <w:color w:val="FF0000"/>
          <w:sz w:val="36"/>
          <w:szCs w:val="30"/>
          <w:lang w:val="en-US" w:eastAsia="zh-CN"/>
        </w:rPr>
        <w:t>麻醉机</w:t>
      </w:r>
      <w:r>
        <w:rPr>
          <w:rFonts w:hint="eastAsia" w:ascii="方正小标宋_GBK" w:hAnsi="宋体" w:eastAsia="方正小标宋_GBK"/>
          <w:color w:val="FF0000"/>
          <w:sz w:val="36"/>
          <w:szCs w:val="30"/>
        </w:rPr>
        <w:t>项目招标</w:t>
      </w:r>
    </w:p>
    <w:p w14:paraId="5E1FDA87">
      <w:pPr>
        <w:spacing w:line="700" w:lineRule="exact"/>
        <w:ind w:firstLine="1749" w:firstLineChars="486"/>
        <w:rPr>
          <w:rFonts w:ascii="方正小标宋_GBK" w:hAnsi="宋体" w:eastAsia="方正小标宋_GBK"/>
          <w:sz w:val="36"/>
          <w:szCs w:val="30"/>
        </w:rPr>
      </w:pPr>
    </w:p>
    <w:p w14:paraId="40D8EB73">
      <w:pPr>
        <w:spacing w:line="700" w:lineRule="exact"/>
        <w:jc w:val="center"/>
        <w:rPr>
          <w:rFonts w:ascii="宋体" w:hAnsi="宋体"/>
          <w:b/>
          <w:sz w:val="30"/>
          <w:szCs w:val="30"/>
        </w:rPr>
      </w:pPr>
    </w:p>
    <w:p w14:paraId="7A669829">
      <w:pPr>
        <w:spacing w:line="700" w:lineRule="exact"/>
        <w:jc w:val="center"/>
        <w:rPr>
          <w:rFonts w:ascii="宋体" w:hAnsi="宋体"/>
          <w:b/>
          <w:sz w:val="30"/>
          <w:szCs w:val="30"/>
        </w:rPr>
      </w:pPr>
    </w:p>
    <w:p w14:paraId="7775A052">
      <w:pPr>
        <w:spacing w:line="700" w:lineRule="exact"/>
        <w:jc w:val="center"/>
        <w:rPr>
          <w:rFonts w:ascii="宋体" w:hAnsi="宋体"/>
          <w:b/>
          <w:sz w:val="30"/>
          <w:szCs w:val="30"/>
        </w:rPr>
      </w:pPr>
    </w:p>
    <w:p w14:paraId="722E109D">
      <w:pPr>
        <w:spacing w:line="700" w:lineRule="exact"/>
        <w:jc w:val="center"/>
        <w:rPr>
          <w:rFonts w:ascii="宋体" w:hAnsi="宋体" w:eastAsia="方正小标宋_GBK"/>
          <w:b/>
          <w:sz w:val="32"/>
          <w:szCs w:val="32"/>
        </w:rPr>
      </w:pPr>
      <w:r>
        <w:rPr>
          <w:rFonts w:hint="eastAsia" w:ascii="方正小标宋_GBK" w:hAnsi="宋体" w:eastAsia="方正小标宋_GBK"/>
          <w:sz w:val="36"/>
          <w:szCs w:val="30"/>
        </w:rPr>
        <w:t>采购人：重庆市合川区妇幼保健院</w:t>
      </w:r>
    </w:p>
    <w:p w14:paraId="5BA575D1">
      <w:pPr>
        <w:spacing w:line="720" w:lineRule="exact"/>
        <w:jc w:val="center"/>
        <w:outlineLvl w:val="0"/>
        <w:rPr>
          <w:rFonts w:ascii="方正黑体_GBK" w:hAnsi="宋体" w:eastAsia="方正黑体_GBK"/>
          <w:sz w:val="48"/>
          <w:szCs w:val="32"/>
        </w:rPr>
      </w:pPr>
    </w:p>
    <w:p w14:paraId="67872AB7">
      <w:pPr>
        <w:spacing w:line="720" w:lineRule="exact"/>
        <w:jc w:val="center"/>
        <w:outlineLvl w:val="0"/>
        <w:rPr>
          <w:rFonts w:ascii="方正黑体_GBK" w:hAnsi="宋体" w:eastAsia="方正黑体_GBK"/>
          <w:sz w:val="48"/>
          <w:szCs w:val="32"/>
        </w:rPr>
      </w:pPr>
    </w:p>
    <w:p w14:paraId="4B83DFEA">
      <w:pPr>
        <w:spacing w:line="720" w:lineRule="exact"/>
        <w:jc w:val="center"/>
        <w:outlineLvl w:val="0"/>
        <w:rPr>
          <w:rFonts w:ascii="方正黑体_GBK" w:hAnsi="宋体" w:eastAsia="方正黑体_GBK"/>
          <w:color w:val="FF0000"/>
          <w:sz w:val="48"/>
          <w:szCs w:val="32"/>
        </w:rPr>
      </w:pPr>
      <w:r>
        <w:rPr>
          <w:rFonts w:hint="eastAsia" w:ascii="方正黑体_GBK" w:hAnsi="宋体" w:eastAsia="方正黑体_GBK"/>
          <w:color w:val="FF0000"/>
          <w:sz w:val="48"/>
          <w:szCs w:val="32"/>
        </w:rPr>
        <w:t>二〇二</w:t>
      </w:r>
      <w:r>
        <w:rPr>
          <w:rFonts w:hint="eastAsia" w:ascii="方正黑体_GBK" w:hAnsi="宋体" w:eastAsia="方正黑体_GBK"/>
          <w:color w:val="FF0000"/>
          <w:sz w:val="48"/>
          <w:szCs w:val="32"/>
          <w:lang w:val="en-US" w:eastAsia="zh-CN"/>
        </w:rPr>
        <w:t>五</w:t>
      </w:r>
      <w:r>
        <w:rPr>
          <w:rFonts w:hint="eastAsia" w:ascii="方正黑体_GBK" w:hAnsi="宋体" w:eastAsia="方正黑体_GBK"/>
          <w:color w:val="FF0000"/>
          <w:sz w:val="48"/>
          <w:szCs w:val="32"/>
        </w:rPr>
        <w:t>年</w:t>
      </w:r>
      <w:r>
        <w:rPr>
          <w:rFonts w:hint="eastAsia" w:ascii="方正黑体_GBK" w:hAnsi="宋体" w:eastAsia="方正黑体_GBK"/>
          <w:color w:val="FF0000"/>
          <w:sz w:val="48"/>
          <w:szCs w:val="32"/>
          <w:lang w:val="en-US" w:eastAsia="zh-CN"/>
        </w:rPr>
        <w:t>六</w:t>
      </w:r>
      <w:r>
        <w:rPr>
          <w:rFonts w:hint="eastAsia" w:ascii="方正黑体_GBK" w:hAnsi="宋体" w:eastAsia="方正黑体_GBK"/>
          <w:color w:val="FF0000"/>
          <w:sz w:val="48"/>
          <w:szCs w:val="32"/>
        </w:rPr>
        <w:t>月</w:t>
      </w:r>
    </w:p>
    <w:p w14:paraId="26A37FBD">
      <w:pPr>
        <w:spacing w:line="420" w:lineRule="exact"/>
        <w:jc w:val="center"/>
        <w:outlineLvl w:val="0"/>
        <w:rPr>
          <w:rFonts w:ascii="方正黑体_GBK" w:eastAsia="方正黑体_GBK"/>
          <w:sz w:val="44"/>
          <w:szCs w:val="28"/>
        </w:rPr>
      </w:pPr>
    </w:p>
    <w:p w14:paraId="201F83A6">
      <w:pPr>
        <w:pStyle w:val="11"/>
      </w:pPr>
    </w:p>
    <w:p w14:paraId="334EAA25">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 xml:space="preserve">  </w:t>
      </w:r>
    </w:p>
    <w:p w14:paraId="5CAB1941">
      <w:pPr>
        <w:widowControl/>
        <w:adjustRightInd w:val="0"/>
        <w:spacing w:line="52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温馨提示</w:t>
      </w:r>
    </w:p>
    <w:p w14:paraId="6FD0CD18">
      <w:pPr>
        <w:widowControl/>
        <w:adjustRightInd w:val="0"/>
        <w:spacing w:line="520" w:lineRule="exact"/>
        <w:ind w:firstLine="3534" w:firstLineChars="800"/>
        <w:jc w:val="left"/>
        <w:rPr>
          <w:rFonts w:ascii="方正仿宋" w:hAnsi="宋体" w:eastAsia="方正仿宋" w:cs="宋体"/>
          <w:b/>
          <w:color w:val="000000"/>
          <w:kern w:val="0"/>
          <w:sz w:val="44"/>
          <w:szCs w:val="44"/>
        </w:rPr>
      </w:pPr>
    </w:p>
    <w:p w14:paraId="3CB951BD">
      <w:pPr>
        <w:spacing w:line="560" w:lineRule="exact"/>
        <w:rPr>
          <w:rFonts w:ascii="方正黑体_GBK" w:eastAsia="方正黑体_GBK"/>
          <w:color w:val="000000"/>
          <w:sz w:val="30"/>
          <w:szCs w:val="30"/>
        </w:rPr>
      </w:pPr>
      <w:r>
        <w:rPr>
          <w:rFonts w:hint="eastAsia" w:ascii="方正黑体_GBK" w:eastAsia="方正黑体_GBK"/>
          <w:color w:val="000000"/>
          <w:sz w:val="30"/>
          <w:szCs w:val="30"/>
        </w:rPr>
        <w:t>各潜在供应商：</w:t>
      </w:r>
    </w:p>
    <w:p w14:paraId="60C180CD">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我单位招标实行不报名（是指不事先报名）和资格后审，潜在供应商在网上自行下载招标（磋商、询价）文件，在规定时间内按要求参与投标（磋商、询价）。为提高政府采购活动的成交率，帮助您正视您的合法权益，减少不必要的采购失败，特提醒关注包括但不限于下列问题。</w:t>
      </w:r>
    </w:p>
    <w:p w14:paraId="2902951C">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1、请潜在供应商认真仔细阅读政府采购招标（磋商、询价）文件，按要求认真仔细地准备好相关资料后再参与采购活动。</w:t>
      </w:r>
    </w:p>
    <w:p w14:paraId="155E9CD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2、请潜在供应商按要求准确填写开标一览表或磋商（询价）表，在法定代表人或授权代理人（签字）的位置应签字，在要求潜在供应商加盖公章的地方要加盖公章。</w:t>
      </w:r>
    </w:p>
    <w:p w14:paraId="33BA50F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3、潜在供应商在填写报价金额时，应按照采购文件要求的最高限价的单位填写，不要填错；报价的大写金额应按照正确的书写格式填写，不写错别字。</w:t>
      </w:r>
    </w:p>
    <w:p w14:paraId="140601D0">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4、潜在供应商在填写开标一览表时，要按照采购文件的要求逐项填写，要准确填写交货期、交货地点等内容。</w:t>
      </w:r>
    </w:p>
    <w:p w14:paraId="12B4A159">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5、潜在供应商递交的响应文件或磋商资料或询价资料，要按照采购文件的要求包装且密封完好，并在密封处加盖印章。</w:t>
      </w:r>
    </w:p>
    <w:p w14:paraId="3F49C1B4">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6、潜在供应商提交的资质等材料，应按采购文件要求提交原件或复印件加盖单位鲜章；提供的资质材料应按采购文件要求是有效的资质，提供的资质材料应按采购文件要求提供齐全，不要漏项。</w:t>
      </w:r>
    </w:p>
    <w:p w14:paraId="0EEF969A">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7、投标保证金账号：见</w:t>
      </w:r>
      <w:r>
        <w:rPr>
          <w:rFonts w:hint="eastAsia" w:ascii="方正黑体_GBK" w:eastAsia="方正黑体_GBK"/>
          <w:color w:val="000000"/>
          <w:sz w:val="30"/>
          <w:szCs w:val="30"/>
          <w:u w:val="single"/>
        </w:rPr>
        <w:t>第一篇第五条。</w:t>
      </w:r>
    </w:p>
    <w:p w14:paraId="2F678D83">
      <w:pPr>
        <w:spacing w:line="560" w:lineRule="exact"/>
        <w:ind w:firstLine="600" w:firstLineChars="200"/>
        <w:rPr>
          <w:rFonts w:ascii="方正黑体_GBK" w:eastAsia="方正黑体_GBK"/>
          <w:color w:val="000000"/>
          <w:sz w:val="30"/>
          <w:szCs w:val="30"/>
        </w:rPr>
      </w:pPr>
      <w:r>
        <w:rPr>
          <w:rFonts w:hint="eastAsia" w:ascii="方正黑体_GBK" w:eastAsia="方正黑体_GBK"/>
          <w:color w:val="000000"/>
          <w:sz w:val="30"/>
          <w:szCs w:val="30"/>
        </w:rPr>
        <w:t>8、潜在供应商应随时关注在重庆市政府采购网“行采家”网站上发布的相关采购项目的答疑和补遗等文件。</w:t>
      </w:r>
    </w:p>
    <w:p w14:paraId="59FABE11">
      <w:pPr>
        <w:spacing w:line="560" w:lineRule="exact"/>
        <w:ind w:firstLine="558" w:firstLineChars="186"/>
        <w:rPr>
          <w:rFonts w:ascii="方正黑体_GBK" w:eastAsia="方正黑体_GBK"/>
          <w:color w:val="000000"/>
          <w:sz w:val="30"/>
          <w:szCs w:val="30"/>
        </w:rPr>
      </w:pPr>
      <w:r>
        <w:rPr>
          <w:rFonts w:hint="eastAsia" w:ascii="方正黑体_GBK" w:eastAsia="方正黑体_GBK"/>
          <w:color w:val="000000"/>
          <w:sz w:val="30"/>
          <w:szCs w:val="30"/>
        </w:rPr>
        <w:t>9、潜在供应商可按照招标（磋商、询价）文件规定的联系方式，寻求帮助。</w:t>
      </w:r>
    </w:p>
    <w:p w14:paraId="4059761B">
      <w:pPr>
        <w:rPr>
          <w:rFonts w:ascii="方正黑体_GBK" w:eastAsia="方正黑体_GBK"/>
        </w:rPr>
      </w:pPr>
    </w:p>
    <w:p w14:paraId="2A0F5441">
      <w:pPr>
        <w:rPr>
          <w:rFonts w:ascii="方正黑体_GBK" w:eastAsia="方正黑体_GBK"/>
        </w:rPr>
      </w:pPr>
    </w:p>
    <w:p w14:paraId="0C23CC99">
      <w:pPr>
        <w:rPr>
          <w:rFonts w:ascii="方正黑体_GBK" w:eastAsia="方正黑体_GBK"/>
        </w:rPr>
      </w:pPr>
    </w:p>
    <w:p w14:paraId="2F850A4D">
      <w:pPr>
        <w:rPr>
          <w:rFonts w:ascii="方正黑体_GBK" w:eastAsia="方正黑体_GBK"/>
        </w:rPr>
      </w:pPr>
    </w:p>
    <w:p w14:paraId="063389E2">
      <w:pPr>
        <w:spacing w:line="720" w:lineRule="exact"/>
        <w:jc w:val="center"/>
        <w:outlineLvl w:val="0"/>
        <w:rPr>
          <w:rFonts w:ascii="方正黑体_GBK" w:hAnsi="宋体" w:eastAsia="方正黑体_GBK"/>
          <w:sz w:val="48"/>
          <w:szCs w:val="32"/>
        </w:rPr>
      </w:pPr>
      <w:r>
        <w:rPr>
          <w:rFonts w:hint="eastAsia" w:ascii="方正黑体_GBK" w:eastAsia="方正黑体_GBK"/>
        </w:rPr>
        <w:t xml:space="preserve">                  </w:t>
      </w:r>
      <w:r>
        <w:rPr>
          <w:rFonts w:hint="eastAsia" w:ascii="方正黑体_GBK" w:eastAsia="方正黑体_GBK"/>
          <w:color w:val="000000"/>
          <w:sz w:val="30"/>
          <w:szCs w:val="30"/>
        </w:rPr>
        <w:t>重庆市合川区妇幼保健院  制</w:t>
      </w:r>
    </w:p>
    <w:p w14:paraId="1457A575">
      <w:pPr>
        <w:spacing w:line="420" w:lineRule="exact"/>
        <w:jc w:val="center"/>
        <w:outlineLvl w:val="0"/>
        <w:rPr>
          <w:rFonts w:ascii="方正黑体_GBK" w:eastAsia="方正黑体_GBK"/>
          <w:sz w:val="44"/>
          <w:szCs w:val="28"/>
        </w:rPr>
      </w:pPr>
    </w:p>
    <w:p w14:paraId="62BFE932">
      <w:pPr>
        <w:spacing w:line="480" w:lineRule="exact"/>
        <w:jc w:val="center"/>
        <w:outlineLvl w:val="0"/>
        <w:rPr>
          <w:rFonts w:ascii="方正小标宋_GBK" w:eastAsia="方正小标宋_GBK"/>
          <w:sz w:val="44"/>
          <w:szCs w:val="28"/>
        </w:rPr>
      </w:pPr>
    </w:p>
    <w:p w14:paraId="57D59057">
      <w:pPr>
        <w:spacing w:line="480" w:lineRule="exact"/>
        <w:jc w:val="center"/>
        <w:outlineLvl w:val="0"/>
        <w:rPr>
          <w:rFonts w:ascii="方正小标宋_GBK" w:eastAsia="方正小标宋_GBK"/>
          <w:sz w:val="44"/>
          <w:szCs w:val="28"/>
        </w:rPr>
      </w:pPr>
    </w:p>
    <w:p w14:paraId="0829EDCA">
      <w:pPr>
        <w:spacing w:line="480" w:lineRule="exact"/>
        <w:jc w:val="center"/>
        <w:outlineLvl w:val="0"/>
        <w:rPr>
          <w:rFonts w:ascii="方正小标宋_GBK" w:eastAsia="方正小标宋_GBK"/>
          <w:sz w:val="44"/>
          <w:szCs w:val="28"/>
        </w:rPr>
      </w:pPr>
    </w:p>
    <w:p w14:paraId="34E14434">
      <w:pPr>
        <w:spacing w:line="480" w:lineRule="exact"/>
        <w:jc w:val="center"/>
        <w:outlineLvl w:val="0"/>
        <w:rPr>
          <w:rFonts w:ascii="方正小标宋_GBK" w:eastAsia="方正小标宋_GBK"/>
          <w:sz w:val="44"/>
          <w:szCs w:val="28"/>
        </w:rPr>
      </w:pPr>
    </w:p>
    <w:p w14:paraId="218DE55F">
      <w:pPr>
        <w:spacing w:line="480" w:lineRule="exact"/>
        <w:jc w:val="center"/>
        <w:outlineLvl w:val="0"/>
        <w:rPr>
          <w:rFonts w:ascii="方正小标宋_GBK" w:eastAsia="方正小标宋_GBK"/>
          <w:sz w:val="44"/>
          <w:szCs w:val="28"/>
        </w:rPr>
      </w:pPr>
    </w:p>
    <w:p w14:paraId="4835B772">
      <w:pPr>
        <w:spacing w:line="480" w:lineRule="exact"/>
        <w:jc w:val="center"/>
        <w:outlineLvl w:val="0"/>
        <w:rPr>
          <w:rFonts w:ascii="方正小标宋_GBK" w:eastAsia="方正小标宋_GBK"/>
          <w:sz w:val="44"/>
          <w:szCs w:val="28"/>
        </w:rPr>
      </w:pPr>
    </w:p>
    <w:p w14:paraId="2B3480AC">
      <w:pPr>
        <w:spacing w:line="480" w:lineRule="exact"/>
        <w:jc w:val="center"/>
        <w:outlineLvl w:val="0"/>
        <w:rPr>
          <w:rFonts w:ascii="方正小标宋_GBK" w:eastAsia="方正小标宋_GBK"/>
          <w:sz w:val="44"/>
          <w:szCs w:val="28"/>
        </w:rPr>
      </w:pPr>
    </w:p>
    <w:p w14:paraId="3CCD92D1">
      <w:pPr>
        <w:spacing w:line="480" w:lineRule="exact"/>
        <w:jc w:val="center"/>
        <w:outlineLvl w:val="0"/>
        <w:rPr>
          <w:rFonts w:ascii="方正小标宋_GBK" w:eastAsia="方正小标宋_GBK"/>
          <w:sz w:val="44"/>
          <w:szCs w:val="28"/>
        </w:rPr>
      </w:pPr>
    </w:p>
    <w:p w14:paraId="4D335DE3">
      <w:pPr>
        <w:spacing w:line="480" w:lineRule="exact"/>
        <w:jc w:val="center"/>
        <w:outlineLvl w:val="0"/>
        <w:rPr>
          <w:rFonts w:ascii="方正小标宋_GBK" w:eastAsia="方正小标宋_GBK"/>
          <w:sz w:val="44"/>
          <w:szCs w:val="28"/>
        </w:rPr>
      </w:pPr>
    </w:p>
    <w:p w14:paraId="2139C7F9">
      <w:pPr>
        <w:spacing w:line="480" w:lineRule="exact"/>
        <w:jc w:val="center"/>
        <w:outlineLvl w:val="0"/>
        <w:rPr>
          <w:rFonts w:ascii="方正小标宋_GBK" w:eastAsia="方正小标宋_GBK"/>
          <w:sz w:val="44"/>
          <w:szCs w:val="28"/>
        </w:rPr>
      </w:pPr>
    </w:p>
    <w:p w14:paraId="52497555">
      <w:pPr>
        <w:spacing w:line="480" w:lineRule="exact"/>
        <w:jc w:val="center"/>
        <w:outlineLvl w:val="0"/>
        <w:rPr>
          <w:rFonts w:ascii="方正小标宋_GBK" w:eastAsia="方正小标宋_GBK"/>
          <w:sz w:val="44"/>
          <w:szCs w:val="28"/>
        </w:rPr>
      </w:pPr>
    </w:p>
    <w:p w14:paraId="216EFF45">
      <w:pPr>
        <w:spacing w:line="480" w:lineRule="exact"/>
        <w:jc w:val="center"/>
        <w:outlineLvl w:val="0"/>
        <w:rPr>
          <w:rFonts w:ascii="方正小标宋_GBK" w:eastAsia="方正小标宋_GBK"/>
          <w:sz w:val="44"/>
          <w:szCs w:val="28"/>
        </w:rPr>
      </w:pPr>
    </w:p>
    <w:p w14:paraId="4B1A7951">
      <w:pPr>
        <w:pStyle w:val="21"/>
        <w:rPr>
          <w:rFonts w:ascii="方正小标宋_GBK" w:eastAsia="方正小标宋_GBK"/>
          <w:sz w:val="44"/>
          <w:szCs w:val="28"/>
        </w:rPr>
      </w:pPr>
    </w:p>
    <w:p w14:paraId="6035EDCB">
      <w:pPr>
        <w:pStyle w:val="21"/>
        <w:rPr>
          <w:rFonts w:ascii="方正小标宋_GBK" w:eastAsia="方正小标宋_GBK"/>
          <w:sz w:val="44"/>
          <w:szCs w:val="28"/>
        </w:rPr>
      </w:pPr>
    </w:p>
    <w:p w14:paraId="110EB8DB">
      <w:pPr>
        <w:spacing w:line="480" w:lineRule="exact"/>
        <w:jc w:val="center"/>
        <w:outlineLvl w:val="0"/>
        <w:rPr>
          <w:rFonts w:ascii="方正小标宋_GBK" w:eastAsia="方正小标宋_GBK"/>
          <w:sz w:val="44"/>
          <w:szCs w:val="28"/>
        </w:rPr>
      </w:pPr>
    </w:p>
    <w:p w14:paraId="4E609219">
      <w:pPr>
        <w:spacing w:line="480" w:lineRule="exact"/>
        <w:jc w:val="center"/>
        <w:outlineLvl w:val="0"/>
        <w:rPr>
          <w:rFonts w:ascii="方正小标宋_GBK" w:eastAsia="方正小标宋_GBK"/>
          <w:sz w:val="44"/>
          <w:szCs w:val="28"/>
        </w:rPr>
      </w:pPr>
    </w:p>
    <w:p w14:paraId="2E586E6B">
      <w:pPr>
        <w:spacing w:line="480" w:lineRule="exact"/>
        <w:jc w:val="center"/>
        <w:outlineLvl w:val="0"/>
        <w:rPr>
          <w:rFonts w:ascii="方正小标宋_GBK" w:eastAsia="方正小标宋_GBK"/>
          <w:sz w:val="44"/>
          <w:szCs w:val="28"/>
        </w:rPr>
      </w:pPr>
    </w:p>
    <w:p w14:paraId="27CAD92F">
      <w:pPr>
        <w:spacing w:line="480" w:lineRule="exact"/>
        <w:jc w:val="center"/>
        <w:outlineLvl w:val="0"/>
        <w:rPr>
          <w:rFonts w:ascii="方正小标宋_GBK" w:eastAsia="方正小标宋_GBK"/>
          <w:sz w:val="44"/>
          <w:szCs w:val="28"/>
        </w:rPr>
      </w:pPr>
    </w:p>
    <w:p w14:paraId="4145147A">
      <w:pPr>
        <w:spacing w:line="480" w:lineRule="exact"/>
        <w:jc w:val="center"/>
        <w:outlineLvl w:val="0"/>
        <w:rPr>
          <w:rFonts w:ascii="方正小标宋_GBK" w:eastAsia="方正小标宋_GBK"/>
          <w:sz w:val="44"/>
          <w:szCs w:val="28"/>
        </w:rPr>
      </w:pPr>
    </w:p>
    <w:p w14:paraId="1C9FF083">
      <w:pPr>
        <w:spacing w:line="480" w:lineRule="exact"/>
        <w:jc w:val="center"/>
        <w:outlineLvl w:val="0"/>
        <w:rPr>
          <w:rFonts w:ascii="方正小标宋_GBK" w:eastAsia="方正小标宋_GBK"/>
          <w:sz w:val="44"/>
          <w:szCs w:val="28"/>
        </w:rPr>
      </w:pPr>
    </w:p>
    <w:p w14:paraId="15747241">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目   录</w:t>
      </w:r>
    </w:p>
    <w:p w14:paraId="7BF24C03">
      <w:pPr>
        <w:pStyle w:val="15"/>
        <w:tabs>
          <w:tab w:val="right" w:leader="dot" w:pos="9402"/>
        </w:tabs>
        <w:ind w:left="560"/>
        <w:rPr>
          <w:rFonts w:asciiTheme="minorHAnsi" w:hAnsiTheme="minorHAnsi" w:eastAsiaTheme="minorEastAsia" w:cstheme="minorBidi"/>
          <w:sz w:val="21"/>
          <w:szCs w:val="22"/>
        </w:rPr>
      </w:pPr>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fldChar w:fldCharType="begin"/>
      </w:r>
      <w:r>
        <w:instrText xml:space="preserve"> HYPERLINK \l "_Toc180069251" </w:instrText>
      </w:r>
      <w:r>
        <w:fldChar w:fldCharType="separate"/>
      </w:r>
      <w:r>
        <w:rPr>
          <w:rStyle w:val="20"/>
          <w:rFonts w:ascii="方正小标宋_GBK" w:hAnsi="宋体" w:eastAsia="方正小标宋_GBK"/>
        </w:rPr>
        <w:t>第一篇  竞争性磋商邀请书</w:t>
      </w:r>
      <w:r>
        <w:tab/>
      </w:r>
      <w:r>
        <w:fldChar w:fldCharType="begin"/>
      </w:r>
      <w:r>
        <w:instrText xml:space="preserve"> PAGEREF _Toc180069251 \h </w:instrText>
      </w:r>
      <w:r>
        <w:fldChar w:fldCharType="separate"/>
      </w:r>
      <w:r>
        <w:t>5</w:t>
      </w:r>
      <w:r>
        <w:fldChar w:fldCharType="end"/>
      </w:r>
      <w:r>
        <w:fldChar w:fldCharType="end"/>
      </w:r>
    </w:p>
    <w:p w14:paraId="1EC01D2E">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"_Toc180069252" </w:instrText>
      </w:r>
      <w:r>
        <w:fldChar w:fldCharType="separate"/>
      </w:r>
      <w:r>
        <w:rPr>
          <w:rStyle w:val="20"/>
          <w:rFonts w:ascii="方正仿宋_GBK" w:eastAsia="方正仿宋_GBK"/>
        </w:rPr>
        <w:t>一、竞争性磋商内容</w:t>
      </w:r>
      <w:r>
        <w:tab/>
      </w:r>
      <w:r>
        <w:fldChar w:fldCharType="begin"/>
      </w:r>
      <w:r>
        <w:instrText xml:space="preserve"> PAGEREF _Toc180069252 \h </w:instrText>
      </w:r>
      <w:r>
        <w:fldChar w:fldCharType="separate"/>
      </w:r>
      <w:r>
        <w:t>5</w:t>
      </w:r>
      <w:r>
        <w:fldChar w:fldCharType="end"/>
      </w:r>
      <w:r>
        <w:fldChar w:fldCharType="end"/>
      </w:r>
    </w:p>
    <w:p w14:paraId="0A5E2CBE">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"_Toc180069253" </w:instrText>
      </w:r>
      <w:r>
        <w:fldChar w:fldCharType="separate"/>
      </w:r>
      <w:r>
        <w:rPr>
          <w:rStyle w:val="20"/>
          <w:rFonts w:ascii="方正仿宋_GBK" w:eastAsia="方正仿宋_GBK"/>
        </w:rPr>
        <w:t>二、资金来源</w:t>
      </w:r>
      <w:r>
        <w:tab/>
      </w:r>
      <w:r>
        <w:fldChar w:fldCharType="begin"/>
      </w:r>
      <w:r>
        <w:instrText xml:space="preserve"> PAGEREF _Toc180069253 \h </w:instrText>
      </w:r>
      <w:r>
        <w:fldChar w:fldCharType="separate"/>
      </w:r>
      <w:r>
        <w:t>8</w:t>
      </w:r>
      <w:r>
        <w:fldChar w:fldCharType="end"/>
      </w:r>
      <w:r>
        <w:fldChar w:fldCharType="end"/>
      </w:r>
    </w:p>
    <w:p w14:paraId="5B664FC7">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"_Toc180069254" </w:instrText>
      </w:r>
      <w:r>
        <w:fldChar w:fldCharType="separate"/>
      </w:r>
      <w:r>
        <w:rPr>
          <w:rStyle w:val="20"/>
          <w:rFonts w:ascii="方正仿宋_GBK" w:eastAsia="方正仿宋_GBK"/>
        </w:rPr>
        <w:t>三、磋商资格</w:t>
      </w:r>
      <w:r>
        <w:tab/>
      </w:r>
      <w:r>
        <w:fldChar w:fldCharType="begin"/>
      </w:r>
      <w:r>
        <w:instrText xml:space="preserve"> PAGEREF _Toc180069254 \h </w:instrText>
      </w:r>
      <w:r>
        <w:fldChar w:fldCharType="separate"/>
      </w:r>
      <w:r>
        <w:t>8</w:t>
      </w:r>
      <w:r>
        <w:fldChar w:fldCharType="end"/>
      </w:r>
      <w:r>
        <w:fldChar w:fldCharType="end"/>
      </w:r>
    </w:p>
    <w:p w14:paraId="02D23A08">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"_Toc180069255" </w:instrText>
      </w:r>
      <w:r>
        <w:fldChar w:fldCharType="separate"/>
      </w:r>
      <w:r>
        <w:rPr>
          <w:rStyle w:val="20"/>
          <w:rFonts w:ascii="方正仿宋_GBK" w:eastAsia="方正仿宋_GBK"/>
        </w:rPr>
        <w:t>四、磋商有关说明</w:t>
      </w:r>
      <w:r>
        <w:tab/>
      </w:r>
      <w:r>
        <w:fldChar w:fldCharType="begin"/>
      </w:r>
      <w:r>
        <w:instrText xml:space="preserve"> PAGEREF _Toc180069255 \h </w:instrText>
      </w:r>
      <w:r>
        <w:fldChar w:fldCharType="separate"/>
      </w:r>
      <w:r>
        <w:t>9</w:t>
      </w:r>
      <w:r>
        <w:fldChar w:fldCharType="end"/>
      </w:r>
      <w:r>
        <w:fldChar w:fldCharType="end"/>
      </w:r>
    </w:p>
    <w:p w14:paraId="33006C10">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"_Toc180069256" </w:instrText>
      </w:r>
      <w:r>
        <w:fldChar w:fldCharType="separate"/>
      </w:r>
      <w:r>
        <w:rPr>
          <w:rStyle w:val="20"/>
          <w:rFonts w:ascii="方正仿宋_GBK" w:eastAsia="方正仿宋_GBK"/>
        </w:rPr>
        <w:t>五、保证金</w:t>
      </w:r>
      <w:r>
        <w:tab/>
      </w:r>
      <w:r>
        <w:fldChar w:fldCharType="begin"/>
      </w:r>
      <w:r>
        <w:instrText xml:space="preserve"> PAGEREF _Toc180069256 \h </w:instrText>
      </w:r>
      <w:r>
        <w:fldChar w:fldCharType="separate"/>
      </w:r>
      <w:r>
        <w:t>10</w:t>
      </w:r>
      <w:r>
        <w:fldChar w:fldCharType="end"/>
      </w:r>
      <w:r>
        <w:fldChar w:fldCharType="end"/>
      </w:r>
    </w:p>
    <w:p w14:paraId="609ED4A2">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"_Toc180069257" </w:instrText>
      </w:r>
      <w:r>
        <w:fldChar w:fldCharType="separate"/>
      </w:r>
      <w:r>
        <w:rPr>
          <w:rStyle w:val="20"/>
          <w:rFonts w:ascii="方正仿宋_GBK" w:hAnsi="宋体" w:eastAsia="方正仿宋_GBK"/>
        </w:rPr>
        <w:t>六、其它有关规定</w:t>
      </w:r>
      <w:r>
        <w:tab/>
      </w:r>
      <w:r>
        <w:fldChar w:fldCharType="begin"/>
      </w:r>
      <w:r>
        <w:instrText xml:space="preserve"> PAGEREF _Toc180069257 \h </w:instrText>
      </w:r>
      <w:r>
        <w:fldChar w:fldCharType="separate"/>
      </w:r>
      <w:r>
        <w:t>10</w:t>
      </w:r>
      <w:r>
        <w:fldChar w:fldCharType="end"/>
      </w:r>
      <w:r>
        <w:fldChar w:fldCharType="end"/>
      </w:r>
    </w:p>
    <w:p w14:paraId="6BCD4B5D">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"_Toc180069258" </w:instrText>
      </w:r>
      <w:r>
        <w:fldChar w:fldCharType="separate"/>
      </w:r>
      <w:r>
        <w:rPr>
          <w:rStyle w:val="20"/>
          <w:rFonts w:ascii="方正仿宋_GBK" w:hAnsi="宋体" w:eastAsia="方正仿宋_GBK"/>
        </w:rPr>
        <w:t>七、联系方式</w:t>
      </w:r>
      <w:r>
        <w:tab/>
      </w:r>
      <w:r>
        <w:fldChar w:fldCharType="begin"/>
      </w:r>
      <w:r>
        <w:instrText xml:space="preserve"> PAGEREF _Toc180069258 \h </w:instrText>
      </w:r>
      <w:r>
        <w:fldChar w:fldCharType="separate"/>
      </w:r>
      <w:r>
        <w:t>11</w:t>
      </w:r>
      <w:r>
        <w:fldChar w:fldCharType="end"/>
      </w:r>
      <w:r>
        <w:fldChar w:fldCharType="end"/>
      </w:r>
    </w:p>
    <w:p w14:paraId="483D1E7B">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"_Toc180069259" </w:instrText>
      </w:r>
      <w:r>
        <w:fldChar w:fldCharType="separate"/>
      </w:r>
      <w:r>
        <w:rPr>
          <w:rStyle w:val="20"/>
          <w:rFonts w:ascii="方正小标宋_GBK" w:hAnsi="宋体" w:eastAsia="方正小标宋_GBK"/>
        </w:rPr>
        <w:t>第二篇  供应商须知</w:t>
      </w:r>
      <w:r>
        <w:tab/>
      </w:r>
      <w:r>
        <w:fldChar w:fldCharType="begin"/>
      </w:r>
      <w:r>
        <w:instrText xml:space="preserve"> PAGEREF _Toc180069259 \h </w:instrText>
      </w:r>
      <w:r>
        <w:fldChar w:fldCharType="separate"/>
      </w:r>
      <w:r>
        <w:t>11</w:t>
      </w:r>
      <w:r>
        <w:fldChar w:fldCharType="end"/>
      </w:r>
      <w:r>
        <w:fldChar w:fldCharType="end"/>
      </w:r>
    </w:p>
    <w:p w14:paraId="228F5E2E">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"_Toc180069260" </w:instrText>
      </w:r>
      <w:r>
        <w:fldChar w:fldCharType="separate"/>
      </w:r>
      <w:r>
        <w:rPr>
          <w:rStyle w:val="20"/>
          <w:rFonts w:ascii="方正仿宋_GBK" w:eastAsia="方正仿宋_GBK"/>
        </w:rPr>
        <w:t>一、磋商费用</w:t>
      </w:r>
      <w:r>
        <w:tab/>
      </w:r>
      <w:r>
        <w:fldChar w:fldCharType="begin"/>
      </w:r>
      <w:r>
        <w:instrText xml:space="preserve"> PAGEREF _Toc180069260 \h </w:instrText>
      </w:r>
      <w:r>
        <w:fldChar w:fldCharType="separate"/>
      </w:r>
      <w:r>
        <w:t>11</w:t>
      </w:r>
      <w:r>
        <w:fldChar w:fldCharType="end"/>
      </w:r>
      <w:r>
        <w:fldChar w:fldCharType="end"/>
      </w:r>
    </w:p>
    <w:p w14:paraId="2CA30E7B">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"_Toc180069261" </w:instrText>
      </w:r>
      <w:r>
        <w:fldChar w:fldCharType="separate"/>
      </w:r>
      <w:r>
        <w:rPr>
          <w:rStyle w:val="20"/>
          <w:rFonts w:ascii="方正仿宋_GBK" w:eastAsia="方正仿宋_GBK"/>
        </w:rPr>
        <w:t>二、竞争性磋商文件</w:t>
      </w:r>
      <w:r>
        <w:tab/>
      </w:r>
      <w:r>
        <w:fldChar w:fldCharType="begin"/>
      </w:r>
      <w:r>
        <w:instrText xml:space="preserve"> PAGEREF _Toc180069261 \h </w:instrText>
      </w:r>
      <w:r>
        <w:fldChar w:fldCharType="separate"/>
      </w:r>
      <w:r>
        <w:t>11</w:t>
      </w:r>
      <w:r>
        <w:fldChar w:fldCharType="end"/>
      </w:r>
      <w:r>
        <w:fldChar w:fldCharType="end"/>
      </w:r>
    </w:p>
    <w:p w14:paraId="33C3AC3E">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"_Toc180069262" </w:instrText>
      </w:r>
      <w:r>
        <w:fldChar w:fldCharType="separate"/>
      </w:r>
      <w:r>
        <w:rPr>
          <w:rStyle w:val="20"/>
          <w:rFonts w:ascii="方正仿宋_GBK" w:eastAsia="方正仿宋_GBK"/>
        </w:rPr>
        <w:t>三、磋商要求</w:t>
      </w:r>
      <w:r>
        <w:tab/>
      </w:r>
      <w:r>
        <w:fldChar w:fldCharType="begin"/>
      </w:r>
      <w:r>
        <w:instrText xml:space="preserve"> PAGEREF _Toc180069262 \h </w:instrText>
      </w:r>
      <w:r>
        <w:fldChar w:fldCharType="separate"/>
      </w:r>
      <w:r>
        <w:t>12</w:t>
      </w:r>
      <w:r>
        <w:fldChar w:fldCharType="end"/>
      </w:r>
      <w:r>
        <w:fldChar w:fldCharType="end"/>
      </w:r>
    </w:p>
    <w:p w14:paraId="0FD1BE0F">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"_Toc180069263" </w:instrText>
      </w:r>
      <w:r>
        <w:fldChar w:fldCharType="separate"/>
      </w:r>
      <w:r>
        <w:rPr>
          <w:rStyle w:val="20"/>
          <w:rFonts w:ascii="方正仿宋_GBK" w:eastAsia="方正仿宋_GBK"/>
        </w:rPr>
        <w:t>四、磋商程序</w:t>
      </w:r>
      <w:r>
        <w:tab/>
      </w:r>
      <w:r>
        <w:fldChar w:fldCharType="begin"/>
      </w:r>
      <w:r>
        <w:instrText xml:space="preserve"> PAGEREF _Toc180069263 \h </w:instrText>
      </w:r>
      <w:r>
        <w:fldChar w:fldCharType="separate"/>
      </w:r>
      <w:r>
        <w:t>14</w:t>
      </w:r>
      <w:r>
        <w:fldChar w:fldCharType="end"/>
      </w:r>
      <w:r>
        <w:fldChar w:fldCharType="end"/>
      </w:r>
    </w:p>
    <w:p w14:paraId="4283F811">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"_Toc180069264" </w:instrText>
      </w:r>
      <w:r>
        <w:fldChar w:fldCharType="separate"/>
      </w:r>
      <w:r>
        <w:rPr>
          <w:rStyle w:val="20"/>
          <w:rFonts w:ascii="方正仿宋_GBK" w:eastAsia="方正仿宋_GBK"/>
        </w:rPr>
        <w:t>五、评审依据</w:t>
      </w:r>
      <w:r>
        <w:tab/>
      </w:r>
      <w:r>
        <w:fldChar w:fldCharType="begin"/>
      </w:r>
      <w:r>
        <w:instrText xml:space="preserve"> PAGEREF _Toc180069264 \h </w:instrText>
      </w:r>
      <w:r>
        <w:fldChar w:fldCharType="separate"/>
      </w:r>
      <w:r>
        <w:t>15</w:t>
      </w:r>
      <w:r>
        <w:fldChar w:fldCharType="end"/>
      </w:r>
      <w:r>
        <w:fldChar w:fldCharType="end"/>
      </w:r>
    </w:p>
    <w:p w14:paraId="7B40E2D6">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"_Toc180069265" </w:instrText>
      </w:r>
      <w:r>
        <w:fldChar w:fldCharType="separate"/>
      </w:r>
      <w:r>
        <w:rPr>
          <w:rStyle w:val="20"/>
          <w:rFonts w:ascii="方正仿宋_GBK" w:eastAsia="方正仿宋_GBK"/>
        </w:rPr>
        <w:t>六、资格评审及评标办法</w:t>
      </w:r>
      <w:r>
        <w:tab/>
      </w:r>
      <w:r>
        <w:fldChar w:fldCharType="begin"/>
      </w:r>
      <w:r>
        <w:instrText xml:space="preserve"> PAGEREF _Toc180069265 \h </w:instrText>
      </w:r>
      <w:r>
        <w:fldChar w:fldCharType="separate"/>
      </w:r>
      <w:r>
        <w:t>15</w:t>
      </w:r>
      <w:r>
        <w:fldChar w:fldCharType="end"/>
      </w:r>
      <w:r>
        <w:fldChar w:fldCharType="end"/>
      </w:r>
    </w:p>
    <w:p w14:paraId="2A50E416">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"_Toc180069266" </w:instrText>
      </w:r>
      <w:r>
        <w:fldChar w:fldCharType="separate"/>
      </w:r>
      <w:r>
        <w:rPr>
          <w:rStyle w:val="20"/>
          <w:rFonts w:ascii="方正仿宋_GBK" w:eastAsia="方正仿宋_GBK"/>
        </w:rPr>
        <w:t>七、成交通知</w:t>
      </w:r>
      <w:r>
        <w:tab/>
      </w:r>
      <w:r>
        <w:fldChar w:fldCharType="begin"/>
      </w:r>
      <w:r>
        <w:instrText xml:space="preserve"> PAGEREF _Toc180069266 \h </w:instrText>
      </w:r>
      <w:r>
        <w:fldChar w:fldCharType="separate"/>
      </w:r>
      <w:r>
        <w:t>18</w:t>
      </w:r>
      <w:r>
        <w:fldChar w:fldCharType="end"/>
      </w:r>
      <w:r>
        <w:fldChar w:fldCharType="end"/>
      </w:r>
    </w:p>
    <w:p w14:paraId="1F24A87F">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"_Toc180069267" </w:instrText>
      </w:r>
      <w:r>
        <w:fldChar w:fldCharType="separate"/>
      </w:r>
      <w:r>
        <w:rPr>
          <w:rStyle w:val="20"/>
          <w:rFonts w:ascii="方正仿宋_GBK" w:eastAsia="方正仿宋_GBK"/>
        </w:rPr>
        <w:t>八、关于质疑和投诉</w:t>
      </w:r>
      <w:r>
        <w:tab/>
      </w:r>
      <w:r>
        <w:fldChar w:fldCharType="begin"/>
      </w:r>
      <w:r>
        <w:instrText xml:space="preserve"> PAGEREF _Toc180069267 \h </w:instrText>
      </w:r>
      <w:r>
        <w:fldChar w:fldCharType="separate"/>
      </w:r>
      <w:r>
        <w:t>18</w:t>
      </w:r>
      <w:r>
        <w:fldChar w:fldCharType="end"/>
      </w:r>
      <w:r>
        <w:fldChar w:fldCharType="end"/>
      </w:r>
    </w:p>
    <w:p w14:paraId="4E3A95C7">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"_Toc180069268" </w:instrText>
      </w:r>
      <w:r>
        <w:fldChar w:fldCharType="separate"/>
      </w:r>
      <w:r>
        <w:rPr>
          <w:rStyle w:val="20"/>
          <w:rFonts w:ascii="方正仿宋_GBK" w:eastAsia="方正仿宋_GBK"/>
        </w:rPr>
        <w:t>九、签订合同</w:t>
      </w:r>
      <w:r>
        <w:tab/>
      </w:r>
      <w:r>
        <w:fldChar w:fldCharType="begin"/>
      </w:r>
      <w:r>
        <w:instrText xml:space="preserve"> PAGEREF _Toc180069268 \h </w:instrText>
      </w:r>
      <w:r>
        <w:fldChar w:fldCharType="separate"/>
      </w:r>
      <w:r>
        <w:t>19</w:t>
      </w:r>
      <w:r>
        <w:fldChar w:fldCharType="end"/>
      </w:r>
      <w:r>
        <w:fldChar w:fldCharType="end"/>
      </w:r>
    </w:p>
    <w:p w14:paraId="360B4A32">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"_Toc180069269" </w:instrText>
      </w:r>
      <w:r>
        <w:fldChar w:fldCharType="separate"/>
      </w:r>
      <w:r>
        <w:rPr>
          <w:rStyle w:val="20"/>
          <w:rFonts w:ascii="方正小标宋_GBK" w:hAnsi="宋体" w:eastAsia="方正小标宋_GBK"/>
        </w:rPr>
        <w:t>第三篇  磋商项目技术需求</w:t>
      </w:r>
      <w:r>
        <w:tab/>
      </w:r>
      <w:r>
        <w:fldChar w:fldCharType="begin"/>
      </w:r>
      <w:r>
        <w:instrText xml:space="preserve"> PAGEREF _Toc180069269 \h </w:instrText>
      </w:r>
      <w:r>
        <w:fldChar w:fldCharType="separate"/>
      </w:r>
      <w:r>
        <w:t>20</w:t>
      </w:r>
      <w:r>
        <w:fldChar w:fldCharType="end"/>
      </w:r>
      <w:r>
        <w:fldChar w:fldCharType="end"/>
      </w:r>
    </w:p>
    <w:p w14:paraId="52103B1A">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"_Toc180069270" </w:instrText>
      </w:r>
      <w:r>
        <w:fldChar w:fldCharType="separate"/>
      </w:r>
      <w:r>
        <w:rPr>
          <w:rStyle w:val="20"/>
          <w:rFonts w:ascii="方正仿宋_GBK" w:eastAsia="方正仿宋_GBK"/>
        </w:rPr>
        <w:t>一、项目情况</w:t>
      </w:r>
      <w:r>
        <w:tab/>
      </w:r>
      <w:r>
        <w:fldChar w:fldCharType="begin"/>
      </w:r>
      <w:r>
        <w:instrText xml:space="preserve"> PAGEREF _Toc180069270 \h </w:instrText>
      </w:r>
      <w:r>
        <w:fldChar w:fldCharType="separate"/>
      </w:r>
      <w:r>
        <w:t>20</w:t>
      </w:r>
      <w:r>
        <w:fldChar w:fldCharType="end"/>
      </w:r>
      <w:r>
        <w:fldChar w:fldCharType="end"/>
      </w:r>
    </w:p>
    <w:p w14:paraId="6846E071">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"_Toc180069271" </w:instrText>
      </w:r>
      <w:r>
        <w:fldChar w:fldCharType="separate"/>
      </w:r>
      <w:r>
        <w:rPr>
          <w:rStyle w:val="20"/>
          <w:rFonts w:ascii="方正小标宋_GBK" w:hAnsi="宋体" w:eastAsia="方正小标宋_GBK"/>
        </w:rPr>
        <w:t>第四篇  磋商项目服务需求</w:t>
      </w:r>
      <w:r>
        <w:tab/>
      </w:r>
      <w:r>
        <w:fldChar w:fldCharType="begin"/>
      </w:r>
      <w:r>
        <w:instrText xml:space="preserve"> PAGEREF _Toc180069271 \h </w:instrText>
      </w:r>
      <w:r>
        <w:fldChar w:fldCharType="separate"/>
      </w:r>
      <w:r>
        <w:t>20</w:t>
      </w:r>
      <w:r>
        <w:fldChar w:fldCharType="end"/>
      </w:r>
      <w:r>
        <w:fldChar w:fldCharType="end"/>
      </w:r>
    </w:p>
    <w:p w14:paraId="698851F0">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"_Toc180069272" </w:instrText>
      </w:r>
      <w:r>
        <w:fldChar w:fldCharType="separate"/>
      </w:r>
      <w:r>
        <w:rPr>
          <w:rStyle w:val="20"/>
          <w:rFonts w:ascii="方正仿宋_GBK" w:eastAsia="方正仿宋_GBK"/>
        </w:rPr>
        <w:t>一、交货时间、地点、验收方式及其他服务</w:t>
      </w:r>
      <w:r>
        <w:tab/>
      </w:r>
      <w:r>
        <w:fldChar w:fldCharType="begin"/>
      </w:r>
      <w:r>
        <w:instrText xml:space="preserve"> PAGEREF _Toc180069272 \h </w:instrText>
      </w:r>
      <w:r>
        <w:fldChar w:fldCharType="separate"/>
      </w:r>
      <w:r>
        <w:t>20</w:t>
      </w:r>
      <w:r>
        <w:fldChar w:fldCharType="end"/>
      </w:r>
      <w:r>
        <w:fldChar w:fldCharType="end"/>
      </w:r>
    </w:p>
    <w:p w14:paraId="1A6DB036">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"_Toc180069273" </w:instrText>
      </w:r>
      <w:r>
        <w:fldChar w:fldCharType="separate"/>
      </w:r>
      <w:r>
        <w:rPr>
          <w:rStyle w:val="20"/>
          <w:rFonts w:ascii="方正仿宋_GBK" w:eastAsia="方正仿宋_GBK"/>
        </w:rPr>
        <w:t>二、质量保证及售后服务</w:t>
      </w:r>
      <w:r>
        <w:tab/>
      </w:r>
      <w:r>
        <w:fldChar w:fldCharType="begin"/>
      </w:r>
      <w:r>
        <w:instrText xml:space="preserve"> PAGEREF _Toc180069273 \h </w:instrText>
      </w:r>
      <w:r>
        <w:fldChar w:fldCharType="separate"/>
      </w:r>
      <w:r>
        <w:t>20</w:t>
      </w:r>
      <w:r>
        <w:fldChar w:fldCharType="end"/>
      </w:r>
      <w:r>
        <w:fldChar w:fldCharType="end"/>
      </w:r>
    </w:p>
    <w:p w14:paraId="0EE75CC8">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"_Toc180069274" </w:instrText>
      </w:r>
      <w:r>
        <w:fldChar w:fldCharType="separate"/>
      </w:r>
      <w:r>
        <w:rPr>
          <w:rStyle w:val="20"/>
          <w:rFonts w:ascii="方正仿宋_GBK" w:eastAsia="方正仿宋_GBK"/>
        </w:rPr>
        <w:t>三、付款方式</w:t>
      </w:r>
      <w:r>
        <w:tab/>
      </w:r>
      <w:r>
        <w:fldChar w:fldCharType="begin"/>
      </w:r>
      <w:r>
        <w:instrText xml:space="preserve"> PAGEREF _Toc180069274 \h </w:instrText>
      </w:r>
      <w:r>
        <w:fldChar w:fldCharType="separate"/>
      </w:r>
      <w:r>
        <w:t>21</w:t>
      </w:r>
      <w:r>
        <w:fldChar w:fldCharType="end"/>
      </w:r>
      <w:r>
        <w:fldChar w:fldCharType="end"/>
      </w:r>
    </w:p>
    <w:p w14:paraId="2AB331B5">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"_Toc180069275" </w:instrText>
      </w:r>
      <w:r>
        <w:fldChar w:fldCharType="separate"/>
      </w:r>
      <w:r>
        <w:rPr>
          <w:rStyle w:val="20"/>
          <w:rFonts w:ascii="方正仿宋_GBK" w:eastAsia="方正仿宋_GBK"/>
        </w:rPr>
        <w:t>四、知识产权</w:t>
      </w:r>
      <w:r>
        <w:tab/>
      </w:r>
      <w:r>
        <w:fldChar w:fldCharType="begin"/>
      </w:r>
      <w:r>
        <w:instrText xml:space="preserve"> PAGEREF _Toc180069275 \h </w:instrText>
      </w:r>
      <w:r>
        <w:fldChar w:fldCharType="separate"/>
      </w:r>
      <w:r>
        <w:t>22</w:t>
      </w:r>
      <w:r>
        <w:fldChar w:fldCharType="end"/>
      </w:r>
      <w:r>
        <w:fldChar w:fldCharType="end"/>
      </w:r>
    </w:p>
    <w:p w14:paraId="2675AAE9">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"_Toc180069276" </w:instrText>
      </w:r>
      <w:r>
        <w:fldChar w:fldCharType="separate"/>
      </w:r>
      <w:r>
        <w:rPr>
          <w:rStyle w:val="20"/>
          <w:rFonts w:ascii="方正仿宋_GBK" w:eastAsia="方正仿宋_GBK"/>
        </w:rPr>
        <w:t>五、培训</w:t>
      </w:r>
      <w:r>
        <w:tab/>
      </w:r>
      <w:r>
        <w:fldChar w:fldCharType="begin"/>
      </w:r>
      <w:r>
        <w:instrText xml:space="preserve"> PAGEREF _Toc180069276 \h </w:instrText>
      </w:r>
      <w:r>
        <w:fldChar w:fldCharType="separate"/>
      </w:r>
      <w:r>
        <w:t>22</w:t>
      </w:r>
      <w:r>
        <w:fldChar w:fldCharType="end"/>
      </w:r>
      <w:r>
        <w:fldChar w:fldCharType="end"/>
      </w:r>
    </w:p>
    <w:p w14:paraId="25CA8388">
      <w:pPr>
        <w:pStyle w:val="6"/>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"_Toc180069277" </w:instrText>
      </w:r>
      <w:r>
        <w:fldChar w:fldCharType="separate"/>
      </w:r>
      <w:r>
        <w:rPr>
          <w:rStyle w:val="20"/>
          <w:rFonts w:ascii="方正仿宋_GBK" w:eastAsia="方正仿宋_GBK"/>
        </w:rPr>
        <w:t>六、其他</w:t>
      </w:r>
      <w:r>
        <w:tab/>
      </w:r>
      <w:r>
        <w:fldChar w:fldCharType="begin"/>
      </w:r>
      <w:r>
        <w:instrText xml:space="preserve"> PAGEREF _Toc180069277 \h </w:instrText>
      </w:r>
      <w:r>
        <w:fldChar w:fldCharType="separate"/>
      </w:r>
      <w:r>
        <w:t>22</w:t>
      </w:r>
      <w:r>
        <w:fldChar w:fldCharType="end"/>
      </w:r>
      <w:r>
        <w:fldChar w:fldCharType="end"/>
      </w:r>
    </w:p>
    <w:p w14:paraId="2C7FD7BC">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"_Toc180069278" </w:instrText>
      </w:r>
      <w:r>
        <w:fldChar w:fldCharType="separate"/>
      </w:r>
      <w:r>
        <w:rPr>
          <w:rStyle w:val="20"/>
          <w:rFonts w:ascii="方正小标宋_GBK" w:hAnsi="宋体" w:eastAsia="方正小标宋_GBK"/>
        </w:rPr>
        <w:t>第五篇  合同条款</w:t>
      </w:r>
      <w:r>
        <w:tab/>
      </w:r>
      <w:r>
        <w:fldChar w:fldCharType="begin"/>
      </w:r>
      <w:r>
        <w:instrText xml:space="preserve"> PAGEREF _Toc180069278 \h </w:instrText>
      </w:r>
      <w:r>
        <w:fldChar w:fldCharType="separate"/>
      </w:r>
      <w:r>
        <w:t>23</w:t>
      </w:r>
      <w:r>
        <w:fldChar w:fldCharType="end"/>
      </w:r>
      <w:r>
        <w:fldChar w:fldCharType="end"/>
      </w:r>
    </w:p>
    <w:p w14:paraId="7797048E">
      <w:pPr>
        <w:pStyle w:val="1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"_Toc180069279" </w:instrText>
      </w:r>
      <w:r>
        <w:fldChar w:fldCharType="separate"/>
      </w:r>
      <w:r>
        <w:rPr>
          <w:rStyle w:val="20"/>
          <w:rFonts w:ascii="方正小标宋_GBK" w:hAnsi="宋体" w:eastAsia="方正小标宋_GBK"/>
        </w:rPr>
        <w:t>第六篇   响应文件格式</w:t>
      </w:r>
      <w:r>
        <w:tab/>
      </w:r>
      <w:r>
        <w:fldChar w:fldCharType="begin"/>
      </w:r>
      <w:r>
        <w:instrText xml:space="preserve"> PAGEREF _Toc180069279 \h </w:instrText>
      </w:r>
      <w:r>
        <w:fldChar w:fldCharType="separate"/>
      </w:r>
      <w:r>
        <w:t>24</w:t>
      </w:r>
      <w:r>
        <w:fldChar w:fldCharType="end"/>
      </w:r>
      <w:r>
        <w:fldChar w:fldCharType="end"/>
      </w:r>
    </w:p>
    <w:p w14:paraId="01F703C0">
      <w:pPr>
        <w:pStyle w:val="15"/>
        <w:tabs>
          <w:tab w:val="right" w:leader="dot" w:pos="9402"/>
        </w:tabs>
        <w:spacing w:line="480" w:lineRule="exact"/>
        <w:ind w:left="0" w:leftChars="0"/>
        <w:rPr>
          <w:rFonts w:ascii="方正仿宋_GBK" w:hAnsi="Calibri" w:eastAsia="方正仿宋_GBK"/>
          <w:sz w:val="18"/>
          <w:szCs w:val="22"/>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方正小标宋_GBK" w:hAnsi="宋体" w:eastAsia="方正小标宋_GBK"/>
          <w:szCs w:val="21"/>
        </w:rPr>
        <w:fldChar w:fldCharType="end"/>
      </w:r>
    </w:p>
    <w:p w14:paraId="7C1F8535">
      <w:pPr>
        <w:pStyle w:val="2"/>
        <w:spacing w:line="360" w:lineRule="auto"/>
        <w:jc w:val="center"/>
        <w:rPr>
          <w:rFonts w:ascii="方正小标宋_GBK" w:hAnsi="宋体" w:eastAsia="方正小标宋_GBK"/>
          <w:b w:val="0"/>
          <w:szCs w:val="30"/>
        </w:rPr>
      </w:pPr>
      <w:bookmarkStart w:id="2" w:name="_Toc11641050"/>
      <w:bookmarkStart w:id="3" w:name="_Toc12789052"/>
      <w:bookmarkStart w:id="4" w:name="_Toc180069251"/>
      <w:r>
        <w:rPr>
          <w:rFonts w:hint="eastAsia" w:ascii="方正小标宋_GBK" w:hAnsi="宋体" w:eastAsia="方正小标宋_GBK"/>
          <w:b w:val="0"/>
          <w:sz w:val="36"/>
          <w:szCs w:val="30"/>
        </w:rPr>
        <w:t>第一篇  竞争性磋商邀请书</w:t>
      </w:r>
      <w:bookmarkEnd w:id="2"/>
      <w:bookmarkEnd w:id="3"/>
      <w:bookmarkEnd w:id="4"/>
    </w:p>
    <w:p w14:paraId="59B8035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重庆市合川区妇幼保健院</w:t>
      </w:r>
      <w:r>
        <w:rPr>
          <w:rFonts w:hint="eastAsia" w:ascii="方正仿宋_GBK" w:hAnsi="宋体" w:eastAsia="方正仿宋_GBK"/>
          <w:sz w:val="24"/>
        </w:rPr>
        <w:t>按照《政府采购非招标采购方式管理办法》（财政部74号令），根据业务工作需要，</w:t>
      </w:r>
      <w:r>
        <w:rPr>
          <w:rFonts w:hint="eastAsia" w:ascii="方正仿宋_GBK" w:hAnsi="宋体" w:eastAsia="方正仿宋_GBK"/>
          <w:sz w:val="24"/>
          <w:szCs w:val="24"/>
        </w:rPr>
        <w:t>对</w:t>
      </w:r>
      <w:r>
        <w:rPr>
          <w:rFonts w:hint="eastAsia" w:ascii="方正仿宋_GBK" w:hAnsi="宋体" w:eastAsia="方正仿宋_GBK"/>
          <w:color w:val="FF0000"/>
          <w:sz w:val="24"/>
          <w:szCs w:val="24"/>
          <w:u w:val="single"/>
          <w:lang w:val="en-US" w:eastAsia="zh-CN"/>
        </w:rPr>
        <w:t>麻醉机</w:t>
      </w:r>
      <w:r>
        <w:rPr>
          <w:rFonts w:hint="eastAsia" w:ascii="方正仿宋_GBK" w:hAnsi="宋体" w:eastAsia="方正仿宋_GBK"/>
          <w:sz w:val="24"/>
          <w:szCs w:val="24"/>
        </w:rPr>
        <w:t>项目进行竞争性磋商采购。欢迎有资格的供应商前来参加磋商。</w:t>
      </w:r>
    </w:p>
    <w:p w14:paraId="3A14085B">
      <w:pPr>
        <w:pStyle w:val="3"/>
        <w:numPr>
          <w:ilvl w:val="0"/>
          <w:numId w:val="1"/>
        </w:numPr>
        <w:spacing w:line="400" w:lineRule="exact"/>
        <w:rPr>
          <w:rFonts w:ascii="方正仿宋_GBK" w:eastAsia="方正仿宋_GBK"/>
          <w:sz w:val="24"/>
          <w:szCs w:val="24"/>
        </w:rPr>
      </w:pPr>
      <w:bookmarkStart w:id="5" w:name="_Toc317775175"/>
      <w:bookmarkStart w:id="6" w:name="_Toc313893526"/>
      <w:bookmarkStart w:id="7" w:name="_Toc180069252"/>
      <w:r>
        <w:rPr>
          <w:rFonts w:hint="eastAsia" w:ascii="方正仿宋_GBK" w:eastAsia="方正仿宋_GBK"/>
          <w:sz w:val="24"/>
          <w:szCs w:val="24"/>
        </w:rPr>
        <w:t>竞争性磋商内容</w:t>
      </w:r>
      <w:bookmarkEnd w:id="5"/>
      <w:bookmarkEnd w:id="6"/>
      <w:bookmarkEnd w:id="7"/>
      <w:bookmarkStart w:id="8" w:name="_Toc373860293"/>
      <w:bookmarkStart w:id="9" w:name="_Toc317775178"/>
      <w:r>
        <w:rPr>
          <w:rFonts w:hint="eastAsia" w:ascii="方正仿宋_GBK" w:eastAsia="方正仿宋_GBK"/>
          <w:sz w:val="24"/>
          <w:szCs w:val="24"/>
        </w:rPr>
        <w:t xml:space="preserve"> </w:t>
      </w:r>
      <w:bookmarkStart w:id="10" w:name="_Toc9180"/>
      <w:bookmarkStart w:id="11" w:name="_Toc32461"/>
    </w:p>
    <w:p w14:paraId="4894B5E2"/>
    <w:p w14:paraId="284846E7">
      <w:pPr>
        <w:ind w:firstLine="482" w:firstLineChars="200"/>
        <w:rPr>
          <w:rFonts w:ascii="方正仿宋_GBK" w:hAnsi="宋体" w:eastAsia="方正仿宋_GBK"/>
          <w:b/>
          <w:sz w:val="24"/>
        </w:rPr>
      </w:pPr>
      <w:r>
        <w:rPr>
          <w:rFonts w:hint="eastAsia" w:ascii="方正仿宋_GBK" w:hAnsi="宋体" w:eastAsia="方正仿宋_GBK"/>
          <w:b/>
          <w:sz w:val="24"/>
        </w:rPr>
        <w:t>（一）设备清单</w:t>
      </w:r>
    </w:p>
    <w:bookmarkEnd w:id="10"/>
    <w:bookmarkEnd w:id="11"/>
    <w:p w14:paraId="68F72104">
      <w:pPr>
        <w:ind w:firstLine="482" w:firstLineChars="200"/>
        <w:rPr>
          <w:rFonts w:ascii="方正仿宋_GBK" w:hAnsi="宋体" w:eastAsia="方正仿宋_GBK"/>
          <w:b/>
          <w:sz w:val="24"/>
        </w:rPr>
      </w:pPr>
    </w:p>
    <w:tbl>
      <w:tblPr>
        <w:tblStyle w:val="17"/>
        <w:tblW w:w="9133" w:type="dxa"/>
        <w:jc w:val="center"/>
        <w:tblLayout w:type="autofit"/>
        <w:tblCellMar>
          <w:top w:w="0" w:type="dxa"/>
          <w:left w:w="108" w:type="dxa"/>
          <w:bottom w:w="0" w:type="dxa"/>
          <w:right w:w="108" w:type="dxa"/>
        </w:tblCellMar>
      </w:tblPr>
      <w:tblGrid>
        <w:gridCol w:w="904"/>
        <w:gridCol w:w="2818"/>
        <w:gridCol w:w="1296"/>
        <w:gridCol w:w="1296"/>
        <w:gridCol w:w="1782"/>
        <w:gridCol w:w="1037"/>
      </w:tblGrid>
      <w:tr w14:paraId="6D6E00B4">
        <w:tblPrEx>
          <w:tblCellMar>
            <w:top w:w="0" w:type="dxa"/>
            <w:left w:w="108" w:type="dxa"/>
            <w:bottom w:w="0" w:type="dxa"/>
            <w:right w:w="108" w:type="dxa"/>
          </w:tblCellMar>
        </w:tblPrEx>
        <w:trPr>
          <w:trHeight w:val="519" w:hRule="atLeast"/>
          <w:jc w:val="center"/>
        </w:trPr>
        <w:tc>
          <w:tcPr>
            <w:tcW w:w="904" w:type="dxa"/>
            <w:tcBorders>
              <w:top w:val="single" w:color="000000" w:sz="4" w:space="0"/>
              <w:left w:val="single" w:color="000000" w:sz="4" w:space="0"/>
              <w:bottom w:val="single" w:color="000000" w:sz="4" w:space="0"/>
              <w:right w:val="single" w:color="000000" w:sz="4" w:space="0"/>
            </w:tcBorders>
            <w:vAlign w:val="center"/>
          </w:tcPr>
          <w:p w14:paraId="2186E78D">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序号</w:t>
            </w:r>
          </w:p>
        </w:tc>
        <w:tc>
          <w:tcPr>
            <w:tcW w:w="2818" w:type="dxa"/>
            <w:tcBorders>
              <w:top w:val="single" w:color="000000" w:sz="4" w:space="0"/>
              <w:left w:val="single" w:color="000000" w:sz="4" w:space="0"/>
              <w:bottom w:val="single" w:color="000000" w:sz="4" w:space="0"/>
              <w:right w:val="single" w:color="000000" w:sz="4" w:space="0"/>
            </w:tcBorders>
            <w:vAlign w:val="center"/>
          </w:tcPr>
          <w:p w14:paraId="5414EFA6">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产品名称</w:t>
            </w:r>
          </w:p>
        </w:tc>
        <w:tc>
          <w:tcPr>
            <w:tcW w:w="1296" w:type="dxa"/>
            <w:tcBorders>
              <w:top w:val="single" w:color="000000" w:sz="4" w:space="0"/>
              <w:left w:val="single" w:color="000000" w:sz="4" w:space="0"/>
              <w:bottom w:val="single" w:color="000000" w:sz="4" w:space="0"/>
              <w:right w:val="single" w:color="000000" w:sz="4" w:space="0"/>
            </w:tcBorders>
            <w:vAlign w:val="center"/>
          </w:tcPr>
          <w:p w14:paraId="160C90E7">
            <w:pPr>
              <w:widowControl/>
              <w:spacing w:line="400" w:lineRule="exact"/>
              <w:jc w:val="center"/>
              <w:textAlignment w:val="center"/>
              <w:rPr>
                <w:rFonts w:eastAsia="方正仿宋_GBK"/>
                <w:b/>
                <w:bCs/>
                <w:color w:val="000000" w:themeColor="text1"/>
                <w:kern w:val="0"/>
                <w:sz w:val="24"/>
                <w:szCs w:val="24"/>
                <w:lang w:bidi="ar"/>
                <w14:textFill>
                  <w14:solidFill>
                    <w14:schemeClr w14:val="tx1"/>
                  </w14:solidFill>
                </w14:textFill>
              </w:rPr>
            </w:pPr>
            <w:r>
              <w:rPr>
                <w:rFonts w:hint="eastAsia" w:eastAsia="方正仿宋_GBK"/>
                <w:b/>
                <w:bCs/>
                <w:color w:val="000000" w:themeColor="text1"/>
                <w:kern w:val="0"/>
                <w:sz w:val="24"/>
                <w:szCs w:val="24"/>
                <w:lang w:bidi="ar"/>
                <w14:textFill>
                  <w14:solidFill>
                    <w14:schemeClr w14:val="tx1"/>
                  </w14:solidFill>
                </w14:textFill>
              </w:rPr>
              <w:t>数量</w:t>
            </w:r>
          </w:p>
        </w:tc>
        <w:tc>
          <w:tcPr>
            <w:tcW w:w="1296" w:type="dxa"/>
            <w:tcBorders>
              <w:top w:val="single" w:color="000000" w:sz="4" w:space="0"/>
              <w:left w:val="single" w:color="000000" w:sz="4" w:space="0"/>
              <w:bottom w:val="single" w:color="000000" w:sz="4" w:space="0"/>
              <w:right w:val="single" w:color="000000" w:sz="4" w:space="0"/>
            </w:tcBorders>
            <w:vAlign w:val="center"/>
          </w:tcPr>
          <w:p w14:paraId="58FF5FE4">
            <w:pPr>
              <w:widowControl/>
              <w:spacing w:line="400" w:lineRule="exact"/>
              <w:jc w:val="center"/>
              <w:textAlignment w:val="center"/>
              <w:rPr>
                <w:rFonts w:eastAsia="方正仿宋_GBK"/>
                <w:b/>
                <w:bCs/>
                <w:color w:val="000000" w:themeColor="text1"/>
                <w:sz w:val="24"/>
                <w:szCs w:val="24"/>
                <w14:textFill>
                  <w14:solidFill>
                    <w14:schemeClr w14:val="tx1"/>
                  </w14:solidFill>
                </w14:textFill>
              </w:rPr>
            </w:pPr>
            <w:r>
              <w:rPr>
                <w:rFonts w:eastAsia="方正仿宋_GBK"/>
                <w:b/>
                <w:bCs/>
                <w:color w:val="000000" w:themeColor="text1"/>
                <w:kern w:val="0"/>
                <w:sz w:val="24"/>
                <w:szCs w:val="24"/>
                <w:lang w:bidi="ar"/>
                <w14:textFill>
                  <w14:solidFill>
                    <w14:schemeClr w14:val="tx1"/>
                  </w14:solidFill>
                </w14:textFill>
              </w:rPr>
              <w:t>单位</w:t>
            </w:r>
          </w:p>
        </w:tc>
        <w:tc>
          <w:tcPr>
            <w:tcW w:w="1782" w:type="dxa"/>
            <w:tcBorders>
              <w:top w:val="single" w:color="000000" w:sz="4" w:space="0"/>
              <w:left w:val="single" w:color="000000" w:sz="4" w:space="0"/>
              <w:bottom w:val="single" w:color="000000" w:sz="4" w:space="0"/>
              <w:right w:val="single" w:color="000000" w:sz="4" w:space="0"/>
            </w:tcBorders>
            <w:vAlign w:val="center"/>
          </w:tcPr>
          <w:p w14:paraId="4F1B935E">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限制</w:t>
            </w:r>
            <w:r>
              <w:rPr>
                <w:rFonts w:hint="eastAsia" w:eastAsia="方正仿宋_GBK"/>
                <w:b/>
                <w:bCs/>
                <w:color w:val="000000"/>
                <w:kern w:val="0"/>
                <w:sz w:val="24"/>
                <w:szCs w:val="24"/>
                <w:lang w:bidi="ar"/>
              </w:rPr>
              <w:t>单价</w:t>
            </w:r>
          </w:p>
        </w:tc>
        <w:tc>
          <w:tcPr>
            <w:tcW w:w="1037" w:type="dxa"/>
            <w:tcBorders>
              <w:top w:val="single" w:color="000000" w:sz="4" w:space="0"/>
              <w:left w:val="single" w:color="000000" w:sz="4" w:space="0"/>
              <w:bottom w:val="single" w:color="000000" w:sz="4" w:space="0"/>
              <w:right w:val="single" w:color="000000" w:sz="4" w:space="0"/>
            </w:tcBorders>
            <w:vAlign w:val="center"/>
          </w:tcPr>
          <w:p w14:paraId="383FAF89">
            <w:pPr>
              <w:widowControl/>
              <w:spacing w:line="400" w:lineRule="exact"/>
              <w:jc w:val="center"/>
              <w:textAlignment w:val="center"/>
              <w:rPr>
                <w:rFonts w:eastAsia="方正仿宋_GBK"/>
                <w:b/>
                <w:bCs/>
                <w:color w:val="000000"/>
                <w:kern w:val="0"/>
                <w:sz w:val="24"/>
                <w:szCs w:val="24"/>
                <w:lang w:bidi="ar"/>
              </w:rPr>
            </w:pPr>
            <w:r>
              <w:rPr>
                <w:rFonts w:hint="eastAsia"/>
                <w:b/>
                <w:bCs/>
                <w:color w:val="000000"/>
                <w:kern w:val="0"/>
                <w:sz w:val="24"/>
                <w:szCs w:val="24"/>
                <w:lang w:bidi="ar"/>
              </w:rPr>
              <w:t>备注</w:t>
            </w:r>
          </w:p>
        </w:tc>
      </w:tr>
      <w:tr w14:paraId="4B8021C9">
        <w:tblPrEx>
          <w:tblCellMar>
            <w:top w:w="0" w:type="dxa"/>
            <w:left w:w="108" w:type="dxa"/>
            <w:bottom w:w="0" w:type="dxa"/>
            <w:right w:w="108" w:type="dxa"/>
          </w:tblCellMar>
        </w:tblPrEx>
        <w:trPr>
          <w:trHeight w:val="784"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E44E">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1335">
            <w:pPr>
              <w:widowControl/>
              <w:spacing w:line="400" w:lineRule="exact"/>
              <w:jc w:val="center"/>
              <w:textAlignment w:val="center"/>
              <w:rPr>
                <w:rFonts w:ascii="方正仿宋_GBK" w:hAnsi="宋体" w:eastAsia="方正仿宋_GBK"/>
                <w:sz w:val="24"/>
                <w:szCs w:val="24"/>
              </w:rPr>
            </w:pPr>
            <w:r>
              <w:rPr>
                <w:rFonts w:hint="eastAsia" w:ascii="方正仿宋_GBK" w:hAnsi="宋体" w:eastAsia="方正仿宋_GBK"/>
                <w:sz w:val="24"/>
                <w:szCs w:val="24"/>
                <w:lang w:val="en-US" w:eastAsia="zh-CN"/>
              </w:rPr>
              <w:t>麻醉机</w:t>
            </w:r>
          </w:p>
        </w:tc>
        <w:tc>
          <w:tcPr>
            <w:tcW w:w="1296" w:type="dxa"/>
            <w:tcBorders>
              <w:top w:val="single" w:color="000000" w:sz="4" w:space="0"/>
              <w:left w:val="single" w:color="000000" w:sz="4" w:space="0"/>
              <w:bottom w:val="single" w:color="000000" w:sz="4" w:space="0"/>
              <w:right w:val="single" w:color="000000" w:sz="4" w:space="0"/>
            </w:tcBorders>
            <w:vAlign w:val="center"/>
          </w:tcPr>
          <w:p w14:paraId="472395AF">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515E">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台</w:t>
            </w:r>
          </w:p>
        </w:tc>
        <w:tc>
          <w:tcPr>
            <w:tcW w:w="1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224E">
            <w:pPr>
              <w:widowControl/>
              <w:spacing w:line="400" w:lineRule="exact"/>
              <w:jc w:val="center"/>
              <w:textAlignment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w:t>
            </w:r>
            <w:r>
              <w:rPr>
                <w:rFonts w:hint="eastAsia" w:ascii="方正仿宋_GBK" w:hAnsi="宋体" w:eastAsia="方正仿宋_GBK"/>
                <w:color w:val="000000" w:themeColor="text1"/>
                <w:sz w:val="24"/>
                <w:szCs w:val="24"/>
                <w:lang w:val="en-US" w:eastAsia="zh-CN"/>
                <w14:textFill>
                  <w14:solidFill>
                    <w14:schemeClr w14:val="tx1"/>
                  </w14:solidFill>
                </w14:textFill>
              </w:rPr>
              <w:t>8</w:t>
            </w:r>
            <w:r>
              <w:rPr>
                <w:rFonts w:hint="eastAsia" w:ascii="方正仿宋_GBK" w:hAnsi="宋体" w:eastAsia="方正仿宋_GBK"/>
                <w:color w:val="000000" w:themeColor="text1"/>
                <w:sz w:val="24"/>
                <w:szCs w:val="24"/>
                <w14:textFill>
                  <w14:solidFill>
                    <w14:schemeClr w14:val="tx1"/>
                  </w14:solidFill>
                </w14:textFill>
              </w:rPr>
              <w:t>万元/台</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3BFD">
            <w:pPr>
              <w:widowControl/>
              <w:spacing w:line="400" w:lineRule="exact"/>
              <w:jc w:val="center"/>
              <w:textAlignment w:val="center"/>
              <w:rPr>
                <w:rFonts w:ascii="方正仿宋_GBK" w:hAnsi="宋体" w:eastAsia="方正仿宋_GBK"/>
                <w:sz w:val="24"/>
                <w:szCs w:val="24"/>
              </w:rPr>
            </w:pPr>
          </w:p>
        </w:tc>
      </w:tr>
    </w:tbl>
    <w:p w14:paraId="7404F8EC"/>
    <w:p w14:paraId="4F061DF9">
      <w:pPr>
        <w:rPr>
          <w:rFonts w:ascii="方正仿宋_GBK" w:eastAsia="方正仿宋_GBK"/>
          <w:b/>
          <w:sz w:val="24"/>
          <w:szCs w:val="24"/>
        </w:rPr>
      </w:pPr>
      <w:r>
        <w:rPr>
          <w:rFonts w:hint="eastAsia" w:ascii="方正仿宋_GBK" w:eastAsia="方正仿宋_GBK"/>
          <w:b/>
          <w:sz w:val="24"/>
          <w:szCs w:val="24"/>
        </w:rPr>
        <w:t>（二）</w:t>
      </w:r>
      <w:r>
        <w:rPr>
          <w:rFonts w:hint="eastAsia" w:ascii="方正仿宋_GBK" w:eastAsia="方正仿宋_GBK"/>
          <w:b/>
          <w:sz w:val="24"/>
          <w:szCs w:val="24"/>
          <w:lang w:val="en-US" w:eastAsia="zh-CN"/>
        </w:rPr>
        <w:t>麻醉机</w:t>
      </w:r>
      <w:r>
        <w:rPr>
          <w:rFonts w:hint="eastAsia" w:ascii="方正仿宋_GBK" w:eastAsia="方正仿宋_GBK"/>
          <w:b/>
          <w:sz w:val="24"/>
          <w:szCs w:val="24"/>
        </w:rPr>
        <w:t>需求参数</w:t>
      </w:r>
    </w:p>
    <w:p w14:paraId="5DA0553C">
      <w:pPr>
        <w:pStyle w:val="11"/>
      </w:pPr>
    </w:p>
    <w:tbl>
      <w:tblPr>
        <w:tblStyle w:val="17"/>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3030"/>
        <w:gridCol w:w="5800"/>
      </w:tblGrid>
      <w:tr w14:paraId="6214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C5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4FDB">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项目名称</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F33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需求参数</w:t>
            </w:r>
          </w:p>
        </w:tc>
      </w:tr>
      <w:tr w14:paraId="5281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AD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8C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设备用途及适用范围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FBC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麻醉机用于手术室或急救室中使用，为成人、儿童及新生儿患者提供全身麻醉、通气和呼吸管理</w:t>
            </w:r>
          </w:p>
        </w:tc>
      </w:tr>
      <w:tr w14:paraId="2908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C8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31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★控制方式</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47F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麻醉机采用气动电控呼吸机，全中文操作和显示</w:t>
            </w:r>
          </w:p>
        </w:tc>
      </w:tr>
      <w:tr w14:paraId="0DD0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31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64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麻醉机接口及数量</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966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至少包括：1个网络接口，1 个USB接口</w:t>
            </w:r>
          </w:p>
        </w:tc>
      </w:tr>
      <w:tr w14:paraId="616C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DC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E9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推车</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420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具备≥2个抽屉，标配脚轮刹车，带工作台</w:t>
            </w:r>
          </w:p>
        </w:tc>
      </w:tr>
      <w:tr w14:paraId="1AB4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C7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73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主机屏幕</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720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配备彩色触摸屏≥15英寸，屏幕可旋转</w:t>
            </w:r>
          </w:p>
        </w:tc>
      </w:tr>
      <w:tr w14:paraId="7103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2B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63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内窥镜手术模式</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CF8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麻醉机具备内窥镜手术模式</w:t>
            </w:r>
          </w:p>
        </w:tc>
      </w:tr>
      <w:tr w14:paraId="4B25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6C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06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快速充氧范围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6CC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25L/min-75L/min</w:t>
            </w:r>
          </w:p>
        </w:tc>
      </w:tr>
      <w:tr w14:paraId="418C2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C7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8F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★电子流量计</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7FF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配备电子流量计，可设置空气和氧气浓度</w:t>
            </w:r>
          </w:p>
        </w:tc>
      </w:tr>
      <w:tr w14:paraId="6FBE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59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2B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氧气流量范围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8E5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0，0.1 - 10 L/min</w:t>
            </w:r>
          </w:p>
        </w:tc>
      </w:tr>
      <w:tr w14:paraId="3D13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AE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A7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空气流量范围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2C5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0，0.1 - 12L/min</w:t>
            </w:r>
          </w:p>
        </w:tc>
      </w:tr>
      <w:tr w14:paraId="23C9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3E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CE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总流量范围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875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1-10L/min</w:t>
            </w:r>
          </w:p>
        </w:tc>
      </w:tr>
      <w:tr w14:paraId="75A3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C8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C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目标氧浓度指针功能</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63E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标配目标氧浓度功能，呼吸机主屏实时显示氧流量值</w:t>
            </w:r>
          </w:p>
        </w:tc>
      </w:tr>
      <w:tr w14:paraId="31BD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CC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2D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挥发罐罐位</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5F3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麻醉机具备双麻醉罐位，具备1个七氟醚挥发罐，具备安全互锁装置</w:t>
            </w:r>
          </w:p>
        </w:tc>
      </w:tr>
      <w:tr w14:paraId="565A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27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B3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快速加药器式挥发罐</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560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具备压力、流速和温度补偿</w:t>
            </w:r>
          </w:p>
        </w:tc>
      </w:tr>
      <w:tr w14:paraId="6D2B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AF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14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▲模块化呼吸回路</w:t>
            </w:r>
          </w:p>
        </w:tc>
        <w:tc>
          <w:tcPr>
            <w:tcW w:w="5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839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模块化呼吸回路，回路系统容积≤3.1L（呼吸机侧，不包括CO2吸收罐容量，容积越低为正偏离）；所有传感器及连接电缆内置在回路内；所有回路模块不用任何工具可以拆卸、安装。</w:t>
            </w:r>
          </w:p>
        </w:tc>
      </w:tr>
      <w:tr w14:paraId="2878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80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16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▲消毒方式</w:t>
            </w:r>
          </w:p>
        </w:tc>
        <w:tc>
          <w:tcPr>
            <w:tcW w:w="5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C46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麻醉机驱动腔式呼吸回路系统所有模块（包括流量传感器）可耐受134℃高温高压消毒（须提供佐证资料）</w:t>
            </w:r>
          </w:p>
        </w:tc>
      </w:tr>
      <w:tr w14:paraId="1780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08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DF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▲回路定点加温和内置冷凝功能</w:t>
            </w:r>
          </w:p>
        </w:tc>
        <w:tc>
          <w:tcPr>
            <w:tcW w:w="5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72B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具有回路定点加温和内置冷凝功能，保证回路不受积水影响</w:t>
            </w:r>
          </w:p>
        </w:tc>
      </w:tr>
      <w:tr w14:paraId="4A3C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75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28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二氧化碳旁路功能</w:t>
            </w:r>
          </w:p>
        </w:tc>
        <w:tc>
          <w:tcPr>
            <w:tcW w:w="5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804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标配二氧化碳旁路功能，支持术中更换钠石灰，不用停机，不会产生漏气</w:t>
            </w:r>
          </w:p>
        </w:tc>
      </w:tr>
      <w:tr w14:paraId="618A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66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58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二氧化碳吸收罐干湿分离功能</w:t>
            </w:r>
          </w:p>
        </w:tc>
        <w:tc>
          <w:tcPr>
            <w:tcW w:w="5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57E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标配可重复使用具备干湿分离功能的二氧化碳吸收罐，二氧化碳吸收罐容积1370ml</w:t>
            </w:r>
          </w:p>
        </w:tc>
      </w:tr>
      <w:tr w14:paraId="5C4F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FC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B7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通气模式</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EFF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标配通气模式：</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容量控制通气（VCV）</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压力控制通气（PCV）</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压力控制通气-容量保证（PCV-VG）</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同步间歇指令通气-容量控制（SIMV-VCV）</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同步间歇指令通气-压力控制（SIMV-PCV）</w:t>
            </w:r>
          </w:p>
        </w:tc>
      </w:tr>
      <w:tr w14:paraId="662A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01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1A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▲潮气量设置范围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E78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10ml-1500ml（VCV 模式）</w:t>
            </w:r>
          </w:p>
        </w:tc>
      </w:tr>
      <w:tr w14:paraId="4A45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F5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D4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吸气压力设置范围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83D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5-60cmH2O</w:t>
            </w:r>
          </w:p>
        </w:tc>
      </w:tr>
      <w:tr w14:paraId="0738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F3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0C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压力设置范围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E4C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0，2cmH2O-40cmH2O</w:t>
            </w:r>
          </w:p>
        </w:tc>
      </w:tr>
      <w:tr w14:paraId="734D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28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8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呼吸频率设置范围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82E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4-100 次/分钟</w:t>
            </w:r>
          </w:p>
        </w:tc>
      </w:tr>
      <w:tr w14:paraId="4C78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A0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AD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麻醉机吸呼比设置范围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086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2:1–1:8</w:t>
            </w:r>
          </w:p>
        </w:tc>
      </w:tr>
      <w:tr w14:paraId="010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80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2E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压力限制范围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78F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12-100cmH2O</w:t>
            </w:r>
          </w:p>
        </w:tc>
      </w:tr>
      <w:tr w14:paraId="1B2F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F0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8E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电子PEEP设置范围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998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OFF，4-30cmH2O</w:t>
            </w:r>
          </w:p>
        </w:tc>
      </w:tr>
      <w:tr w14:paraId="6876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0D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39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吸气暂停设置范围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243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OFF，5%-60%</w:t>
            </w:r>
          </w:p>
        </w:tc>
      </w:tr>
      <w:tr w14:paraId="2EBA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AD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B8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吸气时间设置范围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E54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0.2-0.5s</w:t>
            </w:r>
          </w:p>
        </w:tc>
      </w:tr>
      <w:tr w14:paraId="2EA2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5E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93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呼吸机吸气阀峰值流速</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1AB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120L/min</w:t>
            </w:r>
          </w:p>
        </w:tc>
      </w:tr>
      <w:tr w14:paraId="3FB7E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5B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31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吸入端、呼出端双流量传感器</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66D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w:t>
            </w:r>
          </w:p>
        </w:tc>
      </w:tr>
      <w:tr w14:paraId="7F5A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63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DA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第三基准流量传感器</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12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w:t>
            </w:r>
          </w:p>
        </w:tc>
      </w:tr>
      <w:tr w14:paraId="2534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C9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69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心肺旁路功能</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D30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w:t>
            </w:r>
          </w:p>
        </w:tc>
      </w:tr>
      <w:tr w14:paraId="2265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53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A1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专业肺复张工具</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A2D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w:t>
            </w:r>
          </w:p>
        </w:tc>
      </w:tr>
      <w:tr w14:paraId="09CD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50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C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文字和图形引导式智能化自检</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10E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具备</w:t>
            </w:r>
          </w:p>
        </w:tc>
      </w:tr>
      <w:tr w14:paraId="3BBF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A5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44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肺量计呼吸环图功能</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9C8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具备</w:t>
            </w:r>
          </w:p>
        </w:tc>
      </w:tr>
      <w:tr w14:paraId="1761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72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C0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三级声光报警功能</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821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具备</w:t>
            </w:r>
          </w:p>
        </w:tc>
      </w:tr>
      <w:tr w14:paraId="3BB7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B4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74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旁流CO2</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08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标配旁流CO2</w:t>
            </w:r>
          </w:p>
        </w:tc>
      </w:tr>
      <w:tr w14:paraId="2B12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C3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8A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主机可监测参数</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0A2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呼吸频率、潮气量、分钟通气量、吸呼比、气道压（峰压、平台压、平均压、PEEP）、气道阻力、顺应性、呼吸环（P-V，P-F）监测</w:t>
            </w:r>
          </w:p>
        </w:tc>
      </w:tr>
      <w:tr w14:paraId="7DA5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96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FA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▲同屏波形显示</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D48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麻醉机同屏幕 3 通道波形显示（压力时间波形，流速时间波形，CO2 或麻醉气体浓度波形）；具有分屏栏功能，提供三种分屏功能选择（气道压、短趋势回顾、肺量计）</w:t>
            </w:r>
          </w:p>
        </w:tc>
      </w:tr>
      <w:tr w14:paraId="35D0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83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63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报警参数</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739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氧浓度、低驱动压、气道压、潮气量、分钟通气量、窒息</w:t>
            </w:r>
          </w:p>
        </w:tc>
      </w:tr>
      <w:tr w14:paraId="5395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F7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50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30分钟迷你趋势</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312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具有30分钟迷你趋势</w:t>
            </w:r>
          </w:p>
        </w:tc>
      </w:tr>
      <w:tr w14:paraId="5BE0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69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39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流量传感器最小潮气量监测值</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947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5ml</w:t>
            </w:r>
          </w:p>
        </w:tc>
      </w:tr>
      <w:tr w14:paraId="5344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nil"/>
              <w:right w:val="single" w:color="000000" w:sz="4" w:space="0"/>
            </w:tcBorders>
            <w:shd w:val="clear" w:color="auto" w:fill="auto"/>
            <w:noWrap/>
            <w:vAlign w:val="center"/>
          </w:tcPr>
          <w:p w14:paraId="474CB4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3030" w:type="dxa"/>
            <w:tcBorders>
              <w:top w:val="single" w:color="000000" w:sz="4" w:space="0"/>
              <w:left w:val="single" w:color="000000" w:sz="4" w:space="0"/>
              <w:bottom w:val="nil"/>
              <w:right w:val="single" w:color="000000" w:sz="4" w:space="0"/>
            </w:tcBorders>
            <w:shd w:val="clear" w:color="auto" w:fill="auto"/>
            <w:vAlign w:val="center"/>
          </w:tcPr>
          <w:p w14:paraId="69D73F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电池</w:t>
            </w:r>
          </w:p>
        </w:tc>
        <w:tc>
          <w:tcPr>
            <w:tcW w:w="5800" w:type="dxa"/>
            <w:tcBorders>
              <w:top w:val="single" w:color="000000" w:sz="4" w:space="0"/>
              <w:left w:val="single" w:color="000000" w:sz="4" w:space="0"/>
              <w:bottom w:val="nil"/>
              <w:right w:val="single" w:color="000000" w:sz="4" w:space="0"/>
            </w:tcBorders>
            <w:shd w:val="clear" w:color="auto" w:fill="auto"/>
            <w:vAlign w:val="center"/>
          </w:tcPr>
          <w:p w14:paraId="6602A37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内置一块电池，电池供电下工作时间至少90分钟</w:t>
            </w:r>
          </w:p>
        </w:tc>
      </w:tr>
      <w:tr w14:paraId="16A7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CC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3C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★仪器配套设施</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4C4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麻醉机主机*1、挥发罐*1、呼气回路*1、钠石灰罐*1、经鼻高流量氧疗仪*1、监护仪（肌松监测功能）*1</w:t>
            </w:r>
          </w:p>
        </w:tc>
      </w:tr>
    </w:tbl>
    <w:p w14:paraId="554689DE">
      <w:pPr>
        <w:pStyle w:val="11"/>
        <w:rPr>
          <w:rFonts w:ascii="方正仿宋_GBK" w:hAnsi="宋体" w:eastAsia="方正仿宋_GBK"/>
          <w:sz w:val="24"/>
          <w:szCs w:val="24"/>
        </w:rPr>
      </w:pPr>
    </w:p>
    <w:p w14:paraId="1A7F49F7">
      <w:pPr>
        <w:pStyle w:val="12"/>
        <w:ind w:left="0" w:firstLine="640" w:firstLineChars="200"/>
        <w:jc w:val="left"/>
        <w:rPr>
          <w:rFonts w:ascii="方正仿宋_GBK" w:hAnsi="宋体" w:eastAsia="方正仿宋_GBK"/>
          <w:color w:val="000000" w:themeColor="text1"/>
          <w:sz w:val="32"/>
          <w:szCs w:val="24"/>
          <w14:textFill>
            <w14:solidFill>
              <w14:schemeClr w14:val="tx1"/>
            </w14:solidFill>
          </w14:textFill>
        </w:rPr>
      </w:pPr>
      <w:bookmarkStart w:id="12" w:name="_Toc180069253"/>
      <w:r>
        <w:rPr>
          <w:rFonts w:hint="eastAsia" w:ascii="方正仿宋_GBK" w:hAnsi="宋体" w:eastAsia="方正仿宋_GBK"/>
          <w:color w:val="000000" w:themeColor="text1"/>
          <w:sz w:val="32"/>
          <w:szCs w:val="24"/>
          <w:highlight w:val="yellow"/>
          <w14:textFill>
            <w14:solidFill>
              <w14:schemeClr w14:val="tx1"/>
            </w14:solidFill>
          </w14:textFill>
        </w:rPr>
        <w:t>注：</w:t>
      </w:r>
      <w:r>
        <w:rPr>
          <w:rFonts w:hint="eastAsia" w:ascii="方正仿宋_GBK" w:hAnsi="宋体" w:eastAsia="方正仿宋_GBK" w:cs="Times New Roman"/>
          <w:color w:val="FF0000"/>
          <w:kern w:val="2"/>
          <w:sz w:val="32"/>
          <w:szCs w:val="24"/>
          <w:highlight w:val="yellow"/>
          <w:lang w:val="en-US" w:eastAsia="zh-CN" w:bidi="ar-SA"/>
        </w:rPr>
        <w:t>1.“★”号标注条款、“▲”号标注条款、正偏离都需要提供佐证材料，未提供佐证资料以及提供的佐证资料无法佐证则视为负偏离，提供虚假资料取消本次投标资格并纳入医院黑名单管理。</w:t>
      </w:r>
    </w:p>
    <w:p w14:paraId="0B0E532C">
      <w:pPr>
        <w:ind w:firstLine="1280" w:firstLineChars="400"/>
        <w:rPr>
          <w:color w:val="FF0000"/>
        </w:rPr>
      </w:pPr>
      <w:r>
        <w:rPr>
          <w:rFonts w:hint="eastAsia" w:ascii="方正仿宋_GBK" w:hAnsi="宋体" w:eastAsia="方正仿宋_GBK"/>
          <w:color w:val="FF0000"/>
          <w:sz w:val="32"/>
          <w:szCs w:val="24"/>
          <w:highlight w:val="yellow"/>
          <w:lang w:val="en-US" w:eastAsia="zh-CN"/>
        </w:rPr>
        <w:t>2</w:t>
      </w:r>
      <w:r>
        <w:rPr>
          <w:rFonts w:ascii="方正仿宋_GBK" w:hAnsi="宋体" w:eastAsia="方正仿宋_GBK"/>
          <w:color w:val="FF0000"/>
          <w:sz w:val="32"/>
          <w:szCs w:val="24"/>
          <w:highlight w:val="yellow"/>
        </w:rPr>
        <w:t>.</w:t>
      </w:r>
      <w:r>
        <w:rPr>
          <w:rFonts w:hint="eastAsia" w:ascii="方正仿宋_GBK" w:hAnsi="宋体" w:eastAsia="方正仿宋_GBK"/>
          <w:color w:val="FF0000"/>
          <w:sz w:val="32"/>
          <w:szCs w:val="24"/>
          <w:highlight w:val="yellow"/>
        </w:rPr>
        <w:t>需提供设备彩页。</w:t>
      </w:r>
    </w:p>
    <w:p w14:paraId="68C72292">
      <w:pPr>
        <w:pStyle w:val="3"/>
        <w:spacing w:line="400" w:lineRule="exact"/>
        <w:rPr>
          <w:rFonts w:ascii="方正仿宋_GBK" w:eastAsia="方正仿宋_GBK"/>
          <w:sz w:val="24"/>
          <w:szCs w:val="24"/>
        </w:rPr>
      </w:pPr>
      <w:r>
        <w:rPr>
          <w:rFonts w:hint="eastAsia" w:ascii="方正仿宋_GBK" w:eastAsia="方正仿宋_GBK"/>
          <w:sz w:val="24"/>
          <w:szCs w:val="24"/>
        </w:rPr>
        <w:t>二、资金来源</w:t>
      </w:r>
      <w:bookmarkEnd w:id="12"/>
    </w:p>
    <w:p w14:paraId="7192711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rPr>
        <w:t>自筹资金，资金已到位。</w:t>
      </w:r>
    </w:p>
    <w:p w14:paraId="331BCD24">
      <w:pPr>
        <w:pStyle w:val="3"/>
        <w:spacing w:line="400" w:lineRule="exact"/>
        <w:rPr>
          <w:rFonts w:ascii="方正仿宋_GBK" w:eastAsia="方正仿宋_GBK"/>
          <w:sz w:val="24"/>
          <w:szCs w:val="24"/>
        </w:rPr>
      </w:pPr>
      <w:bookmarkStart w:id="13" w:name="_Toc180069254"/>
      <w:r>
        <w:rPr>
          <w:rFonts w:hint="eastAsia" w:ascii="方正仿宋_GBK" w:eastAsia="方正仿宋_GBK"/>
          <w:sz w:val="24"/>
          <w:szCs w:val="24"/>
        </w:rPr>
        <w:t>三、磋商资格</w:t>
      </w:r>
      <w:bookmarkEnd w:id="13"/>
    </w:p>
    <w:p w14:paraId="68DB4BC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磋商供应商是指向采购人提供货物、工程或者服务的法人、其他组织或者自然人。以下简称供应商。合格的供应商应首先符合政府采购法第二十二条规定的基本条件，</w:t>
      </w:r>
      <w:r>
        <w:rPr>
          <w:rFonts w:hint="eastAsia" w:ascii="方正仿宋_GBK" w:hAnsi="宋体" w:eastAsia="方正仿宋_GBK"/>
          <w:color w:val="FF0000"/>
          <w:sz w:val="24"/>
          <w:szCs w:val="24"/>
        </w:rPr>
        <w:t>同时符合根据该项目特殊要求设置的特定资格条件</w:t>
      </w:r>
      <w:r>
        <w:rPr>
          <w:rFonts w:hint="eastAsia" w:ascii="方正仿宋_GBK" w:hAnsi="宋体" w:eastAsia="方正仿宋_GBK"/>
          <w:sz w:val="24"/>
          <w:szCs w:val="24"/>
        </w:rPr>
        <w:t>。</w:t>
      </w:r>
    </w:p>
    <w:p w14:paraId="61156CC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EBF8D8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0B4547A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2E7032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4473BE7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8B7350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14:paraId="141B13C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719D0F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52272DE6">
      <w:pPr>
        <w:spacing w:line="480" w:lineRule="exact"/>
        <w:ind w:firstLine="480" w:firstLineChars="200"/>
        <w:rPr>
          <w:rFonts w:ascii="方正仿宋_GBK" w:hAnsi="宋体" w:eastAsia="方正仿宋_GBK"/>
          <w:color w:val="000000"/>
          <w:sz w:val="24"/>
          <w:szCs w:val="24"/>
        </w:rPr>
      </w:pPr>
      <w:r>
        <w:rPr>
          <w:rFonts w:ascii="方正仿宋_GBK" w:hAnsi="宋体" w:eastAsia="方正仿宋_GBK"/>
          <w:color w:val="000000"/>
          <w:sz w:val="24"/>
          <w:szCs w:val="24"/>
        </w:rPr>
        <w:t>1</w:t>
      </w:r>
      <w:r>
        <w:rPr>
          <w:rFonts w:hint="eastAsia" w:ascii="方正仿宋_GBK" w:hAnsi="宋体" w:eastAsia="方正仿宋_GBK"/>
          <w:color w:val="000000"/>
          <w:sz w:val="24"/>
          <w:szCs w:val="24"/>
        </w:rPr>
        <w:t>、对生产企业的要求：</w:t>
      </w:r>
    </w:p>
    <w:p w14:paraId="336632BE">
      <w:pPr>
        <w:spacing w:line="4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1</w:t>
      </w:r>
      <w:r>
        <w:rPr>
          <w:rFonts w:hint="eastAsia" w:ascii="方正仿宋_GBK" w:hAnsi="宋体" w:eastAsia="方正仿宋_GBK"/>
          <w:color w:val="000000"/>
          <w:sz w:val="24"/>
          <w:szCs w:val="24"/>
        </w:rPr>
        <w:t>）响应产品属于医疗器械的提供医疗器械生产企业许可证（复印件，加盖公章）；</w:t>
      </w:r>
    </w:p>
    <w:p w14:paraId="378C35D1">
      <w:pPr>
        <w:spacing w:line="48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000000"/>
          <w:sz w:val="24"/>
          <w:szCs w:val="24"/>
        </w:rPr>
        <w:t>（</w:t>
      </w:r>
      <w:r>
        <w:rPr>
          <w:rFonts w:ascii="方正仿宋_GBK" w:hAnsi="宋体" w:eastAsia="方正仿宋_GBK"/>
          <w:color w:val="000000"/>
          <w:sz w:val="24"/>
          <w:szCs w:val="24"/>
        </w:rPr>
        <w:t>2</w:t>
      </w:r>
      <w:r>
        <w:rPr>
          <w:rFonts w:hint="eastAsia" w:ascii="方正仿宋_GBK" w:hAnsi="宋体" w:eastAsia="方正仿宋_GBK"/>
          <w:color w:val="000000"/>
          <w:sz w:val="24"/>
          <w:szCs w:val="24"/>
        </w:rPr>
        <w:t>）响应产品属于医疗器械的提供产品的《中华人民共和国医疗器械注册证》以及与之配套的《医疗器械登记表》（复印件，加盖公章）；（若为</w:t>
      </w:r>
      <w:r>
        <w:rPr>
          <w:rFonts w:ascii="方正仿宋_GBK" w:hAnsi="宋体" w:eastAsia="方正仿宋_GBK"/>
          <w:color w:val="000000"/>
          <w:sz w:val="24"/>
          <w:szCs w:val="24"/>
        </w:rPr>
        <w:t>2015</w:t>
      </w:r>
      <w:r>
        <w:rPr>
          <w:rFonts w:hint="eastAsia" w:ascii="方正仿宋_GBK" w:hAnsi="宋体" w:eastAsia="方正仿宋_GBK"/>
          <w:color w:val="000000"/>
          <w:sz w:val="24"/>
          <w:szCs w:val="24"/>
        </w:rPr>
        <w:t>年以后取得的注册证，则仅需提供</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中华人民共和国医疗器械注册证</w:t>
      </w:r>
      <w:r>
        <w:rPr>
          <w:rFonts w:ascii="方正仿宋_GBK" w:hAnsi="宋体" w:eastAsia="方正仿宋_GBK"/>
          <w:color w:val="000000"/>
          <w:sz w:val="24"/>
          <w:szCs w:val="24"/>
        </w:rPr>
        <w:t>”</w:t>
      </w:r>
      <w:r>
        <w:rPr>
          <w:rFonts w:hint="eastAsia" w:ascii="方正仿宋_GBK" w:hAnsi="宋体" w:eastAsia="方正仿宋_GBK"/>
          <w:color w:val="000000"/>
          <w:sz w:val="24"/>
          <w:szCs w:val="24"/>
        </w:rPr>
        <w:t>）</w:t>
      </w:r>
    </w:p>
    <w:p w14:paraId="640C1229">
      <w:pPr>
        <w:spacing w:line="480" w:lineRule="exact"/>
        <w:ind w:firstLine="480" w:firstLineChars="200"/>
        <w:rPr>
          <w:rFonts w:ascii="方正仿宋_GBK" w:eastAsia="方正仿宋_GBK"/>
          <w:b/>
          <w:sz w:val="24"/>
          <w:szCs w:val="24"/>
        </w:rPr>
      </w:pPr>
      <w:r>
        <w:rPr>
          <w:rFonts w:ascii="方正仿宋_GBK" w:hAnsi="宋体" w:eastAsia="方正仿宋_GBK"/>
          <w:color w:val="000000"/>
          <w:sz w:val="24"/>
          <w:szCs w:val="24"/>
        </w:rPr>
        <w:t xml:space="preserve"> 2</w:t>
      </w:r>
      <w:r>
        <w:rPr>
          <w:rFonts w:hint="eastAsia" w:ascii="方正仿宋_GBK" w:hAnsi="宋体" w:eastAsia="方正仿宋_GBK"/>
          <w:color w:val="000000"/>
          <w:sz w:val="24"/>
          <w:szCs w:val="24"/>
        </w:rPr>
        <w:t>、对供应商的要求，除需满足本条第一款对生产企业的要求条件外，还须提供：</w:t>
      </w:r>
      <w:r>
        <w:rPr>
          <w:rFonts w:ascii="方正仿宋_GBK" w:hAnsi="宋体" w:eastAsia="方正仿宋_GBK"/>
          <w:color w:val="000000"/>
          <w:sz w:val="24"/>
          <w:szCs w:val="24"/>
        </w:rPr>
        <w:br w:type="textWrapping"/>
      </w:r>
      <w:r>
        <w:rPr>
          <w:rFonts w:hint="eastAsia" w:ascii="方正仿宋_GBK" w:hAnsi="宋体" w:eastAsia="方正仿宋_GBK"/>
          <w:color w:val="000000"/>
          <w:sz w:val="24"/>
          <w:szCs w:val="24"/>
        </w:rPr>
        <w:t>提供响应产品属三类医疗器械的，供应商须具备有效期内《医疗器械经营企业许可证》或《医疗器械经营许可证》；所响应产品属二类医疗器械的，供应商须具备有效期内《医疗器械经营企业许可证》或《第二类医疗器械经营备案凭证》（提供许可证复印件或备案凭证复印件）；</w:t>
      </w:r>
    </w:p>
    <w:p w14:paraId="39A034CF">
      <w:pPr>
        <w:pStyle w:val="3"/>
        <w:spacing w:line="400" w:lineRule="exact"/>
        <w:ind w:firstLine="482" w:firstLineChars="200"/>
        <w:rPr>
          <w:rFonts w:ascii="方正仿宋_GBK" w:eastAsia="方正仿宋_GBK"/>
          <w:sz w:val="24"/>
          <w:szCs w:val="24"/>
        </w:rPr>
      </w:pPr>
      <w:bookmarkStart w:id="14" w:name="_Toc180069255"/>
      <w:r>
        <w:rPr>
          <w:rFonts w:hint="eastAsia" w:ascii="方正仿宋_GBK" w:eastAsia="方正仿宋_GBK"/>
          <w:sz w:val="24"/>
          <w:szCs w:val="24"/>
        </w:rPr>
        <w:t>四、磋商有关说明</w:t>
      </w:r>
      <w:bookmarkEnd w:id="8"/>
      <w:bookmarkEnd w:id="14"/>
    </w:p>
    <w:p w14:paraId="0031D4E5">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（一）为确认投标人身份合法有效，由法定代表人参与投标的，需持本人身份证原件（复印件加盖投标单位鲜章）和法定代表人身份证明书（格式）原件，报名时与响应文件同时递交。</w:t>
      </w:r>
    </w:p>
    <w:p w14:paraId="7BA0989D">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14:paraId="07E9418F">
      <w:pPr>
        <w:rPr>
          <w:b/>
          <w:bCs/>
          <w:color w:val="000000"/>
        </w:rPr>
      </w:pPr>
      <w:r>
        <w:rPr>
          <w:rFonts w:hint="eastAsia" w:ascii="方正仿宋_GBK" w:hAnsi="宋体" w:eastAsia="方正仿宋_GBK"/>
          <w:b/>
          <w:bCs/>
          <w:color w:val="000000"/>
          <w:sz w:val="24"/>
          <w:szCs w:val="24"/>
        </w:rPr>
        <w:t xml:space="preserve">    注：以上要求的资料须在现场报名时单独提交一份进行验核和收取，未按以上要求执行的投标人将视为以他人名义投标，其响应文件拒绝接收。</w:t>
      </w:r>
    </w:p>
    <w:p w14:paraId="1190FF91">
      <w:pPr>
        <w:spacing w:line="380" w:lineRule="exact"/>
        <w:rPr>
          <w:rFonts w:ascii="方正仿宋_GBK" w:hAnsi="宋体" w:eastAsia="方正仿宋_GBK"/>
          <w:sz w:val="24"/>
          <w:szCs w:val="24"/>
        </w:rPr>
      </w:pPr>
      <w:r>
        <w:rPr>
          <w:rFonts w:hint="eastAsia" w:ascii="方正仿宋_GBK" w:hAnsi="宋体" w:eastAsia="方正仿宋_GBK"/>
          <w:color w:val="000000"/>
          <w:sz w:val="24"/>
          <w:szCs w:val="24"/>
        </w:rPr>
        <w:t xml:space="preserve">    （三）凡有意参加磋商的供应商，请于公告发布之日起至提</w:t>
      </w:r>
      <w:r>
        <w:rPr>
          <w:rFonts w:hint="eastAsia" w:ascii="方正仿宋_GBK" w:hAnsi="宋体" w:eastAsia="方正仿宋_GBK"/>
          <w:sz w:val="24"/>
          <w:szCs w:val="24"/>
        </w:rPr>
        <w:t>交首次响应文件截止时间之前，在 “重庆市政府采购网行采家”上下载本项目竞争性磋商文件以及图纸、补遗等磋商前公布的所有项目资料，无论供应商下载与否，均视为已知晓所有磋商实质性要求内容。</w:t>
      </w:r>
    </w:p>
    <w:p w14:paraId="1BC3898B">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（四）按《重庆市财政局关于进一步规范投标报名及保证金缴纳的通知》（渝财采购﹝2013﹞30号）文的规定，</w:t>
      </w:r>
      <w:r>
        <w:rPr>
          <w:rFonts w:hint="eastAsia" w:ascii="方正仿宋_GBK" w:hAnsi="宋体" w:eastAsia="方正仿宋_GBK"/>
          <w:b/>
          <w:bCs/>
          <w:sz w:val="24"/>
          <w:szCs w:val="24"/>
        </w:rPr>
        <w:t>报名方式为磋商当天现场报名，不需提前报名</w:t>
      </w:r>
      <w:r>
        <w:rPr>
          <w:rFonts w:hint="eastAsia" w:ascii="方正仿宋_GBK" w:hAnsi="宋体" w:eastAsia="方正仿宋_GBK"/>
          <w:sz w:val="24"/>
          <w:szCs w:val="24"/>
        </w:rPr>
        <w:t>。</w:t>
      </w:r>
    </w:p>
    <w:p w14:paraId="41A3F2E9">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（五）供应商须满足以下2种要件，其响应文件才被接受：</w:t>
      </w:r>
    </w:p>
    <w:p w14:paraId="3EE2AEF2">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48AB03C6">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14:paraId="3C4CCAD2">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（六）磋商地点：重庆市合川区合阳城街道合阳大道1089号（3号楼5楼会议室）</w:t>
      </w:r>
    </w:p>
    <w:p w14:paraId="7B188850">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（七）提交响应文件开始时间：</w:t>
      </w:r>
      <w:bookmarkStart w:id="198" w:name="_GoBack"/>
      <w:bookmarkEnd w:id="198"/>
      <w:r>
        <w:rPr>
          <w:rFonts w:hint="eastAsia" w:ascii="方正仿宋_GBK" w:hAnsi="宋体" w:eastAsia="方正仿宋_GBK"/>
          <w:color w:val="FF0000"/>
          <w:sz w:val="24"/>
          <w:szCs w:val="24"/>
          <w:highlight w:val="yellow"/>
          <w:lang w:eastAsia="zh-CN"/>
        </w:rPr>
        <w:t>2025年6月16日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14:30</w:t>
      </w:r>
      <w:r>
        <w:rPr>
          <w:rFonts w:hint="eastAsia" w:ascii="方正仿宋_GBK" w:hAnsi="宋体" w:eastAsia="方正仿宋_GBK"/>
          <w:color w:val="FF0000"/>
          <w:sz w:val="24"/>
          <w:szCs w:val="24"/>
          <w:highlight w:val="yellow"/>
        </w:rPr>
        <w:t>时</w:t>
      </w:r>
    </w:p>
    <w:p w14:paraId="740F1FBE">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（八）提交响应文件截止时间：</w:t>
      </w:r>
      <w:r>
        <w:rPr>
          <w:rFonts w:hint="eastAsia" w:ascii="方正仿宋_GBK" w:hAnsi="宋体" w:eastAsia="方正仿宋_GBK"/>
          <w:color w:val="FF0000"/>
          <w:sz w:val="24"/>
          <w:szCs w:val="24"/>
          <w:highlight w:val="yellow"/>
          <w:lang w:eastAsia="zh-CN"/>
        </w:rPr>
        <w:t>2025年6月16日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14:45</w:t>
      </w:r>
      <w:r>
        <w:rPr>
          <w:rFonts w:hint="eastAsia" w:ascii="方正仿宋_GBK" w:hAnsi="宋体" w:eastAsia="方正仿宋_GBK"/>
          <w:color w:val="FF0000"/>
          <w:sz w:val="24"/>
          <w:szCs w:val="24"/>
          <w:highlight w:val="yellow"/>
        </w:rPr>
        <w:t>时</w:t>
      </w:r>
    </w:p>
    <w:p w14:paraId="2C9199DE">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（九）磋商开始时间：</w:t>
      </w:r>
      <w:r>
        <w:rPr>
          <w:rFonts w:hint="eastAsia" w:ascii="方正仿宋_GBK" w:hAnsi="宋体" w:eastAsia="方正仿宋_GBK"/>
          <w:color w:val="FF0000"/>
          <w:sz w:val="24"/>
          <w:szCs w:val="24"/>
          <w:highlight w:val="yellow"/>
          <w:lang w:eastAsia="zh-CN"/>
        </w:rPr>
        <w:t>2025年6月16日</w:t>
      </w:r>
      <w:r>
        <w:rPr>
          <w:rFonts w:hint="eastAsia" w:ascii="方正仿宋_GBK" w:hAnsi="宋体" w:eastAsia="方正仿宋_GBK"/>
          <w:color w:val="FF0000"/>
          <w:sz w:val="24"/>
          <w:szCs w:val="24"/>
          <w:highlight w:val="yellow"/>
        </w:rPr>
        <w:t>北京时间</w:t>
      </w:r>
      <w:r>
        <w:rPr>
          <w:rFonts w:hint="eastAsia" w:ascii="方正仿宋_GBK" w:hAnsi="宋体" w:eastAsia="方正仿宋_GBK"/>
          <w:color w:val="FF0000"/>
          <w:sz w:val="24"/>
          <w:szCs w:val="24"/>
          <w:highlight w:val="yellow"/>
          <w:lang w:val="en-US" w:eastAsia="zh-CN"/>
        </w:rPr>
        <w:t>14:45</w:t>
      </w:r>
    </w:p>
    <w:p w14:paraId="3E81B75D">
      <w:pPr>
        <w:pStyle w:val="3"/>
        <w:spacing w:line="380" w:lineRule="exact"/>
        <w:rPr>
          <w:rFonts w:ascii="方正仿宋_GBK" w:eastAsia="方正仿宋_GBK"/>
          <w:sz w:val="24"/>
          <w:szCs w:val="24"/>
        </w:rPr>
      </w:pPr>
      <w:bookmarkStart w:id="15" w:name="_Toc373860294"/>
      <w:bookmarkStart w:id="16" w:name="_Toc180069256"/>
      <w:r>
        <w:rPr>
          <w:rFonts w:hint="eastAsia" w:ascii="方正仿宋_GBK" w:eastAsia="方正仿宋_GBK"/>
          <w:sz w:val="24"/>
          <w:szCs w:val="24"/>
        </w:rPr>
        <w:t>五、保证金</w:t>
      </w:r>
      <w:bookmarkEnd w:id="15"/>
      <w:bookmarkEnd w:id="16"/>
    </w:p>
    <w:p w14:paraId="1EB7E702">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（一）磋商保证金金额</w:t>
      </w:r>
    </w:p>
    <w:p w14:paraId="1D66A7C3">
      <w:pPr>
        <w:spacing w:line="400" w:lineRule="exact"/>
        <w:ind w:firstLine="600" w:firstLineChars="250"/>
        <w:rPr>
          <w:rFonts w:ascii="方正仿宋_GBK" w:eastAsia="方正仿宋_GBK"/>
          <w:color w:val="FF0000"/>
          <w:sz w:val="24"/>
          <w:szCs w:val="24"/>
          <w:highlight w:val="yellow"/>
        </w:rPr>
      </w:pPr>
      <w:r>
        <w:rPr>
          <w:rFonts w:hint="eastAsia" w:ascii="方正仿宋_GBK" w:eastAsia="方正仿宋_GBK"/>
          <w:color w:val="FF0000"/>
          <w:sz w:val="24"/>
          <w:szCs w:val="24"/>
          <w:highlight w:val="yellow"/>
        </w:rPr>
        <w:t>本次磋商保证金为人民币</w:t>
      </w:r>
      <w:r>
        <w:rPr>
          <w:rFonts w:hint="eastAsia" w:ascii="方正仿宋_GBK" w:eastAsia="方正仿宋_GBK"/>
          <w:color w:val="FF0000"/>
          <w:sz w:val="24"/>
          <w:szCs w:val="24"/>
          <w:highlight w:val="yellow"/>
          <w:u w:val="single"/>
        </w:rPr>
        <w:t xml:space="preserve"> </w:t>
      </w:r>
      <w:r>
        <w:rPr>
          <w:rFonts w:ascii="方正仿宋_GBK" w:eastAsia="方正仿宋_GBK"/>
          <w:color w:val="FF0000"/>
          <w:sz w:val="24"/>
          <w:szCs w:val="24"/>
          <w:highlight w:val="yellow"/>
          <w:u w:val="single"/>
        </w:rPr>
        <w:t>7</w:t>
      </w:r>
      <w:r>
        <w:rPr>
          <w:rFonts w:hint="eastAsia" w:ascii="方正仿宋_GBK" w:eastAsia="方正仿宋_GBK"/>
          <w:color w:val="FF0000"/>
          <w:sz w:val="24"/>
          <w:szCs w:val="24"/>
          <w:highlight w:val="yellow"/>
          <w:u w:val="single"/>
          <w:lang w:val="en-US" w:eastAsia="zh-CN"/>
        </w:rPr>
        <w:t>6</w:t>
      </w:r>
      <w:r>
        <w:rPr>
          <w:rFonts w:ascii="方正仿宋_GBK" w:eastAsia="方正仿宋_GBK"/>
          <w:color w:val="FF0000"/>
          <w:sz w:val="24"/>
          <w:szCs w:val="24"/>
          <w:highlight w:val="yellow"/>
          <w:u w:val="single"/>
        </w:rPr>
        <w:t>00</w:t>
      </w:r>
      <w:r>
        <w:rPr>
          <w:rFonts w:hint="eastAsia" w:ascii="方正仿宋_GBK" w:eastAsia="方正仿宋_GBK"/>
          <w:color w:val="FF0000"/>
          <w:sz w:val="24"/>
          <w:szCs w:val="24"/>
          <w:highlight w:val="yellow"/>
        </w:rPr>
        <w:t>元。</w:t>
      </w:r>
    </w:p>
    <w:p w14:paraId="4BD6140A">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（二）磋商保证金账户</w:t>
      </w:r>
    </w:p>
    <w:p w14:paraId="2280C870">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6A9C0C0E">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0EBEDF0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36AF490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（三）缴纳磋商保证金方式</w:t>
      </w:r>
    </w:p>
    <w:p w14:paraId="3EFA0747">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请投标人按规定金额一次性支付至投标保证金指定账户内，并于</w:t>
      </w:r>
      <w:r>
        <w:rPr>
          <w:rFonts w:hint="eastAsia" w:ascii="方正仿宋_GBK" w:hAnsi="宋体" w:eastAsia="方正仿宋_GBK"/>
          <w:color w:val="FF0000"/>
          <w:sz w:val="24"/>
          <w:szCs w:val="24"/>
          <w:lang w:eastAsia="zh-CN"/>
        </w:rPr>
        <w:t>2025年6月16日</w:t>
      </w:r>
      <w:r>
        <w:rPr>
          <w:rFonts w:hint="eastAsia" w:ascii="方正仿宋_GBK" w:eastAsia="方正仿宋_GBK"/>
          <w:color w:val="FF0000"/>
          <w:sz w:val="24"/>
          <w:szCs w:val="24"/>
          <w:lang w:val="en-US" w:eastAsia="zh-CN"/>
        </w:rPr>
        <w:t>12</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请在备注注明***保证金</w:t>
      </w:r>
      <w:r>
        <w:rPr>
          <w:rFonts w:hint="eastAsia" w:ascii="方正仿宋_GBK" w:eastAsia="方正仿宋_GBK"/>
          <w:sz w:val="24"/>
          <w:szCs w:val="24"/>
        </w:rPr>
        <w:t>），投标人应自行考虑投标保证金的汇入时间风险，否则出现的一切后果由投标人自行负责。</w:t>
      </w:r>
    </w:p>
    <w:p w14:paraId="7C06F3A5">
      <w:pPr>
        <w:spacing w:line="400" w:lineRule="exact"/>
        <w:ind w:firstLine="602" w:firstLineChars="250"/>
        <w:rPr>
          <w:rFonts w:ascii="方正仿宋_GBK" w:eastAsia="方正仿宋_GBK"/>
          <w:b/>
          <w:bCs/>
          <w:sz w:val="24"/>
          <w:szCs w:val="24"/>
        </w:rPr>
      </w:pPr>
      <w:r>
        <w:rPr>
          <w:rFonts w:hint="eastAsia" w:ascii="方正仿宋_GBK" w:eastAsia="方正仿宋_GBK"/>
          <w:b/>
          <w:bCs/>
          <w:sz w:val="24"/>
          <w:szCs w:val="24"/>
          <w:highlight w:val="yellow"/>
        </w:rPr>
        <w:t>注：投标保证金未按招标文件要求缴纳，视为未缴纳该项目的投标保证金，投标无效。</w:t>
      </w:r>
      <w:r>
        <w:rPr>
          <w:rFonts w:hint="eastAsia" w:ascii="方正仿宋_GBK" w:eastAsia="方正仿宋_GBK"/>
          <w:b/>
          <w:bCs/>
          <w:color w:val="FF0000"/>
          <w:sz w:val="24"/>
          <w:szCs w:val="24"/>
          <w:highlight w:val="yellow"/>
        </w:rPr>
        <w:t>缴纳了保证金但在现场不按时报名的</w:t>
      </w:r>
      <w:r>
        <w:rPr>
          <w:rFonts w:hint="eastAsia" w:ascii="方正仿宋_GBK" w:eastAsia="方正仿宋_GBK"/>
          <w:b/>
          <w:bCs/>
          <w:sz w:val="24"/>
          <w:szCs w:val="24"/>
          <w:highlight w:val="yellow"/>
        </w:rPr>
        <w:t>，在</w:t>
      </w:r>
      <w:r>
        <w:rPr>
          <w:rFonts w:hint="eastAsia" w:ascii="方正仿宋_GBK" w:eastAsia="方正仿宋_GBK"/>
          <w:b/>
          <w:bCs/>
          <w:color w:val="FF0000"/>
          <w:sz w:val="24"/>
          <w:szCs w:val="24"/>
          <w:highlight w:val="yellow"/>
          <w:lang w:eastAsia="zh-CN"/>
        </w:rPr>
        <w:t>2025年6月16日</w:t>
      </w:r>
      <w:r>
        <w:rPr>
          <w:rFonts w:hint="eastAsia" w:ascii="方正仿宋_GBK" w:eastAsia="方正仿宋_GBK"/>
          <w:b/>
          <w:bCs/>
          <w:sz w:val="24"/>
          <w:szCs w:val="24"/>
          <w:highlight w:val="yellow"/>
        </w:rPr>
        <w:t>北京时间上午</w:t>
      </w:r>
      <w:r>
        <w:rPr>
          <w:rFonts w:hint="eastAsia" w:ascii="方正仿宋_GBK" w:eastAsia="方正仿宋_GBK"/>
          <w:b/>
          <w:bCs/>
          <w:sz w:val="24"/>
          <w:szCs w:val="24"/>
          <w:highlight w:val="yellow"/>
          <w:lang w:val="en-US" w:eastAsia="zh-CN"/>
        </w:rPr>
        <w:t>12</w:t>
      </w:r>
      <w:r>
        <w:rPr>
          <w:rFonts w:hint="eastAsia" w:ascii="方正仿宋_GBK" w:eastAsia="方正仿宋_GBK"/>
          <w:b/>
          <w:bCs/>
          <w:sz w:val="24"/>
          <w:szCs w:val="24"/>
          <w:highlight w:val="yellow"/>
        </w:rPr>
        <w:t>时前招标人未收到投标人书面撤回通知的情况下, 视为恶意竞标，</w:t>
      </w:r>
      <w:r>
        <w:rPr>
          <w:rFonts w:hint="eastAsia" w:ascii="方正仿宋_GBK" w:eastAsia="方正仿宋_GBK"/>
          <w:b/>
          <w:bCs/>
          <w:color w:val="FF0000"/>
          <w:sz w:val="24"/>
          <w:szCs w:val="24"/>
          <w:highlight w:val="yellow"/>
        </w:rPr>
        <w:t>不予退还投标保证金</w:t>
      </w:r>
      <w:r>
        <w:rPr>
          <w:rFonts w:hint="eastAsia" w:ascii="方正仿宋_GBK" w:eastAsia="方正仿宋_GBK"/>
          <w:b/>
          <w:bCs/>
          <w:sz w:val="24"/>
          <w:szCs w:val="24"/>
          <w:highlight w:val="yellow"/>
        </w:rPr>
        <w:t>。</w:t>
      </w:r>
    </w:p>
    <w:p w14:paraId="48C8A8AD">
      <w:pPr>
        <w:pStyle w:val="9"/>
        <w:spacing w:line="380" w:lineRule="exact"/>
        <w:ind w:firstLine="705" w:firstLineChars="294"/>
        <w:rPr>
          <w:rFonts w:ascii="方正仿宋_GBK" w:eastAsia="方正仿宋_GBK"/>
          <w:sz w:val="24"/>
          <w:szCs w:val="24"/>
        </w:rPr>
      </w:pPr>
      <w:r>
        <w:rPr>
          <w:rFonts w:hint="eastAsia" w:ascii="方正仿宋_GBK" w:eastAsia="方正仿宋_GBK"/>
          <w:sz w:val="24"/>
          <w:szCs w:val="24"/>
        </w:rPr>
        <w:t>特别提醒：</w:t>
      </w:r>
    </w:p>
    <w:p w14:paraId="178B8AB5">
      <w:pPr>
        <w:pStyle w:val="9"/>
        <w:spacing w:line="380" w:lineRule="exact"/>
        <w:ind w:left="241" w:leftChars="86" w:firstLine="480" w:firstLineChars="200"/>
        <w:rPr>
          <w:rFonts w:ascii="方正仿宋_GBK" w:eastAsia="方正仿宋_GBK"/>
          <w:sz w:val="24"/>
          <w:szCs w:val="24"/>
        </w:rPr>
      </w:pPr>
      <w:r>
        <w:rPr>
          <w:rFonts w:hint="eastAsia" w:ascii="方正仿宋_GBK" w:eastAsia="方正仿宋_GBK"/>
          <w:sz w:val="24"/>
          <w:szCs w:val="24"/>
        </w:rPr>
        <w:t>1、请交银行账户的各投标人把盖鲜章的银行回单及开户许可证带至开标现场备查（一式两份）。</w:t>
      </w:r>
    </w:p>
    <w:p w14:paraId="3983E74D">
      <w:pPr>
        <w:pStyle w:val="9"/>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48826E87">
      <w:pPr>
        <w:pStyle w:val="9"/>
        <w:spacing w:line="480" w:lineRule="exact"/>
        <w:ind w:left="241" w:leftChars="86" w:firstLine="480" w:firstLineChars="200"/>
        <w:rPr>
          <w:rFonts w:ascii="方正仿宋_GBK" w:hAnsi="方正仿宋_GBK" w:eastAsia="方正仿宋_GBK" w:cs="方正仿宋_GBK"/>
          <w:sz w:val="24"/>
          <w:szCs w:val="24"/>
        </w:rPr>
      </w:pPr>
      <w:r>
        <w:rPr>
          <w:rFonts w:hint="eastAsia" w:ascii="方正仿宋_GBK" w:hAnsi="宋体" w:eastAsia="方正仿宋_GBK"/>
          <w:color w:val="000000"/>
          <w:sz w:val="24"/>
          <w:szCs w:val="24"/>
        </w:rPr>
        <w:t>1、未中标供应商的投标保证金，在中标或成交结果公示无质疑后，医院在5个工作日内按来款渠道直接退还。</w:t>
      </w:r>
      <w:r>
        <w:rPr>
          <w:rFonts w:hint="eastAsia" w:ascii="方正仿宋_GBK" w:hAnsi="宋体" w:eastAsia="方正仿宋_GBK"/>
          <w:color w:val="FF0000"/>
          <w:sz w:val="24"/>
          <w:highlight w:val="yellow"/>
        </w:rPr>
        <w:t>（注：投标保证金回执应清晰，备注项目名称，盖鲜章请勿遮盖账号和户名）</w:t>
      </w:r>
    </w:p>
    <w:p w14:paraId="37EF5C3B">
      <w:pPr>
        <w:pStyle w:val="9"/>
        <w:spacing w:line="380" w:lineRule="exact"/>
        <w:ind w:left="241" w:leftChars="86"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2、成交供应商的投标保证金，在</w:t>
      </w:r>
      <w:r>
        <w:rPr>
          <w:rFonts w:ascii="方正仿宋_GBK" w:hAnsi="宋体" w:eastAsia="方正仿宋_GBK"/>
          <w:color w:val="FF0000"/>
          <w:sz w:val="24"/>
          <w:szCs w:val="24"/>
        </w:rPr>
        <w:t>中标后5个工作日内向采购单位缴纳中标金额10%的履约保证金</w:t>
      </w:r>
      <w:r>
        <w:rPr>
          <w:rFonts w:hint="eastAsia" w:ascii="方正仿宋_GBK" w:hAnsi="宋体" w:eastAsia="方正仿宋_GBK"/>
          <w:color w:val="000000"/>
          <w:sz w:val="24"/>
          <w:szCs w:val="24"/>
        </w:rPr>
        <w:t>后按来款渠道直接退还。</w:t>
      </w:r>
    </w:p>
    <w:p w14:paraId="199A7D31">
      <w:pPr>
        <w:pStyle w:val="3"/>
        <w:spacing w:line="380" w:lineRule="exact"/>
        <w:rPr>
          <w:rFonts w:ascii="方正仿宋_GBK" w:hAnsi="宋体" w:eastAsia="方正仿宋_GBK"/>
          <w:sz w:val="24"/>
          <w:szCs w:val="24"/>
        </w:rPr>
      </w:pPr>
      <w:bookmarkStart w:id="17" w:name="_Toc180069257"/>
      <w:r>
        <w:rPr>
          <w:rFonts w:hint="eastAsia" w:ascii="方正仿宋_GBK" w:hAnsi="宋体" w:eastAsia="方正仿宋_GBK"/>
          <w:sz w:val="24"/>
          <w:szCs w:val="24"/>
        </w:rPr>
        <w:t>六、</w:t>
      </w:r>
      <w:bookmarkEnd w:id="9"/>
      <w:r>
        <w:rPr>
          <w:rFonts w:hint="eastAsia" w:ascii="方正仿宋_GBK" w:hAnsi="宋体" w:eastAsia="方正仿宋_GBK"/>
          <w:sz w:val="24"/>
          <w:szCs w:val="24"/>
        </w:rPr>
        <w:t>其它有关规定</w:t>
      </w:r>
      <w:bookmarkEnd w:id="17"/>
    </w:p>
    <w:p w14:paraId="4073438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1、单位负责人为同一个人的两个及两个以上法人，母公司、全资子公司及其控股公司，都不得在同一分包的货物采购中同时参与磋商，否则均为无效磋商。</w:t>
      </w:r>
    </w:p>
    <w:p w14:paraId="2109232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2、单个分包为单一货物的，一个制造商对同一品牌同一规格型号的货物，仅能委托一个代理商参加该分包的磋商，否则为无效磋商。</w:t>
      </w:r>
    </w:p>
    <w:p w14:paraId="6D42395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3、同一分包的货物，制造商参与磋商的，不得再委托代理商参与磋商，否则为无效磋商。</w:t>
      </w:r>
    </w:p>
    <w:p w14:paraId="0FA3D9A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磋商文件及补遗文件（如果有）一律在重庆市政府采购网行采家上发布，请各供应商注意下载；无论供应商下载与否，均视同供应商已知晓本项目竞争性磋商文件、补遗文件（如果有）的内容。</w:t>
      </w:r>
    </w:p>
    <w:p w14:paraId="6675653C">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5</w:t>
      </w:r>
      <w:r>
        <w:rPr>
          <w:rFonts w:hint="eastAsia" w:ascii="方正仿宋_GBK" w:hAnsi="宋体" w:eastAsia="方正仿宋_GBK"/>
          <w:color w:val="000000"/>
          <w:sz w:val="24"/>
          <w:szCs w:val="24"/>
        </w:rPr>
        <w:t>、超过响应文件截止时间递交的响应文件</w:t>
      </w:r>
      <w:r>
        <w:rPr>
          <w:rFonts w:hint="eastAsia" w:ascii="方正仿宋_GBK" w:hAnsi="宋体" w:eastAsia="方正仿宋_GBK"/>
          <w:color w:val="000000"/>
          <w:sz w:val="24"/>
        </w:rPr>
        <w:t>、不按本磋商文件规定封装和密封的投标，重庆市合川区妇幼保健院拒绝接受</w:t>
      </w:r>
      <w:r>
        <w:rPr>
          <w:rFonts w:hint="eastAsia" w:ascii="方正仿宋_GBK" w:hAnsi="宋体" w:eastAsia="方正仿宋_GBK"/>
          <w:color w:val="000000"/>
          <w:sz w:val="24"/>
          <w:szCs w:val="24"/>
        </w:rPr>
        <w:t>。</w:t>
      </w:r>
    </w:p>
    <w:p w14:paraId="32A8D2D7">
      <w:pPr>
        <w:snapToGrid w:val="0"/>
        <w:spacing w:line="3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、磋商费用：无论磋商结果如何，供应商参与本项目磋商的所有费用均应由供应商自行承担。</w:t>
      </w:r>
    </w:p>
    <w:p w14:paraId="42A9AF82">
      <w:pPr>
        <w:pStyle w:val="3"/>
        <w:spacing w:line="380" w:lineRule="exact"/>
        <w:rPr>
          <w:rFonts w:ascii="方正仿宋_GBK" w:hAnsi="宋体" w:eastAsia="方正仿宋_GBK"/>
          <w:sz w:val="24"/>
          <w:szCs w:val="24"/>
        </w:rPr>
      </w:pPr>
      <w:bookmarkStart w:id="18" w:name="_Toc180069258"/>
      <w:r>
        <w:rPr>
          <w:rFonts w:hint="eastAsia" w:ascii="方正仿宋_GBK" w:hAnsi="宋体" w:eastAsia="方正仿宋_GBK"/>
          <w:sz w:val="24"/>
          <w:szCs w:val="24"/>
        </w:rPr>
        <w:t>七、联系方式</w:t>
      </w:r>
      <w:bookmarkEnd w:id="18"/>
    </w:p>
    <w:p w14:paraId="28134FD3">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（一）重庆市合川区妇幼保健院</w:t>
      </w:r>
    </w:p>
    <w:p w14:paraId="5E08C68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联系人：郭老师 、袁老师                </w:t>
      </w:r>
    </w:p>
    <w:p w14:paraId="48A0BB8F">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w:t>
      </w:r>
      <w:r>
        <w:rPr>
          <w:rFonts w:hint="eastAsia" w:ascii="方正仿宋_GBK" w:hAnsi="方正仿宋_GBK" w:eastAsia="方正仿宋_GBK" w:cs="方正仿宋_GBK"/>
          <w:sz w:val="24"/>
          <w:szCs w:val="24"/>
        </w:rPr>
        <w:t>023-42419716（采购咨询）   023-42865008（项目咨询）</w:t>
      </w:r>
    </w:p>
    <w:p w14:paraId="4EAA0F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 合川区合阳城街道合阳大道1089号</w:t>
      </w:r>
    </w:p>
    <w:p w14:paraId="02CED5B9">
      <w:pPr>
        <w:pStyle w:val="11"/>
        <w:rPr>
          <w:rFonts w:ascii="方正仿宋_GBK" w:hAnsi="宋体" w:eastAsia="方正仿宋_GBK"/>
          <w:sz w:val="24"/>
          <w:szCs w:val="24"/>
        </w:rPr>
      </w:pPr>
    </w:p>
    <w:p w14:paraId="459AE729">
      <w:pPr>
        <w:pStyle w:val="12"/>
        <w:rPr>
          <w:rFonts w:ascii="方正仿宋_GBK" w:hAnsi="宋体" w:eastAsia="方正仿宋_GBK"/>
          <w:sz w:val="24"/>
          <w:szCs w:val="24"/>
        </w:rPr>
      </w:pPr>
    </w:p>
    <w:p w14:paraId="33E39225"/>
    <w:p w14:paraId="43235554">
      <w:pPr>
        <w:pStyle w:val="11"/>
      </w:pPr>
    </w:p>
    <w:p w14:paraId="5B602E0B">
      <w:pPr>
        <w:pStyle w:val="12"/>
      </w:pPr>
    </w:p>
    <w:p w14:paraId="76C94C44"/>
    <w:p w14:paraId="0D641D94">
      <w:pPr>
        <w:pStyle w:val="11"/>
      </w:pPr>
    </w:p>
    <w:p w14:paraId="3358910C">
      <w:pPr>
        <w:pStyle w:val="12"/>
      </w:pPr>
    </w:p>
    <w:p w14:paraId="7A5B82F7"/>
    <w:p w14:paraId="11E704C9">
      <w:pPr>
        <w:pStyle w:val="11"/>
      </w:pPr>
    </w:p>
    <w:p w14:paraId="7D04A894">
      <w:pPr>
        <w:pStyle w:val="12"/>
      </w:pPr>
    </w:p>
    <w:p w14:paraId="133F61F3"/>
    <w:p w14:paraId="45E8B1F5"/>
    <w:p w14:paraId="7C800535">
      <w:pPr>
        <w:pStyle w:val="11"/>
      </w:pPr>
    </w:p>
    <w:p w14:paraId="236AC0D7">
      <w:pPr>
        <w:pStyle w:val="12"/>
      </w:pPr>
    </w:p>
    <w:p w14:paraId="329846AC"/>
    <w:p w14:paraId="4A9834F8"/>
    <w:p w14:paraId="72A662AB"/>
    <w:p w14:paraId="4D40EF1D"/>
    <w:p w14:paraId="33E33E75"/>
    <w:p w14:paraId="5934DA4A"/>
    <w:p w14:paraId="5AC59D7D"/>
    <w:p w14:paraId="379B4AF4"/>
    <w:p w14:paraId="0AD135C0"/>
    <w:p w14:paraId="4F7ED4A2"/>
    <w:p w14:paraId="3D8D1080">
      <w:pPr>
        <w:pStyle w:val="2"/>
        <w:spacing w:line="360" w:lineRule="auto"/>
        <w:jc w:val="center"/>
        <w:rPr>
          <w:rFonts w:ascii="方正小标宋_GBK" w:hAnsi="宋体" w:eastAsia="方正小标宋_GBK"/>
          <w:b w:val="0"/>
          <w:szCs w:val="30"/>
        </w:rPr>
      </w:pPr>
      <w:bookmarkStart w:id="19" w:name="_Toc180069259"/>
      <w:bookmarkStart w:id="20" w:name="_Toc102227313"/>
      <w:r>
        <w:rPr>
          <w:rFonts w:hint="eastAsia" w:ascii="方正小标宋_GBK" w:hAnsi="宋体" w:eastAsia="方正小标宋_GBK"/>
          <w:b w:val="0"/>
          <w:sz w:val="36"/>
          <w:szCs w:val="30"/>
        </w:rPr>
        <w:t>第二篇  供应商须知</w:t>
      </w:r>
      <w:bookmarkEnd w:id="19"/>
      <w:bookmarkEnd w:id="20"/>
    </w:p>
    <w:p w14:paraId="06F1D1CA">
      <w:pPr>
        <w:pStyle w:val="3"/>
        <w:spacing w:line="440" w:lineRule="exact"/>
        <w:rPr>
          <w:rFonts w:ascii="方正仿宋_GBK" w:eastAsia="方正仿宋_GBK"/>
          <w:sz w:val="24"/>
          <w:szCs w:val="24"/>
        </w:rPr>
      </w:pPr>
      <w:bookmarkStart w:id="21" w:name="_Toc342913389"/>
      <w:bookmarkStart w:id="22" w:name="_Toc180069260"/>
      <w:r>
        <w:rPr>
          <w:rFonts w:hint="eastAsia" w:ascii="方正仿宋_GBK" w:eastAsia="方正仿宋_GBK"/>
          <w:sz w:val="24"/>
          <w:szCs w:val="24"/>
        </w:rPr>
        <w:t>一、磋商费用</w:t>
      </w:r>
      <w:bookmarkEnd w:id="21"/>
      <w:bookmarkEnd w:id="22"/>
    </w:p>
    <w:p w14:paraId="456E56A0">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参与磋商的供应商应承担其编制响应文件与递交响应文件所涉及的一切费用，不论磋商结果如何，采购人和采购代理机构在任何情况下无义务也无责任承担这些费用。</w:t>
      </w:r>
    </w:p>
    <w:p w14:paraId="5C66DB42">
      <w:pPr>
        <w:pStyle w:val="3"/>
        <w:tabs>
          <w:tab w:val="left" w:pos="2640"/>
        </w:tabs>
        <w:spacing w:line="400" w:lineRule="exact"/>
        <w:rPr>
          <w:rFonts w:ascii="方正仿宋_GBK" w:eastAsia="方正仿宋_GBK"/>
          <w:sz w:val="24"/>
          <w:szCs w:val="24"/>
        </w:rPr>
      </w:pPr>
      <w:bookmarkStart w:id="23" w:name="_Toc342913391"/>
      <w:bookmarkStart w:id="24" w:name="_Toc180069261"/>
      <w:r>
        <w:rPr>
          <w:rFonts w:hint="eastAsia" w:ascii="方正仿宋_GBK" w:eastAsia="方正仿宋_GBK"/>
          <w:sz w:val="24"/>
          <w:szCs w:val="24"/>
        </w:rPr>
        <w:t>二、竞争性磋商文件</w:t>
      </w:r>
      <w:bookmarkEnd w:id="23"/>
      <w:bookmarkEnd w:id="24"/>
      <w:r>
        <w:rPr>
          <w:rFonts w:ascii="方正仿宋_GBK" w:eastAsia="方正仿宋_GBK"/>
          <w:sz w:val="24"/>
          <w:szCs w:val="24"/>
        </w:rPr>
        <w:tab/>
      </w:r>
    </w:p>
    <w:p w14:paraId="6F839D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1、竞争性磋商文件由竞争性磋商邀请书、供应商须知、磋商项目技术需求、磋商项目服务需求、合同草案条款、响应文件格式要求六部分组成。</w:t>
      </w:r>
    </w:p>
    <w:p w14:paraId="490E5EA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2、采购人（或采购代理机构）所作的一切有效的书面通知、修改及补充，都是竞争性磋商文件不可分割的部分。</w:t>
      </w:r>
    </w:p>
    <w:p w14:paraId="401628E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3、竞争性磋商文件的解释</w:t>
      </w:r>
    </w:p>
    <w:p w14:paraId="4731F6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按照第一篇第六大点的第5点质疑要求在磋商截止时间1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5" w:name="_Toc318159780"/>
      <w:bookmarkStart w:id="26" w:name="_Toc318159349"/>
      <w:bookmarkStart w:id="27" w:name="_Toc318166429"/>
      <w:bookmarkStart w:id="28" w:name="_Toc318159160"/>
    </w:p>
    <w:p w14:paraId="6C89CC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4、本竞争性磋商文件中，磋商小组根据与供应商磋商情况可能实质性变动的内容为竞争性磋商文件第三、四、五篇全部内容。</w:t>
      </w:r>
    </w:p>
    <w:bookmarkEnd w:id="25"/>
    <w:bookmarkEnd w:id="26"/>
    <w:bookmarkEnd w:id="27"/>
    <w:bookmarkEnd w:id="28"/>
    <w:p w14:paraId="6C2EE926">
      <w:pPr>
        <w:pStyle w:val="3"/>
        <w:spacing w:line="400" w:lineRule="exact"/>
        <w:rPr>
          <w:rFonts w:ascii="方正仿宋_GBK" w:eastAsia="方正仿宋_GBK"/>
          <w:sz w:val="24"/>
          <w:szCs w:val="24"/>
        </w:rPr>
      </w:pPr>
      <w:bookmarkStart w:id="29" w:name="_Toc179714297"/>
      <w:bookmarkStart w:id="30" w:name="_Toc180069262"/>
      <w:bookmarkStart w:id="31" w:name="_Toc342913392"/>
      <w:bookmarkStart w:id="32" w:name="_Toc102227318"/>
      <w:r>
        <w:rPr>
          <w:rFonts w:hint="eastAsia" w:ascii="方正仿宋_GBK" w:eastAsia="方正仿宋_GBK"/>
          <w:sz w:val="24"/>
          <w:szCs w:val="24"/>
        </w:rPr>
        <w:t>三、磋商要求</w:t>
      </w:r>
      <w:bookmarkEnd w:id="29"/>
      <w:bookmarkEnd w:id="30"/>
      <w:bookmarkEnd w:id="31"/>
      <w:bookmarkEnd w:id="32"/>
    </w:p>
    <w:p w14:paraId="30B17B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5E4C94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供应商应当按照竞争性磋商文件的要求编制响应文件，并对竞争性磋商文件提出的要求和条件作出实质性响应，响应文件原则上采用软面订本，同时应编制完整的页码、目录。</w:t>
      </w:r>
    </w:p>
    <w:p w14:paraId="3EA0C36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423D25E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EBD88C3">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1.2磋商有效期：响应文件及有关承诺文件有效期为磋商开始时间起90天。</w:t>
      </w:r>
    </w:p>
    <w:p w14:paraId="2B8C41C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2、保证金：</w:t>
      </w:r>
    </w:p>
    <w:p w14:paraId="5F1362E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14:paraId="765A0A7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2.2发生以下情况之一者，保证金不予退还：</w:t>
      </w:r>
    </w:p>
    <w:p w14:paraId="17623B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2.2.1供应商在提交响应文件截止时间后撤回响应文件的；</w:t>
      </w:r>
    </w:p>
    <w:p w14:paraId="5B71CCE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2.2.2供应商在响应文件中提供虚假材料的；</w:t>
      </w:r>
    </w:p>
    <w:p w14:paraId="089380A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2.2.3除因不可抗力或竞争性磋商文件认可的情形以外，成交供应商不与采购人签订合同的；</w:t>
      </w:r>
    </w:p>
    <w:p w14:paraId="1938F94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2.2.4供应商与采购人、其他供应商或者采购代理机构恶意串通的；</w:t>
      </w:r>
    </w:p>
    <w:p w14:paraId="3B7170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2.2.5成交供应商不按规定的时间或拒绝按成交状态签订合同（即不按照采购文件确定的合同文本以及采购标的、规格型号、采购金额、采购数量、技术和服务要求等事项签订政府采购合同的）。</w:t>
      </w:r>
    </w:p>
    <w:p w14:paraId="5CAE7084">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3、报价要求</w:t>
      </w:r>
    </w:p>
    <w:p w14:paraId="6F28FB4E">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w:t>
      </w:r>
      <w:r>
        <w:rPr>
          <w:rFonts w:ascii="方正仿宋_GBK" w:hAnsi="宋体" w:eastAsia="方正仿宋_GBK"/>
          <w:color w:val="FF0000"/>
          <w:sz w:val="24"/>
          <w:szCs w:val="24"/>
        </w:rPr>
        <w:t>.1</w:t>
      </w:r>
      <w:r>
        <w:rPr>
          <w:rFonts w:hint="eastAsia" w:ascii="方正仿宋_GBK" w:hAnsi="宋体" w:eastAsia="方正仿宋_GBK"/>
          <w:color w:val="FF0000"/>
          <w:sz w:val="24"/>
          <w:szCs w:val="24"/>
        </w:rPr>
        <w:t>、本次报价须为人民币报价，在满足招标文件要求的前提下报价，报价采取</w:t>
      </w:r>
      <w:r>
        <w:rPr>
          <w:rFonts w:hint="eastAsia" w:ascii="方正仿宋_GBK" w:hAnsi="宋体" w:eastAsia="方正仿宋_GBK"/>
          <w:color w:val="FF0000"/>
          <w:sz w:val="24"/>
          <w:szCs w:val="24"/>
          <w:highlight w:val="yellow"/>
        </w:rPr>
        <w:t>报单价</w:t>
      </w:r>
      <w:r>
        <w:rPr>
          <w:rFonts w:hint="eastAsia" w:ascii="方正仿宋_GBK" w:hAnsi="宋体" w:eastAsia="方正仿宋_GBK"/>
          <w:color w:val="FF0000"/>
          <w:sz w:val="24"/>
          <w:szCs w:val="24"/>
        </w:rPr>
        <w:t>的方式，单价与合计价格必须一致，报价不得超限价，否则为无效标。报价实行包干（包括快递、人工、运输、安装、税费、管理费等一切费用）。所有报价采取四舍五入保留小数点后两位数字。</w:t>
      </w:r>
    </w:p>
    <w:p w14:paraId="1EF02C1D">
      <w:pPr>
        <w:spacing w:line="400" w:lineRule="exact"/>
        <w:ind w:firstLine="480" w:firstLineChars="200"/>
        <w:rPr>
          <w:rFonts w:ascii="方正仿宋_GBK" w:hAnsi="宋体" w:eastAsia="方正仿宋_GBK"/>
          <w:color w:val="FF0000"/>
          <w:sz w:val="24"/>
          <w:szCs w:val="24"/>
        </w:rPr>
      </w:pPr>
      <w:r>
        <w:rPr>
          <w:rFonts w:ascii="方正仿宋_GBK" w:hAnsi="宋体" w:eastAsia="方正仿宋_GBK"/>
          <w:color w:val="FF0000"/>
          <w:sz w:val="24"/>
          <w:szCs w:val="24"/>
        </w:rPr>
        <w:t>3.</w:t>
      </w:r>
      <w:r>
        <w:rPr>
          <w:rFonts w:hint="eastAsia" w:ascii="方正仿宋_GBK" w:hAnsi="宋体" w:eastAsia="方正仿宋_GBK"/>
          <w:color w:val="FF0000"/>
          <w:sz w:val="24"/>
          <w:szCs w:val="24"/>
        </w:rPr>
        <w:t>2、投标人报价会进行</w:t>
      </w:r>
      <w:r>
        <w:rPr>
          <w:rFonts w:hint="eastAsia" w:ascii="方正仿宋_GBK" w:hAnsi="宋体" w:eastAsia="方正仿宋_GBK"/>
          <w:color w:val="FF0000"/>
          <w:sz w:val="24"/>
          <w:szCs w:val="24"/>
          <w:highlight w:val="yellow"/>
        </w:rPr>
        <w:t>现场二次报价</w:t>
      </w:r>
      <w:r>
        <w:rPr>
          <w:rFonts w:hint="eastAsia" w:ascii="方正仿宋_GBK" w:hAnsi="宋体" w:eastAsia="方正仿宋_GBK"/>
          <w:color w:val="FF0000"/>
          <w:sz w:val="24"/>
          <w:szCs w:val="24"/>
        </w:rPr>
        <w:t>，现场二次报价为最终报价。第二次报价不能高于第一次报价且不能高于限价，否则为无效投标。</w:t>
      </w:r>
    </w:p>
    <w:p w14:paraId="6F1E390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57F4FF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60E68D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14:paraId="658AB1C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6BC1E2E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sz w:val="24"/>
          <w:szCs w:val="24"/>
          <w:highlight w:val="yellow"/>
          <w:u w:val="single"/>
        </w:rPr>
        <w:t>每一部分一式三份，其中正本一份，副本二份。</w:t>
      </w:r>
      <w:r>
        <w:rPr>
          <w:rFonts w:hint="eastAsia" w:ascii="方正仿宋_GBK" w:hAnsi="宋体" w:eastAsia="方正仿宋_GBK"/>
          <w:sz w:val="24"/>
          <w:szCs w:val="24"/>
        </w:rPr>
        <w:t>副本为正本的复印件，副本必须与正本一致，如出现不一致情况以正本为准。所有复印件必须采用A4纸复印，扫描件无效。</w:t>
      </w:r>
    </w:p>
    <w:p w14:paraId="2E7D738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，竞争性磋商文件第六篇响应文件格式中规定签字、盖章的地方必须按其规定签字、盖章。</w:t>
      </w:r>
    </w:p>
    <w:p w14:paraId="41633AC1">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5.3、若投标人对响应文件的错处作必要修改，则应在修改处加盖投标人公章或由法定代表人或法定代表人授权代表签字确认。</w:t>
      </w:r>
    </w:p>
    <w:p w14:paraId="04D2BF7D">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5.4、电报、电话、传真形式的响应文件概不接受。</w:t>
      </w:r>
    </w:p>
    <w:p w14:paraId="7E7042C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37835BF3">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6.1响应文件的密封与标记</w:t>
      </w:r>
    </w:p>
    <w:p w14:paraId="76548E1C">
      <w:pPr>
        <w:pStyle w:val="7"/>
        <w:spacing w:line="50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6.1.1、响应文件按照“</w:t>
      </w:r>
      <w:r>
        <w:rPr>
          <w:rFonts w:hint="eastAsia" w:ascii="方正仿宋_GBK" w:hAnsi="宋体" w:eastAsia="方正仿宋_GBK"/>
          <w:color w:val="FF0000"/>
          <w:sz w:val="24"/>
          <w:szCs w:val="24"/>
        </w:rPr>
        <w:t>资格及商务技术文件”、“ 经济文件”两部分分别封装</w:t>
      </w:r>
      <w:r>
        <w:rPr>
          <w:rFonts w:hint="eastAsia" w:ascii="方正仿宋_GBK" w:hAnsi="宋体" w:eastAsia="方正仿宋_GBK"/>
          <w:color w:val="000000"/>
          <w:sz w:val="24"/>
          <w:szCs w:val="24"/>
        </w:rPr>
        <w:t>，“ 经济文件”的正副本封装在一个密封袋内，“资格及商务技术文件”的正副本封装在一个密封袋内，</w:t>
      </w:r>
      <w:r>
        <w:rPr>
          <w:rFonts w:hint="eastAsia" w:ascii="方正仿宋_GBK" w:hAnsi="宋体" w:eastAsia="方正仿宋_GBK"/>
          <w:color w:val="000000"/>
          <w:sz w:val="24"/>
        </w:rPr>
        <w:t>密封袋的封口须加盖投标人公章或</w:t>
      </w:r>
      <w:r>
        <w:rPr>
          <w:rFonts w:hint="eastAsia" w:ascii="方正仿宋_GBK" w:hAnsi="宋体" w:eastAsia="方正仿宋_GBK"/>
          <w:color w:val="000000"/>
          <w:sz w:val="24"/>
          <w:szCs w:val="24"/>
        </w:rPr>
        <w:t>法定代表人</w:t>
      </w:r>
      <w:r>
        <w:rPr>
          <w:rFonts w:hint="eastAsia" w:ascii="方正仿宋_GBK" w:hAnsi="宋体" w:eastAsia="方正仿宋_GBK"/>
          <w:color w:val="000000"/>
          <w:sz w:val="24"/>
        </w:rPr>
        <w:t>授权代表签字。</w:t>
      </w:r>
      <w:r>
        <w:rPr>
          <w:rFonts w:hint="eastAsia" w:ascii="方正仿宋_GBK" w:hAnsi="宋体" w:eastAsia="方正仿宋_GBK"/>
          <w:b/>
          <w:color w:val="000000"/>
          <w:sz w:val="24"/>
        </w:rPr>
        <w:t>不按本磋商文件规定封装和密封的投标，我院拒绝接受。</w:t>
      </w:r>
    </w:p>
    <w:p w14:paraId="0705C8FB">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6.1.2、响应文件的制作：文件的每一部分各自装订成册，应按照第六篇规定目录的顺序编写目录，并应逐页编制页码。在</w:t>
      </w:r>
      <w:r>
        <w:rPr>
          <w:rFonts w:hint="eastAsia" w:ascii="方正仿宋_GBK" w:hAnsi="宋体" w:eastAsia="方正仿宋_GBK"/>
          <w:color w:val="000000"/>
          <w:sz w:val="24"/>
          <w:szCs w:val="24"/>
          <w:highlight w:val="yellow"/>
        </w:rPr>
        <w:t>每一本文件的封面上注明“**文件”、项目名称、投标人名称地址、联系方式、“正本”、“副本”字样。</w:t>
      </w:r>
    </w:p>
    <w:p w14:paraId="40F9F9AC">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6.1.3、</w:t>
      </w:r>
      <w:r>
        <w:rPr>
          <w:rFonts w:hint="eastAsia" w:ascii="方正仿宋_GBK" w:eastAsia="方正仿宋_GBK"/>
          <w:color w:val="000000"/>
          <w:sz w:val="24"/>
          <w:szCs w:val="24"/>
        </w:rPr>
        <w:t>密封袋的封面</w:t>
      </w:r>
      <w:r>
        <w:rPr>
          <w:rFonts w:hint="eastAsia" w:ascii="方正仿宋_GBK" w:hAnsi="宋体" w:eastAsia="方正仿宋_GBK"/>
          <w:color w:val="000000"/>
          <w:sz w:val="24"/>
          <w:szCs w:val="24"/>
        </w:rPr>
        <w:t>可参照第六篇规定格式制作。</w:t>
      </w:r>
    </w:p>
    <w:p w14:paraId="504CF84D">
      <w:pPr>
        <w:pStyle w:val="9"/>
        <w:spacing w:line="380" w:lineRule="exact"/>
        <w:ind w:left="241" w:leftChars="86" w:firstLine="482" w:firstLineChars="200"/>
        <w:rPr>
          <w:rFonts w:ascii="方正仿宋_GBK" w:hAnsi="方正仿宋_GBK" w:eastAsia="方正仿宋_GBK" w:cs="宋体"/>
          <w:b/>
          <w:color w:val="000000"/>
          <w:kern w:val="0"/>
          <w:sz w:val="24"/>
          <w:szCs w:val="24"/>
        </w:rPr>
      </w:pPr>
      <w:r>
        <w:rPr>
          <w:rFonts w:hint="eastAsia" w:ascii="方正仿宋_GBK" w:hAnsi="宋体" w:eastAsia="方正仿宋_GBK"/>
          <w:b/>
          <w:color w:val="000000"/>
          <w:sz w:val="24"/>
          <w:szCs w:val="24"/>
        </w:rPr>
        <w:t>如果未按上述要求进行制作和标记，采购机构对竞标文件误投、丢失或拆封不负责任。</w:t>
      </w:r>
    </w:p>
    <w:p w14:paraId="19B27C8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6.2响应文件投递截止时间：参阅竞争性磋商邀请书。</w:t>
      </w:r>
    </w:p>
    <w:p w14:paraId="2F13368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6866DA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8、供应商参与人员</w:t>
      </w:r>
    </w:p>
    <w:p w14:paraId="0B4A271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各个供应商可派1-2名代表参与磋商，至少1人应为法定代表人或具有法定代表人授权委托书的授权代表。</w:t>
      </w:r>
    </w:p>
    <w:p w14:paraId="532B85E4">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9、无效磋商</w:t>
      </w:r>
    </w:p>
    <w:p w14:paraId="52EC8882">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供应商发生以下条款情况之一者，视为无效磋商，其响应文件将被拒绝：</w:t>
      </w:r>
    </w:p>
    <w:p w14:paraId="5985BD8A">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9.1不符合规定的基本资格条件或特定资格条件；</w:t>
      </w:r>
    </w:p>
    <w:p w14:paraId="3F0394F7">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9.2 投标人超出营业范围投标的；</w:t>
      </w:r>
    </w:p>
    <w:p w14:paraId="1CCE7F06">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9.3法定代表人或其授权代表未参加磋商；</w:t>
      </w:r>
    </w:p>
    <w:p w14:paraId="740AF53E">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9.4供应商未按照竞争性磋商文件的要求缴纳保证金；</w:t>
      </w:r>
    </w:p>
    <w:p w14:paraId="2F34EA9F">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9.5响应文件不按规定签字、盖章；</w:t>
      </w:r>
    </w:p>
    <w:p w14:paraId="2707919F">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9.6报价超过采购预算；</w:t>
      </w:r>
    </w:p>
    <w:p w14:paraId="52C6EEF9">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9.7第二次报价超过第一次报价的；</w:t>
      </w:r>
    </w:p>
    <w:p w14:paraId="2CD7FB26">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9.8未实质性响应磋商文件的响应文件的；</w:t>
      </w:r>
    </w:p>
    <w:p w14:paraId="1DA2DD9D">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9.9供应商响应文件内容有与国家现行法律法规相违背的内容，或附有采购人无法接受的条件。</w:t>
      </w:r>
    </w:p>
    <w:p w14:paraId="4A81D013">
      <w:pPr>
        <w:pStyle w:val="3"/>
        <w:spacing w:line="400" w:lineRule="exact"/>
        <w:rPr>
          <w:rFonts w:ascii="方正仿宋_GBK" w:eastAsia="方正仿宋_GBK"/>
          <w:sz w:val="24"/>
          <w:szCs w:val="24"/>
        </w:rPr>
      </w:pPr>
      <w:bookmarkStart w:id="33" w:name="_Toc102227319"/>
      <w:bookmarkStart w:id="34" w:name="_Toc180069263"/>
      <w:bookmarkStart w:id="35" w:name="_Toc342913393"/>
      <w:bookmarkStart w:id="36" w:name="_Toc179714298"/>
      <w:r>
        <w:rPr>
          <w:rFonts w:hint="eastAsia" w:ascii="方正仿宋_GBK" w:eastAsia="方正仿宋_GBK"/>
          <w:sz w:val="24"/>
          <w:szCs w:val="24"/>
        </w:rPr>
        <w:t>四、磋商程序</w:t>
      </w:r>
      <w:bookmarkEnd w:id="33"/>
      <w:bookmarkEnd w:id="34"/>
      <w:bookmarkEnd w:id="35"/>
      <w:bookmarkEnd w:id="36"/>
    </w:p>
    <w:p w14:paraId="6E07D44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1、磋商按竞争性磋商文件规定的时间和地点进行。供应商须有法定代表人或其授权代表参加并签到。</w:t>
      </w:r>
    </w:p>
    <w:p w14:paraId="2A3ADDE5">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2、竞争性磋商以</w:t>
      </w:r>
      <w:r>
        <w:rPr>
          <w:rFonts w:hint="eastAsia" w:ascii="方正仿宋_GBK" w:hAnsi="宋体" w:eastAsia="方正仿宋_GBK"/>
          <w:color w:val="FF0000"/>
          <w:sz w:val="24"/>
          <w:szCs w:val="24"/>
        </w:rPr>
        <w:t>报名先后</w:t>
      </w:r>
      <w:r>
        <w:rPr>
          <w:rFonts w:hint="eastAsia" w:ascii="方正仿宋_GBK" w:hAnsi="宋体" w:eastAsia="方正仿宋_GBK"/>
          <w:sz w:val="24"/>
          <w:szCs w:val="24"/>
        </w:rPr>
        <w:t>的形式确定磋商顺序，由本项目磋商小组分别与各供应商进行磋商。在正式磋商前，对各供应商的资格条件、响应文件的有效性、完整性和响应程度进行审查，审查的内容包括供应商营业执照和基本资格条件承诺函、特定资格条件证明文件、供应商法定代表人身份证明书和授权代表委托书身份证明等。各供应商只有在完全符合磋商要求的前提下，才能参与正式磋商。</w:t>
      </w:r>
    </w:p>
    <w:p w14:paraId="31DBB14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204E19">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8E5F6B5">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5、在磋商过程中磋商的任何一方不得向他人透露与磋商有关的技术资料、价格或其他信息。</w:t>
      </w:r>
    </w:p>
    <w:p w14:paraId="3992D49A">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14:paraId="1FB2EA3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7、供应商在磋商时作出的所有书面承诺须由法定代表人或其授权代表签字。</w:t>
      </w:r>
    </w:p>
    <w:p w14:paraId="167D57CF">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8、磋商结束后，磋商小组要求所有参加正式磋商的供应商在规定时间内同时书面提交最后报价及有关承诺（填写《最后报价表》并密封提交）。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C8A3600">
      <w:pPr>
        <w:pStyle w:val="3"/>
        <w:spacing w:line="390" w:lineRule="exact"/>
        <w:rPr>
          <w:rFonts w:ascii="方正仿宋_GBK" w:eastAsia="方正仿宋_GBK"/>
          <w:sz w:val="24"/>
          <w:szCs w:val="24"/>
        </w:rPr>
      </w:pPr>
      <w:bookmarkStart w:id="37" w:name="_Toc180069264"/>
      <w:bookmarkStart w:id="38" w:name="_Toc102227320"/>
      <w:bookmarkStart w:id="39" w:name="_Toc342913394"/>
      <w:r>
        <w:rPr>
          <w:rFonts w:hint="eastAsia" w:ascii="方正仿宋_GBK" w:eastAsia="方正仿宋_GBK"/>
          <w:sz w:val="24"/>
          <w:szCs w:val="24"/>
        </w:rPr>
        <w:t>五、评审依据</w:t>
      </w:r>
      <w:bookmarkEnd w:id="37"/>
    </w:p>
    <w:p w14:paraId="01EFE6E2">
      <w:pPr>
        <w:spacing w:line="390" w:lineRule="exact"/>
        <w:ind w:firstLine="480" w:firstLineChars="200"/>
        <w:rPr>
          <w:rFonts w:ascii="方正仿宋_GBK" w:hAnsi="宋体" w:eastAsia="方正仿宋_GBK"/>
          <w:color w:val="000000"/>
          <w:sz w:val="24"/>
          <w:szCs w:val="24"/>
          <w:u w:val="single"/>
        </w:rPr>
      </w:pPr>
      <w:r>
        <w:rPr>
          <w:rFonts w:hint="eastAsia" w:ascii="方正仿宋_GBK" w:hAnsi="宋体" w:eastAsia="方正仿宋_GBK"/>
          <w:color w:val="000000"/>
          <w:sz w:val="24"/>
          <w:szCs w:val="24"/>
          <w:u w:val="single"/>
        </w:rPr>
        <w:t>评审的依据为竞争性磋商文件和响应文件（含有效的补充文件）。磋商小组判断响应文件对竞争性磋商文件的响应，仅基于响应文件本身而不靠外部证据。</w:t>
      </w:r>
    </w:p>
    <w:p w14:paraId="4320A5EE">
      <w:pPr>
        <w:pStyle w:val="3"/>
        <w:spacing w:line="390" w:lineRule="exact"/>
        <w:rPr>
          <w:rFonts w:ascii="方正仿宋_GBK" w:eastAsia="方正仿宋_GBK"/>
          <w:sz w:val="24"/>
          <w:szCs w:val="24"/>
        </w:rPr>
      </w:pPr>
      <w:bookmarkStart w:id="40" w:name="_Toc180069265"/>
      <w:r>
        <w:rPr>
          <w:rFonts w:hint="eastAsia" w:ascii="方正仿宋_GBK" w:eastAsia="方正仿宋_GBK"/>
          <w:sz w:val="24"/>
          <w:szCs w:val="24"/>
        </w:rPr>
        <w:t>六、</w:t>
      </w:r>
      <w:bookmarkEnd w:id="38"/>
      <w:bookmarkEnd w:id="39"/>
      <w:r>
        <w:rPr>
          <w:rFonts w:hint="eastAsia" w:ascii="方正仿宋_GBK" w:eastAsia="方正仿宋_GBK"/>
          <w:sz w:val="24"/>
          <w:szCs w:val="24"/>
        </w:rPr>
        <w:t>资格评审及评标办法</w:t>
      </w:r>
      <w:bookmarkEnd w:id="40"/>
    </w:p>
    <w:p w14:paraId="3F649318">
      <w:pPr>
        <w:ind w:firstLine="482" w:firstLineChars="200"/>
        <w:rPr>
          <w:rFonts w:ascii="方正仿宋_GBK" w:eastAsia="方正仿宋_GBK"/>
          <w:b/>
          <w:sz w:val="24"/>
        </w:rPr>
      </w:pPr>
      <w:r>
        <w:rPr>
          <w:rFonts w:hint="eastAsia" w:ascii="方正仿宋_GBK" w:eastAsia="方正仿宋_GBK"/>
          <w:b/>
          <w:sz w:val="24"/>
        </w:rPr>
        <w:t>1、资格审查</w:t>
      </w:r>
    </w:p>
    <w:p w14:paraId="3167A3D3">
      <w:pPr>
        <w:snapToGrid w:val="0"/>
        <w:spacing w:line="400" w:lineRule="exact"/>
        <w:ind w:firstLine="480" w:firstLineChars="200"/>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kern w:val="0"/>
          <w:sz w:val="24"/>
          <w:szCs w:val="24"/>
        </w:rPr>
        <w:t>依据政府采购相关法律法规规定,由采购人对投标文件中的资格证明文件进行审查。</w:t>
      </w:r>
      <w:r>
        <w:rPr>
          <w:rFonts w:hint="eastAsia" w:ascii="方正仿宋_GBK" w:hAnsi="方正仿宋_GBK" w:eastAsia="方正仿宋_GBK" w:cs="方正仿宋_GBK"/>
          <w:color w:val="FF0000"/>
          <w:kern w:val="0"/>
          <w:sz w:val="24"/>
          <w:szCs w:val="24"/>
        </w:rPr>
        <w:t>详见第一篇竞争性磋商邀请书的第三条磋商资格。</w:t>
      </w:r>
    </w:p>
    <w:p w14:paraId="49F1039F">
      <w:pPr>
        <w:pStyle w:val="11"/>
      </w:pPr>
    </w:p>
    <w:p w14:paraId="0340E6B1">
      <w:pPr>
        <w:ind w:firstLine="482" w:firstLineChars="200"/>
        <w:rPr>
          <w:rFonts w:ascii="方正仿宋_GBK" w:eastAsia="方正仿宋_GBK"/>
          <w:b/>
          <w:sz w:val="24"/>
        </w:rPr>
      </w:pPr>
      <w:r>
        <w:rPr>
          <w:rFonts w:hint="eastAsia" w:ascii="方正仿宋_GBK" w:eastAsia="方正仿宋_GBK"/>
          <w:b/>
          <w:sz w:val="24"/>
        </w:rPr>
        <w:t>2、评标办法</w:t>
      </w:r>
    </w:p>
    <w:p w14:paraId="0EB2970A">
      <w:pPr>
        <w:snapToGrid w:val="0"/>
        <w:spacing w:line="400" w:lineRule="exact"/>
        <w:ind w:firstLine="482" w:firstLineChars="200"/>
        <w:rPr>
          <w:rFonts w:ascii="方正仿宋_GBK" w:hAnsi="方正仿宋_GBK" w:eastAsia="方正仿宋_GBK" w:cs="方正仿宋_GBK"/>
          <w:b/>
          <w:color w:val="FF0000"/>
          <w:kern w:val="0"/>
          <w:sz w:val="24"/>
          <w:szCs w:val="24"/>
        </w:rPr>
      </w:pPr>
      <w:r>
        <w:rPr>
          <w:rFonts w:hint="eastAsia" w:ascii="方正仿宋_GBK" w:hAnsi="方正仿宋_GBK" w:eastAsia="方正仿宋_GBK" w:cs="方正仿宋_GBK"/>
          <w:b/>
          <w:color w:val="FF0000"/>
          <w:kern w:val="0"/>
          <w:sz w:val="24"/>
          <w:szCs w:val="24"/>
        </w:rPr>
        <w:t>本项目采用综合评分法进行评标。</w:t>
      </w:r>
    </w:p>
    <w:p w14:paraId="3C4F49B4">
      <w:pPr>
        <w:spacing w:line="400" w:lineRule="exact"/>
        <w:rPr>
          <w:rFonts w:ascii="方正仿宋_GBK" w:hAnsi="方正仿宋_GBK" w:eastAsia="方正仿宋_GBK" w:cs="方正仿宋_GBK"/>
          <w:kern w:val="0"/>
          <w:sz w:val="24"/>
          <w:szCs w:val="24"/>
        </w:rPr>
      </w:pPr>
      <w:r>
        <w:rPr>
          <w:rFonts w:hint="eastAsia" w:ascii="方正仿宋_GBK" w:hAnsi="方正仿宋_GBK" w:eastAsia="方正仿宋_GBK" w:cs="方正仿宋_GBK"/>
          <w:b/>
          <w:bCs/>
          <w:color w:val="FF0000"/>
          <w:kern w:val="0"/>
          <w:sz w:val="24"/>
          <w:szCs w:val="24"/>
        </w:rPr>
        <w:t>综合评分法</w:t>
      </w:r>
      <w:r>
        <w:rPr>
          <w:rFonts w:hint="eastAsia" w:ascii="方正仿宋_GBK" w:hAnsi="方正仿宋_GBK" w:eastAsia="方正仿宋_GBK" w:cs="方正仿宋_GBK"/>
          <w:kern w:val="0"/>
          <w:sz w:val="24"/>
          <w:szCs w:val="24"/>
        </w:rPr>
        <w:t>，是指投标文件满足招标文件全部实质性要求且按照评审因素的量化指标评审得分最高的投标人为中标候选人的评标方法。投标人总得分为价格、商务等评定因素分别按照相应权重值计算分项得分后相加，满分为100分。</w:t>
      </w:r>
    </w:p>
    <w:p w14:paraId="5501F68A">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（一）符合性审查</w:t>
      </w:r>
    </w:p>
    <w:p w14:paraId="161D22BF">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评标委员会应当对符合资格的投标人的投标文件进行符合性审查，以确定其是否满足招标文件的实质性要求。符合性审查资料表如下：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4F40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vAlign w:val="center"/>
          </w:tcPr>
          <w:p w14:paraId="75856337">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46" w:type="dxa"/>
            <w:gridSpan w:val="2"/>
            <w:vAlign w:val="center"/>
          </w:tcPr>
          <w:p w14:paraId="1B219FDE">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409" w:type="dxa"/>
            <w:vAlign w:val="center"/>
          </w:tcPr>
          <w:p w14:paraId="325663A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3A65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14:paraId="38CC7840">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62" w:type="dxa"/>
            <w:vMerge w:val="restart"/>
            <w:vAlign w:val="center"/>
          </w:tcPr>
          <w:p w14:paraId="7F46376B">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84" w:type="dxa"/>
            <w:vAlign w:val="center"/>
          </w:tcPr>
          <w:p w14:paraId="69CC5F7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投标文件签署</w:t>
            </w:r>
          </w:p>
        </w:tc>
        <w:tc>
          <w:tcPr>
            <w:tcW w:w="5409" w:type="dxa"/>
            <w:vAlign w:val="center"/>
          </w:tcPr>
          <w:p w14:paraId="17F0886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投标文件上法定代表人或其授权代表人的签字齐全。</w:t>
            </w:r>
          </w:p>
        </w:tc>
      </w:tr>
      <w:tr w14:paraId="6EBA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BECDCAC">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7CBFE869">
            <w:pPr>
              <w:spacing w:line="240" w:lineRule="exact"/>
              <w:rPr>
                <w:rFonts w:ascii="方正仿宋_GBK" w:hAnsi="方正仿宋_GBK" w:eastAsia="方正仿宋_GBK" w:cs="方正仿宋_GBK"/>
                <w:kern w:val="0"/>
                <w:sz w:val="21"/>
                <w:szCs w:val="21"/>
              </w:rPr>
            </w:pPr>
          </w:p>
        </w:tc>
        <w:tc>
          <w:tcPr>
            <w:tcW w:w="1984" w:type="dxa"/>
            <w:vAlign w:val="center"/>
          </w:tcPr>
          <w:p w14:paraId="6FFAFED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投标方案</w:t>
            </w:r>
          </w:p>
        </w:tc>
        <w:tc>
          <w:tcPr>
            <w:tcW w:w="5409" w:type="dxa"/>
            <w:vAlign w:val="center"/>
          </w:tcPr>
          <w:p w14:paraId="77A0807C">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每个分包只能有一个方案投标。</w:t>
            </w:r>
          </w:p>
        </w:tc>
      </w:tr>
      <w:tr w14:paraId="2DD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014894B">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66C9C298">
            <w:pPr>
              <w:spacing w:line="240" w:lineRule="exact"/>
              <w:rPr>
                <w:rFonts w:ascii="方正仿宋_GBK" w:hAnsi="方正仿宋_GBK" w:eastAsia="方正仿宋_GBK" w:cs="方正仿宋_GBK"/>
                <w:kern w:val="0"/>
                <w:sz w:val="21"/>
                <w:szCs w:val="21"/>
              </w:rPr>
            </w:pPr>
          </w:p>
        </w:tc>
        <w:tc>
          <w:tcPr>
            <w:tcW w:w="1984" w:type="dxa"/>
            <w:vAlign w:val="center"/>
          </w:tcPr>
          <w:p w14:paraId="50860492">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409" w:type="dxa"/>
            <w:vAlign w:val="center"/>
          </w:tcPr>
          <w:p w14:paraId="6F3035BD">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只能在预算金额和最高限价内报价，</w:t>
            </w:r>
            <w:r>
              <w:rPr>
                <w:rFonts w:hint="eastAsia" w:ascii="方正仿宋_GBK" w:hAnsi="方正仿宋_GBK" w:eastAsia="方正仿宋_GBK" w:cs="方正仿宋_GBK"/>
                <w:sz w:val="21"/>
                <w:szCs w:val="21"/>
              </w:rPr>
              <w:t>只能有一个有效报价，不得提交选择性报价。</w:t>
            </w:r>
          </w:p>
        </w:tc>
      </w:tr>
      <w:tr w14:paraId="7C97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452F6931">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62" w:type="dxa"/>
            <w:vAlign w:val="center"/>
          </w:tcPr>
          <w:p w14:paraId="61145D6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84" w:type="dxa"/>
            <w:vAlign w:val="center"/>
          </w:tcPr>
          <w:p w14:paraId="0E5289F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投标文件份数</w:t>
            </w:r>
          </w:p>
        </w:tc>
        <w:tc>
          <w:tcPr>
            <w:tcW w:w="5409" w:type="dxa"/>
            <w:vAlign w:val="center"/>
          </w:tcPr>
          <w:p w14:paraId="6EC75FF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投标文件正、副本数量符合招标文件要求。</w:t>
            </w:r>
          </w:p>
        </w:tc>
      </w:tr>
      <w:tr w14:paraId="1DE5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77B82D9B">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62" w:type="dxa"/>
            <w:vAlign w:val="center"/>
          </w:tcPr>
          <w:p w14:paraId="21EF7DC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技术部分</w:t>
            </w:r>
          </w:p>
        </w:tc>
        <w:tc>
          <w:tcPr>
            <w:tcW w:w="1984" w:type="dxa"/>
            <w:vAlign w:val="center"/>
          </w:tcPr>
          <w:p w14:paraId="411E22D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6FA46394">
            <w:pPr>
              <w:spacing w:line="240" w:lineRule="exact"/>
              <w:rPr>
                <w:rFonts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color w:val="000000" w:themeColor="text1"/>
                <w:sz w:val="21"/>
                <w:szCs w:val="21"/>
                <w:lang w:val="zh-CN"/>
                <w14:textFill>
                  <w14:solidFill>
                    <w14:schemeClr w14:val="tx1"/>
                  </w14:solidFill>
                </w14:textFill>
              </w:rPr>
              <w:t>本招标文件第三篇“项目技术需求”部分</w:t>
            </w:r>
          </w:p>
        </w:tc>
      </w:tr>
      <w:tr w14:paraId="7931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5" w:type="dxa"/>
            <w:vAlign w:val="center"/>
          </w:tcPr>
          <w:p w14:paraId="547DDB9C">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562" w:type="dxa"/>
            <w:vAlign w:val="center"/>
          </w:tcPr>
          <w:p w14:paraId="5DCEE6B6">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商务部分</w:t>
            </w:r>
          </w:p>
        </w:tc>
        <w:tc>
          <w:tcPr>
            <w:tcW w:w="1984" w:type="dxa"/>
            <w:vAlign w:val="center"/>
          </w:tcPr>
          <w:p w14:paraId="615A41E3">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4AD7AEA8">
            <w:pPr>
              <w:spacing w:line="240" w:lineRule="exact"/>
              <w:rPr>
                <w:rFonts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sz w:val="21"/>
                <w:szCs w:val="21"/>
                <w:lang w:val="zh-CN"/>
              </w:rPr>
              <w:t>本招标文件第四篇“项目服务要求”部分</w:t>
            </w:r>
          </w:p>
        </w:tc>
      </w:tr>
      <w:tr w14:paraId="6B81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Align w:val="center"/>
          </w:tcPr>
          <w:p w14:paraId="17A5BFE2">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562" w:type="dxa"/>
            <w:vAlign w:val="center"/>
          </w:tcPr>
          <w:p w14:paraId="3B9D736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w:t>
            </w:r>
          </w:p>
        </w:tc>
        <w:tc>
          <w:tcPr>
            <w:tcW w:w="1984" w:type="dxa"/>
            <w:vAlign w:val="center"/>
          </w:tcPr>
          <w:p w14:paraId="31461E8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14:paraId="23D65F9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投标有效期为投标截止日期后九十天内</w:t>
            </w:r>
          </w:p>
        </w:tc>
      </w:tr>
    </w:tbl>
    <w:p w14:paraId="2E6B723E">
      <w:pPr>
        <w:snapToGrid w:val="0"/>
        <w:spacing w:line="400" w:lineRule="exact"/>
        <w:ind w:firstLine="480" w:firstLineChars="200"/>
        <w:rPr>
          <w:rFonts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14:paraId="00C96752">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（三）比较与评价。按招标文件中规定的评标方法和标准，对资格审查和符合性审查合格的投标文件进行商务和技术评估。</w:t>
      </w:r>
    </w:p>
    <w:p w14:paraId="306CF6B9">
      <w:pPr>
        <w:snapToGrid w:val="0"/>
        <w:spacing w:line="400" w:lineRule="exact"/>
        <w:ind w:firstLine="482"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b/>
          <w:bCs/>
          <w:kern w:val="0"/>
          <w:sz w:val="24"/>
          <w:szCs w:val="24"/>
        </w:rPr>
        <w:t>综合评分法：</w:t>
      </w:r>
      <w:r>
        <w:rPr>
          <w:rFonts w:hint="eastAsia" w:ascii="方正仿宋_GBK" w:hAnsi="方正仿宋_GBK" w:eastAsia="方正仿宋_GBK" w:cs="方正仿宋_GBK"/>
          <w:sz w:val="24"/>
          <w:szCs w:val="24"/>
        </w:rPr>
        <w:t>同一合同项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C69D84">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评标委员会各成员独立对每个有效投标人（通过资格审查、</w:t>
      </w:r>
      <w:r>
        <w:rPr>
          <w:rFonts w:hint="eastAsia" w:ascii="方正仿宋_GBK" w:hAnsi="方正仿宋_GBK" w:eastAsia="方正仿宋_GBK" w:cs="方正仿宋_GBK"/>
          <w:kern w:val="0"/>
          <w:sz w:val="24"/>
          <w:szCs w:val="24"/>
        </w:rPr>
        <w:t>符合性审查的投标人</w:t>
      </w:r>
      <w:r>
        <w:rPr>
          <w:rFonts w:hint="eastAsia" w:ascii="方正仿宋_GBK" w:hAnsi="方正仿宋_GBK" w:eastAsia="方正仿宋_GBK" w:cs="方正仿宋_GBK"/>
          <w:sz w:val="24"/>
          <w:szCs w:val="24"/>
        </w:rPr>
        <w:t>）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68B9F9C5">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复核后，评标委员会汇总每个投标人每项评分因素的得分。</w:t>
      </w:r>
    </w:p>
    <w:p w14:paraId="6F7B25B0">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（四）推荐中标候选人名单。</w:t>
      </w:r>
    </w:p>
    <w:p w14:paraId="7558C255">
      <w:pPr>
        <w:spacing w:line="400" w:lineRule="exact"/>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b/>
          <w:bCs/>
          <w:kern w:val="0"/>
          <w:sz w:val="24"/>
          <w:szCs w:val="24"/>
        </w:rPr>
        <w:t>综合评分法：</w:t>
      </w:r>
      <w:r>
        <w:rPr>
          <w:rFonts w:hint="eastAsia" w:ascii="方正仿宋_GBK" w:hAnsi="方正仿宋_GBK" w:eastAsia="方正仿宋_GBK" w:cs="方正仿宋_GBK"/>
          <w:sz w:val="24"/>
          <w:szCs w:val="24"/>
        </w:rPr>
        <w:t>按评审后得分由高到低的排列顺序</w:t>
      </w:r>
      <w:r>
        <w:rPr>
          <w:rFonts w:hint="eastAsia" w:ascii="方正仿宋_GBK" w:hAnsi="方正仿宋_GBK" w:eastAsia="方正仿宋_GBK" w:cs="方正仿宋_GBK"/>
          <w:kern w:val="0"/>
          <w:sz w:val="24"/>
          <w:szCs w:val="24"/>
        </w:rPr>
        <w:t>推荐综合得分排名前三的投标人为本分包（项目）中标候选人，</w:t>
      </w:r>
      <w:r>
        <w:rPr>
          <w:rFonts w:hint="eastAsia" w:ascii="方正仿宋_GBK" w:hAnsi="方正仿宋_GBK" w:eastAsia="方正仿宋_GBK" w:cs="方正仿宋_GBK"/>
          <w:sz w:val="24"/>
          <w:szCs w:val="24"/>
        </w:rPr>
        <w:t>排名第一的为第一中标候选人。得分相同的，按投标报价由低到高顺序排列。得分且投标报价相同的并列</w:t>
      </w:r>
      <w:r>
        <w:rPr>
          <w:rFonts w:hint="eastAsia" w:ascii="方正仿宋_GBK" w:hAnsi="宋体" w:eastAsia="方正仿宋_GBK"/>
          <w:sz w:val="24"/>
          <w:szCs w:val="24"/>
        </w:rPr>
        <w:t>。</w:t>
      </w:r>
      <w:r>
        <w:rPr>
          <w:rFonts w:hint="eastAsia" w:ascii="方正仿宋_GBK" w:hAnsi="方正仿宋_GBK" w:eastAsia="方正仿宋_GBK" w:cs="方正仿宋_GBK"/>
          <w:color w:val="FF0000"/>
          <w:kern w:val="0"/>
          <w:sz w:val="24"/>
          <w:szCs w:val="24"/>
        </w:rPr>
        <w:t>（中标公示期间，我院将对中标候选人提供的所有信息进行核实，对于虚假应标的或不符合招标要求的，将取消其候选人资格，性质恶劣的纳入我院供应商黑名单，另按候选人排名重新选择中标候选人。）</w:t>
      </w:r>
    </w:p>
    <w:p w14:paraId="050E71A6">
      <w:pPr>
        <w:snapToGrid w:val="0"/>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szCs w:val="24"/>
        </w:rPr>
        <w:t>评标结果按投标报价由低到高顺序排列，若投标报价相同的并列。</w:t>
      </w:r>
    </w:p>
    <w:p w14:paraId="6AA73AA6">
      <w:pPr>
        <w:ind w:firstLine="482" w:firstLineChars="200"/>
        <w:rPr>
          <w:rFonts w:ascii="方正仿宋_GBK" w:eastAsia="方正仿宋_GBK"/>
          <w:b/>
          <w:sz w:val="24"/>
        </w:rPr>
      </w:pPr>
      <w:bookmarkStart w:id="41" w:name="_Toc267320057"/>
      <w:bookmarkStart w:id="42" w:name="_Toc441065675"/>
      <w:bookmarkStart w:id="43" w:name="_Toc172274908"/>
      <w:r>
        <w:rPr>
          <w:rFonts w:ascii="方正仿宋_GBK" w:eastAsia="方正仿宋_GBK"/>
          <w:b/>
          <w:sz w:val="24"/>
        </w:rPr>
        <w:t>3</w:t>
      </w:r>
      <w:r>
        <w:rPr>
          <w:rFonts w:hint="eastAsia" w:ascii="方正仿宋_GBK" w:eastAsia="方正仿宋_GBK"/>
          <w:b/>
          <w:sz w:val="24"/>
        </w:rPr>
        <w:t>、评标标准</w:t>
      </w:r>
      <w:bookmarkEnd w:id="41"/>
      <w:bookmarkEnd w:id="42"/>
      <w:bookmarkEnd w:id="43"/>
    </w:p>
    <w:p w14:paraId="71DD8CC3">
      <w:pPr>
        <w:ind w:firstLine="482" w:firstLineChars="200"/>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综合评分法：</w:t>
      </w:r>
    </w:p>
    <w:p w14:paraId="5B6D0539">
      <w:pPr>
        <w:ind w:firstLine="480" w:firstLineChars="200"/>
        <w:rPr>
          <w:rFonts w:ascii="仿宋" w:hAnsi="仿宋" w:eastAsia="仿宋"/>
          <w:sz w:val="24"/>
          <w:szCs w:val="24"/>
        </w:rPr>
      </w:pPr>
      <w:r>
        <w:rPr>
          <w:rFonts w:hint="eastAsia" w:ascii="仿宋" w:hAnsi="仿宋" w:eastAsia="仿宋"/>
          <w:sz w:val="24"/>
          <w:szCs w:val="24"/>
        </w:rPr>
        <w:t>（一）评审因素</w:t>
      </w:r>
    </w:p>
    <w:tbl>
      <w:tblPr>
        <w:tblStyle w:val="1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32"/>
        <w:gridCol w:w="1225"/>
        <w:gridCol w:w="4500"/>
        <w:gridCol w:w="1871"/>
      </w:tblGrid>
      <w:tr w14:paraId="443B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13" w:type="dxa"/>
            <w:noWrap w:val="0"/>
            <w:vAlign w:val="center"/>
          </w:tcPr>
          <w:p w14:paraId="606CFBC5">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序号</w:t>
            </w:r>
          </w:p>
        </w:tc>
        <w:tc>
          <w:tcPr>
            <w:tcW w:w="1332" w:type="dxa"/>
            <w:noWrap w:val="0"/>
            <w:vAlign w:val="center"/>
          </w:tcPr>
          <w:p w14:paraId="20698450">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评分因素</w:t>
            </w:r>
          </w:p>
          <w:p w14:paraId="33835B2E">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及权重</w:t>
            </w:r>
          </w:p>
        </w:tc>
        <w:tc>
          <w:tcPr>
            <w:tcW w:w="1225" w:type="dxa"/>
            <w:noWrap w:val="0"/>
            <w:vAlign w:val="center"/>
          </w:tcPr>
          <w:p w14:paraId="13333343">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分值</w:t>
            </w:r>
          </w:p>
        </w:tc>
        <w:tc>
          <w:tcPr>
            <w:tcW w:w="4500" w:type="dxa"/>
            <w:noWrap w:val="0"/>
            <w:vAlign w:val="center"/>
          </w:tcPr>
          <w:p w14:paraId="6E931BC8">
            <w:pPr>
              <w:ind w:firstLine="28"/>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评分标准</w:t>
            </w:r>
          </w:p>
        </w:tc>
        <w:tc>
          <w:tcPr>
            <w:tcW w:w="1871" w:type="dxa"/>
            <w:noWrap w:val="0"/>
            <w:vAlign w:val="center"/>
          </w:tcPr>
          <w:p w14:paraId="619C7CCC">
            <w:pPr>
              <w:pStyle w:val="30"/>
              <w:spacing w:before="0" w:after="0" w:line="240" w:lineRule="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说明</w:t>
            </w:r>
          </w:p>
        </w:tc>
      </w:tr>
      <w:tr w14:paraId="4D01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13" w:type="dxa"/>
            <w:noWrap w:val="0"/>
            <w:vAlign w:val="center"/>
          </w:tcPr>
          <w:p w14:paraId="74F039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332" w:type="dxa"/>
            <w:noWrap w:val="0"/>
            <w:vAlign w:val="center"/>
          </w:tcPr>
          <w:p w14:paraId="5F27A2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w:t>
            </w:r>
          </w:p>
          <w:p w14:paraId="214C9B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p>
          <w:p w14:paraId="322DC1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225" w:type="dxa"/>
            <w:noWrap w:val="0"/>
            <w:vAlign w:val="center"/>
          </w:tcPr>
          <w:p w14:paraId="304A74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40</w:t>
            </w:r>
          </w:p>
        </w:tc>
        <w:tc>
          <w:tcPr>
            <w:tcW w:w="4500" w:type="dxa"/>
            <w:noWrap w:val="0"/>
            <w:vAlign w:val="center"/>
          </w:tcPr>
          <w:p w14:paraId="7C2021D9">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有效的投标报价中的最低价为评标基准价，其价格分为满分。其他投标人的价格分统一按照下列公式计算：</w:t>
            </w:r>
          </w:p>
          <w:p w14:paraId="0712F31D">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投标报价得分＝（评标基准价/投标报价）×价格权重×100。</w:t>
            </w:r>
          </w:p>
        </w:tc>
        <w:tc>
          <w:tcPr>
            <w:tcW w:w="1871" w:type="dxa"/>
            <w:noWrap w:val="0"/>
            <w:vAlign w:val="center"/>
          </w:tcPr>
          <w:p w14:paraId="317F33A8">
            <w:pPr>
              <w:ind w:left="-38"/>
              <w:rPr>
                <w:rFonts w:hint="eastAsia" w:ascii="方正仿宋_GBK" w:hAnsi="宋体" w:eastAsia="方正仿宋_GBK"/>
                <w:color w:val="auto"/>
                <w:sz w:val="21"/>
                <w:szCs w:val="21"/>
              </w:rPr>
            </w:pPr>
          </w:p>
        </w:tc>
      </w:tr>
      <w:tr w14:paraId="77B9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3" w:type="dxa"/>
            <w:vMerge w:val="restart"/>
            <w:noWrap w:val="0"/>
            <w:vAlign w:val="center"/>
          </w:tcPr>
          <w:p w14:paraId="16068D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w:t>
            </w:r>
          </w:p>
        </w:tc>
        <w:tc>
          <w:tcPr>
            <w:tcW w:w="1332" w:type="dxa"/>
            <w:vMerge w:val="restart"/>
            <w:noWrap w:val="0"/>
            <w:vAlign w:val="center"/>
          </w:tcPr>
          <w:p w14:paraId="0ACC31B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技术部分</w:t>
            </w:r>
          </w:p>
          <w:p w14:paraId="152466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w:t>
            </w:r>
          </w:p>
        </w:tc>
        <w:tc>
          <w:tcPr>
            <w:tcW w:w="1225" w:type="dxa"/>
            <w:vMerge w:val="restart"/>
            <w:noWrap w:val="0"/>
            <w:vAlign w:val="center"/>
          </w:tcPr>
          <w:p w14:paraId="48EDA8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rPr>
            </w:pPr>
            <w:r>
              <w:rPr>
                <w:rFonts w:hint="eastAsia" w:ascii="方正仿宋_GBK" w:hAnsi="宋体" w:eastAsia="方正仿宋_GBK"/>
                <w:color w:val="auto"/>
                <w:sz w:val="21"/>
                <w:szCs w:val="21"/>
                <w:lang w:val="en-US" w:eastAsia="zh-CN"/>
              </w:rPr>
              <w:t>50</w:t>
            </w:r>
          </w:p>
        </w:tc>
        <w:tc>
          <w:tcPr>
            <w:tcW w:w="4500" w:type="dxa"/>
            <w:noWrap w:val="0"/>
            <w:vAlign w:val="center"/>
          </w:tcPr>
          <w:p w14:paraId="1B1EE014">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A起评分：</w:t>
            </w:r>
          </w:p>
          <w:p w14:paraId="5948B823">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有效投标人的起评分为</w:t>
            </w:r>
            <w:r>
              <w:rPr>
                <w:rFonts w:hint="eastAsia" w:ascii="方正仿宋_GBK" w:hAnsi="宋体" w:eastAsia="方正仿宋_GBK"/>
                <w:color w:val="auto"/>
                <w:sz w:val="21"/>
                <w:szCs w:val="21"/>
                <w:lang w:val="en-US" w:eastAsia="zh-CN"/>
              </w:rPr>
              <w:t>30</w:t>
            </w:r>
            <w:r>
              <w:rPr>
                <w:rFonts w:hint="eastAsia" w:ascii="方正仿宋_GBK" w:hAnsi="宋体" w:eastAsia="方正仿宋_GBK"/>
                <w:color w:val="auto"/>
                <w:sz w:val="21"/>
                <w:szCs w:val="21"/>
              </w:rPr>
              <w:t>分。</w:t>
            </w:r>
          </w:p>
        </w:tc>
        <w:tc>
          <w:tcPr>
            <w:tcW w:w="1871" w:type="dxa"/>
            <w:noWrap w:val="0"/>
            <w:vAlign w:val="center"/>
          </w:tcPr>
          <w:p w14:paraId="55CEFC54">
            <w:pPr>
              <w:rPr>
                <w:rFonts w:hint="eastAsia" w:ascii="方正仿宋_GBK" w:hAnsi="宋体" w:eastAsia="方正仿宋_GBK"/>
                <w:color w:val="auto"/>
                <w:sz w:val="21"/>
                <w:szCs w:val="21"/>
              </w:rPr>
            </w:pPr>
          </w:p>
        </w:tc>
      </w:tr>
      <w:tr w14:paraId="3F78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3" w:type="dxa"/>
            <w:vMerge w:val="continue"/>
            <w:noWrap w:val="0"/>
            <w:vAlign w:val="center"/>
          </w:tcPr>
          <w:p w14:paraId="5E6767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332" w:type="dxa"/>
            <w:vMerge w:val="continue"/>
            <w:noWrap w:val="0"/>
            <w:vAlign w:val="center"/>
          </w:tcPr>
          <w:p w14:paraId="5A2FFD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225" w:type="dxa"/>
            <w:vMerge w:val="continue"/>
            <w:noWrap w:val="0"/>
            <w:vAlign w:val="center"/>
          </w:tcPr>
          <w:p w14:paraId="5226D0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4500" w:type="dxa"/>
            <w:noWrap w:val="0"/>
            <w:vAlign w:val="center"/>
          </w:tcPr>
          <w:p w14:paraId="38100849">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B</w:t>
            </w:r>
            <w:r>
              <w:rPr>
                <w:rFonts w:hint="eastAsia" w:ascii="方正仿宋_GBK" w:hAnsi="宋体" w:eastAsia="方正仿宋_GBK"/>
                <w:color w:val="auto"/>
                <w:sz w:val="21"/>
                <w:szCs w:val="21"/>
                <w:lang w:val="en-US" w:eastAsia="zh-CN"/>
              </w:rPr>
              <w:t>加</w:t>
            </w:r>
            <w:r>
              <w:rPr>
                <w:rFonts w:hint="eastAsia" w:ascii="方正仿宋_GBK" w:hAnsi="宋体" w:eastAsia="方正仿宋_GBK"/>
                <w:color w:val="auto"/>
                <w:sz w:val="21"/>
                <w:szCs w:val="21"/>
              </w:rPr>
              <w:t>分条款：</w:t>
            </w:r>
          </w:p>
          <w:p w14:paraId="6F8F93BA">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r>
              <w:rPr>
                <w:rFonts w:hint="eastAsia" w:ascii="方正仿宋_GBK" w:hAnsi="宋体" w:eastAsia="方正仿宋_GBK"/>
                <w:color w:val="auto"/>
                <w:sz w:val="21"/>
                <w:szCs w:val="21"/>
                <w:lang w:val="en-US" w:eastAsia="zh-CN"/>
              </w:rPr>
              <w:t>.</w:t>
            </w:r>
            <w:r>
              <w:rPr>
                <w:rFonts w:hint="eastAsia" w:ascii="方正仿宋_GBK" w:hAnsi="宋体" w:eastAsia="方正仿宋_GBK"/>
                <w:color w:val="auto"/>
                <w:sz w:val="21"/>
                <w:szCs w:val="21"/>
              </w:rPr>
              <w:t>核心技术参数（★条款）高于招标文件要求的,每正偏离一条从起评分中加</w:t>
            </w: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分。</w:t>
            </w:r>
          </w:p>
          <w:p w14:paraId="52CBB47B">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2.</w:t>
            </w:r>
            <w:r>
              <w:rPr>
                <w:rFonts w:hint="eastAsia" w:ascii="方正仿宋_GBK" w:hAnsi="宋体" w:eastAsia="方正仿宋_GBK"/>
                <w:color w:val="auto"/>
                <w:sz w:val="21"/>
                <w:szCs w:val="21"/>
              </w:rPr>
              <w:t>重要性技术参数（▲条款）</w:t>
            </w:r>
            <w:r>
              <w:rPr>
                <w:rFonts w:hint="eastAsia" w:ascii="方正仿宋_GBK" w:hAnsi="宋体" w:eastAsia="方正仿宋_GBK"/>
                <w:color w:val="auto"/>
                <w:sz w:val="21"/>
                <w:szCs w:val="21"/>
                <w:lang w:val="en-US" w:eastAsia="zh-CN"/>
              </w:rPr>
              <w:t>高于</w:t>
            </w:r>
            <w:r>
              <w:rPr>
                <w:rFonts w:hint="eastAsia" w:ascii="方正仿宋_GBK" w:hAnsi="宋体" w:eastAsia="方正仿宋_GBK"/>
                <w:color w:val="auto"/>
                <w:sz w:val="21"/>
                <w:szCs w:val="21"/>
              </w:rPr>
              <w:t>招标文件要求的,每</w:t>
            </w:r>
            <w:r>
              <w:rPr>
                <w:rFonts w:hint="eastAsia" w:ascii="方正仿宋_GBK" w:hAnsi="宋体" w:eastAsia="方正仿宋_GBK"/>
                <w:color w:val="auto"/>
                <w:sz w:val="21"/>
                <w:szCs w:val="21"/>
                <w:lang w:val="en-US" w:eastAsia="zh-CN"/>
              </w:rPr>
              <w:t>正</w:t>
            </w:r>
            <w:r>
              <w:rPr>
                <w:rFonts w:hint="eastAsia" w:ascii="方正仿宋_GBK" w:hAnsi="宋体" w:eastAsia="方正仿宋_GBK"/>
                <w:color w:val="auto"/>
                <w:sz w:val="21"/>
                <w:szCs w:val="21"/>
              </w:rPr>
              <w:t>偏离一条从起评分中</w:t>
            </w:r>
            <w:r>
              <w:rPr>
                <w:rFonts w:hint="eastAsia" w:ascii="方正仿宋_GBK" w:hAnsi="宋体" w:eastAsia="方正仿宋_GBK"/>
                <w:color w:val="auto"/>
                <w:sz w:val="21"/>
                <w:szCs w:val="21"/>
                <w:lang w:val="en-US" w:eastAsia="zh-CN"/>
              </w:rPr>
              <w:t>加3</w:t>
            </w:r>
            <w:r>
              <w:rPr>
                <w:rFonts w:hint="eastAsia" w:ascii="方正仿宋_GBK" w:hAnsi="宋体" w:eastAsia="方正仿宋_GBK"/>
                <w:color w:val="auto"/>
                <w:sz w:val="21"/>
                <w:szCs w:val="21"/>
              </w:rPr>
              <w:t>分。</w:t>
            </w:r>
          </w:p>
          <w:p w14:paraId="7E982303">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3.</w:t>
            </w:r>
            <w:r>
              <w:rPr>
                <w:rFonts w:hint="eastAsia" w:ascii="方正仿宋_GBK" w:hAnsi="宋体" w:eastAsia="方正仿宋_GBK"/>
                <w:color w:val="auto"/>
                <w:sz w:val="21"/>
                <w:szCs w:val="21"/>
              </w:rPr>
              <w:t>一般性技术参数（非“★”和“▲”号标注的部分）</w:t>
            </w:r>
            <w:r>
              <w:rPr>
                <w:rFonts w:hint="eastAsia" w:ascii="方正仿宋_GBK" w:hAnsi="宋体" w:eastAsia="方正仿宋_GBK"/>
                <w:color w:val="auto"/>
                <w:sz w:val="21"/>
                <w:szCs w:val="21"/>
                <w:lang w:val="en-US" w:eastAsia="zh-CN"/>
              </w:rPr>
              <w:t>高于</w:t>
            </w:r>
            <w:r>
              <w:rPr>
                <w:rFonts w:hint="eastAsia" w:ascii="方正仿宋_GBK" w:hAnsi="宋体" w:eastAsia="方正仿宋_GBK"/>
                <w:color w:val="auto"/>
                <w:sz w:val="21"/>
                <w:szCs w:val="21"/>
              </w:rPr>
              <w:t>招标文件要求的,每</w:t>
            </w:r>
            <w:r>
              <w:rPr>
                <w:rFonts w:hint="eastAsia" w:ascii="方正仿宋_GBK" w:hAnsi="宋体" w:eastAsia="方正仿宋_GBK"/>
                <w:color w:val="auto"/>
                <w:sz w:val="21"/>
                <w:szCs w:val="21"/>
                <w:lang w:val="en-US" w:eastAsia="zh-CN"/>
              </w:rPr>
              <w:t>正</w:t>
            </w:r>
            <w:r>
              <w:rPr>
                <w:rFonts w:hint="eastAsia" w:ascii="方正仿宋_GBK" w:hAnsi="宋体" w:eastAsia="方正仿宋_GBK"/>
                <w:color w:val="auto"/>
                <w:sz w:val="21"/>
                <w:szCs w:val="21"/>
              </w:rPr>
              <w:t>偏离一条从起评分中扣</w:t>
            </w:r>
            <w:r>
              <w:rPr>
                <w:rFonts w:hint="eastAsia" w:ascii="方正仿宋_GBK" w:hAnsi="宋体" w:eastAsia="方正仿宋_GBK"/>
                <w:color w:val="auto"/>
                <w:sz w:val="21"/>
                <w:szCs w:val="21"/>
                <w:lang w:val="en-US" w:eastAsia="zh-CN"/>
              </w:rPr>
              <w:t>加1</w:t>
            </w:r>
            <w:r>
              <w:rPr>
                <w:rFonts w:hint="eastAsia" w:ascii="方正仿宋_GBK" w:hAnsi="宋体" w:eastAsia="方正仿宋_GBK"/>
                <w:color w:val="auto"/>
                <w:sz w:val="21"/>
                <w:szCs w:val="21"/>
              </w:rPr>
              <w:t>分。</w:t>
            </w:r>
          </w:p>
          <w:p w14:paraId="535D52AE">
            <w:pPr>
              <w:ind w:firstLine="420" w:firstLineChars="200"/>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4.正偏离参数必须提供佐证资料，并标注佐证资料页码，未提供佐证资料或佐证资料不充分的不加分。</w:t>
            </w:r>
          </w:p>
          <w:p w14:paraId="12B58D78">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5.</w:t>
            </w:r>
            <w:r>
              <w:rPr>
                <w:rFonts w:hint="eastAsia" w:ascii="方正仿宋_GBK" w:hAnsi="宋体" w:eastAsia="方正仿宋_GBK"/>
                <w:color w:val="auto"/>
                <w:sz w:val="21"/>
                <w:szCs w:val="21"/>
              </w:rPr>
              <w:t>以上</w:t>
            </w:r>
            <w:r>
              <w:rPr>
                <w:rFonts w:hint="eastAsia" w:ascii="方正仿宋_GBK" w:hAnsi="宋体" w:eastAsia="方正仿宋_GBK"/>
                <w:color w:val="auto"/>
                <w:sz w:val="21"/>
                <w:szCs w:val="21"/>
                <w:lang w:val="en-US" w:eastAsia="zh-CN"/>
              </w:rPr>
              <w:t>三</w:t>
            </w:r>
            <w:r>
              <w:rPr>
                <w:rFonts w:hint="eastAsia" w:ascii="方正仿宋_GBK" w:hAnsi="宋体" w:eastAsia="方正仿宋_GBK"/>
                <w:color w:val="auto"/>
                <w:sz w:val="21"/>
                <w:szCs w:val="21"/>
              </w:rPr>
              <w:t>款总加分不超过</w:t>
            </w:r>
            <w:r>
              <w:rPr>
                <w:rFonts w:hint="eastAsia" w:ascii="方正仿宋_GBK" w:hAnsi="宋体" w:eastAsia="方正仿宋_GBK"/>
                <w:color w:val="auto"/>
                <w:sz w:val="21"/>
                <w:szCs w:val="21"/>
                <w:lang w:val="en-US" w:eastAsia="zh-CN"/>
              </w:rPr>
              <w:t>20</w:t>
            </w:r>
            <w:r>
              <w:rPr>
                <w:rFonts w:hint="eastAsia" w:ascii="方正仿宋_GBK" w:hAnsi="宋体" w:eastAsia="方正仿宋_GBK"/>
                <w:color w:val="auto"/>
                <w:sz w:val="21"/>
                <w:szCs w:val="21"/>
              </w:rPr>
              <w:t>分。</w:t>
            </w:r>
          </w:p>
        </w:tc>
        <w:tc>
          <w:tcPr>
            <w:tcW w:w="1871" w:type="dxa"/>
            <w:noWrap w:val="0"/>
            <w:vAlign w:val="center"/>
          </w:tcPr>
          <w:p w14:paraId="086A0365">
            <w:pPr>
              <w:rPr>
                <w:rFonts w:hint="eastAsia" w:ascii="方正仿宋_GBK" w:hAnsi="宋体" w:eastAsia="方正仿宋_GBK"/>
                <w:color w:val="auto"/>
                <w:sz w:val="21"/>
                <w:szCs w:val="21"/>
              </w:rPr>
            </w:pPr>
          </w:p>
        </w:tc>
      </w:tr>
      <w:tr w14:paraId="6FD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3" w:type="dxa"/>
            <w:vMerge w:val="continue"/>
            <w:noWrap w:val="0"/>
            <w:vAlign w:val="center"/>
          </w:tcPr>
          <w:p w14:paraId="5651FC9B">
            <w:pPr>
              <w:rPr>
                <w:color w:val="auto"/>
              </w:rPr>
            </w:pPr>
          </w:p>
        </w:tc>
        <w:tc>
          <w:tcPr>
            <w:tcW w:w="1332" w:type="dxa"/>
            <w:vMerge w:val="continue"/>
            <w:noWrap w:val="0"/>
            <w:vAlign w:val="center"/>
          </w:tcPr>
          <w:p w14:paraId="7C1F58D6">
            <w:pPr>
              <w:rPr>
                <w:color w:val="auto"/>
              </w:rPr>
            </w:pPr>
          </w:p>
        </w:tc>
        <w:tc>
          <w:tcPr>
            <w:tcW w:w="1225" w:type="dxa"/>
            <w:vMerge w:val="continue"/>
            <w:noWrap w:val="0"/>
            <w:vAlign w:val="center"/>
          </w:tcPr>
          <w:p w14:paraId="1A18209E">
            <w:pPr>
              <w:rPr>
                <w:color w:val="auto"/>
              </w:rPr>
            </w:pPr>
          </w:p>
        </w:tc>
        <w:tc>
          <w:tcPr>
            <w:tcW w:w="4500" w:type="dxa"/>
            <w:noWrap w:val="0"/>
            <w:vAlign w:val="center"/>
          </w:tcPr>
          <w:p w14:paraId="62A8BA7A">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C</w:t>
            </w:r>
            <w:r>
              <w:rPr>
                <w:rFonts w:hint="eastAsia" w:ascii="方正仿宋_GBK" w:hAnsi="宋体" w:eastAsia="方正仿宋_GBK"/>
                <w:color w:val="auto"/>
                <w:sz w:val="21"/>
                <w:szCs w:val="21"/>
              </w:rPr>
              <w:t>减分条款：</w:t>
            </w:r>
          </w:p>
          <w:p w14:paraId="27086C00">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r>
              <w:rPr>
                <w:rFonts w:hint="eastAsia" w:ascii="方正仿宋_GBK" w:hAnsi="宋体" w:eastAsia="方正仿宋_GBK"/>
                <w:color w:val="auto"/>
                <w:sz w:val="21"/>
                <w:szCs w:val="21"/>
                <w:lang w:val="en-US" w:eastAsia="zh-CN"/>
              </w:rPr>
              <w:t>.</w:t>
            </w:r>
            <w:r>
              <w:rPr>
                <w:rFonts w:hint="eastAsia" w:ascii="方正仿宋_GBK" w:hAnsi="宋体" w:eastAsia="方正仿宋_GBK"/>
                <w:color w:val="auto"/>
                <w:sz w:val="21"/>
                <w:szCs w:val="21"/>
              </w:rPr>
              <w:t>核心技术参数（★条款）有一条不满足的，符合性审查不予通过，不得参与综合评分。</w:t>
            </w:r>
          </w:p>
          <w:p w14:paraId="32B69D56">
            <w:pPr>
              <w:ind w:firstLine="420" w:firstLineChars="200"/>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2.</w:t>
            </w:r>
            <w:r>
              <w:rPr>
                <w:rFonts w:hint="eastAsia" w:ascii="方正仿宋_GBK" w:hAnsi="宋体" w:eastAsia="方正仿宋_GBK"/>
                <w:color w:val="auto"/>
                <w:sz w:val="21"/>
                <w:szCs w:val="21"/>
              </w:rPr>
              <w:t>重要性技术参数（▲条款）达不到招标文件要求的,每负偏离一条从起评分中扣除5分</w:t>
            </w:r>
            <w:r>
              <w:rPr>
                <w:rFonts w:hint="eastAsia" w:ascii="方正仿宋_GBK" w:hAnsi="宋体" w:eastAsia="方正仿宋_GBK"/>
                <w:color w:val="auto"/>
                <w:sz w:val="21"/>
                <w:szCs w:val="21"/>
                <w:lang w:eastAsia="zh-CN"/>
              </w:rPr>
              <w:t>，</w:t>
            </w:r>
            <w:r>
              <w:rPr>
                <w:rFonts w:hint="eastAsia" w:ascii="方正仿宋_GBK" w:hAnsi="宋体" w:eastAsia="方正仿宋_GBK"/>
                <w:color w:val="auto"/>
                <w:sz w:val="21"/>
                <w:szCs w:val="21"/>
                <w:lang w:val="en-US" w:eastAsia="zh-CN"/>
              </w:rPr>
              <w:t>扣到0分为止</w:t>
            </w:r>
            <w:r>
              <w:rPr>
                <w:rFonts w:hint="eastAsia" w:ascii="方正仿宋_GBK" w:hAnsi="宋体" w:eastAsia="方正仿宋_GBK"/>
                <w:color w:val="auto"/>
                <w:sz w:val="21"/>
                <w:szCs w:val="21"/>
              </w:rPr>
              <w:t>；有</w:t>
            </w:r>
            <w:r>
              <w:rPr>
                <w:rFonts w:hint="eastAsia" w:ascii="方正仿宋_GBK" w:hAnsi="宋体" w:eastAsia="方正仿宋_GBK"/>
                <w:color w:val="auto"/>
                <w:sz w:val="21"/>
                <w:szCs w:val="21"/>
                <w:lang w:val="en-US" w:eastAsia="zh-CN"/>
              </w:rPr>
              <w:t>4</w:t>
            </w:r>
            <w:r>
              <w:rPr>
                <w:rFonts w:hint="eastAsia" w:ascii="方正仿宋_GBK" w:hAnsi="宋体" w:eastAsia="方正仿宋_GBK"/>
                <w:color w:val="auto"/>
                <w:sz w:val="21"/>
                <w:szCs w:val="21"/>
              </w:rPr>
              <w:t>条及以上不满足招标文件要求的，技术部分得分为0分。</w:t>
            </w:r>
          </w:p>
          <w:p w14:paraId="1878F131">
            <w:pPr>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3.</w:t>
            </w:r>
            <w:r>
              <w:rPr>
                <w:rFonts w:hint="eastAsia" w:ascii="方正仿宋_GBK" w:hAnsi="宋体" w:eastAsia="方正仿宋_GBK"/>
                <w:color w:val="auto"/>
                <w:sz w:val="21"/>
                <w:szCs w:val="21"/>
              </w:rPr>
              <w:t>一般性技术参数（非“★”和“▲”号标注的部分）达不到招标文件要求的,每负偏离一条从起评分中扣除2分，扣到0分为止；有5条及以上不满足招标文件要求的，技术部分得分为0分。</w:t>
            </w:r>
          </w:p>
        </w:tc>
        <w:tc>
          <w:tcPr>
            <w:tcW w:w="1871" w:type="dxa"/>
            <w:noWrap w:val="0"/>
            <w:vAlign w:val="center"/>
          </w:tcPr>
          <w:p w14:paraId="5D1F96D0">
            <w:pPr>
              <w:rPr>
                <w:rFonts w:hint="eastAsia" w:ascii="方正仿宋_GBK" w:hAnsi="宋体" w:eastAsia="方正仿宋_GBK"/>
                <w:color w:val="auto"/>
                <w:sz w:val="21"/>
                <w:szCs w:val="21"/>
                <w:lang w:val="en-US" w:eastAsia="zh-CN"/>
              </w:rPr>
            </w:pPr>
          </w:p>
        </w:tc>
      </w:tr>
      <w:tr w14:paraId="75D3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3" w:type="dxa"/>
            <w:vMerge w:val="restart"/>
            <w:noWrap w:val="0"/>
            <w:vAlign w:val="center"/>
          </w:tcPr>
          <w:p w14:paraId="67660B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3</w:t>
            </w:r>
          </w:p>
        </w:tc>
        <w:tc>
          <w:tcPr>
            <w:tcW w:w="1332" w:type="dxa"/>
            <w:vMerge w:val="restart"/>
            <w:noWrap w:val="0"/>
            <w:vAlign w:val="center"/>
          </w:tcPr>
          <w:p w14:paraId="25D2D5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商务部分</w:t>
            </w:r>
          </w:p>
          <w:p w14:paraId="742627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w:t>
            </w:r>
          </w:p>
        </w:tc>
        <w:tc>
          <w:tcPr>
            <w:tcW w:w="1225" w:type="dxa"/>
            <w:noWrap w:val="0"/>
            <w:vAlign w:val="center"/>
          </w:tcPr>
          <w:p w14:paraId="25C8D9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仿宋" w:hAnsi="仿宋" w:eastAsia="仿宋" w:cs="仿宋"/>
                <w:color w:val="auto"/>
                <w:sz w:val="21"/>
                <w:szCs w:val="21"/>
                <w:lang w:val="en-US" w:eastAsia="zh-CN"/>
              </w:rPr>
              <w:t>6</w:t>
            </w:r>
          </w:p>
        </w:tc>
        <w:tc>
          <w:tcPr>
            <w:tcW w:w="4500" w:type="dxa"/>
            <w:noWrap w:val="0"/>
            <w:vAlign w:val="center"/>
          </w:tcPr>
          <w:p w14:paraId="092DC6ED">
            <w:pPr>
              <w:spacing w:line="240" w:lineRule="atLeast"/>
              <w:rPr>
                <w:rFonts w:hint="eastAsia" w:ascii="方正仿宋_GBK" w:hAnsi="宋体" w:eastAsia="仿宋"/>
                <w:color w:val="auto"/>
                <w:sz w:val="21"/>
                <w:szCs w:val="21"/>
              </w:rPr>
            </w:pPr>
            <w:r>
              <w:rPr>
                <w:rFonts w:hint="eastAsia" w:ascii="仿宋" w:hAnsi="仿宋" w:eastAsia="仿宋" w:cs="仿宋"/>
                <w:color w:val="auto"/>
                <w:sz w:val="21"/>
                <w:szCs w:val="21"/>
              </w:rPr>
              <w:t>质保：起评质保期</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年以上每增加一年得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分，最多得</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分；</w:t>
            </w:r>
          </w:p>
        </w:tc>
        <w:tc>
          <w:tcPr>
            <w:tcW w:w="1871" w:type="dxa"/>
            <w:noWrap w:val="0"/>
            <w:vAlign w:val="center"/>
          </w:tcPr>
          <w:p w14:paraId="468A7DBB">
            <w:pPr>
              <w:ind w:left="-38"/>
              <w:jc w:val="center"/>
              <w:rPr>
                <w:rFonts w:hint="eastAsia" w:ascii="方正仿宋_GBK" w:hAnsi="宋体" w:eastAsia="方正仿宋_GBK"/>
                <w:color w:val="auto"/>
                <w:sz w:val="21"/>
                <w:szCs w:val="21"/>
              </w:rPr>
            </w:pPr>
          </w:p>
        </w:tc>
      </w:tr>
      <w:tr w14:paraId="44CF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13" w:type="dxa"/>
            <w:vMerge w:val="continue"/>
            <w:noWrap w:val="0"/>
            <w:vAlign w:val="center"/>
          </w:tcPr>
          <w:p w14:paraId="1F09CF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332" w:type="dxa"/>
            <w:vMerge w:val="continue"/>
            <w:noWrap w:val="0"/>
            <w:vAlign w:val="center"/>
          </w:tcPr>
          <w:p w14:paraId="1167DB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宋体" w:eastAsia="方正仿宋_GBK"/>
                <w:color w:val="auto"/>
                <w:sz w:val="21"/>
                <w:szCs w:val="21"/>
              </w:rPr>
            </w:pPr>
          </w:p>
        </w:tc>
        <w:tc>
          <w:tcPr>
            <w:tcW w:w="1225" w:type="dxa"/>
            <w:noWrap w:val="0"/>
            <w:vAlign w:val="center"/>
          </w:tcPr>
          <w:p w14:paraId="2383E9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w:t>
            </w:r>
          </w:p>
        </w:tc>
        <w:tc>
          <w:tcPr>
            <w:tcW w:w="4500" w:type="dxa"/>
            <w:noWrap w:val="0"/>
            <w:vAlign w:val="center"/>
          </w:tcPr>
          <w:p w14:paraId="6B1ABFFB">
            <w:pPr>
              <w:spacing w:line="240" w:lineRule="atLeas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业绩：提供近</w:t>
            </w:r>
            <w:r>
              <w:rPr>
                <w:rFonts w:hint="eastAsia" w:ascii="方正仿宋_GBK" w:hAnsi="宋体" w:eastAsia="方正仿宋_GBK"/>
                <w:color w:val="auto"/>
                <w:sz w:val="21"/>
                <w:szCs w:val="21"/>
                <w:lang w:val="en-US" w:eastAsia="zh-CN"/>
              </w:rPr>
              <w:t>三</w:t>
            </w:r>
            <w:r>
              <w:rPr>
                <w:rFonts w:hint="eastAsia" w:ascii="方正仿宋_GBK" w:hAnsi="宋体" w:eastAsia="方正仿宋_GBK"/>
                <w:color w:val="auto"/>
                <w:sz w:val="21"/>
                <w:szCs w:val="21"/>
              </w:rPr>
              <w:t>年全国三级医院发票或供货合同</w:t>
            </w:r>
            <w:r>
              <w:rPr>
                <w:rFonts w:hint="eastAsia" w:ascii="方正仿宋_GBK" w:hAnsi="宋体" w:eastAsia="方正仿宋_GBK"/>
                <w:color w:val="auto"/>
                <w:sz w:val="21"/>
                <w:szCs w:val="21"/>
                <w:lang w:val="en-US" w:eastAsia="zh-CN"/>
              </w:rPr>
              <w:t>以及医院为三级医院的证明材料</w:t>
            </w:r>
            <w:r>
              <w:rPr>
                <w:rFonts w:hint="eastAsia" w:ascii="方正仿宋_GBK" w:hAnsi="宋体" w:eastAsia="方正仿宋_GBK"/>
                <w:color w:val="auto"/>
                <w:sz w:val="21"/>
                <w:szCs w:val="21"/>
              </w:rPr>
              <w:t>，每提供一张得1分，最多得</w:t>
            </w:r>
            <w:r>
              <w:rPr>
                <w:rFonts w:hint="eastAsia" w:ascii="方正仿宋_GBK" w:hAnsi="宋体" w:eastAsia="方正仿宋_GBK"/>
                <w:color w:val="auto"/>
                <w:sz w:val="21"/>
                <w:szCs w:val="21"/>
                <w:lang w:val="en-US" w:eastAsia="zh-CN"/>
              </w:rPr>
              <w:t>4</w:t>
            </w:r>
            <w:r>
              <w:rPr>
                <w:rFonts w:hint="eastAsia" w:ascii="方正仿宋_GBK" w:hAnsi="宋体" w:eastAsia="方正仿宋_GBK"/>
                <w:color w:val="auto"/>
                <w:sz w:val="21"/>
                <w:szCs w:val="21"/>
              </w:rPr>
              <w:t>分。</w:t>
            </w:r>
          </w:p>
        </w:tc>
        <w:tc>
          <w:tcPr>
            <w:tcW w:w="1871" w:type="dxa"/>
            <w:noWrap w:val="0"/>
            <w:vAlign w:val="center"/>
          </w:tcPr>
          <w:p w14:paraId="1DA9033C">
            <w:pPr>
              <w:ind w:left="-38"/>
              <w:jc w:val="left"/>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提供同一家医院的发票或供货合同不重复计算。</w:t>
            </w:r>
          </w:p>
        </w:tc>
      </w:tr>
    </w:tbl>
    <w:p w14:paraId="5E271DA6">
      <w:pPr>
        <w:snapToGrid w:val="0"/>
        <w:spacing w:line="400" w:lineRule="exact"/>
        <w:ind w:firstLine="482" w:firstLineChars="200"/>
        <w:rPr>
          <w:rFonts w:ascii="方正仿宋_GBK" w:hAnsi="宋体" w:eastAsia="方正仿宋_GBK"/>
          <w:sz w:val="24"/>
          <w:szCs w:val="24"/>
        </w:rPr>
      </w:pPr>
      <w:r>
        <w:rPr>
          <w:rFonts w:hint="eastAsia" w:ascii="方正仿宋_GBK" w:hAnsi="宋体" w:eastAsia="方正仿宋_GBK"/>
          <w:b/>
          <w:bCs/>
          <w:sz w:val="24"/>
          <w:szCs w:val="24"/>
        </w:rPr>
        <w:t>说明</w:t>
      </w:r>
      <w:r>
        <w:rPr>
          <w:rFonts w:hint="eastAsia" w:ascii="方正仿宋_GBK" w:hAnsi="宋体" w:eastAsia="方正仿宋_GBK"/>
          <w:sz w:val="24"/>
          <w:szCs w:val="24"/>
        </w:rPr>
        <w:t>：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03436BA9">
      <w:pPr>
        <w:ind w:firstLine="482" w:firstLineChars="200"/>
        <w:rPr>
          <w:rFonts w:ascii="方正仿宋_GBK" w:eastAsia="方正仿宋_GBK"/>
          <w:b/>
          <w:sz w:val="24"/>
        </w:rPr>
      </w:pPr>
      <w:bookmarkStart w:id="44" w:name="_Toc172274909"/>
      <w:bookmarkStart w:id="45" w:name="_Toc441065676"/>
      <w:r>
        <w:rPr>
          <w:rFonts w:hint="eastAsia" w:ascii="方正仿宋_GBK" w:eastAsia="方正仿宋_GBK"/>
          <w:b/>
          <w:sz w:val="24"/>
        </w:rPr>
        <w:t>4、无效投标条款</w:t>
      </w:r>
      <w:bookmarkEnd w:id="44"/>
      <w:bookmarkEnd w:id="45"/>
    </w:p>
    <w:p w14:paraId="1CCA5C7B">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投标人或其投标文件出现下列情况之一者，应为无效投标：</w:t>
      </w:r>
    </w:p>
    <w:p w14:paraId="12FD40DA">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（一）未按照招标文件的规定提交投标保证金的；</w:t>
      </w:r>
    </w:p>
    <w:p w14:paraId="275BFD9B">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（二）投标文件未按招标文件要求签署、盖章的；</w:t>
      </w:r>
    </w:p>
    <w:p w14:paraId="260803BF">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（三）不具备招标文件中规定的资格要求的；</w:t>
      </w:r>
    </w:p>
    <w:p w14:paraId="1ED39383">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（四）报价超过招标文件中规定的预算金额或者最高限价的；</w:t>
      </w:r>
    </w:p>
    <w:p w14:paraId="293DEA80">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（五）投标文件含有采购人不能接受的附加条件的；</w:t>
      </w:r>
    </w:p>
    <w:p w14:paraId="7EFB61E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（六）投标人串通投标的；</w:t>
      </w:r>
    </w:p>
    <w:p w14:paraId="49D5DED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（七）投标人组成联合体投标的；</w:t>
      </w:r>
    </w:p>
    <w:p w14:paraId="7BC571A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（八）法律、法规和招标文件规定的其他无效情形。</w:t>
      </w:r>
    </w:p>
    <w:p w14:paraId="470C0F72">
      <w:pPr>
        <w:ind w:firstLine="482" w:firstLineChars="200"/>
        <w:rPr>
          <w:rFonts w:ascii="方正仿宋_GBK" w:eastAsia="方正仿宋_GBK"/>
          <w:b/>
          <w:sz w:val="24"/>
        </w:rPr>
      </w:pPr>
      <w:bookmarkStart w:id="46" w:name="_Toc441065677"/>
      <w:bookmarkStart w:id="47" w:name="_Toc172274910"/>
      <w:r>
        <w:rPr>
          <w:rFonts w:hint="eastAsia" w:ascii="方正仿宋_GBK" w:eastAsia="方正仿宋_GBK"/>
          <w:b/>
          <w:sz w:val="24"/>
        </w:rPr>
        <w:t>5、废标条款</w:t>
      </w:r>
      <w:bookmarkEnd w:id="46"/>
      <w:bookmarkEnd w:id="47"/>
    </w:p>
    <w:p w14:paraId="03F5604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评标委员会评审时出现以下情况之一的，应予废标：</w:t>
      </w:r>
    </w:p>
    <w:p w14:paraId="7A096D5F">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（一）符合专业条件的供应商或者对招标文件作实质响应的供应商不足三家的；</w:t>
      </w:r>
    </w:p>
    <w:p w14:paraId="6B32A50D">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（二）投标人的报价均超过了采购预算，采购人不能支付的；</w:t>
      </w:r>
    </w:p>
    <w:p w14:paraId="38129A65">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（三）出现影响采购公正的违法、违规行为的；</w:t>
      </w:r>
    </w:p>
    <w:p w14:paraId="61AC2411">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（四）因重大变故，采购任务取消的。</w:t>
      </w:r>
    </w:p>
    <w:p w14:paraId="04CB561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4E4E1999">
      <w:pPr>
        <w:pStyle w:val="11"/>
      </w:pPr>
    </w:p>
    <w:p w14:paraId="71D7C17D">
      <w:pPr>
        <w:pStyle w:val="3"/>
        <w:spacing w:line="390" w:lineRule="exact"/>
        <w:rPr>
          <w:rFonts w:hint="eastAsia" w:ascii="方正仿宋_GBK" w:hAnsi="Times New Roman" w:eastAsia="方正仿宋_GBK" w:cs="Times New Roman"/>
          <w:color w:val="000000"/>
          <w:sz w:val="24"/>
          <w:szCs w:val="24"/>
        </w:rPr>
      </w:pPr>
      <w:bookmarkStart w:id="48" w:name="_Toc342913395"/>
      <w:bookmarkStart w:id="49" w:name="_Toc102227321"/>
      <w:bookmarkStart w:id="50" w:name="_Toc180069266"/>
      <w:r>
        <w:rPr>
          <w:rFonts w:hint="eastAsia" w:ascii="方正仿宋_GBK" w:hAnsi="Times New Roman" w:eastAsia="方正仿宋_GBK" w:cs="Times New Roman"/>
          <w:color w:val="000000"/>
          <w:sz w:val="24"/>
          <w:szCs w:val="24"/>
        </w:rPr>
        <w:t>七、成交通知</w:t>
      </w:r>
      <w:bookmarkEnd w:id="48"/>
      <w:bookmarkEnd w:id="49"/>
      <w:bookmarkEnd w:id="50"/>
    </w:p>
    <w:p w14:paraId="3D505B84">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（一）定标原则</w:t>
      </w:r>
    </w:p>
    <w:p w14:paraId="39847E6A">
      <w:pPr>
        <w:snapToGrid w:val="0"/>
        <w:spacing w:line="500" w:lineRule="exact"/>
        <w:ind w:firstLine="420" w:firstLineChars="175"/>
        <w:rPr>
          <w:rFonts w:ascii="方正仿宋_GBK" w:hAnsi="宋体" w:eastAsia="方正仿宋_GBK"/>
          <w:color w:val="FF0000"/>
          <w:sz w:val="24"/>
          <w:szCs w:val="24"/>
        </w:rPr>
      </w:pPr>
      <w:r>
        <w:rPr>
          <w:rFonts w:hint="eastAsia" w:ascii="方正仿宋_GBK" w:hAnsi="宋体" w:eastAsia="方正仿宋_GBK"/>
          <w:color w:val="FF0000"/>
          <w:sz w:val="24"/>
          <w:szCs w:val="24"/>
        </w:rPr>
        <w:t>在满足招标文件要求的前提下以</w:t>
      </w:r>
      <w:r>
        <w:rPr>
          <w:rFonts w:hint="eastAsia" w:ascii="方正仿宋_GBK" w:hAnsi="宋体" w:eastAsia="方正仿宋_GBK"/>
          <w:color w:val="FF0000"/>
          <w:sz w:val="24"/>
          <w:szCs w:val="24"/>
          <w:highlight w:val="yellow"/>
        </w:rPr>
        <w:t>分数最高者中标</w:t>
      </w:r>
      <w:r>
        <w:rPr>
          <w:rFonts w:hint="eastAsia" w:ascii="方正仿宋_GBK" w:hAnsi="宋体" w:eastAsia="方正仿宋_GBK"/>
          <w:color w:val="FF0000"/>
          <w:sz w:val="24"/>
          <w:szCs w:val="24"/>
        </w:rPr>
        <w:t>。</w:t>
      </w:r>
    </w:p>
    <w:p w14:paraId="0B47C5AD">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（二）定标程序</w:t>
      </w:r>
    </w:p>
    <w:p w14:paraId="4F25B629">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1、采购人应当自评审结束之日起个2工作日内将评审报告及交易鉴证书送交采购人。</w:t>
      </w:r>
    </w:p>
    <w:p w14:paraId="638F5A7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2、采购人在自收到评审报告及交易鉴证书之日起5个工作日内应按照评审报告推荐的中标或者成交候选人中按顺序确定中标或者成交供应商，并在2个工作日内发出中标或成交通知书。</w:t>
      </w:r>
    </w:p>
    <w:p w14:paraId="15761697">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3、采购人发出中标或者成交通知书后，在“重庆市政府采购网行采家”上公示中标或成交结果，</w:t>
      </w:r>
      <w:r>
        <w:rPr>
          <w:rFonts w:hint="eastAsia" w:ascii="方正仿宋_GBK" w:hAnsi="宋体" w:eastAsia="方正仿宋_GBK"/>
          <w:color w:val="000000"/>
          <w:sz w:val="24"/>
          <w:szCs w:val="24"/>
          <w:u w:val="single"/>
        </w:rPr>
        <w:t>公示时间1个工作日</w:t>
      </w:r>
      <w:r>
        <w:rPr>
          <w:rFonts w:hint="eastAsia" w:ascii="方正仿宋_GBK" w:hAnsi="宋体" w:eastAsia="方正仿宋_GBK"/>
          <w:color w:val="000000"/>
          <w:sz w:val="24"/>
          <w:szCs w:val="24"/>
        </w:rPr>
        <w:t>。</w:t>
      </w:r>
    </w:p>
    <w:p w14:paraId="10163CB5">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4、《中标或者成交通知书》将作为签订合同的依据。</w:t>
      </w:r>
    </w:p>
    <w:p w14:paraId="2FC7309A">
      <w:pPr>
        <w:pStyle w:val="3"/>
        <w:spacing w:line="390" w:lineRule="exact"/>
        <w:rPr>
          <w:rFonts w:ascii="方正仿宋_GBK" w:eastAsia="方正仿宋_GBK"/>
          <w:color w:val="000000"/>
          <w:sz w:val="24"/>
          <w:szCs w:val="24"/>
        </w:rPr>
      </w:pPr>
      <w:bookmarkStart w:id="51" w:name="_Toc180069267"/>
      <w:r>
        <w:rPr>
          <w:rFonts w:hint="eastAsia" w:ascii="方正仿宋_GBK" w:eastAsia="方正仿宋_GBK"/>
          <w:color w:val="000000"/>
          <w:sz w:val="24"/>
          <w:szCs w:val="24"/>
        </w:rPr>
        <w:t>八、关于质疑和投诉</w:t>
      </w:r>
      <w:bookmarkEnd w:id="51"/>
    </w:p>
    <w:p w14:paraId="74CA4EC8">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（一）质疑内容、时限</w:t>
      </w:r>
    </w:p>
    <w:p w14:paraId="3C0CF06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1竞选人对竞争性比选文件提出质疑的，应在竞争性比选公告发出之日起三个工作日内提出。</w:t>
      </w:r>
    </w:p>
    <w:p w14:paraId="58AC5761">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2</w:t>
      </w:r>
      <w:r>
        <w:rPr>
          <w:rFonts w:hint="eastAsia" w:ascii="方正仿宋_GBK" w:hAnsi="宋体" w:eastAsia="方正仿宋_GBK"/>
          <w:color w:val="000000"/>
          <w:sz w:val="24"/>
          <w:szCs w:val="24"/>
        </w:rPr>
        <w:t xml:space="preserve"> 竞选人对比选过程提出质疑的，应在各比选程序环节结束之日起三个工作日内提出。</w:t>
      </w:r>
    </w:p>
    <w:p w14:paraId="0DBD775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3竞选人对中选结果提出质疑的，应当在中选结果公告发出之日起三个工作日内提出。</w:t>
      </w:r>
    </w:p>
    <w:p w14:paraId="02A69F5C">
      <w:pPr>
        <w:snapToGrid w:val="0"/>
        <w:spacing w:line="380" w:lineRule="exact"/>
        <w:ind w:left="120" w:leftChars="43" w:firstLine="360" w:firstLineChars="150"/>
        <w:rPr>
          <w:rFonts w:hint="eastAsia" w:ascii="方正仿宋_GBK" w:hAnsi="宋体" w:eastAsia="方正仿宋_GBK"/>
          <w:sz w:val="24"/>
          <w:szCs w:val="24"/>
          <w:lang w:eastAsia="zh-CN"/>
        </w:rPr>
      </w:pPr>
      <w:r>
        <w:rPr>
          <w:rFonts w:hint="eastAsia" w:ascii="方正仿宋_GBK" w:hAnsi="宋体" w:eastAsia="方正仿宋_GBK"/>
          <w:color w:val="000000"/>
          <w:sz w:val="24"/>
          <w:szCs w:val="24"/>
        </w:rPr>
        <w:t>4</w:t>
      </w:r>
      <w:r>
        <w:rPr>
          <w:rFonts w:hint="eastAsia" w:ascii="方正仿宋_GBK" w:hAnsi="宋体" w:eastAsia="方正仿宋_GBK"/>
          <w:sz w:val="24"/>
          <w:szCs w:val="24"/>
        </w:rPr>
        <w:t>未在规定时间内提出，视同认可采购文件所有要求，逾期提出异议的，将不再受理</w:t>
      </w:r>
      <w:r>
        <w:rPr>
          <w:rFonts w:hint="eastAsia" w:ascii="方正仿宋_GBK" w:hAnsi="宋体" w:eastAsia="方正仿宋_GBK"/>
          <w:sz w:val="24"/>
          <w:szCs w:val="24"/>
          <w:lang w:eastAsia="zh-CN"/>
        </w:rPr>
        <w:t>，</w:t>
      </w:r>
    </w:p>
    <w:p w14:paraId="316BECDC">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竞选人提出质疑应当提交质疑函和必要的证明材料，质疑函应当包括下列内容：</w:t>
      </w:r>
    </w:p>
    <w:p w14:paraId="29738A8D">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4.1竞选人的姓名或者名称、地址、邮编、联系人及联系电话；</w:t>
      </w:r>
    </w:p>
    <w:p w14:paraId="4CD6A285">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4.2质疑项目的名称、项目编号以及比选项目编号；</w:t>
      </w:r>
    </w:p>
    <w:p w14:paraId="6CEC0AB7">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4.3具体、明确的质疑事项和与质疑事项相关的请求；</w:t>
      </w:r>
    </w:p>
    <w:p w14:paraId="4FE09840">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4.4事实依据；</w:t>
      </w:r>
    </w:p>
    <w:p w14:paraId="7B70BC0E">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4.5必要的法律依据；</w:t>
      </w:r>
    </w:p>
    <w:p w14:paraId="3754E432">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4.6提出质疑的日期；</w:t>
      </w:r>
    </w:p>
    <w:p w14:paraId="13DB1B70">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4.7营业执照（或事业单位法人证书，或个体工商户营业执照或有效的自然人身份证明、组织机构代码证）复印件；</w:t>
      </w:r>
    </w:p>
    <w:p w14:paraId="2AA7DD4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4.8法定代表人授权委托书原件、法定代表人身份证复印件和其授权代表的身份证复印件（竞选人为自然人的提供自然人身份证复印件）；</w:t>
      </w:r>
    </w:p>
    <w:p w14:paraId="2523AEB9">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5竞选人为自然人的，质疑函应当由本人签字；竞选人为法人或者其他组织的，质疑函应当由法定代表人、主要负责人，或者其授权代表签字或者盖章，并加盖公章。</w:t>
      </w:r>
    </w:p>
    <w:p w14:paraId="3E693498">
      <w:pPr>
        <w:spacing w:line="400" w:lineRule="exact"/>
        <w:ind w:right="12" w:firstLine="480"/>
        <w:rPr>
          <w:rFonts w:hint="eastAsia" w:ascii="方正仿宋_GBK" w:hAnsi="方正仿宋_GBK" w:eastAsia="方正仿宋_GBK"/>
          <w:sz w:val="24"/>
        </w:rPr>
      </w:pPr>
      <w:r>
        <w:rPr>
          <w:rFonts w:hint="eastAsia" w:ascii="方正仿宋_GBK" w:hAnsi="方正仿宋_GBK" w:eastAsia="方正仿宋_GBK"/>
          <w:sz w:val="24"/>
          <w:lang w:val="en-US" w:eastAsia="zh-CN"/>
        </w:rPr>
        <w:t>6</w:t>
      </w:r>
      <w:r>
        <w:rPr>
          <w:rFonts w:hint="eastAsia" w:ascii="方正仿宋_GBK" w:hAnsi="方正仿宋_GBK" w:eastAsia="方正仿宋_GBK"/>
          <w:sz w:val="24"/>
        </w:rPr>
        <w:t>质疑所需附件请在重庆市政府采购网（</w:t>
      </w:r>
      <w:r>
        <w:fldChar w:fldCharType="begin"/>
      </w:r>
      <w:r>
        <w:instrText xml:space="preserve"> HYPERLINK "https://www.ccgp-chongqing.gov.cn/" </w:instrText>
      </w:r>
      <w:r>
        <w:fldChar w:fldCharType="separate"/>
      </w:r>
      <w:r>
        <w:rPr>
          <w:rStyle w:val="20"/>
          <w:rFonts w:hint="eastAsia" w:ascii="微软雅黑" w:hAnsi="微软雅黑" w:eastAsia="微软雅黑"/>
          <w:sz w:val="21"/>
          <w:szCs w:val="21"/>
          <w:shd w:val="clear" w:color="auto" w:fill="FFFFFF"/>
        </w:rPr>
        <w:t>https://www.ccgp-chongqing.gov.cn/</w:t>
      </w:r>
      <w:r>
        <w:rPr>
          <w:rStyle w:val="20"/>
          <w:rFonts w:hint="eastAsia" w:ascii="微软雅黑" w:hAnsi="微软雅黑" w:eastAsia="微软雅黑"/>
          <w:sz w:val="21"/>
          <w:szCs w:val="21"/>
          <w:shd w:val="clear" w:color="auto" w:fill="FFFFFF"/>
        </w:rPr>
        <w:fldChar w:fldCharType="end"/>
      </w:r>
      <w:r>
        <w:rPr>
          <w:rFonts w:hint="eastAsia" w:ascii="方正仿宋_GBK" w:hAnsi="方正仿宋_GBK" w:eastAsia="方正仿宋_GBK"/>
          <w:sz w:val="24"/>
        </w:rPr>
        <w:t>）“政采法规”下载，质疑书提供一正本，二副本，并提供质疑书电子件。未按附件格式要求和未提供附件要求材料的，我院将拒绝受理。</w:t>
      </w:r>
    </w:p>
    <w:p w14:paraId="62BFBE08">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（二）质疑答复</w:t>
      </w:r>
    </w:p>
    <w:p w14:paraId="5BF2082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采购人、采购代理机构将按照《重庆市政府采购供应商质疑投诉处理暂行规定》的相关规定对质疑内容作出答复和处理。</w:t>
      </w:r>
    </w:p>
    <w:p w14:paraId="20B95FBC">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14:paraId="5AEF74B7">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1、供应商对采购人、采购代理机构的答复不满意或者采购人、采购代理机构未在规定时间内答复的，可在答复期满后十五个工作日内按有关规定，向同级财政部门投诉。</w:t>
      </w:r>
    </w:p>
    <w:p w14:paraId="5AE28844">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2、在提出投诉时，应附送相关证明材料。投诉书及证明材料为外文的，应同时提供其中文译本；中文与外文意思不一致的，以中文为准。</w:t>
      </w:r>
    </w:p>
    <w:p w14:paraId="60467D86">
      <w:pPr>
        <w:spacing w:line="39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sz w:val="24"/>
          <w:szCs w:val="24"/>
        </w:rPr>
        <w:t>3、在确定受理投诉后，财政部门自受理投诉之日起三十个工作日内对投诉事项做出处理决定，并将投诉处理决定书送达投诉人、被投诉人和其他与投诉处理决定有利害关系的政府采购</w:t>
      </w:r>
      <w:r>
        <w:rPr>
          <w:rFonts w:hint="eastAsia" w:ascii="方正仿宋_GBK" w:hAnsi="宋体" w:eastAsia="方正仿宋_GBK"/>
          <w:color w:val="000000"/>
          <w:sz w:val="24"/>
          <w:szCs w:val="24"/>
        </w:rPr>
        <w:t>相关当事人，同时在重庆市政府采购网公告投诉处理决定书。</w:t>
      </w:r>
    </w:p>
    <w:p w14:paraId="3B479AAD">
      <w:pPr>
        <w:pStyle w:val="3"/>
        <w:spacing w:line="390" w:lineRule="exact"/>
        <w:rPr>
          <w:rFonts w:ascii="方正仿宋_GBK" w:eastAsia="方正仿宋_GBK"/>
          <w:color w:val="000000"/>
          <w:sz w:val="24"/>
          <w:szCs w:val="24"/>
        </w:rPr>
      </w:pPr>
      <w:bookmarkStart w:id="52" w:name="_Toc102227322"/>
      <w:bookmarkStart w:id="53" w:name="_Toc180069268"/>
      <w:bookmarkStart w:id="54" w:name="_Toc342913396"/>
      <w:r>
        <w:rPr>
          <w:rFonts w:hint="eastAsia" w:ascii="方正仿宋_GBK" w:eastAsia="方正仿宋_GBK"/>
          <w:color w:val="000000"/>
          <w:sz w:val="24"/>
          <w:szCs w:val="24"/>
        </w:rPr>
        <w:t>九、签订</w:t>
      </w:r>
      <w:bookmarkEnd w:id="52"/>
      <w:r>
        <w:rPr>
          <w:rFonts w:hint="eastAsia" w:ascii="方正仿宋_GBK" w:eastAsia="方正仿宋_GBK"/>
          <w:color w:val="000000"/>
          <w:sz w:val="24"/>
          <w:szCs w:val="24"/>
        </w:rPr>
        <w:t>合同</w:t>
      </w:r>
      <w:bookmarkEnd w:id="53"/>
      <w:bookmarkEnd w:id="54"/>
    </w:p>
    <w:p w14:paraId="275879AE">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1、采购人与成交供应商应当在中标通知书发出之日起30日内，按照采购文件确定的合同文本以及采购标的、规格型号、采购金额、采购数量、技术和服务要求等事项签订政府采购合同。</w:t>
      </w:r>
    </w:p>
    <w:p w14:paraId="6B8D760D">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2、竞争性磋商文件、成交供应商的响应文件及有效承诺文件等，均为签订合同的依据。</w:t>
      </w:r>
    </w:p>
    <w:p w14:paraId="116BF086">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3、如成交供应商放弃成交项目或在签订合同时擅自改变成交状态的，采购人将按照相关法律法规处理。</w:t>
      </w:r>
    </w:p>
    <w:p w14:paraId="17727EE9">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14:paraId="11F45ECD">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5、除不可抗力等因素外，成交通知书发出后，采购人改变成交结果，或者成交供应商拒绝签订政府采购合同的，应当承担相应的法律责任。</w:t>
      </w:r>
    </w:p>
    <w:p w14:paraId="101BA37E">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14:paraId="0C7DF0DE">
      <w:pPr>
        <w:pStyle w:val="2"/>
        <w:spacing w:line="360" w:lineRule="auto"/>
        <w:jc w:val="center"/>
        <w:rPr>
          <w:rFonts w:ascii="方正小标宋_GBK" w:hAnsi="宋体" w:eastAsia="方正小标宋_GBK"/>
          <w:b w:val="0"/>
          <w:sz w:val="30"/>
          <w:szCs w:val="30"/>
        </w:rPr>
      </w:pPr>
      <w:bookmarkStart w:id="55" w:name="_Toc180069269"/>
      <w:r>
        <w:rPr>
          <w:rFonts w:hint="eastAsia" w:ascii="方正小标宋_GBK" w:hAnsi="宋体" w:eastAsia="方正小标宋_GBK"/>
          <w:b w:val="0"/>
          <w:sz w:val="36"/>
          <w:szCs w:val="30"/>
        </w:rPr>
        <w:t>第三篇  磋商项目技术需求</w:t>
      </w:r>
      <w:bookmarkEnd w:id="55"/>
    </w:p>
    <w:p w14:paraId="6F782915">
      <w:pPr>
        <w:pStyle w:val="3"/>
        <w:spacing w:line="400" w:lineRule="exact"/>
        <w:rPr>
          <w:rFonts w:ascii="方正仿宋_GBK" w:eastAsia="方正仿宋_GBK"/>
          <w:sz w:val="24"/>
          <w:szCs w:val="24"/>
        </w:rPr>
      </w:pPr>
      <w:bookmarkStart w:id="56" w:name="_Toc180069270"/>
      <w:bookmarkStart w:id="57" w:name="_Toc12789058"/>
      <w:r>
        <w:rPr>
          <w:rFonts w:hint="eastAsia" w:ascii="方正仿宋_GBK" w:eastAsia="方正仿宋_GBK"/>
          <w:sz w:val="24"/>
          <w:szCs w:val="24"/>
        </w:rPr>
        <w:t>一、项目情况</w:t>
      </w:r>
      <w:bookmarkEnd w:id="56"/>
    </w:p>
    <w:p w14:paraId="271AB9E1"/>
    <w:p w14:paraId="3B59E54D">
      <w:pPr>
        <w:ind w:firstLine="480" w:firstLineChars="200"/>
        <w:rPr>
          <w:rFonts w:ascii="方正仿宋_GBK" w:hAnsi="宋体" w:eastAsia="方正仿宋_GBK"/>
          <w:sz w:val="24"/>
          <w:szCs w:val="24"/>
        </w:rPr>
      </w:pPr>
      <w:r>
        <w:rPr>
          <w:rFonts w:hint="eastAsia" w:ascii="方正仿宋_GBK" w:hAnsi="宋体" w:eastAsia="方正仿宋_GBK"/>
          <w:sz w:val="24"/>
          <w:szCs w:val="24"/>
        </w:rPr>
        <w:t>参照第一篇第一条</w:t>
      </w:r>
      <w:r>
        <w:rPr>
          <w:rFonts w:hint="eastAsia" w:ascii="方正仿宋_GBK" w:eastAsia="方正仿宋_GBK"/>
          <w:sz w:val="24"/>
          <w:szCs w:val="24"/>
        </w:rPr>
        <w:t>竞争性磋商内容</w:t>
      </w:r>
    </w:p>
    <w:p w14:paraId="7EC686F1">
      <w:pPr>
        <w:rPr>
          <w:rFonts w:ascii="方正仿宋_GBK" w:hAnsi="宋体" w:eastAsia="方正仿宋_GBK"/>
          <w:sz w:val="24"/>
          <w:szCs w:val="24"/>
        </w:rPr>
      </w:pPr>
    </w:p>
    <w:p w14:paraId="3BA35338">
      <w:pPr>
        <w:pStyle w:val="2"/>
        <w:spacing w:line="360" w:lineRule="auto"/>
        <w:jc w:val="center"/>
        <w:rPr>
          <w:rFonts w:ascii="方正小标宋_GBK" w:hAnsi="宋体" w:eastAsia="方正小标宋_GBK"/>
          <w:b w:val="0"/>
          <w:sz w:val="36"/>
          <w:szCs w:val="30"/>
        </w:rPr>
      </w:pPr>
      <w:bookmarkStart w:id="58" w:name="_Toc180069271"/>
      <w:r>
        <w:rPr>
          <w:rFonts w:hint="eastAsia" w:ascii="方正小标宋_GBK" w:hAnsi="宋体" w:eastAsia="方正小标宋_GBK"/>
          <w:b w:val="0"/>
          <w:sz w:val="36"/>
          <w:szCs w:val="30"/>
        </w:rPr>
        <w:t>第四篇  磋商项目服务需求</w:t>
      </w:r>
      <w:bookmarkEnd w:id="57"/>
      <w:bookmarkEnd w:id="58"/>
    </w:p>
    <w:p w14:paraId="057017A1">
      <w:pPr>
        <w:pStyle w:val="3"/>
        <w:spacing w:line="400" w:lineRule="exact"/>
        <w:rPr>
          <w:rFonts w:ascii="方正仿宋_GBK" w:eastAsia="方正仿宋_GBK"/>
          <w:color w:val="auto"/>
          <w:sz w:val="24"/>
          <w:szCs w:val="24"/>
          <w:highlight w:val="none"/>
        </w:rPr>
      </w:pPr>
      <w:bookmarkStart w:id="59" w:name="_Toc141259401"/>
      <w:bookmarkStart w:id="60" w:name="_Toc12968"/>
      <w:bookmarkStart w:id="61" w:name="_Toc11134"/>
      <w:bookmarkStart w:id="62" w:name="_Toc27249"/>
      <w:bookmarkStart w:id="63" w:name="_Toc15012"/>
      <w:bookmarkStart w:id="64" w:name="_Toc14698"/>
      <w:bookmarkStart w:id="65" w:name="_Toc344475120"/>
      <w:bookmarkStart w:id="66" w:name="_Toc11641055"/>
      <w:bookmarkStart w:id="67" w:name="_Toc12789059"/>
      <w:r>
        <w:rPr>
          <w:rFonts w:hint="eastAsia" w:ascii="方正仿宋_GBK" w:eastAsia="方正仿宋_GBK"/>
          <w:color w:val="auto"/>
          <w:sz w:val="24"/>
          <w:szCs w:val="24"/>
          <w:highlight w:val="none"/>
        </w:rPr>
        <w:t>一、交货时间、地点、验收方式</w:t>
      </w:r>
      <w:bookmarkEnd w:id="59"/>
      <w:bookmarkEnd w:id="60"/>
      <w:bookmarkEnd w:id="61"/>
      <w:bookmarkEnd w:id="62"/>
      <w:bookmarkEnd w:id="63"/>
      <w:bookmarkEnd w:id="64"/>
      <w:r>
        <w:rPr>
          <w:rFonts w:hint="eastAsia" w:ascii="方正仿宋_GBK" w:eastAsia="方正仿宋_GBK"/>
          <w:color w:val="auto"/>
          <w:sz w:val="24"/>
          <w:szCs w:val="24"/>
          <w:highlight w:val="none"/>
        </w:rPr>
        <w:t>及其他服务</w:t>
      </w:r>
    </w:p>
    <w:p w14:paraId="6CDA3776">
      <w:pPr>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（一）交货时间</w:t>
      </w:r>
    </w:p>
    <w:p w14:paraId="64C9EDBF">
      <w:pPr>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中标人应在采购人通知送货后</w:t>
      </w:r>
      <w:r>
        <w:rPr>
          <w:rFonts w:ascii="方正仿宋_GBK" w:hAnsi="方正仿宋_GBK" w:eastAsia="方正仿宋_GBK" w:cs="方正仿宋_GBK"/>
          <w:color w:val="auto"/>
          <w:sz w:val="24"/>
          <w:szCs w:val="24"/>
          <w:highlight w:val="none"/>
        </w:rPr>
        <w:t>10</w:t>
      </w:r>
      <w:r>
        <w:rPr>
          <w:rFonts w:hint="eastAsia" w:ascii="方正仿宋_GBK" w:hAnsi="方正仿宋_GBK" w:eastAsia="方正仿宋_GBK" w:cs="方正仿宋_GBK"/>
          <w:color w:val="auto"/>
          <w:sz w:val="24"/>
          <w:szCs w:val="24"/>
          <w:highlight w:val="none"/>
        </w:rPr>
        <w:t>个工作日内交货并完成安装调试。</w:t>
      </w:r>
    </w:p>
    <w:p w14:paraId="76244FCB">
      <w:pP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rPr>
        <w:t>（二）交货地点</w:t>
      </w:r>
    </w:p>
    <w:p w14:paraId="371592C6">
      <w:p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重庆市合川区妇幼保健院指定地点。</w:t>
      </w:r>
    </w:p>
    <w:p w14:paraId="0CB07E3D">
      <w:pPr>
        <w:numPr>
          <w:ilvl w:val="255"/>
          <w:numId w:val="0"/>
        </w:numPr>
        <w:snapToGrid w:val="0"/>
        <w:spacing w:line="360" w:lineRule="exact"/>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（三）验收方式</w:t>
      </w:r>
    </w:p>
    <w:p w14:paraId="344B552C">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bookmarkStart w:id="68" w:name="_Toc478460685"/>
      <w:bookmarkStart w:id="69" w:name="_Toc27155"/>
      <w:bookmarkStart w:id="70" w:name="_Toc4253"/>
      <w:bookmarkStart w:id="71" w:name="_Toc478460240"/>
      <w:bookmarkStart w:id="72" w:name="_Toc22834"/>
      <w:bookmarkStart w:id="73" w:name="_Toc344475122"/>
      <w:bookmarkStart w:id="74" w:name="_Toc521399411"/>
      <w:r>
        <w:rPr>
          <w:rFonts w:hint="eastAsia" w:ascii="方正仿宋_GBK" w:hAnsi="方正仿宋_GBK" w:eastAsia="方正仿宋_GBK" w:cs="方正仿宋_GBK"/>
          <w:color w:val="auto"/>
          <w:sz w:val="24"/>
          <w:szCs w:val="24"/>
          <w:highlight w:val="none"/>
        </w:rPr>
        <w:t>1、货物到达现场后，中标人应在使用单位人员在场情况下当面开箱，共同清点、检查外观，填写开箱记录，双方签字确认。</w:t>
      </w:r>
    </w:p>
    <w:p w14:paraId="625A808A">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2、中标人应保证货物到达采购人所在地完好无损，如有缺漏、损坏，由中标人负责调换、补齐或赔偿。</w:t>
      </w:r>
    </w:p>
    <w:p w14:paraId="39DBE464">
      <w:pPr>
        <w:snapToGrid w:val="0"/>
        <w:ind w:firstLine="480" w:firstLineChars="200"/>
        <w:rPr>
          <w:rFonts w:ascii="方正仿宋_GBK" w:hAnsi="方正仿宋_GBK" w:eastAsia="方正仿宋_GBK" w:cs="方正仿宋_GBK"/>
          <w:color w:val="auto"/>
          <w:sz w:val="24"/>
          <w:szCs w:val="24"/>
          <w:highlight w:val="none"/>
        </w:rPr>
      </w:pPr>
      <w:bookmarkStart w:id="75" w:name="_Toc6910"/>
      <w:bookmarkStart w:id="76" w:name="_Toc7718"/>
      <w:r>
        <w:rPr>
          <w:rFonts w:hint="eastAsia" w:ascii="方正仿宋_GBK" w:hAnsi="方正仿宋_GBK" w:eastAsia="方正仿宋_GBK" w:cs="方正仿宋_GBK"/>
          <w:color w:val="auto"/>
          <w:sz w:val="24"/>
          <w:szCs w:val="24"/>
          <w:highlight w:val="none"/>
        </w:rPr>
        <w:t>3、中标人应提供完备的技术资料、装箱单和合格证等，并派遣专业技术人员进行现场安装调试。验收合格条件如下：</w:t>
      </w:r>
      <w:bookmarkEnd w:id="75"/>
      <w:bookmarkEnd w:id="76"/>
    </w:p>
    <w:p w14:paraId="2E1B7B32">
      <w:pPr>
        <w:snapToGrid w:val="0"/>
        <w:ind w:firstLine="480" w:firstLineChars="200"/>
        <w:rPr>
          <w:rFonts w:ascii="方正仿宋_GBK" w:hAnsi="方正仿宋_GBK" w:eastAsia="方正仿宋_GBK" w:cs="方正仿宋_GBK"/>
          <w:color w:val="auto"/>
          <w:sz w:val="24"/>
          <w:szCs w:val="24"/>
          <w:highlight w:val="none"/>
        </w:rPr>
      </w:pPr>
      <w:bookmarkStart w:id="77" w:name="_Toc9037"/>
      <w:bookmarkStart w:id="78" w:name="_Toc5828"/>
      <w:r>
        <w:rPr>
          <w:rFonts w:hint="eastAsia" w:ascii="方正仿宋_GBK" w:hAnsi="方正仿宋_GBK" w:eastAsia="方正仿宋_GBK" w:cs="方正仿宋_GBK"/>
          <w:color w:val="auto"/>
          <w:sz w:val="24"/>
          <w:szCs w:val="24"/>
          <w:highlight w:val="none"/>
        </w:rPr>
        <w:t>（1）设备技术参数与采购合同一致，性能指标达到规定的标准。</w:t>
      </w:r>
      <w:bookmarkEnd w:id="77"/>
      <w:bookmarkEnd w:id="78"/>
    </w:p>
    <w:p w14:paraId="2252DAD6">
      <w:pPr>
        <w:snapToGrid w:val="0"/>
        <w:ind w:firstLine="480" w:firstLineChars="200"/>
        <w:rPr>
          <w:rFonts w:ascii="方正仿宋_GBK" w:hAnsi="方正仿宋_GBK" w:eastAsia="方正仿宋_GBK" w:cs="方正仿宋_GBK"/>
          <w:color w:val="auto"/>
          <w:sz w:val="24"/>
          <w:szCs w:val="24"/>
          <w:highlight w:val="none"/>
        </w:rPr>
      </w:pPr>
      <w:bookmarkStart w:id="79" w:name="_Toc21993"/>
      <w:bookmarkStart w:id="80" w:name="_Toc22248"/>
      <w:r>
        <w:rPr>
          <w:rFonts w:hint="eastAsia" w:ascii="方正仿宋_GBK" w:hAnsi="方正仿宋_GBK" w:eastAsia="方正仿宋_GBK" w:cs="方正仿宋_GBK"/>
          <w:color w:val="auto"/>
          <w:sz w:val="24"/>
          <w:szCs w:val="24"/>
          <w:highlight w:val="none"/>
        </w:rPr>
        <w:t>（2）货物技术资料、装箱单、合格证等资料齐全，需提供2份设备使用说明书、1份快速操作卡。</w:t>
      </w:r>
      <w:bookmarkEnd w:id="79"/>
      <w:bookmarkEnd w:id="80"/>
    </w:p>
    <w:p w14:paraId="1F91D689">
      <w:pPr>
        <w:snapToGrid w:val="0"/>
        <w:ind w:firstLine="480" w:firstLineChars="200"/>
        <w:rPr>
          <w:rFonts w:ascii="方正仿宋_GBK" w:hAnsi="方正仿宋_GBK" w:eastAsia="方正仿宋_GBK" w:cs="方正仿宋_GBK"/>
          <w:color w:val="auto"/>
          <w:sz w:val="24"/>
          <w:szCs w:val="24"/>
          <w:highlight w:val="none"/>
        </w:rPr>
      </w:pPr>
      <w:bookmarkStart w:id="81" w:name="_Toc883"/>
      <w:bookmarkStart w:id="82" w:name="_Toc20266"/>
      <w:r>
        <w:rPr>
          <w:rFonts w:hint="eastAsia" w:ascii="方正仿宋_GBK" w:hAnsi="方正仿宋_GBK" w:eastAsia="方正仿宋_GBK" w:cs="方正仿宋_GBK"/>
          <w:color w:val="auto"/>
          <w:sz w:val="24"/>
          <w:szCs w:val="24"/>
          <w:highlight w:val="none"/>
        </w:rPr>
        <w:t>（3）在系统试运行期间所出现的问题得到解决，并运行正常。</w:t>
      </w:r>
      <w:bookmarkEnd w:id="81"/>
      <w:bookmarkEnd w:id="82"/>
    </w:p>
    <w:p w14:paraId="4961E75A">
      <w:pPr>
        <w:snapToGrid w:val="0"/>
        <w:ind w:firstLine="480" w:firstLineChars="200"/>
        <w:rPr>
          <w:rFonts w:ascii="方正仿宋_GBK" w:hAnsi="方正仿宋_GBK" w:eastAsia="方正仿宋_GBK" w:cs="方正仿宋_GBK"/>
          <w:color w:val="auto"/>
          <w:sz w:val="24"/>
          <w:szCs w:val="24"/>
          <w:highlight w:val="none"/>
        </w:rPr>
      </w:pPr>
      <w:bookmarkStart w:id="83" w:name="_Toc13857"/>
      <w:bookmarkStart w:id="84" w:name="_Toc5402"/>
      <w:r>
        <w:rPr>
          <w:rFonts w:hint="eastAsia" w:ascii="方正仿宋_GBK" w:hAnsi="方正仿宋_GBK" w:eastAsia="方正仿宋_GBK" w:cs="方正仿宋_GBK"/>
          <w:color w:val="auto"/>
          <w:sz w:val="24"/>
          <w:szCs w:val="24"/>
          <w:highlight w:val="none"/>
        </w:rPr>
        <w:t>（4）在规定时间内完成交货并验收，并经采购人确认。</w:t>
      </w:r>
      <w:bookmarkEnd w:id="83"/>
      <w:bookmarkEnd w:id="84"/>
    </w:p>
    <w:p w14:paraId="6F3FC947">
      <w:pPr>
        <w:snapToGrid w:val="0"/>
        <w:ind w:firstLine="480" w:firstLineChars="200"/>
        <w:rPr>
          <w:rFonts w:ascii="方正仿宋_GBK" w:hAnsi="方正仿宋_GBK" w:eastAsia="方正仿宋_GBK" w:cs="方正仿宋_GBK"/>
          <w:color w:val="auto"/>
          <w:sz w:val="24"/>
          <w:szCs w:val="24"/>
          <w:highlight w:val="none"/>
        </w:rPr>
      </w:pPr>
      <w:bookmarkStart w:id="85" w:name="_Toc24388"/>
      <w:bookmarkStart w:id="86" w:name="_Toc22705"/>
      <w:r>
        <w:rPr>
          <w:rFonts w:hint="eastAsia" w:ascii="方正仿宋_GBK" w:hAnsi="方正仿宋_GBK" w:eastAsia="方正仿宋_GBK" w:cs="方正仿宋_GBK"/>
          <w:color w:val="auto"/>
          <w:sz w:val="24"/>
          <w:szCs w:val="24"/>
          <w:highlight w:val="none"/>
        </w:rPr>
        <w:t>4、产品验收分两个阶段完成，在所有设备安装调试并试运行符合要求后2周内进行初步验收，在初步验收合格后2月内进行最终验收。</w:t>
      </w:r>
      <w:bookmarkEnd w:id="85"/>
      <w:bookmarkEnd w:id="86"/>
    </w:p>
    <w:p w14:paraId="1D487344">
      <w:pPr>
        <w:snapToGrid w:val="0"/>
        <w:ind w:firstLine="480" w:firstLineChars="200"/>
        <w:rPr>
          <w:rFonts w:ascii="方正仿宋_GBK" w:hAnsi="方正仿宋_GBK" w:eastAsia="方正仿宋_GBK" w:cs="方正仿宋_GBK"/>
          <w:color w:val="auto"/>
          <w:sz w:val="24"/>
          <w:szCs w:val="24"/>
          <w:highlight w:val="none"/>
        </w:rPr>
      </w:pPr>
      <w:bookmarkStart w:id="87" w:name="_Toc24320"/>
      <w:bookmarkStart w:id="88" w:name="_Toc14825"/>
      <w:r>
        <w:rPr>
          <w:rFonts w:hint="eastAsia" w:ascii="方正仿宋_GBK" w:hAnsi="方正仿宋_GBK" w:eastAsia="方正仿宋_GBK" w:cs="方正仿宋_GBK"/>
          <w:color w:val="auto"/>
          <w:sz w:val="24"/>
          <w:szCs w:val="24"/>
          <w:highlight w:val="none"/>
        </w:rPr>
        <w:t>5、中标人提供的货物未达到招标文件规定要求，且对采购人造成损失的，由中标人承担一切责任，并赔偿所造成的损失。</w:t>
      </w:r>
      <w:bookmarkEnd w:id="87"/>
      <w:bookmarkEnd w:id="88"/>
    </w:p>
    <w:p w14:paraId="650A9E59">
      <w:pPr>
        <w:snapToGrid w:val="0"/>
        <w:ind w:firstLine="480" w:firstLineChars="200"/>
        <w:rPr>
          <w:rFonts w:ascii="方正仿宋_GBK" w:hAnsi="方正仿宋_GBK" w:eastAsia="方正仿宋_GBK" w:cs="方正仿宋_GBK"/>
          <w:color w:val="auto"/>
          <w:sz w:val="24"/>
          <w:szCs w:val="24"/>
          <w:highlight w:val="none"/>
        </w:rPr>
      </w:pPr>
      <w:bookmarkStart w:id="89" w:name="_Toc29534"/>
      <w:bookmarkStart w:id="90" w:name="_Toc17743"/>
      <w:r>
        <w:rPr>
          <w:rFonts w:hint="eastAsia" w:ascii="方正仿宋_GBK" w:hAnsi="方正仿宋_GBK" w:eastAsia="方正仿宋_GBK" w:cs="方正仿宋_GBK"/>
          <w:color w:val="auto"/>
          <w:sz w:val="24"/>
          <w:szCs w:val="24"/>
          <w:highlight w:val="none"/>
        </w:rPr>
        <w:t>6、采购人需要制造商对中标人交付的产品（包括质量、技术参数等）进行确认的，制造商应予以配合，并出具书面意见。</w:t>
      </w:r>
      <w:bookmarkEnd w:id="89"/>
      <w:bookmarkEnd w:id="90"/>
    </w:p>
    <w:p w14:paraId="470A4FC0">
      <w:pPr>
        <w:snapToGrid w:val="0"/>
        <w:ind w:firstLine="480" w:firstLineChars="200"/>
        <w:rPr>
          <w:rFonts w:ascii="方正仿宋_GBK" w:hAnsi="方正仿宋_GBK" w:eastAsia="方正仿宋_GBK" w:cs="方正仿宋_GBK"/>
          <w:color w:val="auto"/>
          <w:sz w:val="24"/>
          <w:szCs w:val="24"/>
          <w:highlight w:val="none"/>
        </w:rPr>
      </w:pPr>
      <w:bookmarkStart w:id="91" w:name="_Toc5847"/>
      <w:bookmarkStart w:id="92" w:name="_Toc28742"/>
      <w:r>
        <w:rPr>
          <w:rFonts w:hint="eastAsia" w:ascii="方正仿宋_GBK" w:hAnsi="方正仿宋_GBK" w:eastAsia="方正仿宋_GBK" w:cs="方正仿宋_GBK"/>
          <w:color w:val="auto"/>
          <w:sz w:val="24"/>
          <w:szCs w:val="24"/>
          <w:highlight w:val="none"/>
        </w:rPr>
        <w:t>7、产品交货验收时，所投产品属进口医疗器械的，需提供海关报关单和商检证明。</w:t>
      </w:r>
      <w:bookmarkEnd w:id="91"/>
      <w:bookmarkEnd w:id="92"/>
    </w:p>
    <w:p w14:paraId="7FA1A995">
      <w:pPr>
        <w:snapToGrid w:val="0"/>
        <w:ind w:firstLine="480" w:firstLineChars="200"/>
        <w:rPr>
          <w:rFonts w:ascii="方正仿宋_GBK" w:hAnsi="方正仿宋_GBK" w:eastAsia="方正仿宋_GBK" w:cs="方正仿宋_GBK"/>
          <w:color w:val="auto"/>
          <w:sz w:val="24"/>
          <w:szCs w:val="24"/>
          <w:highlight w:val="none"/>
        </w:rPr>
      </w:pPr>
      <w:bookmarkStart w:id="93" w:name="_Toc11622"/>
      <w:bookmarkStart w:id="94" w:name="_Toc1104"/>
      <w:r>
        <w:rPr>
          <w:rFonts w:hint="eastAsia" w:ascii="方正仿宋_GBK" w:hAnsi="方正仿宋_GBK" w:eastAsia="方正仿宋_GBK" w:cs="方正仿宋_GBK"/>
          <w:color w:val="auto"/>
          <w:sz w:val="24"/>
          <w:szCs w:val="24"/>
          <w:highlight w:val="none"/>
        </w:rPr>
        <w:t>8、产品包装材料归采购人所有，中标人需负责用合法方式处理包装的木质框架。</w:t>
      </w:r>
      <w:bookmarkEnd w:id="93"/>
      <w:bookmarkEnd w:id="94"/>
    </w:p>
    <w:p w14:paraId="0E73B043">
      <w:pPr>
        <w:pStyle w:val="21"/>
        <w:ind w:firstLine="240" w:firstLineChars="100"/>
        <w:rPr>
          <w:rFonts w:ascii="方正仿宋_GBK" w:hAnsi="方正仿宋_GBK" w:eastAsia="方正仿宋_GBK" w:cs="方正仿宋_GBK"/>
          <w:color w:val="auto"/>
          <w:kern w:val="2"/>
          <w:highlight w:val="none"/>
        </w:rPr>
      </w:pPr>
      <w:r>
        <w:rPr>
          <w:rFonts w:ascii="方正仿宋_GBK" w:hAnsi="方正仿宋_GBK" w:eastAsia="方正仿宋_GBK" w:cs="方正仿宋_GBK"/>
          <w:color w:val="auto"/>
          <w:kern w:val="2"/>
          <w:highlight w:val="none"/>
        </w:rPr>
        <w:t xml:space="preserve"> </w:t>
      </w:r>
      <w:r>
        <w:rPr>
          <w:rFonts w:hint="eastAsia" w:ascii="方正仿宋_GBK" w:hAnsi="方正仿宋_GBK" w:eastAsia="方正仿宋_GBK" w:cs="方正仿宋_GBK"/>
          <w:color w:val="auto"/>
          <w:kern w:val="2"/>
          <w:highlight w:val="none"/>
        </w:rPr>
        <w:t xml:space="preserve"> 9、采购人可以邀请国家认可的质量检测机构参加验收工作，费用由中标方支付。</w:t>
      </w:r>
    </w:p>
    <w:p w14:paraId="464A991B">
      <w:pPr>
        <w:pStyle w:val="21"/>
        <w:ind w:firstLine="240" w:firstLineChars="100"/>
        <w:rPr>
          <w:rFonts w:ascii="方正仿宋_GBK" w:hAnsi="方正仿宋_GBK" w:eastAsia="方正仿宋_GBK" w:cs="方正仿宋_GBK"/>
          <w:color w:val="auto"/>
          <w:kern w:val="2"/>
          <w:highlight w:val="none"/>
        </w:rPr>
      </w:pPr>
      <w:r>
        <w:rPr>
          <w:rFonts w:hint="eastAsia" w:ascii="方正仿宋_GBK" w:hAnsi="方正仿宋_GBK" w:eastAsia="方正仿宋_GBK" w:cs="方正仿宋_GBK"/>
          <w:color w:val="auto"/>
          <w:kern w:val="2"/>
          <w:highlight w:val="none"/>
        </w:rPr>
        <w:t>（四）其他服务</w:t>
      </w:r>
    </w:p>
    <w:p w14:paraId="7FD8C081">
      <w:pPr>
        <w:pStyle w:val="21"/>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highlight w:val="none"/>
        </w:rPr>
        <w:t>医院因后续有需要，有权要求中标供应商提供所有与该中标设备相关的注册证附件、资质及证书等资料。</w:t>
      </w:r>
    </w:p>
    <w:bookmarkEnd w:id="68"/>
    <w:bookmarkEnd w:id="69"/>
    <w:bookmarkEnd w:id="70"/>
    <w:bookmarkEnd w:id="71"/>
    <w:bookmarkEnd w:id="72"/>
    <w:bookmarkEnd w:id="73"/>
    <w:bookmarkEnd w:id="74"/>
    <w:p w14:paraId="473DC9C3">
      <w:pPr>
        <w:pStyle w:val="3"/>
        <w:spacing w:line="400" w:lineRule="exact"/>
        <w:rPr>
          <w:rFonts w:ascii="方正仿宋_GBK" w:eastAsia="方正仿宋_GBK"/>
          <w:color w:val="auto"/>
          <w:sz w:val="24"/>
          <w:szCs w:val="24"/>
          <w:highlight w:val="none"/>
        </w:rPr>
      </w:pPr>
      <w:bookmarkStart w:id="95" w:name="_Toc4632"/>
      <w:bookmarkStart w:id="96" w:name="_Toc23064"/>
      <w:bookmarkStart w:id="97" w:name="_Toc141259402"/>
      <w:bookmarkStart w:id="98" w:name="_Toc30266"/>
      <w:bookmarkStart w:id="99" w:name="_Toc29483"/>
      <w:bookmarkStart w:id="100" w:name="_Toc2523"/>
      <w:bookmarkStart w:id="101" w:name="_Toc521399414"/>
      <w:bookmarkStart w:id="102" w:name="_Toc1893"/>
      <w:bookmarkStart w:id="103" w:name="_Toc18901"/>
      <w:bookmarkStart w:id="104" w:name="_Toc1260"/>
      <w:r>
        <w:rPr>
          <w:rFonts w:hint="eastAsia" w:ascii="方正仿宋_GBK" w:eastAsia="方正仿宋_GBK"/>
          <w:color w:val="auto"/>
          <w:sz w:val="24"/>
          <w:szCs w:val="24"/>
          <w:highlight w:val="none"/>
        </w:rPr>
        <w:t>二、质量保证及售后服务</w:t>
      </w:r>
      <w:bookmarkEnd w:id="95"/>
      <w:bookmarkEnd w:id="96"/>
      <w:bookmarkEnd w:id="97"/>
      <w:bookmarkEnd w:id="98"/>
      <w:bookmarkEnd w:id="99"/>
      <w:bookmarkEnd w:id="100"/>
      <w:bookmarkEnd w:id="101"/>
      <w:bookmarkEnd w:id="102"/>
      <w:bookmarkEnd w:id="103"/>
      <w:bookmarkEnd w:id="104"/>
    </w:p>
    <w:p w14:paraId="1429BBC4">
      <w:pPr>
        <w:snapToGrid w:val="0"/>
        <w:spacing w:line="360" w:lineRule="exact"/>
        <w:ind w:firstLine="573"/>
        <w:rPr>
          <w:rFonts w:ascii="方正仿宋_GBK" w:hAnsi="方正仿宋_GBK" w:eastAsia="方正仿宋_GBK" w:cs="方正仿宋_GBK"/>
          <w:color w:val="auto"/>
          <w:sz w:val="24"/>
          <w:szCs w:val="24"/>
          <w:highlight w:val="none"/>
        </w:rPr>
      </w:pPr>
      <w:bookmarkStart w:id="105" w:name="_Toc9051"/>
      <w:bookmarkStart w:id="106" w:name="_Toc10119"/>
      <w:bookmarkStart w:id="107" w:name="_Toc478460688"/>
      <w:bookmarkStart w:id="108" w:name="_Toc478460242"/>
      <w:r>
        <w:rPr>
          <w:rFonts w:hint="eastAsia" w:ascii="方正仿宋_GBK" w:hAnsi="方正仿宋_GBK" w:eastAsia="方正仿宋_GBK" w:cs="方正仿宋_GBK"/>
          <w:color w:val="auto"/>
          <w:sz w:val="24"/>
          <w:szCs w:val="24"/>
          <w:highlight w:val="none"/>
        </w:rPr>
        <w:t>（一）产品质量保证期</w:t>
      </w:r>
      <w:bookmarkEnd w:id="105"/>
      <w:bookmarkEnd w:id="106"/>
    </w:p>
    <w:p w14:paraId="761470EC">
      <w:pPr>
        <w:snapToGrid w:val="0"/>
        <w:spacing w:line="360" w:lineRule="exact"/>
        <w:ind w:firstLine="573"/>
        <w:rPr>
          <w:rFonts w:ascii="方正仿宋_GBK" w:hAnsi="方正仿宋_GBK" w:eastAsia="方正仿宋_GBK" w:cs="方正仿宋_GBK"/>
          <w:color w:val="auto"/>
          <w:sz w:val="24"/>
          <w:szCs w:val="24"/>
          <w:highlight w:val="none"/>
        </w:rPr>
      </w:pPr>
      <w:bookmarkStart w:id="109" w:name="_Toc24448"/>
      <w:bookmarkStart w:id="110" w:name="_Toc32465"/>
      <w:r>
        <w:rPr>
          <w:rFonts w:hint="eastAsia" w:ascii="方正仿宋_GBK" w:hAnsi="方正仿宋_GBK" w:eastAsia="方正仿宋_GBK" w:cs="方正仿宋_GBK"/>
          <w:color w:val="auto"/>
          <w:sz w:val="24"/>
          <w:szCs w:val="24"/>
          <w:highlight w:val="none"/>
        </w:rPr>
        <w:t>1、投标人应明确承诺：</w:t>
      </w:r>
      <w:r>
        <w:rPr>
          <w:rFonts w:hint="eastAsia" w:ascii="方正仿宋_GBK" w:hAnsi="方正仿宋_GBK" w:eastAsia="方正仿宋_GBK" w:cs="方正仿宋_GBK"/>
          <w:color w:val="auto"/>
          <w:sz w:val="24"/>
          <w:szCs w:val="24"/>
          <w:highlight w:val="none"/>
          <w:lang w:val="en-US" w:eastAsia="zh-CN"/>
        </w:rPr>
        <w:t>整机</w:t>
      </w:r>
      <w:r>
        <w:rPr>
          <w:rFonts w:hint="eastAsia" w:ascii="方正仿宋_GBK" w:hAnsi="方正仿宋_GBK" w:eastAsia="方正仿宋_GBK" w:cs="方正仿宋_GBK"/>
          <w:color w:val="auto"/>
          <w:sz w:val="24"/>
          <w:szCs w:val="24"/>
          <w:highlight w:val="none"/>
        </w:rPr>
        <w:t>免费质保期</w:t>
      </w:r>
      <w:r>
        <w:rPr>
          <w:rFonts w:hint="eastAsia" w:ascii="方正仿宋_GBK" w:hAnsi="方正仿宋_GBK" w:eastAsia="方正仿宋_GBK" w:cs="方正仿宋_GBK"/>
          <w:color w:val="auto"/>
          <w:sz w:val="24"/>
          <w:szCs w:val="24"/>
          <w:highlight w:val="none"/>
          <w:lang w:val="en-US" w:eastAsia="zh-CN"/>
        </w:rPr>
        <w:t>叁</w:t>
      </w:r>
      <w:r>
        <w:rPr>
          <w:rFonts w:hint="eastAsia" w:ascii="方正仿宋_GBK" w:hAnsi="方正仿宋_GBK" w:eastAsia="方正仿宋_GBK" w:cs="方正仿宋_GBK"/>
          <w:color w:val="auto"/>
          <w:sz w:val="24"/>
          <w:szCs w:val="24"/>
          <w:highlight w:val="none"/>
        </w:rPr>
        <w:t>年</w:t>
      </w:r>
      <w:bookmarkEnd w:id="109"/>
      <w:bookmarkEnd w:id="110"/>
      <w:r>
        <w:rPr>
          <w:rFonts w:hint="eastAsia" w:ascii="方正仿宋_GBK" w:hAnsi="方正仿宋_GBK" w:eastAsia="方正仿宋_GBK" w:cs="方正仿宋_GBK"/>
          <w:color w:val="auto"/>
          <w:sz w:val="24"/>
          <w:szCs w:val="24"/>
          <w:highlight w:val="none"/>
        </w:rPr>
        <w:t>。</w:t>
      </w:r>
    </w:p>
    <w:p w14:paraId="4D3D2361">
      <w:pPr>
        <w:snapToGrid w:val="0"/>
        <w:spacing w:line="360" w:lineRule="exact"/>
        <w:ind w:firstLine="573"/>
        <w:rPr>
          <w:rFonts w:ascii="方正仿宋_GBK" w:hAnsi="方正仿宋_GBK" w:eastAsia="方正仿宋_GBK" w:cs="方正仿宋_GBK"/>
          <w:color w:val="auto"/>
          <w:sz w:val="24"/>
          <w:szCs w:val="24"/>
          <w:highlight w:val="none"/>
        </w:rPr>
      </w:pPr>
      <w:bookmarkStart w:id="111" w:name="_Toc16604"/>
      <w:bookmarkStart w:id="112" w:name="_Toc9165"/>
      <w:r>
        <w:rPr>
          <w:rFonts w:hint="eastAsia" w:ascii="方正仿宋_GBK" w:hAnsi="方正仿宋_GBK" w:eastAsia="方正仿宋_GBK" w:cs="方正仿宋_GBK"/>
          <w:color w:val="auto"/>
          <w:sz w:val="24"/>
          <w:szCs w:val="24"/>
          <w:highlight w:val="none"/>
        </w:rPr>
        <w:t>2、投标产品属于国家规定“三包”范围的，其产品质量保证期不得低于“三包”规定。</w:t>
      </w:r>
      <w:bookmarkEnd w:id="111"/>
      <w:bookmarkEnd w:id="112"/>
    </w:p>
    <w:p w14:paraId="6DAB8F39">
      <w:pPr>
        <w:snapToGrid w:val="0"/>
        <w:spacing w:line="360" w:lineRule="exact"/>
        <w:ind w:firstLine="573"/>
        <w:rPr>
          <w:rFonts w:ascii="方正仿宋_GBK" w:hAnsi="方正仿宋_GBK" w:eastAsia="方正仿宋_GBK" w:cs="方正仿宋_GBK"/>
          <w:color w:val="auto"/>
          <w:sz w:val="24"/>
          <w:szCs w:val="24"/>
          <w:highlight w:val="none"/>
        </w:rPr>
      </w:pPr>
      <w:bookmarkStart w:id="113" w:name="_Toc8416"/>
      <w:bookmarkStart w:id="114" w:name="_Toc2414"/>
      <w:r>
        <w:rPr>
          <w:rFonts w:hint="eastAsia" w:ascii="方正仿宋_GBK" w:hAnsi="方正仿宋_GBK" w:eastAsia="方正仿宋_GBK" w:cs="方正仿宋_GBK"/>
          <w:color w:val="auto"/>
          <w:sz w:val="24"/>
          <w:szCs w:val="24"/>
          <w:highlight w:val="none"/>
        </w:rPr>
        <w:t>3、投标人的质量保证期承诺优于国家“三包”规定的，按投标人实际承诺执行。</w:t>
      </w:r>
      <w:bookmarkEnd w:id="113"/>
      <w:bookmarkEnd w:id="114"/>
    </w:p>
    <w:p w14:paraId="0CCEA12F">
      <w:pPr>
        <w:snapToGrid w:val="0"/>
        <w:spacing w:line="360" w:lineRule="exact"/>
        <w:ind w:firstLine="573"/>
        <w:rPr>
          <w:rFonts w:ascii="方正仿宋_GBK" w:hAnsi="方正仿宋_GBK" w:eastAsia="方正仿宋_GBK" w:cs="方正仿宋_GBK"/>
          <w:color w:val="auto"/>
          <w:sz w:val="24"/>
          <w:szCs w:val="24"/>
          <w:highlight w:val="none"/>
        </w:rPr>
      </w:pPr>
      <w:bookmarkStart w:id="115" w:name="_Toc21686"/>
      <w:bookmarkStart w:id="116" w:name="_Toc10944"/>
      <w:r>
        <w:rPr>
          <w:rFonts w:hint="eastAsia" w:ascii="方正仿宋_GBK" w:hAnsi="方正仿宋_GBK" w:eastAsia="方正仿宋_GBK" w:cs="方正仿宋_GBK"/>
          <w:color w:val="auto"/>
          <w:sz w:val="24"/>
          <w:szCs w:val="24"/>
          <w:highlight w:val="none"/>
        </w:rPr>
        <w:t>4、投标产品由制造商（指产品生产制造商或其负责售后服务机构，以下同）负责标准售后服务的，应当在投标文件中予以明确说明，并附制造商售后服务承诺。</w:t>
      </w:r>
      <w:bookmarkEnd w:id="115"/>
      <w:bookmarkEnd w:id="116"/>
    </w:p>
    <w:p w14:paraId="5B4A0565">
      <w:pPr>
        <w:snapToGrid w:val="0"/>
        <w:spacing w:line="360" w:lineRule="exact"/>
        <w:ind w:firstLine="573"/>
        <w:rPr>
          <w:rFonts w:ascii="方正仿宋_GBK" w:hAnsi="方正仿宋_GBK" w:eastAsia="方正仿宋_GBK" w:cs="方正仿宋_GBK"/>
          <w:color w:val="auto"/>
          <w:sz w:val="24"/>
          <w:szCs w:val="24"/>
          <w:highlight w:val="none"/>
        </w:rPr>
      </w:pPr>
      <w:bookmarkStart w:id="117" w:name="_Toc23810"/>
      <w:bookmarkStart w:id="118" w:name="_Toc8281"/>
      <w:r>
        <w:rPr>
          <w:rFonts w:hint="eastAsia" w:ascii="方正仿宋_GBK" w:hAnsi="方正仿宋_GBK" w:eastAsia="方正仿宋_GBK" w:cs="方正仿宋_GBK"/>
          <w:color w:val="auto"/>
          <w:sz w:val="24"/>
          <w:szCs w:val="24"/>
          <w:highlight w:val="none"/>
        </w:rPr>
        <w:t>包装标准：按国家有关规定进行包装，因包装不当引起的损坏等责任由中标人承担。</w:t>
      </w:r>
      <w:bookmarkEnd w:id="117"/>
      <w:bookmarkEnd w:id="118"/>
    </w:p>
    <w:p w14:paraId="4BB6B8B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5、货物质量保证：供方提供的货物必须是原厂生产的、全新的、未使用过的正品（包括零部件），并完全符合国家质量标准，附正品说明，合格证。所有产品符合相关行业管理规定。</w:t>
      </w:r>
    </w:p>
    <w:p w14:paraId="384DEDE5">
      <w:pPr>
        <w:ind w:firstLine="480" w:firstLineChars="200"/>
        <w:rPr>
          <w:rFonts w:ascii="方正仿宋_GBK" w:hAnsi="方正仿宋_GBK" w:eastAsia="方正仿宋_GBK" w:cs="方正仿宋_GBK"/>
          <w:color w:val="auto"/>
          <w:sz w:val="24"/>
          <w:szCs w:val="24"/>
          <w:highlight w:val="none"/>
        </w:rPr>
      </w:pPr>
      <w:r>
        <w:rPr>
          <w:rFonts w:hint="eastAsia" w:ascii="方正仿宋_GBK" w:hAnsi="宋体" w:eastAsia="方正仿宋_GBK" w:cs="宋体"/>
          <w:color w:val="auto"/>
          <w:kern w:val="0"/>
          <w:sz w:val="24"/>
          <w:szCs w:val="24"/>
          <w:highlight w:val="none"/>
        </w:rPr>
        <w:t>6、权利保证：供方应保证需方在使用货物或技术服务不受第三方关于侵犯其所有权、专利权、商标权、设计权、著作权等指控。</w:t>
      </w:r>
    </w:p>
    <w:p w14:paraId="0B2BD81C">
      <w:pPr>
        <w:snapToGrid w:val="0"/>
        <w:spacing w:line="360" w:lineRule="exact"/>
        <w:ind w:firstLine="573"/>
        <w:rPr>
          <w:rFonts w:ascii="方正仿宋_GBK" w:hAnsi="方正仿宋_GBK" w:eastAsia="方正仿宋_GBK" w:cs="方正仿宋_GBK"/>
          <w:color w:val="auto"/>
          <w:sz w:val="24"/>
          <w:szCs w:val="24"/>
          <w:highlight w:val="none"/>
        </w:rPr>
      </w:pPr>
      <w:bookmarkStart w:id="119" w:name="_Toc599"/>
      <w:bookmarkStart w:id="120" w:name="_Toc14950"/>
      <w:r>
        <w:rPr>
          <w:rFonts w:hint="eastAsia" w:ascii="方正仿宋_GBK" w:hAnsi="方正仿宋_GBK" w:eastAsia="方正仿宋_GBK" w:cs="方正仿宋_GBK"/>
          <w:color w:val="auto"/>
          <w:sz w:val="24"/>
          <w:szCs w:val="24"/>
          <w:highlight w:val="none"/>
        </w:rPr>
        <w:t>（二）售后服务内容</w:t>
      </w:r>
      <w:bookmarkEnd w:id="119"/>
      <w:bookmarkEnd w:id="120"/>
    </w:p>
    <w:p w14:paraId="48E70F8E">
      <w:pPr>
        <w:snapToGrid w:val="0"/>
        <w:spacing w:line="360" w:lineRule="exact"/>
        <w:ind w:firstLine="573"/>
        <w:rPr>
          <w:rFonts w:ascii="方正仿宋_GBK" w:hAnsi="方正仿宋_GBK" w:eastAsia="方正仿宋_GBK" w:cs="方正仿宋_GBK"/>
          <w:color w:val="auto"/>
          <w:sz w:val="24"/>
          <w:szCs w:val="24"/>
          <w:highlight w:val="none"/>
        </w:rPr>
      </w:pPr>
      <w:bookmarkStart w:id="121" w:name="_Toc26035"/>
      <w:bookmarkStart w:id="122" w:name="_Toc23117"/>
      <w:r>
        <w:rPr>
          <w:rFonts w:hint="eastAsia" w:ascii="方正仿宋_GBK" w:hAnsi="方正仿宋_GBK" w:eastAsia="方正仿宋_GBK" w:cs="方正仿宋_GBK"/>
          <w:color w:val="auto"/>
          <w:sz w:val="24"/>
          <w:szCs w:val="24"/>
          <w:highlight w:val="none"/>
        </w:rPr>
        <w:t>1、投标人和制造商在质量保证期内应当为采购人提供以下技术支持和服务：</w:t>
      </w:r>
      <w:bookmarkEnd w:id="121"/>
      <w:bookmarkEnd w:id="122"/>
    </w:p>
    <w:p w14:paraId="3AE006E0">
      <w:pPr>
        <w:snapToGrid w:val="0"/>
        <w:spacing w:line="360" w:lineRule="exact"/>
        <w:ind w:firstLine="573"/>
        <w:rPr>
          <w:rFonts w:ascii="方正仿宋_GBK" w:hAnsi="方正仿宋_GBK" w:eastAsia="方正仿宋_GBK" w:cs="方正仿宋_GBK"/>
          <w:color w:val="auto"/>
          <w:sz w:val="24"/>
          <w:szCs w:val="24"/>
          <w:highlight w:val="none"/>
        </w:rPr>
      </w:pPr>
      <w:bookmarkStart w:id="123" w:name="_Toc27277"/>
      <w:bookmarkStart w:id="124" w:name="_Toc16787"/>
      <w:r>
        <w:rPr>
          <w:rFonts w:hint="eastAsia" w:ascii="方正仿宋_GBK" w:hAnsi="方正仿宋_GBK" w:eastAsia="方正仿宋_GBK" w:cs="方正仿宋_GBK"/>
          <w:color w:val="auto"/>
          <w:sz w:val="24"/>
          <w:szCs w:val="24"/>
          <w:highlight w:val="none"/>
        </w:rPr>
        <w:t>（1）电话咨询</w:t>
      </w:r>
      <w:bookmarkEnd w:id="123"/>
      <w:bookmarkEnd w:id="124"/>
    </w:p>
    <w:p w14:paraId="7036C0D3">
      <w:pPr>
        <w:snapToGrid w:val="0"/>
        <w:spacing w:line="360" w:lineRule="exact"/>
        <w:ind w:firstLine="573"/>
        <w:rPr>
          <w:rFonts w:ascii="方正仿宋_GBK" w:hAnsi="方正仿宋_GBK" w:eastAsia="方正仿宋_GBK" w:cs="方正仿宋_GBK"/>
          <w:color w:val="auto"/>
          <w:sz w:val="24"/>
          <w:szCs w:val="24"/>
          <w:highlight w:val="none"/>
        </w:rPr>
      </w:pPr>
      <w:bookmarkStart w:id="125" w:name="_Toc10561"/>
      <w:bookmarkStart w:id="126" w:name="_Toc11876"/>
      <w:r>
        <w:rPr>
          <w:rFonts w:hint="eastAsia" w:ascii="方正仿宋_GBK" w:hAnsi="方正仿宋_GBK" w:eastAsia="方正仿宋_GBK" w:cs="方正仿宋_GBK"/>
          <w:color w:val="auto"/>
          <w:sz w:val="24"/>
          <w:szCs w:val="24"/>
          <w:highlight w:val="none"/>
        </w:rPr>
        <w:t>中标人和制造商应当为采购人提供技术援助电话，解答采购人在使用中遇到的问题，及时为采购人提出解决问题的建议。</w:t>
      </w:r>
      <w:bookmarkEnd w:id="125"/>
      <w:bookmarkEnd w:id="126"/>
    </w:p>
    <w:p w14:paraId="123DF9FD">
      <w:pPr>
        <w:snapToGrid w:val="0"/>
        <w:spacing w:line="360" w:lineRule="exact"/>
        <w:ind w:firstLine="573"/>
        <w:rPr>
          <w:rFonts w:ascii="方正仿宋_GBK" w:hAnsi="方正仿宋_GBK" w:eastAsia="方正仿宋_GBK" w:cs="方正仿宋_GBK"/>
          <w:color w:val="auto"/>
          <w:sz w:val="24"/>
          <w:szCs w:val="24"/>
          <w:highlight w:val="none"/>
        </w:rPr>
      </w:pPr>
      <w:bookmarkStart w:id="127" w:name="_Toc3613"/>
      <w:bookmarkStart w:id="128" w:name="_Toc608"/>
      <w:r>
        <w:rPr>
          <w:rFonts w:hint="eastAsia" w:ascii="方正仿宋_GBK" w:hAnsi="方正仿宋_GBK" w:eastAsia="方正仿宋_GBK" w:cs="方正仿宋_GBK"/>
          <w:color w:val="auto"/>
          <w:sz w:val="24"/>
          <w:szCs w:val="24"/>
          <w:highlight w:val="none"/>
        </w:rPr>
        <w:t>（2）现场响应</w:t>
      </w:r>
      <w:bookmarkEnd w:id="127"/>
      <w:bookmarkEnd w:id="128"/>
    </w:p>
    <w:p w14:paraId="704A023B">
      <w:pPr>
        <w:snapToGrid w:val="0"/>
        <w:spacing w:line="360" w:lineRule="exact"/>
        <w:ind w:firstLine="573"/>
        <w:rPr>
          <w:rFonts w:ascii="方正仿宋_GBK" w:hAnsi="方正仿宋_GBK" w:eastAsia="方正仿宋_GBK" w:cs="方正仿宋_GBK"/>
          <w:color w:val="auto"/>
          <w:sz w:val="24"/>
          <w:szCs w:val="24"/>
          <w:highlight w:val="none"/>
        </w:rPr>
      </w:pPr>
      <w:bookmarkStart w:id="129" w:name="_Toc19578"/>
      <w:bookmarkStart w:id="130" w:name="_Toc17894"/>
      <w:r>
        <w:rPr>
          <w:rFonts w:hint="eastAsia" w:ascii="方正仿宋_GBK" w:hAnsi="方正仿宋_GBK" w:eastAsia="方正仿宋_GBK" w:cs="方正仿宋_GBK"/>
          <w:color w:val="auto"/>
          <w:sz w:val="24"/>
          <w:szCs w:val="24"/>
          <w:highlight w:val="none"/>
        </w:rPr>
        <w:t>采购人遇到使用及技术问题，电话咨询不能解决的，中标人和制造商应在24小时内到达现场进行处理，确保产品正常工作；无法在48小时内解决的，应在72小时内提供备用产品及配件，使采购人能够正常使用。</w:t>
      </w:r>
      <w:bookmarkEnd w:id="129"/>
      <w:bookmarkEnd w:id="130"/>
    </w:p>
    <w:p w14:paraId="6BA3550E">
      <w:pPr>
        <w:snapToGrid w:val="0"/>
        <w:spacing w:line="360" w:lineRule="exact"/>
        <w:ind w:firstLine="573"/>
        <w:rPr>
          <w:rFonts w:ascii="方正仿宋_GBK" w:hAnsi="方正仿宋_GBK" w:eastAsia="方正仿宋_GBK" w:cs="方正仿宋_GBK"/>
          <w:color w:val="auto"/>
          <w:sz w:val="24"/>
          <w:szCs w:val="24"/>
          <w:highlight w:val="none"/>
        </w:rPr>
      </w:pPr>
      <w:bookmarkStart w:id="131" w:name="_Toc20382"/>
      <w:bookmarkStart w:id="132" w:name="_Toc7161"/>
      <w:r>
        <w:rPr>
          <w:rFonts w:hint="eastAsia" w:ascii="方正仿宋_GBK" w:hAnsi="方正仿宋_GBK" w:eastAsia="方正仿宋_GBK" w:cs="方正仿宋_GBK"/>
          <w:color w:val="auto"/>
          <w:sz w:val="24"/>
          <w:szCs w:val="24"/>
          <w:highlight w:val="none"/>
        </w:rPr>
        <w:t>（3）技术升级</w:t>
      </w:r>
      <w:bookmarkEnd w:id="131"/>
      <w:bookmarkEnd w:id="132"/>
    </w:p>
    <w:p w14:paraId="61649401">
      <w:pPr>
        <w:snapToGrid w:val="0"/>
        <w:spacing w:line="360" w:lineRule="exact"/>
        <w:ind w:firstLine="573"/>
        <w:rPr>
          <w:rFonts w:ascii="方正仿宋_GBK" w:hAnsi="方正仿宋_GBK" w:eastAsia="方正仿宋_GBK" w:cs="方正仿宋_GBK"/>
          <w:color w:val="auto"/>
          <w:sz w:val="24"/>
          <w:szCs w:val="24"/>
          <w:highlight w:val="none"/>
        </w:rPr>
      </w:pPr>
      <w:bookmarkStart w:id="133" w:name="_Toc15729"/>
      <w:bookmarkStart w:id="134" w:name="_Toc22913"/>
      <w:r>
        <w:rPr>
          <w:rFonts w:hint="eastAsia" w:ascii="方正仿宋_GBK" w:hAnsi="方正仿宋_GBK" w:eastAsia="方正仿宋_GBK" w:cs="方正仿宋_GBK"/>
          <w:color w:val="auto"/>
          <w:sz w:val="24"/>
          <w:szCs w:val="24"/>
          <w:highlight w:val="none"/>
        </w:rPr>
        <w:t>中标人和制造商应对采购人购买的产品终身免费进行升级服务。</w:t>
      </w:r>
      <w:bookmarkEnd w:id="133"/>
      <w:bookmarkEnd w:id="134"/>
    </w:p>
    <w:p w14:paraId="0EF19110">
      <w:pPr>
        <w:snapToGrid w:val="0"/>
        <w:spacing w:line="360" w:lineRule="exact"/>
        <w:ind w:firstLine="573"/>
        <w:rPr>
          <w:rFonts w:ascii="方正仿宋_GBK" w:hAnsi="方正仿宋_GBK" w:eastAsia="方正仿宋_GBK" w:cs="方正仿宋_GBK"/>
          <w:color w:val="auto"/>
          <w:sz w:val="24"/>
          <w:szCs w:val="24"/>
          <w:highlight w:val="none"/>
        </w:rPr>
      </w:pPr>
      <w:bookmarkStart w:id="135" w:name="_Toc14456"/>
      <w:bookmarkStart w:id="136" w:name="_Toc15502"/>
      <w:r>
        <w:rPr>
          <w:rFonts w:hint="eastAsia" w:ascii="方正仿宋_GBK" w:hAnsi="方正仿宋_GBK" w:eastAsia="方正仿宋_GBK" w:cs="方正仿宋_GBK"/>
          <w:color w:val="auto"/>
          <w:sz w:val="24"/>
          <w:szCs w:val="24"/>
          <w:highlight w:val="none"/>
        </w:rPr>
        <w:t>（4）维护保养</w:t>
      </w:r>
      <w:bookmarkEnd w:id="135"/>
      <w:bookmarkEnd w:id="136"/>
    </w:p>
    <w:p w14:paraId="57B80AB3">
      <w:pPr>
        <w:snapToGrid w:val="0"/>
        <w:spacing w:line="360" w:lineRule="exact"/>
        <w:ind w:firstLine="573"/>
        <w:rPr>
          <w:rFonts w:ascii="方正仿宋_GBK" w:hAnsi="方正仿宋_GBK" w:eastAsia="方正仿宋_GBK" w:cs="方正仿宋_GBK"/>
          <w:color w:val="auto"/>
          <w:sz w:val="24"/>
          <w:szCs w:val="24"/>
          <w:highlight w:val="none"/>
        </w:rPr>
      </w:pPr>
      <w:bookmarkStart w:id="137" w:name="_Toc8555"/>
      <w:bookmarkStart w:id="138" w:name="_Toc2449"/>
      <w:r>
        <w:rPr>
          <w:rFonts w:hint="eastAsia" w:ascii="方正仿宋_GBK" w:hAnsi="方正仿宋_GBK" w:eastAsia="方正仿宋_GBK" w:cs="方正仿宋_GBK"/>
          <w:color w:val="auto"/>
          <w:sz w:val="24"/>
          <w:szCs w:val="24"/>
          <w:highlight w:val="none"/>
        </w:rPr>
        <w:t>质保期内，中标人应每季度到医院对机器维护保养，并且做好维护保养记录；每次维护必须到医院后勤科（设备管理员）处登记备案。每次维护记录交医院设备管理员放入设备档案内，作为支付尾款的作证材料之一。</w:t>
      </w:r>
      <w:bookmarkEnd w:id="137"/>
      <w:bookmarkEnd w:id="138"/>
    </w:p>
    <w:p w14:paraId="7D9EE7F1">
      <w:pPr>
        <w:snapToGrid w:val="0"/>
        <w:spacing w:line="360" w:lineRule="exact"/>
        <w:ind w:firstLine="573"/>
        <w:rPr>
          <w:rFonts w:ascii="方正仿宋_GBK" w:hAnsi="方正仿宋_GBK" w:eastAsia="方正仿宋_GBK" w:cs="方正仿宋_GBK"/>
          <w:color w:val="auto"/>
          <w:sz w:val="24"/>
          <w:szCs w:val="24"/>
          <w:highlight w:val="none"/>
        </w:rPr>
      </w:pPr>
      <w:bookmarkStart w:id="139" w:name="_Toc24743"/>
      <w:bookmarkStart w:id="140" w:name="_Toc26102"/>
      <w:r>
        <w:rPr>
          <w:rFonts w:hint="eastAsia" w:ascii="方正仿宋_GBK" w:hAnsi="方正仿宋_GBK" w:eastAsia="方正仿宋_GBK" w:cs="方正仿宋_GBK"/>
          <w:color w:val="auto"/>
          <w:sz w:val="24"/>
          <w:szCs w:val="24"/>
          <w:highlight w:val="none"/>
        </w:rPr>
        <w:t>2、质保期外服务要求</w:t>
      </w:r>
      <w:bookmarkEnd w:id="139"/>
      <w:bookmarkEnd w:id="140"/>
    </w:p>
    <w:p w14:paraId="58D5FC6D">
      <w:pPr>
        <w:snapToGrid w:val="0"/>
        <w:spacing w:line="360" w:lineRule="exact"/>
        <w:ind w:firstLine="573"/>
        <w:rPr>
          <w:rFonts w:ascii="方正仿宋_GBK" w:hAnsi="方正仿宋_GBK" w:eastAsia="方正仿宋_GBK" w:cs="方正仿宋_GBK"/>
          <w:color w:val="auto"/>
          <w:sz w:val="24"/>
          <w:szCs w:val="24"/>
          <w:highlight w:val="none"/>
        </w:rPr>
      </w:pPr>
      <w:bookmarkStart w:id="141" w:name="_Toc2417"/>
      <w:bookmarkStart w:id="142" w:name="_Toc10087"/>
      <w:r>
        <w:rPr>
          <w:rFonts w:hint="eastAsia" w:ascii="方正仿宋_GBK" w:hAnsi="方正仿宋_GBK" w:eastAsia="方正仿宋_GBK" w:cs="方正仿宋_GBK"/>
          <w:color w:val="auto"/>
          <w:sz w:val="24"/>
          <w:szCs w:val="24"/>
          <w:highlight w:val="none"/>
        </w:rPr>
        <w:t>（1）质量保证期过后，中标人和制造商应同样提供免费电话咨询服务，并应承诺提供产品上门维护服务。</w:t>
      </w:r>
      <w:bookmarkEnd w:id="141"/>
      <w:bookmarkEnd w:id="142"/>
    </w:p>
    <w:p w14:paraId="089D8BB4">
      <w:pPr>
        <w:snapToGrid w:val="0"/>
        <w:spacing w:line="360" w:lineRule="exact"/>
        <w:ind w:firstLine="573"/>
        <w:rPr>
          <w:rFonts w:ascii="方正仿宋_GBK" w:hAnsi="方正仿宋_GBK" w:eastAsia="方正仿宋_GBK" w:cs="方正仿宋_GBK"/>
          <w:color w:val="auto"/>
          <w:sz w:val="24"/>
          <w:szCs w:val="24"/>
          <w:highlight w:val="none"/>
        </w:rPr>
      </w:pPr>
      <w:bookmarkStart w:id="143" w:name="_Toc7522"/>
      <w:bookmarkStart w:id="144" w:name="_Toc15501"/>
      <w:r>
        <w:rPr>
          <w:rFonts w:hint="eastAsia" w:ascii="方正仿宋_GBK" w:hAnsi="方正仿宋_GBK" w:eastAsia="方正仿宋_GBK" w:cs="方正仿宋_GBK"/>
          <w:color w:val="auto"/>
          <w:sz w:val="24"/>
          <w:szCs w:val="24"/>
          <w:highlight w:val="none"/>
        </w:rPr>
        <w:t>（2）质量保证期过后，采购人需要继续由中标人和制造商提供售后服务的，该中标人和制造商应以优惠价格提供售后服务。</w:t>
      </w:r>
      <w:bookmarkEnd w:id="143"/>
      <w:bookmarkEnd w:id="144"/>
    </w:p>
    <w:p w14:paraId="01F17B5A">
      <w:pPr>
        <w:snapToGrid w:val="0"/>
        <w:spacing w:line="360" w:lineRule="exact"/>
        <w:ind w:firstLine="573"/>
        <w:rPr>
          <w:rFonts w:ascii="方正仿宋_GBK" w:hAnsi="方正仿宋_GBK" w:eastAsia="方正仿宋_GBK" w:cs="方正仿宋_GBK"/>
          <w:color w:val="auto"/>
          <w:sz w:val="24"/>
          <w:szCs w:val="24"/>
          <w:highlight w:val="none"/>
        </w:rPr>
      </w:pPr>
      <w:bookmarkStart w:id="145" w:name="_Toc7323"/>
      <w:bookmarkStart w:id="146" w:name="_Toc11604"/>
      <w:r>
        <w:rPr>
          <w:rFonts w:hint="eastAsia" w:ascii="方正仿宋_GBK" w:hAnsi="方正仿宋_GBK" w:eastAsia="方正仿宋_GBK" w:cs="方正仿宋_GBK"/>
          <w:color w:val="auto"/>
          <w:sz w:val="24"/>
          <w:szCs w:val="24"/>
          <w:highlight w:val="none"/>
        </w:rPr>
        <w:t>（三）备品备件及易损件</w:t>
      </w:r>
      <w:bookmarkEnd w:id="145"/>
      <w:bookmarkEnd w:id="146"/>
    </w:p>
    <w:p w14:paraId="7443ED71">
      <w:pPr>
        <w:snapToGrid w:val="0"/>
        <w:spacing w:line="360" w:lineRule="exact"/>
        <w:ind w:firstLine="573"/>
        <w:rPr>
          <w:rFonts w:ascii="方正仿宋_GBK" w:hAnsi="方正仿宋_GBK" w:eastAsia="方正仿宋_GBK" w:cs="方正仿宋_GBK"/>
          <w:color w:val="auto"/>
          <w:sz w:val="24"/>
          <w:szCs w:val="24"/>
          <w:highlight w:val="none"/>
        </w:rPr>
      </w:pPr>
      <w:bookmarkStart w:id="147" w:name="_Toc30235"/>
      <w:bookmarkStart w:id="148" w:name="_Toc23070"/>
      <w:r>
        <w:rPr>
          <w:rFonts w:hint="eastAsia" w:ascii="方正仿宋_GBK" w:hAnsi="方正仿宋_GBK" w:eastAsia="方正仿宋_GBK" w:cs="方正仿宋_GBK"/>
          <w:color w:val="auto"/>
          <w:sz w:val="24"/>
          <w:szCs w:val="24"/>
          <w:highlight w:val="none"/>
        </w:rPr>
        <w:t>中标人和制造商售后服务中，维修使用的备品备件及易损件应为原厂配件，未经采购人同意不得使用非原厂配件。</w:t>
      </w:r>
      <w:bookmarkEnd w:id="147"/>
      <w:bookmarkEnd w:id="148"/>
    </w:p>
    <w:bookmarkEnd w:id="107"/>
    <w:bookmarkEnd w:id="108"/>
    <w:p w14:paraId="3F44EF5F">
      <w:pPr>
        <w:pStyle w:val="3"/>
        <w:spacing w:line="400" w:lineRule="exact"/>
        <w:ind w:firstLine="482" w:firstLineChars="200"/>
        <w:rPr>
          <w:rFonts w:ascii="方正仿宋_GBK" w:eastAsia="方正仿宋_GBK"/>
          <w:color w:val="auto"/>
          <w:sz w:val="24"/>
          <w:szCs w:val="24"/>
          <w:highlight w:val="none"/>
        </w:rPr>
      </w:pPr>
      <w:bookmarkStart w:id="149" w:name="_Toc31433"/>
      <w:bookmarkStart w:id="150" w:name="_Toc17320"/>
      <w:bookmarkStart w:id="151" w:name="_Toc31212"/>
      <w:bookmarkStart w:id="152" w:name="_Toc18137"/>
      <w:bookmarkStart w:id="153" w:name="_Toc1693"/>
      <w:bookmarkStart w:id="154" w:name="_Toc141259403"/>
      <w:bookmarkStart w:id="155" w:name="_Toc2927"/>
      <w:r>
        <w:rPr>
          <w:rFonts w:hint="eastAsia" w:ascii="方正仿宋_GBK" w:eastAsia="方正仿宋_GBK"/>
          <w:color w:val="auto"/>
          <w:sz w:val="24"/>
          <w:szCs w:val="24"/>
          <w:highlight w:val="none"/>
        </w:rPr>
        <w:t>三、付款方式</w:t>
      </w:r>
      <w:bookmarkEnd w:id="149"/>
      <w:bookmarkEnd w:id="150"/>
      <w:bookmarkEnd w:id="151"/>
      <w:bookmarkEnd w:id="152"/>
      <w:bookmarkEnd w:id="153"/>
      <w:bookmarkEnd w:id="154"/>
      <w:bookmarkEnd w:id="155"/>
    </w:p>
    <w:p w14:paraId="71ACB388">
      <w:pPr>
        <w:snapToGrid w:val="0"/>
        <w:spacing w:line="360" w:lineRule="exact"/>
        <w:ind w:firstLine="573"/>
        <w:rPr>
          <w:rFonts w:ascii="方正仿宋_GBK" w:hAnsi="方正仿宋_GBK" w:eastAsia="方正仿宋_GBK" w:cs="方正仿宋_GBK"/>
          <w:color w:val="auto"/>
          <w:sz w:val="24"/>
          <w:szCs w:val="24"/>
          <w:highlight w:val="none"/>
        </w:rPr>
      </w:pPr>
      <w:bookmarkStart w:id="156" w:name="_Toc26956"/>
      <w:bookmarkStart w:id="157" w:name="_Toc30883"/>
      <w:bookmarkStart w:id="158" w:name="_Toc28354"/>
      <w:bookmarkStart w:id="159" w:name="_Toc9476"/>
      <w:bookmarkStart w:id="160" w:name="_Toc12278"/>
      <w:r>
        <w:rPr>
          <w:rFonts w:hint="eastAsia" w:ascii="方正仿宋_GBK" w:hAnsi="方正仿宋_GBK" w:eastAsia="方正仿宋_GBK" w:cs="方正仿宋_GBK"/>
          <w:color w:val="auto"/>
          <w:sz w:val="24"/>
          <w:szCs w:val="24"/>
          <w:highlight w:val="none"/>
        </w:rPr>
        <w:t>（1）中标公司在中标后5个工作日内向采购单位缴纳中标金额10%的履约保证金（通过公司账户转账到采购人指定账户并注明采购项目名称）；未按期缴纳者作废标处理。</w:t>
      </w:r>
    </w:p>
    <w:p w14:paraId="6C0FAEE9">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（2）中标人按采购合同交货并安装调试、培训完成、在完成最终验收工作后90个日历日内，采购人向中标人支付合同金额100%货款。</w:t>
      </w:r>
    </w:p>
    <w:p w14:paraId="63B575B3">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（3）履约保证金在最终验收合格后，自动转为质保金，质保金在质保期满并验收合格后无息退还。</w:t>
      </w:r>
    </w:p>
    <w:p w14:paraId="4AAE53F0">
      <w:pPr>
        <w:pStyle w:val="3"/>
        <w:spacing w:line="400" w:lineRule="exact"/>
        <w:ind w:firstLine="482" w:firstLineChars="200"/>
        <w:rPr>
          <w:rFonts w:ascii="方正仿宋_GBK" w:eastAsia="方正仿宋_GBK"/>
          <w:color w:val="auto"/>
          <w:sz w:val="24"/>
          <w:szCs w:val="24"/>
          <w:highlight w:val="none"/>
        </w:rPr>
      </w:pPr>
      <w:bookmarkStart w:id="161" w:name="_Toc141259404"/>
      <w:r>
        <w:rPr>
          <w:rFonts w:hint="eastAsia" w:ascii="方正仿宋_GBK" w:eastAsia="方正仿宋_GBK"/>
          <w:color w:val="auto"/>
          <w:sz w:val="24"/>
          <w:szCs w:val="24"/>
          <w:highlight w:val="none"/>
        </w:rPr>
        <w:t>四、知识产权</w:t>
      </w:r>
      <w:bookmarkEnd w:id="156"/>
      <w:bookmarkEnd w:id="157"/>
      <w:bookmarkEnd w:id="158"/>
      <w:bookmarkEnd w:id="159"/>
      <w:bookmarkEnd w:id="160"/>
      <w:bookmarkEnd w:id="161"/>
    </w:p>
    <w:p w14:paraId="0E7C7782">
      <w:pPr>
        <w:snapToGrid w:val="0"/>
        <w:spacing w:line="400" w:lineRule="exact"/>
        <w:ind w:firstLine="480" w:firstLineChars="200"/>
        <w:rPr>
          <w:rFonts w:ascii="方正仿宋_GBK" w:hAnsi="方正仿宋_GBK" w:eastAsia="方正仿宋_GBK" w:cs="方正仿宋_GBK"/>
          <w:b/>
          <w:bCs/>
          <w:color w:val="auto"/>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64756C6E">
      <w:pPr>
        <w:pStyle w:val="3"/>
        <w:spacing w:line="400" w:lineRule="exact"/>
        <w:ind w:firstLine="482" w:firstLineChars="200"/>
        <w:rPr>
          <w:rFonts w:ascii="方正仿宋_GBK" w:eastAsia="方正仿宋_GBK"/>
          <w:color w:val="auto"/>
          <w:sz w:val="24"/>
          <w:szCs w:val="24"/>
          <w:highlight w:val="none"/>
        </w:rPr>
      </w:pPr>
      <w:bookmarkStart w:id="162" w:name="_Toc29777"/>
      <w:bookmarkStart w:id="163" w:name="_Toc12406"/>
      <w:bookmarkStart w:id="164" w:name="_Toc141259405"/>
      <w:bookmarkStart w:id="165" w:name="_Toc27736"/>
      <w:bookmarkStart w:id="166" w:name="_Toc18263"/>
      <w:bookmarkStart w:id="167" w:name="_Toc28978"/>
      <w:r>
        <w:rPr>
          <w:rFonts w:hint="eastAsia" w:ascii="方正仿宋_GBK" w:eastAsia="方正仿宋_GBK"/>
          <w:color w:val="auto"/>
          <w:sz w:val="24"/>
          <w:szCs w:val="24"/>
          <w:highlight w:val="none"/>
        </w:rPr>
        <w:t>五、培训</w:t>
      </w:r>
      <w:bookmarkEnd w:id="162"/>
      <w:bookmarkEnd w:id="163"/>
      <w:bookmarkEnd w:id="164"/>
      <w:bookmarkEnd w:id="165"/>
      <w:bookmarkEnd w:id="166"/>
      <w:bookmarkEnd w:id="167"/>
    </w:p>
    <w:p w14:paraId="6CC6375C">
      <w:pPr>
        <w:snapToGrid w:val="0"/>
        <w:spacing w:line="400" w:lineRule="exact"/>
        <w:ind w:firstLine="480" w:firstLineChars="200"/>
        <w:rPr>
          <w:b/>
          <w:bCs/>
          <w:color w:val="auto"/>
          <w:highlight w:val="none"/>
        </w:rPr>
      </w:pPr>
      <w:r>
        <w:rPr>
          <w:rFonts w:hint="eastAsia" w:ascii="方正仿宋_GBK" w:hAnsi="宋体" w:eastAsia="方正仿宋_GBK" w:cs="宋体"/>
          <w:color w:val="auto"/>
          <w:kern w:val="0"/>
          <w:sz w:val="24"/>
          <w:szCs w:val="24"/>
          <w:highlight w:val="none"/>
        </w:rPr>
        <w:t>中标人对其提供产品的使用和操作应尽培训义务。中标人应提供对采购人的基本免费培训，使采购人使用人员能够正常操作，系统常见故障处理，以及相应应急响应措施；各个设备使用、软件使用、设备配置调试等。</w:t>
      </w:r>
    </w:p>
    <w:p w14:paraId="14F82F91">
      <w:pPr>
        <w:pStyle w:val="3"/>
        <w:spacing w:line="400" w:lineRule="exact"/>
        <w:ind w:firstLine="482" w:firstLineChars="200"/>
        <w:rPr>
          <w:rFonts w:ascii="方正仿宋_GBK" w:eastAsia="方正仿宋_GBK"/>
          <w:color w:val="auto"/>
          <w:sz w:val="24"/>
          <w:szCs w:val="24"/>
          <w:highlight w:val="none"/>
        </w:rPr>
      </w:pPr>
      <w:bookmarkStart w:id="168" w:name="_Toc17870"/>
      <w:bookmarkStart w:id="169" w:name="_Toc821"/>
      <w:bookmarkStart w:id="170" w:name="_Toc19728"/>
      <w:bookmarkStart w:id="171" w:name="_Toc29855"/>
      <w:bookmarkStart w:id="172" w:name="_Toc1948"/>
      <w:bookmarkStart w:id="173" w:name="_Toc141259406"/>
      <w:r>
        <w:rPr>
          <w:rFonts w:hint="eastAsia" w:ascii="方正仿宋_GBK" w:eastAsia="方正仿宋_GBK"/>
          <w:color w:val="auto"/>
          <w:sz w:val="24"/>
          <w:szCs w:val="24"/>
          <w:highlight w:val="none"/>
        </w:rPr>
        <w:t>六、其他</w:t>
      </w:r>
      <w:bookmarkEnd w:id="168"/>
      <w:bookmarkEnd w:id="169"/>
      <w:bookmarkEnd w:id="170"/>
      <w:bookmarkEnd w:id="171"/>
      <w:bookmarkEnd w:id="172"/>
      <w:bookmarkEnd w:id="173"/>
    </w:p>
    <w:p w14:paraId="227D8636">
      <w:pPr>
        <w:numPr>
          <w:ilvl w:val="0"/>
          <w:numId w:val="2"/>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投标人必须在投标文件中对以上条款和服务承诺明确列出，承诺内容必须达到本篇及招标文件其他条款的要求。</w:t>
      </w:r>
    </w:p>
    <w:bookmarkEnd w:id="65"/>
    <w:p w14:paraId="34D62049">
      <w:pPr>
        <w:numPr>
          <w:ilvl w:val="0"/>
          <w:numId w:val="2"/>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投标人对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第一篇  竞争性谈判邀请书</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谈判项目服务需求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内容作出虚假响应，一经核实，纳入医院不诚信供应商管理，扣除中标人投标保证金，暂停虚假响应投标人在医院的一切业务，禁止≥3年参与我院的采购活动。</w:t>
      </w:r>
    </w:p>
    <w:p w14:paraId="4C3BD073">
      <w:pPr>
        <w:numPr>
          <w:ilvl w:val="0"/>
          <w:numId w:val="2"/>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标人无法履约或验收不合格的，采购人有权单方面解除中标人中标资格，并有权要求中标人按中标总额的20%向采购人支付违约金，纳入医院不诚信供应商管理，暂停虚假响应投标人在医院的一切业务，禁止≥3年参与我院的采购活动。</w:t>
      </w:r>
    </w:p>
    <w:p w14:paraId="29D7357D">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3955F875">
      <w:pPr>
        <w:pStyle w:val="21"/>
        <w:rPr>
          <w:rFonts w:ascii="方正小标宋_GBK" w:hAnsi="宋体" w:eastAsia="方正小标宋_GBK"/>
          <w:sz w:val="36"/>
          <w:szCs w:val="30"/>
        </w:rPr>
      </w:pPr>
    </w:p>
    <w:p w14:paraId="259936D1">
      <w:pPr>
        <w:pStyle w:val="21"/>
        <w:rPr>
          <w:rFonts w:ascii="方正小标宋_GBK" w:hAnsi="宋体" w:eastAsia="方正小标宋_GBK"/>
          <w:sz w:val="36"/>
          <w:szCs w:val="30"/>
        </w:rPr>
      </w:pPr>
    </w:p>
    <w:p w14:paraId="3F3F6F20">
      <w:pPr>
        <w:pStyle w:val="21"/>
        <w:rPr>
          <w:rFonts w:ascii="方正小标宋_GBK" w:hAnsi="宋体" w:eastAsia="方正小标宋_GBK"/>
          <w:sz w:val="36"/>
          <w:szCs w:val="30"/>
        </w:rPr>
      </w:pPr>
    </w:p>
    <w:p w14:paraId="44904734">
      <w:pPr>
        <w:pStyle w:val="21"/>
        <w:rPr>
          <w:rFonts w:ascii="方正小标宋_GBK" w:hAnsi="宋体" w:eastAsia="方正小标宋_GBK"/>
          <w:sz w:val="36"/>
          <w:szCs w:val="30"/>
        </w:rPr>
      </w:pPr>
    </w:p>
    <w:p w14:paraId="5F6C3100">
      <w:pPr>
        <w:pStyle w:val="21"/>
        <w:rPr>
          <w:rFonts w:ascii="方正小标宋_GBK" w:hAnsi="宋体" w:eastAsia="方正小标宋_GBK"/>
          <w:sz w:val="36"/>
          <w:szCs w:val="30"/>
        </w:rPr>
      </w:pPr>
    </w:p>
    <w:p w14:paraId="2BB6E144">
      <w:pPr>
        <w:pStyle w:val="21"/>
        <w:rPr>
          <w:rFonts w:ascii="方正小标宋_GBK" w:hAnsi="宋体" w:eastAsia="方正小标宋_GBK"/>
          <w:sz w:val="36"/>
          <w:szCs w:val="30"/>
        </w:rPr>
      </w:pPr>
    </w:p>
    <w:p w14:paraId="102E210D">
      <w:pPr>
        <w:pStyle w:val="21"/>
        <w:rPr>
          <w:rFonts w:ascii="方正小标宋_GBK" w:hAnsi="宋体" w:eastAsia="方正小标宋_GBK"/>
          <w:sz w:val="36"/>
          <w:szCs w:val="30"/>
        </w:rPr>
      </w:pPr>
    </w:p>
    <w:p w14:paraId="6D9D1671">
      <w:pPr>
        <w:pStyle w:val="21"/>
        <w:rPr>
          <w:rFonts w:ascii="方正小标宋_GBK" w:hAnsi="宋体" w:eastAsia="方正小标宋_GBK"/>
          <w:sz w:val="36"/>
          <w:szCs w:val="30"/>
        </w:rPr>
      </w:pPr>
    </w:p>
    <w:p w14:paraId="323D611F">
      <w:pPr>
        <w:pStyle w:val="21"/>
        <w:rPr>
          <w:rFonts w:ascii="方正小标宋_GBK" w:hAnsi="宋体" w:eastAsia="方正小标宋_GBK"/>
          <w:sz w:val="36"/>
          <w:szCs w:val="30"/>
        </w:rPr>
      </w:pPr>
    </w:p>
    <w:p w14:paraId="203E437A">
      <w:pPr>
        <w:pStyle w:val="21"/>
        <w:rPr>
          <w:rFonts w:ascii="方正小标宋_GBK" w:hAnsi="宋体" w:eastAsia="方正小标宋_GBK"/>
          <w:sz w:val="36"/>
          <w:szCs w:val="30"/>
        </w:rPr>
      </w:pPr>
    </w:p>
    <w:p w14:paraId="1D4904C9">
      <w:pPr>
        <w:pStyle w:val="2"/>
        <w:spacing w:line="360" w:lineRule="auto"/>
        <w:jc w:val="center"/>
        <w:rPr>
          <w:rFonts w:ascii="方正小标宋_GBK" w:hAnsi="宋体" w:eastAsia="方正小标宋_GBK"/>
          <w:b w:val="0"/>
          <w:sz w:val="36"/>
          <w:szCs w:val="30"/>
        </w:rPr>
      </w:pPr>
      <w:bookmarkStart w:id="174" w:name="_Toc180069278"/>
      <w:r>
        <w:rPr>
          <w:rFonts w:hint="eastAsia" w:ascii="方正小标宋_GBK" w:hAnsi="宋体" w:eastAsia="方正小标宋_GBK"/>
          <w:b w:val="0"/>
          <w:sz w:val="36"/>
          <w:szCs w:val="30"/>
        </w:rPr>
        <w:t xml:space="preserve">第五篇  </w:t>
      </w:r>
      <w:bookmarkEnd w:id="66"/>
      <w:bookmarkEnd w:id="67"/>
      <w:r>
        <w:rPr>
          <w:rFonts w:hint="eastAsia" w:ascii="方正小标宋_GBK" w:hAnsi="宋体" w:eastAsia="方正小标宋_GBK"/>
          <w:b w:val="0"/>
          <w:sz w:val="36"/>
          <w:szCs w:val="30"/>
        </w:rPr>
        <w:t>合同条款</w:t>
      </w:r>
      <w:bookmarkEnd w:id="174"/>
    </w:p>
    <w:p w14:paraId="05FDD04A">
      <w:pPr>
        <w:rPr>
          <w:rFonts w:ascii="方正仿宋_GBK" w:eastAsia="方正仿宋_GBK"/>
          <w:sz w:val="24"/>
        </w:rPr>
      </w:pPr>
      <w:r>
        <w:rPr>
          <w:rFonts w:hint="eastAsia" w:ascii="方正仿宋_GBK" w:eastAsia="方正仿宋_GBK"/>
          <w:sz w:val="24"/>
        </w:rPr>
        <w:t xml:space="preserve">    按照医院要求的合同模板执行，医院拟稿后由中标公司审核签字盖章。</w:t>
      </w:r>
    </w:p>
    <w:p w14:paraId="30A7F820">
      <w:pPr>
        <w:rPr>
          <w:rFonts w:ascii="方正小标宋_GBK" w:hAnsi="方正小标宋_GBK" w:eastAsia="方正小标宋_GBK" w:cs="方正小标宋_GBK"/>
          <w:color w:val="000000"/>
          <w:sz w:val="44"/>
          <w:szCs w:val="44"/>
        </w:rPr>
      </w:pPr>
      <w:bookmarkStart w:id="175" w:name="_Hlt41879464"/>
      <w:bookmarkEnd w:id="175"/>
      <w:bookmarkStart w:id="176" w:name="_Toc12789072"/>
    </w:p>
    <w:p w14:paraId="6321D17C">
      <w:pPr>
        <w:rPr>
          <w:rFonts w:ascii="方正小标宋_GBK" w:hAnsi="方正小标宋_GBK" w:eastAsia="方正小标宋_GBK" w:cs="方正小标宋_GBK"/>
          <w:color w:val="000000"/>
          <w:sz w:val="44"/>
          <w:szCs w:val="44"/>
        </w:rPr>
      </w:pPr>
    </w:p>
    <w:p w14:paraId="396BEF05">
      <w:pPr>
        <w:rPr>
          <w:rFonts w:ascii="方正小标宋_GBK" w:hAnsi="方正小标宋_GBK" w:eastAsia="方正小标宋_GBK" w:cs="方正小标宋_GBK"/>
          <w:color w:val="000000"/>
          <w:sz w:val="44"/>
          <w:szCs w:val="44"/>
        </w:rPr>
      </w:pPr>
    </w:p>
    <w:p w14:paraId="3B2A7B26">
      <w:pPr>
        <w:rPr>
          <w:rFonts w:ascii="方正小标宋_GBK" w:hAnsi="方正小标宋_GBK" w:eastAsia="方正小标宋_GBK" w:cs="方正小标宋_GBK"/>
          <w:color w:val="000000"/>
          <w:sz w:val="44"/>
          <w:szCs w:val="44"/>
        </w:rPr>
      </w:pPr>
    </w:p>
    <w:p w14:paraId="2933EB06">
      <w:pPr>
        <w:rPr>
          <w:rFonts w:ascii="方正小标宋_GBK" w:hAnsi="方正小标宋_GBK" w:eastAsia="方正小标宋_GBK" w:cs="方正小标宋_GBK"/>
          <w:color w:val="000000"/>
          <w:sz w:val="44"/>
          <w:szCs w:val="44"/>
        </w:rPr>
      </w:pPr>
    </w:p>
    <w:p w14:paraId="7D334C76">
      <w:pPr>
        <w:pStyle w:val="21"/>
        <w:rPr>
          <w:rFonts w:ascii="方正小标宋_GBK" w:hAnsi="方正小标宋_GBK" w:eastAsia="方正小标宋_GBK" w:cs="方正小标宋_GBK"/>
          <w:sz w:val="44"/>
          <w:szCs w:val="44"/>
        </w:rPr>
      </w:pPr>
    </w:p>
    <w:p w14:paraId="0A4334F2">
      <w:pPr>
        <w:pStyle w:val="21"/>
        <w:rPr>
          <w:rFonts w:ascii="方正小标宋_GBK" w:hAnsi="方正小标宋_GBK" w:eastAsia="方正小标宋_GBK" w:cs="方正小标宋_GBK"/>
          <w:sz w:val="44"/>
          <w:szCs w:val="44"/>
        </w:rPr>
      </w:pPr>
    </w:p>
    <w:p w14:paraId="7FD78D2A">
      <w:pPr>
        <w:pStyle w:val="21"/>
        <w:rPr>
          <w:rFonts w:ascii="方正小标宋_GBK" w:hAnsi="方正小标宋_GBK" w:eastAsia="方正小标宋_GBK" w:cs="方正小标宋_GBK"/>
          <w:sz w:val="44"/>
          <w:szCs w:val="44"/>
        </w:rPr>
      </w:pPr>
    </w:p>
    <w:p w14:paraId="26C90AC0">
      <w:pPr>
        <w:pStyle w:val="21"/>
        <w:rPr>
          <w:rFonts w:ascii="方正小标宋_GBK" w:hAnsi="方正小标宋_GBK" w:eastAsia="方正小标宋_GBK" w:cs="方正小标宋_GBK"/>
          <w:sz w:val="44"/>
          <w:szCs w:val="44"/>
        </w:rPr>
      </w:pPr>
    </w:p>
    <w:p w14:paraId="3CFA63E0">
      <w:pPr>
        <w:pStyle w:val="21"/>
        <w:rPr>
          <w:rFonts w:ascii="方正小标宋_GBK" w:hAnsi="方正小标宋_GBK" w:eastAsia="方正小标宋_GBK" w:cs="方正小标宋_GBK"/>
          <w:sz w:val="44"/>
          <w:szCs w:val="44"/>
        </w:rPr>
      </w:pPr>
    </w:p>
    <w:p w14:paraId="4188D11B">
      <w:pPr>
        <w:pStyle w:val="21"/>
        <w:rPr>
          <w:rFonts w:ascii="方正小标宋_GBK" w:hAnsi="方正小标宋_GBK" w:eastAsia="方正小标宋_GBK" w:cs="方正小标宋_GBK"/>
          <w:sz w:val="44"/>
          <w:szCs w:val="44"/>
        </w:rPr>
      </w:pPr>
    </w:p>
    <w:p w14:paraId="3AAF6A34">
      <w:pPr>
        <w:pStyle w:val="21"/>
        <w:rPr>
          <w:rFonts w:ascii="方正小标宋_GBK" w:hAnsi="方正小标宋_GBK" w:eastAsia="方正小标宋_GBK" w:cs="方正小标宋_GBK"/>
          <w:sz w:val="44"/>
          <w:szCs w:val="44"/>
        </w:rPr>
      </w:pPr>
    </w:p>
    <w:p w14:paraId="68805A2C">
      <w:pPr>
        <w:pStyle w:val="21"/>
        <w:rPr>
          <w:rFonts w:ascii="方正小标宋_GBK" w:hAnsi="方正小标宋_GBK" w:eastAsia="方正小标宋_GBK" w:cs="方正小标宋_GBK"/>
          <w:sz w:val="44"/>
          <w:szCs w:val="44"/>
        </w:rPr>
      </w:pPr>
    </w:p>
    <w:p w14:paraId="111DB95D">
      <w:pPr>
        <w:pStyle w:val="21"/>
        <w:rPr>
          <w:rFonts w:ascii="方正小标宋_GBK" w:hAnsi="方正小标宋_GBK" w:eastAsia="方正小标宋_GBK" w:cs="方正小标宋_GBK"/>
          <w:sz w:val="44"/>
          <w:szCs w:val="44"/>
        </w:rPr>
      </w:pPr>
    </w:p>
    <w:p w14:paraId="13E48C3E">
      <w:pPr>
        <w:pStyle w:val="21"/>
        <w:rPr>
          <w:rFonts w:ascii="方正小标宋_GBK" w:hAnsi="方正小标宋_GBK" w:eastAsia="方正小标宋_GBK" w:cs="方正小标宋_GBK"/>
          <w:sz w:val="44"/>
          <w:szCs w:val="44"/>
        </w:rPr>
      </w:pPr>
    </w:p>
    <w:p w14:paraId="5FA79E2D">
      <w:pPr>
        <w:pStyle w:val="21"/>
        <w:rPr>
          <w:rFonts w:ascii="方正小标宋_GBK" w:hAnsi="方正小标宋_GBK" w:eastAsia="方正小标宋_GBK" w:cs="方正小标宋_GBK"/>
          <w:sz w:val="44"/>
          <w:szCs w:val="44"/>
        </w:rPr>
      </w:pPr>
    </w:p>
    <w:p w14:paraId="1892D3DE">
      <w:pPr>
        <w:pStyle w:val="21"/>
        <w:rPr>
          <w:rFonts w:ascii="方正小标宋_GBK" w:hAnsi="方正小标宋_GBK" w:eastAsia="方正小标宋_GBK" w:cs="方正小标宋_GBK"/>
          <w:sz w:val="44"/>
          <w:szCs w:val="44"/>
        </w:rPr>
      </w:pPr>
    </w:p>
    <w:p w14:paraId="2508A39A">
      <w:pPr>
        <w:pStyle w:val="21"/>
        <w:rPr>
          <w:rFonts w:ascii="方正小标宋_GBK" w:hAnsi="方正小标宋_GBK" w:eastAsia="方正小标宋_GBK" w:cs="方正小标宋_GBK"/>
          <w:sz w:val="44"/>
          <w:szCs w:val="44"/>
        </w:rPr>
      </w:pPr>
    </w:p>
    <w:p w14:paraId="7A5411B9">
      <w:pPr>
        <w:pStyle w:val="21"/>
        <w:rPr>
          <w:rFonts w:ascii="方正小标宋_GBK" w:hAnsi="方正小标宋_GBK" w:eastAsia="方正小标宋_GBK" w:cs="方正小标宋_GBK"/>
          <w:sz w:val="44"/>
          <w:szCs w:val="44"/>
        </w:rPr>
      </w:pPr>
    </w:p>
    <w:p w14:paraId="5F98CEBE"/>
    <w:p w14:paraId="4B964621">
      <w:pPr>
        <w:pStyle w:val="2"/>
        <w:spacing w:line="360" w:lineRule="auto"/>
        <w:jc w:val="center"/>
        <w:rPr>
          <w:rFonts w:ascii="方正小标宋_GBK" w:hAnsi="宋体" w:eastAsia="方正小标宋_GBK"/>
          <w:b w:val="0"/>
          <w:sz w:val="36"/>
          <w:szCs w:val="30"/>
        </w:rPr>
      </w:pPr>
      <w:bookmarkStart w:id="177" w:name="_Toc180069279"/>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color w:val="000000"/>
          <w:sz w:val="36"/>
          <w:szCs w:val="36"/>
        </w:rPr>
        <w:t>响应文件格式</w:t>
      </w:r>
      <w:bookmarkEnd w:id="177"/>
    </w:p>
    <w:bookmarkEnd w:id="176"/>
    <w:p w14:paraId="07BEEA8C">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13F1FF91">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14:paraId="5910AE18">
      <w:pPr>
        <w:spacing w:line="360" w:lineRule="auto"/>
        <w:ind w:left="-560" w:leftChars="-200" w:firstLine="1950" w:firstLineChars="650"/>
        <w:rPr>
          <w:rFonts w:ascii="方正仿宋_GBK" w:hAnsi="宋体" w:eastAsia="方正仿宋_GBK"/>
          <w:sz w:val="30"/>
          <w:szCs w:val="30"/>
        </w:rPr>
      </w:pPr>
    </w:p>
    <w:p w14:paraId="37A15861">
      <w:pPr>
        <w:spacing w:line="360" w:lineRule="auto"/>
        <w:ind w:left="-560" w:leftChars="-200" w:firstLine="1950" w:firstLineChars="650"/>
        <w:rPr>
          <w:rFonts w:ascii="方正仿宋_GBK" w:hAnsi="宋体" w:eastAsia="方正仿宋_GBK"/>
          <w:sz w:val="30"/>
          <w:szCs w:val="30"/>
        </w:rPr>
      </w:pPr>
    </w:p>
    <w:p w14:paraId="503A302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43DF3CF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14:paraId="2847DA72">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2F35C196">
      <w:pPr>
        <w:pStyle w:val="11"/>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570FD0BB">
      <w:pPr>
        <w:spacing w:line="440" w:lineRule="exact"/>
        <w:ind w:firstLine="600" w:firstLineChars="200"/>
        <w:jc w:val="center"/>
        <w:rPr>
          <w:rFonts w:ascii="方正仿宋_GBK" w:hAnsi="宋体" w:eastAsia="方正仿宋_GBK"/>
          <w:sz w:val="30"/>
          <w:szCs w:val="30"/>
        </w:rPr>
      </w:pPr>
    </w:p>
    <w:p w14:paraId="5B773BA5">
      <w:pPr>
        <w:spacing w:line="440" w:lineRule="exact"/>
        <w:ind w:firstLine="480" w:firstLineChars="200"/>
        <w:rPr>
          <w:rFonts w:ascii="方正仿宋_GBK" w:hAnsi="宋体" w:eastAsia="方正仿宋_GBK"/>
          <w:sz w:val="24"/>
          <w:szCs w:val="24"/>
        </w:rPr>
      </w:pPr>
    </w:p>
    <w:p w14:paraId="2D3D4D52">
      <w:pPr>
        <w:spacing w:line="440" w:lineRule="exact"/>
        <w:ind w:firstLine="480" w:firstLineChars="200"/>
        <w:rPr>
          <w:rFonts w:ascii="方正仿宋_GBK" w:hAnsi="宋体" w:eastAsia="方正仿宋_GBK"/>
          <w:sz w:val="24"/>
          <w:szCs w:val="24"/>
        </w:rPr>
      </w:pPr>
    </w:p>
    <w:p w14:paraId="13003614">
      <w:pPr>
        <w:spacing w:line="440" w:lineRule="exact"/>
        <w:ind w:firstLine="480" w:firstLineChars="200"/>
        <w:rPr>
          <w:rFonts w:ascii="方正仿宋_GBK" w:hAnsi="宋体" w:eastAsia="方正仿宋_GBK"/>
          <w:sz w:val="24"/>
          <w:szCs w:val="24"/>
        </w:rPr>
      </w:pPr>
    </w:p>
    <w:p w14:paraId="366C97D5">
      <w:pPr>
        <w:spacing w:line="440" w:lineRule="exact"/>
        <w:ind w:firstLine="480" w:firstLineChars="200"/>
        <w:rPr>
          <w:rFonts w:ascii="方正仿宋_GBK" w:hAnsi="宋体" w:eastAsia="方正仿宋_GBK"/>
          <w:sz w:val="24"/>
          <w:szCs w:val="24"/>
        </w:rPr>
      </w:pPr>
    </w:p>
    <w:p w14:paraId="2AFB931E">
      <w:pPr>
        <w:spacing w:line="440" w:lineRule="exact"/>
        <w:ind w:firstLine="480" w:firstLineChars="200"/>
        <w:rPr>
          <w:rFonts w:ascii="方正仿宋_GBK" w:hAnsi="宋体" w:eastAsia="方正仿宋_GBK"/>
          <w:sz w:val="24"/>
          <w:szCs w:val="24"/>
        </w:rPr>
      </w:pPr>
    </w:p>
    <w:p w14:paraId="37BBC946">
      <w:pPr>
        <w:spacing w:line="440" w:lineRule="exact"/>
        <w:ind w:firstLine="480" w:firstLineChars="200"/>
        <w:rPr>
          <w:rFonts w:ascii="方正仿宋_GBK" w:hAnsi="宋体" w:eastAsia="方正仿宋_GBK"/>
          <w:sz w:val="24"/>
          <w:szCs w:val="24"/>
        </w:rPr>
      </w:pPr>
    </w:p>
    <w:p w14:paraId="5E66BE91">
      <w:pPr>
        <w:spacing w:line="440" w:lineRule="exact"/>
        <w:ind w:firstLine="480" w:firstLineChars="200"/>
        <w:rPr>
          <w:rFonts w:ascii="方正仿宋_GBK" w:hAnsi="宋体" w:eastAsia="方正仿宋_GBK"/>
          <w:sz w:val="24"/>
          <w:szCs w:val="24"/>
        </w:rPr>
      </w:pPr>
    </w:p>
    <w:p w14:paraId="28FAC963">
      <w:pPr>
        <w:pStyle w:val="11"/>
      </w:pPr>
    </w:p>
    <w:p w14:paraId="3E106919">
      <w:pPr>
        <w:pStyle w:val="12"/>
      </w:pPr>
    </w:p>
    <w:p w14:paraId="15B36F99"/>
    <w:p w14:paraId="4ABB6807">
      <w:pPr>
        <w:spacing w:line="440" w:lineRule="exact"/>
        <w:ind w:firstLine="480" w:firstLineChars="200"/>
        <w:rPr>
          <w:rFonts w:ascii="方正仿宋_GBK" w:hAnsi="宋体" w:eastAsia="方正仿宋_GBK"/>
          <w:sz w:val="24"/>
          <w:szCs w:val="24"/>
        </w:rPr>
      </w:pPr>
    </w:p>
    <w:p w14:paraId="3D8A3812">
      <w:pPr>
        <w:pStyle w:val="11"/>
      </w:pPr>
    </w:p>
    <w:p w14:paraId="4990BA2E">
      <w:pPr>
        <w:pStyle w:val="12"/>
      </w:pPr>
    </w:p>
    <w:p w14:paraId="4ABA1195"/>
    <w:p w14:paraId="39F7FEF8">
      <w:pPr>
        <w:pStyle w:val="11"/>
      </w:pPr>
    </w:p>
    <w:p w14:paraId="34CA9598">
      <w:pPr>
        <w:pStyle w:val="12"/>
      </w:pPr>
    </w:p>
    <w:p w14:paraId="27D554C4"/>
    <w:p w14:paraId="5E92B0C1">
      <w:pPr>
        <w:spacing w:line="440" w:lineRule="exact"/>
        <w:rPr>
          <w:rFonts w:ascii="方正仿宋_GBK" w:hAnsi="宋体" w:eastAsia="方正仿宋_GBK"/>
          <w:sz w:val="24"/>
          <w:szCs w:val="24"/>
        </w:rPr>
      </w:pPr>
    </w:p>
    <w:p w14:paraId="179E896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6E8DF29D">
      <w:pPr>
        <w:pStyle w:val="29"/>
        <w:numPr>
          <w:ilvl w:val="0"/>
          <w:numId w:val="3"/>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竞争性报价函</w:t>
      </w:r>
    </w:p>
    <w:p w14:paraId="0C3550DD">
      <w:pPr>
        <w:pStyle w:val="29"/>
        <w:numPr>
          <w:ilvl w:val="0"/>
          <w:numId w:val="3"/>
        </w:numPr>
        <w:spacing w:line="440" w:lineRule="exact"/>
        <w:ind w:firstLineChars="0"/>
        <w:rPr>
          <w:rFonts w:ascii="方正仿宋_GBK" w:hAnsi="宋体" w:eastAsia="方正仿宋_GBK"/>
          <w:sz w:val="24"/>
          <w:szCs w:val="24"/>
        </w:rPr>
      </w:pPr>
      <w:r>
        <w:rPr>
          <w:rFonts w:hint="eastAsia" w:ascii="方正仿宋_GBK" w:hAnsi="宋体" w:eastAsia="方正仿宋_GBK"/>
          <w:sz w:val="24"/>
          <w:szCs w:val="24"/>
        </w:rPr>
        <w:t>明细报价表</w:t>
      </w:r>
    </w:p>
    <w:p w14:paraId="7DBBDFD0">
      <w:pPr>
        <w:pStyle w:val="11"/>
        <w:rPr>
          <w:rFonts w:ascii="方正仿宋_GBK" w:hAnsi="宋体" w:eastAsia="方正仿宋_GBK"/>
          <w:sz w:val="24"/>
          <w:szCs w:val="24"/>
        </w:rPr>
        <w:sectPr>
          <w:footerReference r:id="rId5" w:type="default"/>
          <w:pgSz w:w="11907" w:h="16840"/>
          <w:pgMar w:top="1134" w:right="1191" w:bottom="1134" w:left="1304" w:header="851" w:footer="992" w:gutter="0"/>
          <w:cols w:space="720" w:num="1"/>
          <w:docGrid w:linePitch="380" w:charSpace="-5735"/>
        </w:sectPr>
      </w:pPr>
    </w:p>
    <w:p w14:paraId="327D29BC">
      <w:pPr>
        <w:tabs>
          <w:tab w:val="left" w:pos="6300"/>
        </w:tabs>
        <w:snapToGrid w:val="0"/>
        <w:spacing w:line="480" w:lineRule="exact"/>
        <w:jc w:val="center"/>
        <w:outlineLvl w:val="0"/>
        <w:rPr>
          <w:rFonts w:ascii="方正仿宋_GBK" w:hAnsi="宋体" w:eastAsia="方正仿宋_GBK"/>
          <w:sz w:val="24"/>
          <w:szCs w:val="24"/>
        </w:rPr>
      </w:pPr>
    </w:p>
    <w:p w14:paraId="3C574519">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14:paraId="1EB9A9F3">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重庆市合川区妇幼保健院</w:t>
      </w:r>
      <w:r>
        <w:rPr>
          <w:rFonts w:hint="eastAsia" w:ascii="方正仿宋_GBK" w:hAnsi="宋体" w:eastAsia="方正仿宋_GBK"/>
          <w:sz w:val="24"/>
          <w:szCs w:val="24"/>
        </w:rPr>
        <w:t>：</w:t>
      </w:r>
    </w:p>
    <w:p w14:paraId="3929F45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我方收到____________________________（磋商项目名称）的竞争性磋商文件，经详细研究，决定参加该磋商项目的竞争磋商。</w:t>
      </w:r>
    </w:p>
    <w:p w14:paraId="2013A4D2">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1、愿意按照竞争性磋商文件中的一切要求，提供本项目的交货及技术服务，初始报价为（单价）</w:t>
      </w:r>
      <w:r>
        <w:rPr>
          <w:rFonts w:hint="eastAsia" w:ascii="方正仿宋_GBK" w:hAnsi="宋体" w:eastAsia="方正仿宋_GBK"/>
          <w:sz w:val="24"/>
          <w:szCs w:val="24"/>
          <w:u w:val="single"/>
        </w:rPr>
        <w:t xml:space="preserve">            元/套 </w:t>
      </w:r>
      <w:r>
        <w:rPr>
          <w:rFonts w:hint="eastAsia" w:ascii="方正仿宋_GBK" w:hAnsi="宋体" w:eastAsia="方正仿宋_GBK"/>
          <w:sz w:val="24"/>
          <w:szCs w:val="24"/>
        </w:rPr>
        <w:t xml:space="preserve">  ；以我公司最后报价为准。</w:t>
      </w:r>
    </w:p>
    <w:p w14:paraId="1E4584E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82A01D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14:paraId="34BE2BC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4、我方完全理解和接受贵方竞争性磋商文件的一切规定和要求及磋商评审办法。</w:t>
      </w:r>
    </w:p>
    <w:p w14:paraId="1BC2BEC3">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14:paraId="3F8A885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24E8D32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7、我方同意按竞争性磋商文件规定，交纳竞争性磋商文件要求的保证金。</w:t>
      </w:r>
    </w:p>
    <w:p w14:paraId="3226F1FD">
      <w:pPr>
        <w:tabs>
          <w:tab w:val="left" w:pos="6300"/>
        </w:tabs>
        <w:snapToGrid w:val="0"/>
        <w:spacing w:line="360" w:lineRule="auto"/>
        <w:ind w:firstLine="480" w:firstLineChars="200"/>
        <w:rPr>
          <w:rFonts w:ascii="方正仿宋_GBK" w:hAnsi="宋体" w:eastAsia="方正仿宋_GBK"/>
          <w:sz w:val="24"/>
          <w:szCs w:val="24"/>
        </w:rPr>
      </w:pPr>
    </w:p>
    <w:p w14:paraId="0C9862A3">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14:paraId="4BD1A75B">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电话：   </w:t>
      </w:r>
    </w:p>
    <w:p w14:paraId="61506BF2">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传真：</w:t>
      </w:r>
    </w:p>
    <w:p w14:paraId="7B013138">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                   联系人电话：</w:t>
      </w:r>
    </w:p>
    <w:p w14:paraId="3EE4649E">
      <w:pPr>
        <w:snapToGrid w:val="0"/>
        <w:spacing w:line="360" w:lineRule="auto"/>
        <w:ind w:firstLine="480" w:firstLineChars="200"/>
        <w:rPr>
          <w:rFonts w:ascii="方正仿宋_GBK" w:hAnsi="宋体" w:eastAsia="方正仿宋_GBK"/>
          <w:sz w:val="24"/>
          <w:szCs w:val="24"/>
        </w:rPr>
        <w:sectPr>
          <w:head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14:paraId="25A98722"/>
    <w:p w14:paraId="4F79C076">
      <w:pPr>
        <w:jc w:val="center"/>
        <w:rPr>
          <w:rFonts w:ascii="方正仿宋_GBK" w:eastAsia="方正仿宋_GBK"/>
          <w:b/>
          <w:szCs w:val="28"/>
        </w:rPr>
      </w:pPr>
      <w:r>
        <w:rPr>
          <w:rFonts w:hint="eastAsia" w:ascii="方正仿宋_GBK" w:eastAsia="方正仿宋_GBK"/>
          <w:b/>
          <w:szCs w:val="28"/>
        </w:rPr>
        <w:t>明细报价表</w:t>
      </w:r>
    </w:p>
    <w:p w14:paraId="7CE4A751">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17"/>
        <w:tblW w:w="14446" w:type="dxa"/>
        <w:jc w:val="center"/>
        <w:tblLayout w:type="fixed"/>
        <w:tblCellMar>
          <w:top w:w="0" w:type="dxa"/>
          <w:left w:w="108" w:type="dxa"/>
          <w:bottom w:w="0" w:type="dxa"/>
          <w:right w:w="108" w:type="dxa"/>
        </w:tblCellMar>
      </w:tblPr>
      <w:tblGrid>
        <w:gridCol w:w="1082"/>
        <w:gridCol w:w="2632"/>
        <w:gridCol w:w="2146"/>
        <w:gridCol w:w="3523"/>
        <w:gridCol w:w="964"/>
        <w:gridCol w:w="1327"/>
        <w:gridCol w:w="1327"/>
        <w:gridCol w:w="1445"/>
      </w:tblGrid>
      <w:tr w14:paraId="731C997F">
        <w:tblPrEx>
          <w:tblCellMar>
            <w:top w:w="0" w:type="dxa"/>
            <w:left w:w="108" w:type="dxa"/>
            <w:bottom w:w="0" w:type="dxa"/>
            <w:right w:w="108" w:type="dxa"/>
          </w:tblCellMar>
        </w:tblPrEx>
        <w:trPr>
          <w:trHeight w:val="1169" w:hRule="exac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6D7">
            <w:pPr>
              <w:widowControl/>
              <w:jc w:val="center"/>
              <w:textAlignment w:val="center"/>
              <w:rPr>
                <w:rFonts w:ascii="方正小标宋_GBK" w:hAnsi="方正小标宋_GBK" w:eastAsia="方正小标宋_GBK" w:cs="方正小标宋_GBK"/>
                <w:sz w:val="24"/>
                <w:szCs w:val="24"/>
              </w:rPr>
            </w:pPr>
            <w:r>
              <w:rPr>
                <w:rFonts w:hint="eastAsia" w:ascii="方正小标宋_GBK" w:hAnsi="方正小标宋_GBK" w:eastAsia="方正小标宋_GBK" w:cs="方正小标宋_GBK"/>
                <w:color w:val="000000"/>
                <w:kern w:val="0"/>
                <w:sz w:val="24"/>
                <w:szCs w:val="24"/>
                <w:lang w:bidi="ar"/>
              </w:rPr>
              <w:t>序号</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6AD7">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设备名称</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E731">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规格型号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805">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生产厂家</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0C68">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单位</w:t>
            </w:r>
          </w:p>
        </w:tc>
        <w:tc>
          <w:tcPr>
            <w:tcW w:w="1327" w:type="dxa"/>
            <w:tcBorders>
              <w:top w:val="single" w:color="000000" w:sz="4" w:space="0"/>
              <w:left w:val="single" w:color="000000" w:sz="4" w:space="0"/>
              <w:bottom w:val="single" w:color="000000" w:sz="4" w:space="0"/>
              <w:right w:val="single" w:color="000000" w:sz="4" w:space="0"/>
            </w:tcBorders>
            <w:vAlign w:val="center"/>
          </w:tcPr>
          <w:p w14:paraId="1B74EEFE">
            <w:pPr>
              <w:widowControl/>
              <w:jc w:val="center"/>
              <w:textAlignment w:val="center"/>
              <w:rPr>
                <w:rFonts w:ascii="方正小标宋_GBK" w:hAnsi="方正小标宋_GBK" w:eastAsia="方正小标宋_GBK" w:cs="方正小标宋_GBK"/>
                <w:color w:val="000000"/>
                <w:kern w:val="0"/>
                <w:sz w:val="22"/>
                <w:szCs w:val="22"/>
                <w:lang w:bidi="ar"/>
              </w:rPr>
            </w:pPr>
            <w:r>
              <w:rPr>
                <w:rFonts w:hint="eastAsia" w:ascii="方正小标宋_GBK" w:hAnsi="方正小标宋_GBK" w:eastAsia="方正小标宋_GBK" w:cs="方正小标宋_GBK"/>
                <w:color w:val="000000"/>
                <w:kern w:val="0"/>
                <w:sz w:val="22"/>
                <w:szCs w:val="22"/>
                <w:lang w:bidi="ar"/>
              </w:rPr>
              <w:t>数量</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7BD5">
            <w:pPr>
              <w:widowControl/>
              <w:jc w:val="center"/>
              <w:textAlignment w:val="center"/>
              <w:rPr>
                <w:rFonts w:ascii="方正小标宋_GBK" w:hAnsi="方正小标宋_GBK" w:eastAsia="方正小标宋_GBK" w:cs="方正小标宋_GBK"/>
                <w:sz w:val="22"/>
                <w:szCs w:val="22"/>
                <w:lang w:bidi="ar"/>
              </w:rPr>
            </w:pPr>
            <w:r>
              <w:rPr>
                <w:rFonts w:hint="eastAsia" w:ascii="方正小标宋_GBK" w:hAnsi="方正小标宋_GBK" w:eastAsia="方正小标宋_GBK" w:cs="方正小标宋_GBK"/>
                <w:color w:val="000000"/>
                <w:kern w:val="0"/>
                <w:sz w:val="22"/>
                <w:szCs w:val="22"/>
                <w:lang w:bidi="ar"/>
              </w:rPr>
              <w:t>单价</w:t>
            </w:r>
          </w:p>
          <w:p w14:paraId="02687F9D">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color w:val="000000"/>
                <w:kern w:val="0"/>
                <w:sz w:val="22"/>
                <w:szCs w:val="22"/>
                <w:lang w:bidi="ar"/>
              </w:rPr>
              <w:t>（</w:t>
            </w:r>
            <w:r>
              <w:rPr>
                <w:rFonts w:hint="eastAsia" w:ascii="方正小标宋_GBK" w:hAnsi="方正小标宋_GBK" w:eastAsia="方正小标宋_GBK" w:cs="方正小标宋_GBK"/>
                <w:color w:val="000000"/>
                <w:kern w:val="0"/>
                <w:sz w:val="22"/>
                <w:szCs w:val="22"/>
                <w:lang w:val="en-US" w:eastAsia="zh-CN" w:bidi="ar"/>
              </w:rPr>
              <w:t>万</w:t>
            </w:r>
            <w:r>
              <w:rPr>
                <w:rFonts w:hint="eastAsia" w:ascii="方正小标宋_GBK" w:hAnsi="方正小标宋_GBK" w:eastAsia="方正小标宋_GBK" w:cs="方正小标宋_GBK"/>
                <w:color w:val="000000"/>
                <w:kern w:val="0"/>
                <w:sz w:val="22"/>
                <w:szCs w:val="22"/>
                <w:lang w:bidi="ar"/>
              </w:rPr>
              <w:t>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FFDB">
            <w:pPr>
              <w:widowControl/>
              <w:jc w:val="center"/>
              <w:textAlignment w:val="center"/>
              <w:rPr>
                <w:rFonts w:ascii="方正小标宋_GBK" w:hAnsi="方正小标宋_GBK" w:eastAsia="方正小标宋_GBK" w:cs="方正小标宋_GBK"/>
                <w:sz w:val="22"/>
                <w:szCs w:val="22"/>
              </w:rPr>
            </w:pPr>
            <w:r>
              <w:rPr>
                <w:rFonts w:hint="eastAsia" w:ascii="方正小标宋_GBK" w:hAnsi="方正小标宋_GBK" w:eastAsia="方正小标宋_GBK" w:cs="方正小标宋_GBK"/>
                <w:sz w:val="22"/>
                <w:szCs w:val="22"/>
              </w:rPr>
              <w:t>备注</w:t>
            </w:r>
          </w:p>
        </w:tc>
      </w:tr>
      <w:tr w14:paraId="72109FC7">
        <w:tblPrEx>
          <w:tblCellMar>
            <w:top w:w="0" w:type="dxa"/>
            <w:left w:w="108" w:type="dxa"/>
            <w:bottom w:w="0" w:type="dxa"/>
            <w:right w:w="108" w:type="dxa"/>
          </w:tblCellMar>
        </w:tblPrEx>
        <w:trPr>
          <w:trHeight w:val="824" w:hRule="exac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17D0">
            <w:pPr>
              <w:widowControl/>
              <w:jc w:val="center"/>
              <w:textAlignment w:val="center"/>
              <w:rPr>
                <w:rFonts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5538">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麻醉机</w:t>
            </w:r>
          </w:p>
        </w:tc>
        <w:tc>
          <w:tcPr>
            <w:tcW w:w="2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979AB">
            <w:pPr>
              <w:widowControl/>
              <w:jc w:val="center"/>
              <w:textAlignment w:val="center"/>
              <w:rPr>
                <w:rFonts w:ascii="方正仿宋_GBK" w:hAnsi="方正仿宋_GBK" w:eastAsia="方正仿宋_GBK" w:cs="方正仿宋_GBK"/>
                <w:color w:val="000000"/>
                <w:kern w:val="0"/>
                <w:sz w:val="21"/>
                <w:szCs w:val="21"/>
                <w:lang w:bidi="ar"/>
              </w:rPr>
            </w:pPr>
          </w:p>
        </w:tc>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AAAF">
            <w:pPr>
              <w:widowControl/>
              <w:jc w:val="center"/>
              <w:textAlignment w:val="center"/>
              <w:rPr>
                <w:rFonts w:ascii="方正仿宋_GBK" w:hAnsi="方正仿宋_GBK" w:eastAsia="方正仿宋_GBK" w:cs="方正仿宋_GBK"/>
                <w:color w:val="000000"/>
                <w:kern w:val="0"/>
                <w:sz w:val="21"/>
                <w:szCs w:val="21"/>
                <w:lang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1524">
            <w:pPr>
              <w:widowControl/>
              <w:jc w:val="center"/>
              <w:textAlignment w:val="center"/>
              <w:rPr>
                <w:rFonts w:ascii="方正仿宋_GBK" w:hAnsi="方正仿宋_GBK" w:eastAsia="方正仿宋_GBK" w:cs="方正仿宋_GBK"/>
                <w:color w:val="000000"/>
                <w:kern w:val="0"/>
                <w:sz w:val="21"/>
                <w:szCs w:val="21"/>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4AA6">
            <w:pPr>
              <w:widowControl/>
              <w:jc w:val="center"/>
              <w:textAlignment w:val="center"/>
              <w:rPr>
                <w:rFonts w:ascii="方正仿宋_GBK" w:hAnsi="方正仿宋_GBK" w:eastAsia="方正仿宋_GBK" w:cs="方正仿宋_GBK"/>
                <w:color w:val="000000"/>
                <w:kern w:val="0"/>
                <w:sz w:val="21"/>
                <w:szCs w:val="21"/>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AFB4">
            <w:pPr>
              <w:widowControl/>
              <w:jc w:val="center"/>
              <w:textAlignment w:val="center"/>
              <w:rPr>
                <w:rFonts w:ascii="方正仿宋_GBK" w:hAnsi="方正仿宋_GBK" w:eastAsia="方正仿宋_GBK" w:cs="方正仿宋_GBK"/>
                <w:color w:val="000000"/>
                <w:kern w:val="0"/>
                <w:sz w:val="21"/>
                <w:szCs w:val="21"/>
                <w:lang w:bidi="ar"/>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E799">
            <w:pPr>
              <w:widowControl/>
              <w:jc w:val="center"/>
              <w:textAlignment w:val="center"/>
              <w:rPr>
                <w:rFonts w:ascii="方正仿宋_GBK" w:hAnsi="方正仿宋_GBK" w:eastAsia="方正仿宋_GBK" w:cs="方正仿宋_GBK"/>
                <w:color w:val="000000"/>
                <w:kern w:val="0"/>
                <w:sz w:val="21"/>
                <w:szCs w:val="21"/>
                <w:lang w:bidi="ar"/>
              </w:rPr>
            </w:pPr>
          </w:p>
        </w:tc>
      </w:tr>
    </w:tbl>
    <w:p w14:paraId="460F1C03">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14:paraId="49CDF777">
      <w:pPr>
        <w:snapToGrid w:val="0"/>
        <w:spacing w:line="400" w:lineRule="exact"/>
        <w:ind w:firstLine="960" w:firstLineChars="400"/>
        <w:rPr>
          <w:rFonts w:ascii="方正仿宋_GBK" w:hAnsi="宋体" w:eastAsia="方正仿宋_GBK"/>
          <w:sz w:val="24"/>
          <w:szCs w:val="24"/>
        </w:rPr>
      </w:pPr>
      <w:r>
        <w:rPr>
          <w:rFonts w:hint="eastAsia" w:ascii="方正仿宋_GBK" w:hAnsi="宋体" w:eastAsia="方正仿宋_GBK"/>
          <w:sz w:val="24"/>
          <w:szCs w:val="28"/>
        </w:rPr>
        <w:t>2.该表可扩展，并逐页签字或盖章。</w:t>
      </w:r>
    </w:p>
    <w:p w14:paraId="07C0D08D">
      <w:pPr>
        <w:pStyle w:val="14"/>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0F7493F6">
      <w:pPr>
        <w:spacing w:line="360" w:lineRule="auto"/>
      </w:pPr>
      <w:r>
        <w:rPr>
          <w:rFonts w:hint="eastAsia" w:ascii="方正仿宋_GBK" w:hAnsi="宋体" w:eastAsia="方正仿宋_GBK"/>
          <w:sz w:val="24"/>
          <w:szCs w:val="24"/>
        </w:rPr>
        <w:t xml:space="preserve">                                                                    供应商名称（公章）：</w:t>
      </w:r>
    </w:p>
    <w:p w14:paraId="1C336C73">
      <w:pPr>
        <w:pStyle w:val="11"/>
        <w:ind w:firstLine="8400" w:firstLineChars="3500"/>
      </w:pPr>
      <w:r>
        <w:rPr>
          <w:rFonts w:hint="eastAsia" w:ascii="方正仿宋_GBK" w:hAnsi="宋体" w:eastAsia="方正仿宋_GBK"/>
          <w:sz w:val="24"/>
          <w:szCs w:val="24"/>
        </w:rPr>
        <w:t>年     月    日</w:t>
      </w:r>
    </w:p>
    <w:p w14:paraId="77B8994F">
      <w:pPr>
        <w:pStyle w:val="12"/>
        <w:rPr>
          <w:rFonts w:ascii="方正仿宋_GBK" w:hAnsi="宋体" w:eastAsia="方正仿宋_GBK"/>
          <w:sz w:val="24"/>
          <w:szCs w:val="24"/>
        </w:rPr>
      </w:pPr>
    </w:p>
    <w:p w14:paraId="69049CE2"/>
    <w:p w14:paraId="725E1468">
      <w:pPr>
        <w:pStyle w:val="11"/>
      </w:pPr>
    </w:p>
    <w:p w14:paraId="31AD6E42">
      <w:pPr>
        <w:pStyle w:val="12"/>
      </w:pPr>
    </w:p>
    <w:p w14:paraId="1AD38B19">
      <w:pPr>
        <w:snapToGrid w:val="0"/>
        <w:spacing w:line="360" w:lineRule="auto"/>
        <w:ind w:firstLine="480" w:firstLineChars="200"/>
        <w:rPr>
          <w:rFonts w:ascii="方正仿宋_GBK" w:hAnsi="宋体" w:eastAsia="方正仿宋_GBK"/>
          <w:sz w:val="24"/>
          <w:szCs w:val="24"/>
        </w:rPr>
        <w:sectPr>
          <w:pgSz w:w="16840" w:h="11907" w:orient="landscape"/>
          <w:pgMar w:top="1304" w:right="1134" w:bottom="1191" w:left="1134" w:header="851" w:footer="992" w:gutter="0"/>
          <w:cols w:space="720" w:num="1"/>
          <w:docGrid w:linePitch="381" w:charSpace="-5735"/>
        </w:sectPr>
      </w:pPr>
    </w:p>
    <w:p w14:paraId="65952185">
      <w:pPr>
        <w:pStyle w:val="12"/>
        <w:rPr>
          <w:rFonts w:ascii="方正仿宋_GBK" w:hAnsi="宋体" w:eastAsia="方正仿宋_GBK"/>
          <w:sz w:val="24"/>
          <w:szCs w:val="24"/>
        </w:rPr>
      </w:pPr>
      <w:bookmarkStart w:id="178" w:name="_Toc342913420"/>
      <w:bookmarkStart w:id="179" w:name="_Toc313888361"/>
      <w:bookmarkStart w:id="180" w:name="_Toc313008357"/>
    </w:p>
    <w:p w14:paraId="158EC202">
      <w:pPr>
        <w:pStyle w:val="12"/>
      </w:pPr>
    </w:p>
    <w:p w14:paraId="3207E565"/>
    <w:p w14:paraId="558C8A4C">
      <w:pPr>
        <w:pStyle w:val="11"/>
      </w:pPr>
    </w:p>
    <w:p w14:paraId="5EB1052C">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23D8855A">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77348AE1">
      <w:pPr>
        <w:spacing w:line="360" w:lineRule="auto"/>
        <w:ind w:left="-560" w:leftChars="-200" w:firstLine="1950" w:firstLineChars="650"/>
        <w:rPr>
          <w:rFonts w:ascii="方正仿宋_GBK" w:hAnsi="宋体" w:eastAsia="方正仿宋_GBK"/>
          <w:sz w:val="30"/>
          <w:szCs w:val="30"/>
        </w:rPr>
      </w:pPr>
    </w:p>
    <w:p w14:paraId="0D9C3368">
      <w:pPr>
        <w:spacing w:line="360" w:lineRule="auto"/>
        <w:ind w:left="-560" w:leftChars="-200" w:firstLine="1950" w:firstLineChars="650"/>
        <w:rPr>
          <w:rFonts w:ascii="方正仿宋_GBK" w:hAnsi="宋体" w:eastAsia="方正仿宋_GBK"/>
          <w:sz w:val="30"/>
          <w:szCs w:val="30"/>
        </w:rPr>
      </w:pPr>
    </w:p>
    <w:p w14:paraId="4B4198E7">
      <w:pPr>
        <w:spacing w:line="360" w:lineRule="auto"/>
        <w:ind w:left="-560" w:leftChars="-200" w:firstLine="1950" w:firstLineChars="650"/>
        <w:rPr>
          <w:rFonts w:ascii="方正仿宋_GBK" w:hAnsi="宋体" w:eastAsia="方正仿宋_GBK"/>
          <w:sz w:val="30"/>
          <w:szCs w:val="30"/>
        </w:rPr>
      </w:pPr>
    </w:p>
    <w:p w14:paraId="1413FB84">
      <w:pPr>
        <w:spacing w:line="360" w:lineRule="auto"/>
        <w:ind w:left="-560" w:leftChars="-200" w:firstLine="1950" w:firstLineChars="650"/>
        <w:rPr>
          <w:rFonts w:ascii="方正仿宋_GBK" w:hAnsi="宋体" w:eastAsia="方正仿宋_GBK"/>
          <w:sz w:val="30"/>
          <w:szCs w:val="30"/>
        </w:rPr>
      </w:pPr>
    </w:p>
    <w:p w14:paraId="26FCA813">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2457385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1345566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31F86DA1">
      <w:pPr>
        <w:pStyle w:val="11"/>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40998B60">
      <w:pPr>
        <w:spacing w:line="360" w:lineRule="auto"/>
        <w:ind w:left="-560" w:leftChars="-200" w:firstLine="1950" w:firstLineChars="650"/>
        <w:rPr>
          <w:rFonts w:ascii="方正仿宋_GBK" w:hAnsi="宋体" w:eastAsia="方正仿宋_GBK"/>
          <w:sz w:val="30"/>
          <w:szCs w:val="30"/>
        </w:rPr>
      </w:pPr>
    </w:p>
    <w:p w14:paraId="611FDC3B">
      <w:pPr>
        <w:spacing w:line="360" w:lineRule="auto"/>
        <w:rPr>
          <w:rFonts w:ascii="方正仿宋_GBK" w:hAnsi="宋体" w:eastAsia="方正仿宋_GBK"/>
          <w:sz w:val="30"/>
          <w:szCs w:val="30"/>
        </w:rPr>
      </w:pPr>
    </w:p>
    <w:p w14:paraId="7929BEA6">
      <w:pPr>
        <w:spacing w:line="360" w:lineRule="auto"/>
        <w:rPr>
          <w:rFonts w:ascii="方正仿宋_GBK" w:hAnsi="宋体" w:eastAsia="方正仿宋_GBK"/>
          <w:sz w:val="30"/>
          <w:szCs w:val="30"/>
        </w:rPr>
      </w:pPr>
    </w:p>
    <w:p w14:paraId="6C0A54B7">
      <w:pPr>
        <w:spacing w:line="360" w:lineRule="auto"/>
        <w:rPr>
          <w:rFonts w:ascii="方正仿宋_GBK" w:hAnsi="宋体" w:eastAsia="方正仿宋_GBK"/>
          <w:sz w:val="30"/>
          <w:szCs w:val="30"/>
        </w:rPr>
      </w:pPr>
    </w:p>
    <w:p w14:paraId="4583FD47">
      <w:pPr>
        <w:spacing w:line="440" w:lineRule="exact"/>
        <w:ind w:firstLine="480" w:firstLineChars="200"/>
        <w:rPr>
          <w:rFonts w:ascii="方正仿宋_GBK" w:hAnsi="宋体" w:eastAsia="方正仿宋_GBK"/>
          <w:sz w:val="24"/>
          <w:szCs w:val="24"/>
        </w:rPr>
      </w:pPr>
    </w:p>
    <w:p w14:paraId="12733D98">
      <w:pPr>
        <w:pStyle w:val="11"/>
      </w:pPr>
    </w:p>
    <w:p w14:paraId="273ECD87">
      <w:pPr>
        <w:pStyle w:val="12"/>
      </w:pPr>
    </w:p>
    <w:p w14:paraId="486F9829"/>
    <w:p w14:paraId="44B3D486">
      <w:pPr>
        <w:spacing w:line="440" w:lineRule="exact"/>
        <w:ind w:firstLine="480" w:firstLineChars="200"/>
        <w:rPr>
          <w:rFonts w:ascii="方正仿宋_GBK" w:hAnsi="宋体" w:eastAsia="方正仿宋_GBK"/>
          <w:sz w:val="24"/>
          <w:szCs w:val="24"/>
        </w:rPr>
      </w:pPr>
    </w:p>
    <w:p w14:paraId="2598233E">
      <w:pPr>
        <w:spacing w:line="440" w:lineRule="exact"/>
        <w:ind w:firstLine="480" w:firstLineChars="200"/>
        <w:rPr>
          <w:rFonts w:ascii="方正仿宋_GBK" w:hAnsi="宋体" w:eastAsia="方正仿宋_GBK"/>
          <w:sz w:val="24"/>
          <w:szCs w:val="24"/>
        </w:rPr>
      </w:pPr>
    </w:p>
    <w:p w14:paraId="4B42DD5D">
      <w:pPr>
        <w:spacing w:line="440" w:lineRule="exact"/>
        <w:rPr>
          <w:rFonts w:ascii="方正仿宋_GBK" w:hAnsi="宋体" w:eastAsia="方正仿宋_GBK"/>
          <w:sz w:val="24"/>
          <w:szCs w:val="24"/>
        </w:rPr>
      </w:pPr>
    </w:p>
    <w:p w14:paraId="20A75AC4">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FC2945B">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一、技术部分</w:t>
      </w:r>
    </w:p>
    <w:p w14:paraId="682947C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14:paraId="2891FBE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14:paraId="63AC2DC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3D4E471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14:paraId="35E9BB4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2B047D0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14:paraId="08FEC0D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4429A5B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1E0E55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16C9A22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5564A4B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3、营业执照（三证合一）复印件；</w:t>
      </w:r>
    </w:p>
    <w:p w14:paraId="7C96012E">
      <w:pPr>
        <w:spacing w:line="360" w:lineRule="auto"/>
        <w:ind w:firstLine="480" w:firstLineChars="200"/>
        <w:rPr>
          <w:rFonts w:ascii="方正仿宋_GBK" w:hAnsi="宋体" w:eastAsia="方正仿宋_GBK"/>
          <w:color w:val="FF0000"/>
          <w:sz w:val="24"/>
          <w:szCs w:val="24"/>
          <w:u w:val="single"/>
        </w:rPr>
      </w:pPr>
      <w:r>
        <w:rPr>
          <w:rFonts w:hint="eastAsia" w:ascii="方正仿宋_GBK" w:hAnsi="宋体" w:eastAsia="方正仿宋_GBK"/>
          <w:color w:val="FF0000"/>
          <w:sz w:val="24"/>
          <w:szCs w:val="24"/>
          <w:u w:val="single"/>
        </w:rPr>
        <w:t>注：营业执照、税务登记证、组织机构代码已经“三证合一”的，只提供营业执照副本复印件。</w:t>
      </w:r>
    </w:p>
    <w:p w14:paraId="0EA5EE2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4、基本资格条件承诺函（格式）</w:t>
      </w:r>
    </w:p>
    <w:p w14:paraId="21855589">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5、投标保证金银行转账回执</w:t>
      </w:r>
    </w:p>
    <w:p w14:paraId="01E12BC6">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6、</w:t>
      </w:r>
      <w:r>
        <w:rPr>
          <w:rFonts w:hint="eastAsia" w:ascii="方正仿宋_GBK" w:hAnsi="宋体" w:eastAsia="方正仿宋_GBK" w:cs="Times New Roman"/>
          <w:sz w:val="24"/>
          <w:szCs w:val="24"/>
        </w:rPr>
        <w:t>基本资格条件承诺函（格式）</w:t>
      </w:r>
    </w:p>
    <w:p w14:paraId="198B1EB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7</w:t>
      </w:r>
      <w:r>
        <w:rPr>
          <w:rFonts w:hint="eastAsia" w:ascii="方正仿宋_GBK" w:hAnsi="宋体" w:eastAsia="方正仿宋_GBK" w:cs="Times New Roman"/>
          <w:sz w:val="24"/>
          <w:szCs w:val="24"/>
        </w:rPr>
        <w:t>、承诺书（格式）</w:t>
      </w:r>
    </w:p>
    <w:p w14:paraId="3AB8A1A4">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8、</w:t>
      </w:r>
      <w:r>
        <w:rPr>
          <w:rFonts w:hint="eastAsia" w:ascii="方正仿宋_GBK" w:hAnsi="宋体" w:eastAsia="方正仿宋_GBK" w:cs="Times New Roman"/>
          <w:sz w:val="24"/>
          <w:szCs w:val="24"/>
        </w:rPr>
        <w:t>投标供应商廉洁承诺书（格式）</w:t>
      </w:r>
    </w:p>
    <w:p w14:paraId="130C0C23">
      <w:pPr>
        <w:spacing w:line="44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9、</w:t>
      </w:r>
      <w:r>
        <w:rPr>
          <w:rFonts w:hint="eastAsia" w:ascii="方正仿宋_GBK" w:hAnsi="宋体" w:eastAsia="方正仿宋_GBK" w:cs="Times New Roman"/>
          <w:sz w:val="24"/>
          <w:szCs w:val="24"/>
        </w:rPr>
        <w:t>投标人关联单位的说明（格式）</w:t>
      </w:r>
    </w:p>
    <w:p w14:paraId="591D7D02">
      <w:pPr>
        <w:spacing w:line="440" w:lineRule="exact"/>
        <w:ind w:firstLine="480" w:firstLineChars="200"/>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10.</w:t>
      </w:r>
      <w:r>
        <w:rPr>
          <w:rFonts w:hint="eastAsia" w:ascii="方正仿宋_GBK" w:hAnsi="宋体" w:eastAsia="方正仿宋_GBK"/>
          <w:sz w:val="24"/>
          <w:szCs w:val="24"/>
        </w:rPr>
        <w:t>其他应提供的资料（自附）</w:t>
      </w:r>
    </w:p>
    <w:p w14:paraId="480EB0D9">
      <w:pPr>
        <w:pStyle w:val="11"/>
      </w:pPr>
    </w:p>
    <w:p w14:paraId="020EF13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14:paraId="48C07B8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参照本招标文件“第一篇特定资格条件”要求提供，所有投标资料需要加盖单位公章（鲜章）。</w:t>
      </w:r>
    </w:p>
    <w:p w14:paraId="4C40F199">
      <w:pPr>
        <w:spacing w:line="360" w:lineRule="auto"/>
        <w:ind w:firstLine="480" w:firstLineChars="200"/>
        <w:rPr>
          <w:rFonts w:ascii="方正仿宋_GBK" w:hAnsi="宋体" w:eastAsia="方正仿宋_GBK"/>
          <w:sz w:val="24"/>
          <w:szCs w:val="24"/>
        </w:rPr>
      </w:pPr>
    </w:p>
    <w:p w14:paraId="03545457">
      <w:pPr>
        <w:spacing w:line="360" w:lineRule="auto"/>
      </w:pPr>
    </w:p>
    <w:p w14:paraId="4332D35E"/>
    <w:p w14:paraId="4438D9A7"/>
    <w:p w14:paraId="71237ECC"/>
    <w:p w14:paraId="6221795A"/>
    <w:p w14:paraId="5F6C291F"/>
    <w:p w14:paraId="2CD7A488">
      <w:pPr>
        <w:rPr>
          <w:rFonts w:ascii="方正仿宋_GBK" w:hAnsi="宋体" w:eastAsia="方正仿宋_GBK"/>
          <w:b/>
          <w:sz w:val="24"/>
          <w:szCs w:val="24"/>
        </w:rPr>
      </w:pPr>
      <w:r>
        <w:rPr>
          <w:rFonts w:hint="eastAsia" w:ascii="方正仿宋_GBK" w:hAnsi="宋体" w:eastAsia="方正仿宋_GBK"/>
          <w:b/>
          <w:sz w:val="24"/>
          <w:szCs w:val="24"/>
        </w:rPr>
        <w:t>一、技术部分</w:t>
      </w:r>
      <w:bookmarkEnd w:id="178"/>
      <w:bookmarkEnd w:id="179"/>
      <w:bookmarkEnd w:id="180"/>
    </w:p>
    <w:p w14:paraId="5426C16B">
      <w:pPr>
        <w:pStyle w:val="3"/>
        <w:spacing w:line="360" w:lineRule="auto"/>
        <w:ind w:firstLine="472" w:firstLineChars="196"/>
        <w:rPr>
          <w:rFonts w:ascii="方正仿宋_GBK" w:hAnsi="宋体" w:eastAsia="方正仿宋_GBK"/>
          <w:sz w:val="24"/>
          <w:szCs w:val="24"/>
        </w:rPr>
      </w:pPr>
    </w:p>
    <w:p w14:paraId="299DACCD">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（一）技术应答（格式自定）</w:t>
      </w:r>
    </w:p>
    <w:p w14:paraId="244D508C">
      <w:pPr>
        <w:tabs>
          <w:tab w:val="left" w:pos="6300"/>
        </w:tabs>
        <w:snapToGrid w:val="0"/>
        <w:spacing w:line="500" w:lineRule="exact"/>
        <w:ind w:firstLine="570"/>
        <w:rPr>
          <w:rFonts w:ascii="方正仿宋_GBK" w:hAnsi="宋体" w:eastAsia="方正仿宋_GBK"/>
          <w:szCs w:val="24"/>
        </w:rPr>
      </w:pPr>
      <w:r>
        <w:rPr>
          <w:rFonts w:hint="eastAsia" w:ascii="方正仿宋_GBK" w:hAnsi="宋体" w:eastAsia="方正仿宋_GBK"/>
          <w:sz w:val="24"/>
          <w:szCs w:val="24"/>
        </w:rPr>
        <w:t>（二）技术响应偏离表</w:t>
      </w:r>
    </w:p>
    <w:p w14:paraId="65BB4F11">
      <w:pPr>
        <w:pStyle w:val="8"/>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Style w:val="1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51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A66A9F0">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14:paraId="1071775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14:paraId="18AD57D6">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14:paraId="2B10D3C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4150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7B3EF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F816318">
            <w:pPr>
              <w:tabs>
                <w:tab w:val="left" w:pos="6300"/>
              </w:tabs>
              <w:snapToGrid w:val="0"/>
              <w:spacing w:line="500" w:lineRule="exact"/>
              <w:jc w:val="center"/>
              <w:outlineLvl w:val="0"/>
              <w:rPr>
                <w:rFonts w:ascii="方正仿宋_GBK" w:hAnsi="宋体" w:eastAsia="方正仿宋_GBK"/>
                <w:sz w:val="21"/>
                <w:szCs w:val="21"/>
              </w:rPr>
            </w:pPr>
            <w:r>
              <w:rPr>
                <w:rFonts w:hint="eastAsia" w:ascii="宋体" w:hAnsi="宋体" w:cs="宋体"/>
                <w:sz w:val="21"/>
                <w:szCs w:val="21"/>
                <w:lang w:val="en-US" w:eastAsia="zh-CN"/>
              </w:rPr>
              <w:t>投标人逐条自行粘贴</w:t>
            </w:r>
          </w:p>
        </w:tc>
        <w:tc>
          <w:tcPr>
            <w:tcW w:w="2759" w:type="dxa"/>
            <w:vAlign w:val="center"/>
          </w:tcPr>
          <w:p w14:paraId="0219807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9545677">
            <w:pPr>
              <w:tabs>
                <w:tab w:val="left" w:pos="6300"/>
              </w:tabs>
              <w:snapToGrid w:val="0"/>
              <w:spacing w:line="500" w:lineRule="exact"/>
              <w:jc w:val="center"/>
              <w:outlineLvl w:val="0"/>
              <w:rPr>
                <w:rFonts w:ascii="方正仿宋_GBK" w:hAnsi="宋体" w:eastAsia="方正仿宋_GBK"/>
                <w:sz w:val="21"/>
                <w:szCs w:val="21"/>
              </w:rPr>
            </w:pPr>
          </w:p>
        </w:tc>
      </w:tr>
      <w:tr w14:paraId="068B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64E7F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B408C0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5D0D7A0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17CDC94">
            <w:pPr>
              <w:tabs>
                <w:tab w:val="left" w:pos="6300"/>
              </w:tabs>
              <w:snapToGrid w:val="0"/>
              <w:spacing w:line="500" w:lineRule="exact"/>
              <w:jc w:val="center"/>
              <w:outlineLvl w:val="0"/>
              <w:rPr>
                <w:rFonts w:ascii="方正仿宋_GBK" w:hAnsi="宋体" w:eastAsia="方正仿宋_GBK"/>
                <w:sz w:val="21"/>
                <w:szCs w:val="21"/>
              </w:rPr>
            </w:pPr>
          </w:p>
        </w:tc>
      </w:tr>
      <w:tr w14:paraId="264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9A674D">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77B300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53721AB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D9F0E1C">
            <w:pPr>
              <w:tabs>
                <w:tab w:val="left" w:pos="6300"/>
              </w:tabs>
              <w:snapToGrid w:val="0"/>
              <w:spacing w:line="500" w:lineRule="exact"/>
              <w:jc w:val="center"/>
              <w:outlineLvl w:val="0"/>
              <w:rPr>
                <w:rFonts w:ascii="方正仿宋_GBK" w:hAnsi="宋体" w:eastAsia="方正仿宋_GBK"/>
                <w:sz w:val="21"/>
                <w:szCs w:val="21"/>
              </w:rPr>
            </w:pPr>
          </w:p>
        </w:tc>
      </w:tr>
      <w:tr w14:paraId="7FBC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08FA0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62678E2">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9587A9D">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4A423C9">
            <w:pPr>
              <w:tabs>
                <w:tab w:val="left" w:pos="6300"/>
              </w:tabs>
              <w:snapToGrid w:val="0"/>
              <w:spacing w:line="500" w:lineRule="exact"/>
              <w:jc w:val="center"/>
              <w:outlineLvl w:val="0"/>
              <w:rPr>
                <w:rFonts w:ascii="方正仿宋_GBK" w:hAnsi="宋体" w:eastAsia="方正仿宋_GBK"/>
                <w:sz w:val="21"/>
                <w:szCs w:val="21"/>
              </w:rPr>
            </w:pPr>
          </w:p>
        </w:tc>
      </w:tr>
      <w:tr w14:paraId="246F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0D1B5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F4A174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A3F7DE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57D571B">
            <w:pPr>
              <w:tabs>
                <w:tab w:val="left" w:pos="6300"/>
              </w:tabs>
              <w:snapToGrid w:val="0"/>
              <w:spacing w:line="500" w:lineRule="exact"/>
              <w:jc w:val="center"/>
              <w:outlineLvl w:val="0"/>
              <w:rPr>
                <w:rFonts w:ascii="方正仿宋_GBK" w:hAnsi="宋体" w:eastAsia="方正仿宋_GBK"/>
                <w:sz w:val="21"/>
                <w:szCs w:val="21"/>
              </w:rPr>
            </w:pPr>
          </w:p>
        </w:tc>
      </w:tr>
      <w:tr w14:paraId="4087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CAE79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64AE4C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255732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6E07E65">
            <w:pPr>
              <w:tabs>
                <w:tab w:val="left" w:pos="6300"/>
              </w:tabs>
              <w:snapToGrid w:val="0"/>
              <w:spacing w:line="500" w:lineRule="exact"/>
              <w:jc w:val="center"/>
              <w:outlineLvl w:val="0"/>
              <w:rPr>
                <w:rFonts w:ascii="方正仿宋_GBK" w:hAnsi="宋体" w:eastAsia="方正仿宋_GBK"/>
                <w:sz w:val="21"/>
                <w:szCs w:val="21"/>
              </w:rPr>
            </w:pPr>
          </w:p>
        </w:tc>
      </w:tr>
      <w:tr w14:paraId="12AB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B75E8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42394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7542F01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67C0E7A">
            <w:pPr>
              <w:tabs>
                <w:tab w:val="left" w:pos="6300"/>
              </w:tabs>
              <w:snapToGrid w:val="0"/>
              <w:spacing w:line="500" w:lineRule="exact"/>
              <w:jc w:val="center"/>
              <w:outlineLvl w:val="0"/>
              <w:rPr>
                <w:rFonts w:ascii="方正仿宋_GBK" w:hAnsi="宋体" w:eastAsia="方正仿宋_GBK"/>
                <w:sz w:val="21"/>
                <w:szCs w:val="21"/>
              </w:rPr>
            </w:pPr>
          </w:p>
        </w:tc>
      </w:tr>
      <w:tr w14:paraId="0B66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8E02F2">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24C0305">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65C2C8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03EDBA35">
            <w:pPr>
              <w:tabs>
                <w:tab w:val="left" w:pos="6300"/>
              </w:tabs>
              <w:snapToGrid w:val="0"/>
              <w:spacing w:line="500" w:lineRule="exact"/>
              <w:jc w:val="center"/>
              <w:outlineLvl w:val="0"/>
              <w:rPr>
                <w:rFonts w:ascii="方正仿宋_GBK" w:hAnsi="宋体" w:eastAsia="方正仿宋_GBK"/>
                <w:sz w:val="21"/>
                <w:szCs w:val="21"/>
              </w:rPr>
            </w:pPr>
          </w:p>
        </w:tc>
      </w:tr>
    </w:tbl>
    <w:p w14:paraId="1214AD73">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569FCA96">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52BE14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2359FA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D5AFEF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4FE7EE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磋商项目技术需求”中所列要求进行比较和响应；</w:t>
      </w:r>
    </w:p>
    <w:p w14:paraId="7C102E1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w:t>
      </w:r>
      <w:r>
        <w:rPr>
          <w:rFonts w:hint="eastAsia" w:ascii="方正仿宋_GBK" w:hAnsi="宋体" w:eastAsia="方正仿宋_GBK"/>
          <w:color w:val="FF0000"/>
          <w:sz w:val="24"/>
        </w:rPr>
        <w:t>逐条如实填写</w:t>
      </w:r>
      <w:r>
        <w:rPr>
          <w:rFonts w:hint="eastAsia" w:ascii="方正仿宋_GBK" w:hAnsi="宋体" w:eastAsia="方正仿宋_GBK"/>
          <w:sz w:val="24"/>
        </w:rPr>
        <w:t>，根据</w:t>
      </w:r>
      <w:r>
        <w:rPr>
          <w:rFonts w:hint="eastAsia" w:ascii="方正仿宋_GBK" w:hAnsi="宋体" w:eastAsia="方正仿宋_GBK"/>
          <w:color w:val="FF0000"/>
          <w:sz w:val="24"/>
        </w:rPr>
        <w:t>响应情况在“差异说明”项填写正偏离或负偏离及原因，完全符合的填写“无差异”；</w:t>
      </w:r>
    </w:p>
    <w:p w14:paraId="2DA6440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21FDCA5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12EC1644">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181" w:name="_Toc313888362"/>
      <w:bookmarkStart w:id="182" w:name="_Toc313008358"/>
      <w:bookmarkStart w:id="183" w:name="_Toc403569800"/>
      <w:bookmarkStart w:id="184" w:name="_Toc342913421"/>
    </w:p>
    <w:p w14:paraId="63832EFA">
      <w:pPr>
        <w:tabs>
          <w:tab w:val="left" w:pos="6300"/>
        </w:tabs>
        <w:snapToGrid w:val="0"/>
        <w:spacing w:line="500" w:lineRule="exact"/>
        <w:ind w:firstLine="480" w:firstLineChars="200"/>
        <w:rPr>
          <w:rFonts w:ascii="方正仿宋_GBK" w:hAnsi="宋体" w:eastAsia="方正仿宋_GBK"/>
          <w:sz w:val="24"/>
          <w:szCs w:val="24"/>
        </w:rPr>
      </w:pPr>
    </w:p>
    <w:p w14:paraId="2BD4D751">
      <w:pPr>
        <w:tabs>
          <w:tab w:val="left" w:pos="6300"/>
        </w:tabs>
        <w:snapToGrid w:val="0"/>
        <w:spacing w:line="5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二、服务部分</w:t>
      </w:r>
      <w:bookmarkEnd w:id="181"/>
      <w:bookmarkEnd w:id="182"/>
      <w:bookmarkEnd w:id="183"/>
      <w:bookmarkEnd w:id="184"/>
    </w:p>
    <w:p w14:paraId="33ED3A82">
      <w:pPr>
        <w:snapToGrid w:val="0"/>
        <w:spacing w:line="360" w:lineRule="auto"/>
        <w:ind w:firstLine="480" w:firstLineChars="200"/>
        <w:rPr>
          <w:rFonts w:ascii="方正仿宋_GBK" w:eastAsia="方正仿宋_GBK"/>
          <w:b/>
        </w:rPr>
      </w:pPr>
      <w:r>
        <w:rPr>
          <w:rFonts w:hint="eastAsia" w:ascii="方正仿宋_GBK" w:hAnsi="宋体" w:eastAsia="方正仿宋_GBK"/>
          <w:sz w:val="24"/>
          <w:szCs w:val="24"/>
        </w:rPr>
        <w:t>（一）服务要求响应情况：交货期、交货地点、服务条款等（格式自定）</w:t>
      </w:r>
    </w:p>
    <w:p w14:paraId="75A94D11">
      <w:pPr>
        <w:spacing w:line="360" w:lineRule="auto"/>
        <w:ind w:firstLine="480" w:firstLineChars="200"/>
        <w:rPr>
          <w:rFonts w:ascii="方正仿宋_GBK" w:hAnsi="宋体" w:eastAsia="方正仿宋_GBK"/>
          <w:sz w:val="24"/>
          <w:szCs w:val="24"/>
        </w:rPr>
      </w:pPr>
      <w:bookmarkStart w:id="185" w:name="_Toc283382459"/>
      <w:r>
        <w:rPr>
          <w:rFonts w:hint="eastAsia" w:ascii="方正仿宋_GBK" w:hAnsi="宋体" w:eastAsia="方正仿宋_GBK"/>
          <w:sz w:val="24"/>
          <w:szCs w:val="24"/>
        </w:rPr>
        <w:t>（二）服务响应偏离表</w:t>
      </w:r>
    </w:p>
    <w:p w14:paraId="61A72027">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14:paraId="0093CDF0">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对于竞争性磋商文件的服务要求，如有任何偏离请如实填写下表：</w:t>
      </w:r>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AA8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A5D46F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22B27FF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14:paraId="6CA2AA58">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6254A1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09BD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C0820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2B93BD8">
            <w:pPr>
              <w:tabs>
                <w:tab w:val="left" w:pos="6300"/>
              </w:tabs>
              <w:snapToGrid w:val="0"/>
              <w:spacing w:line="360" w:lineRule="auto"/>
              <w:jc w:val="center"/>
              <w:outlineLvl w:val="0"/>
              <w:rPr>
                <w:rFonts w:ascii="方正仿宋_GBK" w:hAnsi="宋体" w:eastAsia="方正仿宋_GBK"/>
                <w:sz w:val="21"/>
                <w:szCs w:val="24"/>
              </w:rPr>
            </w:pPr>
            <w:r>
              <w:rPr>
                <w:rFonts w:hint="eastAsia" w:ascii="宋体" w:hAnsi="宋体" w:cs="宋体"/>
                <w:sz w:val="21"/>
                <w:szCs w:val="21"/>
                <w:lang w:val="en-US" w:eastAsia="zh-CN"/>
              </w:rPr>
              <w:t>投标人逐条自行粘贴</w:t>
            </w:r>
          </w:p>
        </w:tc>
        <w:tc>
          <w:tcPr>
            <w:tcW w:w="2434" w:type="dxa"/>
            <w:vAlign w:val="center"/>
          </w:tcPr>
          <w:p w14:paraId="34BA3B6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1018373">
            <w:pPr>
              <w:tabs>
                <w:tab w:val="left" w:pos="6300"/>
              </w:tabs>
              <w:snapToGrid w:val="0"/>
              <w:spacing w:line="360" w:lineRule="auto"/>
              <w:jc w:val="center"/>
              <w:outlineLvl w:val="0"/>
              <w:rPr>
                <w:rFonts w:ascii="方正仿宋_GBK" w:hAnsi="宋体" w:eastAsia="方正仿宋_GBK"/>
                <w:sz w:val="21"/>
                <w:szCs w:val="24"/>
              </w:rPr>
            </w:pPr>
          </w:p>
        </w:tc>
      </w:tr>
      <w:tr w14:paraId="6949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0521B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BBF799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302078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53DE0C6">
            <w:pPr>
              <w:tabs>
                <w:tab w:val="left" w:pos="6300"/>
              </w:tabs>
              <w:snapToGrid w:val="0"/>
              <w:spacing w:line="360" w:lineRule="auto"/>
              <w:jc w:val="center"/>
              <w:outlineLvl w:val="0"/>
              <w:rPr>
                <w:rFonts w:ascii="方正仿宋_GBK" w:hAnsi="宋体" w:eastAsia="方正仿宋_GBK"/>
                <w:sz w:val="21"/>
                <w:szCs w:val="24"/>
              </w:rPr>
            </w:pPr>
          </w:p>
        </w:tc>
      </w:tr>
      <w:tr w14:paraId="1367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B7743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5FEF28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9E88BF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C63DF56">
            <w:pPr>
              <w:tabs>
                <w:tab w:val="left" w:pos="6300"/>
              </w:tabs>
              <w:snapToGrid w:val="0"/>
              <w:spacing w:line="360" w:lineRule="auto"/>
              <w:jc w:val="center"/>
              <w:outlineLvl w:val="0"/>
              <w:rPr>
                <w:rFonts w:ascii="方正仿宋_GBK" w:hAnsi="宋体" w:eastAsia="方正仿宋_GBK"/>
                <w:sz w:val="21"/>
                <w:szCs w:val="24"/>
              </w:rPr>
            </w:pPr>
          </w:p>
        </w:tc>
      </w:tr>
      <w:tr w14:paraId="2A69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F5991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17A357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A1941F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1BD27B3">
            <w:pPr>
              <w:tabs>
                <w:tab w:val="left" w:pos="6300"/>
              </w:tabs>
              <w:snapToGrid w:val="0"/>
              <w:spacing w:line="360" w:lineRule="auto"/>
              <w:jc w:val="center"/>
              <w:outlineLvl w:val="0"/>
              <w:rPr>
                <w:rFonts w:ascii="方正仿宋_GBK" w:hAnsi="宋体" w:eastAsia="方正仿宋_GBK"/>
                <w:sz w:val="21"/>
                <w:szCs w:val="24"/>
              </w:rPr>
            </w:pPr>
          </w:p>
        </w:tc>
      </w:tr>
      <w:tr w14:paraId="75FA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56B0CB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71982A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94028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967A44D">
            <w:pPr>
              <w:tabs>
                <w:tab w:val="left" w:pos="6300"/>
              </w:tabs>
              <w:snapToGrid w:val="0"/>
              <w:spacing w:line="360" w:lineRule="auto"/>
              <w:jc w:val="center"/>
              <w:outlineLvl w:val="0"/>
              <w:rPr>
                <w:rFonts w:ascii="方正仿宋_GBK" w:hAnsi="宋体" w:eastAsia="方正仿宋_GBK"/>
                <w:sz w:val="21"/>
                <w:szCs w:val="24"/>
              </w:rPr>
            </w:pPr>
          </w:p>
        </w:tc>
      </w:tr>
      <w:tr w14:paraId="7A6E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24E6F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504405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FD571D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C972C83">
            <w:pPr>
              <w:tabs>
                <w:tab w:val="left" w:pos="6300"/>
              </w:tabs>
              <w:snapToGrid w:val="0"/>
              <w:spacing w:line="360" w:lineRule="auto"/>
              <w:jc w:val="center"/>
              <w:outlineLvl w:val="0"/>
              <w:rPr>
                <w:rFonts w:ascii="方正仿宋_GBK" w:hAnsi="宋体" w:eastAsia="方正仿宋_GBK"/>
                <w:sz w:val="21"/>
                <w:szCs w:val="24"/>
              </w:rPr>
            </w:pPr>
          </w:p>
        </w:tc>
      </w:tr>
    </w:tbl>
    <w:p w14:paraId="3F4A742E">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0F5A4A0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3A597C0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38784E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34FEDC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磋商项目服务需求”中所列服务要求进行比较和响应；</w:t>
      </w:r>
    </w:p>
    <w:p w14:paraId="307B1719">
      <w:pPr>
        <w:tabs>
          <w:tab w:val="left" w:pos="6300"/>
        </w:tabs>
        <w:snapToGrid w:val="0"/>
        <w:spacing w:line="500" w:lineRule="exact"/>
        <w:ind w:firstLine="480" w:firstLineChars="200"/>
        <w:rPr>
          <w:rFonts w:ascii="方正仿宋_GBK" w:hAnsi="宋体" w:eastAsia="方正仿宋_GBK"/>
          <w:color w:val="FF0000"/>
          <w:sz w:val="24"/>
        </w:rPr>
      </w:pPr>
      <w:r>
        <w:rPr>
          <w:rFonts w:hint="eastAsia" w:ascii="方正仿宋_GBK" w:hAnsi="宋体" w:eastAsia="方正仿宋_GBK"/>
          <w:sz w:val="24"/>
        </w:rPr>
        <w:t>2、该表必须按照竞争性磋商要求</w:t>
      </w:r>
      <w:r>
        <w:rPr>
          <w:rFonts w:hint="eastAsia" w:ascii="方正仿宋_GBK" w:hAnsi="宋体" w:eastAsia="方正仿宋_GBK"/>
          <w:color w:val="FF0000"/>
          <w:sz w:val="24"/>
        </w:rPr>
        <w:t>逐条如实填写</w:t>
      </w:r>
      <w:r>
        <w:rPr>
          <w:rFonts w:hint="eastAsia" w:ascii="方正仿宋_GBK" w:hAnsi="宋体" w:eastAsia="方正仿宋_GBK"/>
          <w:sz w:val="24"/>
        </w:rPr>
        <w:t>，根据</w:t>
      </w:r>
      <w:r>
        <w:rPr>
          <w:rFonts w:hint="eastAsia" w:ascii="方正仿宋_GBK" w:hAnsi="宋体" w:eastAsia="方正仿宋_GBK"/>
          <w:color w:val="FF0000"/>
          <w:sz w:val="24"/>
        </w:rPr>
        <w:t>响应情况在“差异说明”项填写正偏离或负偏离及原因，完全符合的填写“无差异”；</w:t>
      </w:r>
    </w:p>
    <w:p w14:paraId="108E87F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72427970">
      <w:pPr>
        <w:spacing w:line="360" w:lineRule="auto"/>
        <w:ind w:firstLine="560" w:firstLineChars="200"/>
        <w:jc w:val="center"/>
        <w:rPr>
          <w:rFonts w:ascii="方正仿宋_GBK" w:hAnsi="宋体" w:eastAsia="方正仿宋_GBK"/>
          <w:sz w:val="24"/>
          <w:szCs w:val="24"/>
        </w:rPr>
      </w:pPr>
      <w:r>
        <w:br w:type="page"/>
      </w:r>
      <w:bookmarkEnd w:id="185"/>
      <w:bookmarkStart w:id="186" w:name="_Toc313008359"/>
      <w:bookmarkStart w:id="187" w:name="_Toc313888363"/>
      <w:bookmarkStart w:id="188" w:name="_Toc403569801"/>
      <w:bookmarkStart w:id="189" w:name="_Toc342913422"/>
      <w:r>
        <w:rPr>
          <w:rFonts w:hint="eastAsia" w:ascii="方正仿宋_GBK" w:hAnsi="宋体" w:eastAsia="方正仿宋_GBK"/>
          <w:sz w:val="24"/>
          <w:szCs w:val="24"/>
        </w:rPr>
        <w:t>三、资格条件及其他</w:t>
      </w:r>
      <w:bookmarkEnd w:id="186"/>
      <w:bookmarkEnd w:id="187"/>
      <w:bookmarkEnd w:id="188"/>
      <w:bookmarkEnd w:id="189"/>
    </w:p>
    <w:p w14:paraId="11662EE8">
      <w:pPr>
        <w:numPr>
          <w:ilvl w:val="0"/>
          <w:numId w:val="4"/>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一般资格条件</w:t>
      </w:r>
    </w:p>
    <w:p w14:paraId="6FFA3B72">
      <w:pPr>
        <w:tabs>
          <w:tab w:val="left" w:pos="6300"/>
        </w:tabs>
        <w:snapToGrid w:val="0"/>
        <w:spacing w:line="360" w:lineRule="auto"/>
        <w:rPr>
          <w:rFonts w:ascii="方正仿宋_GBK" w:hAnsi="宋体" w:eastAsia="方正仿宋_GBK"/>
          <w:b/>
          <w:szCs w:val="28"/>
        </w:rPr>
      </w:pPr>
      <w:r>
        <w:rPr>
          <w:rFonts w:hint="eastAsia" w:ascii="方正仿宋_GBK" w:hAnsi="宋体" w:eastAsia="方正仿宋_GBK"/>
          <w:sz w:val="24"/>
          <w:szCs w:val="24"/>
        </w:rPr>
        <w:t xml:space="preserve">    1、法定代表人身份证明书、法定代表人授权委托书、营业执照复印件、税务登记证副本复印件（国税和地税）、组织机构代码证副本复印件</w:t>
      </w:r>
    </w:p>
    <w:p w14:paraId="1323F916">
      <w:pPr>
        <w:tabs>
          <w:tab w:val="left" w:pos="6300"/>
        </w:tabs>
        <w:snapToGrid w:val="0"/>
        <w:spacing w:line="400" w:lineRule="atLeast"/>
        <w:jc w:val="center"/>
        <w:outlineLvl w:val="0"/>
        <w:rPr>
          <w:rFonts w:ascii="方正仿宋_GBK" w:hAnsi="宋体" w:eastAsia="方正仿宋_GBK"/>
          <w:b/>
          <w:szCs w:val="28"/>
        </w:rPr>
      </w:pPr>
    </w:p>
    <w:p w14:paraId="13BD744B">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t>1.1法定代表人身份证明书（格式）</w:t>
      </w:r>
    </w:p>
    <w:p w14:paraId="696A0D96">
      <w:pPr>
        <w:tabs>
          <w:tab w:val="left" w:pos="6300"/>
        </w:tabs>
        <w:snapToGrid w:val="0"/>
        <w:spacing w:line="360" w:lineRule="auto"/>
        <w:rPr>
          <w:rFonts w:ascii="方正仿宋_GBK" w:hAnsi="宋体" w:eastAsia="方正仿宋_GBK"/>
          <w:sz w:val="24"/>
          <w:szCs w:val="24"/>
        </w:rPr>
      </w:pPr>
    </w:p>
    <w:p w14:paraId="7EDD1586">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FA20BBB">
      <w:pPr>
        <w:tabs>
          <w:tab w:val="left" w:pos="6300"/>
        </w:tabs>
        <w:snapToGrid w:val="0"/>
        <w:spacing w:line="360" w:lineRule="auto"/>
        <w:ind w:firstLine="573"/>
        <w:rPr>
          <w:rFonts w:ascii="方正仿宋_GBK" w:hAnsi="宋体" w:eastAsia="方正仿宋_GBK"/>
          <w:sz w:val="24"/>
          <w:szCs w:val="24"/>
        </w:rPr>
      </w:pPr>
    </w:p>
    <w:p w14:paraId="138361A1">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14:paraId="1C491947">
      <w:pPr>
        <w:tabs>
          <w:tab w:val="left" w:pos="6300"/>
        </w:tabs>
        <w:snapToGrid w:val="0"/>
        <w:spacing w:line="360" w:lineRule="auto"/>
        <w:rPr>
          <w:rFonts w:ascii="方正仿宋_GBK" w:hAnsi="宋体" w:eastAsia="方正仿宋_GBK"/>
          <w:sz w:val="24"/>
          <w:szCs w:val="24"/>
        </w:rPr>
      </w:pPr>
    </w:p>
    <w:p w14:paraId="10DB3C50">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14:paraId="41B47A21">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430A2DD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0E5BB4A2">
      <w:pPr>
        <w:tabs>
          <w:tab w:val="left" w:pos="6300"/>
        </w:tabs>
        <w:snapToGrid w:val="0"/>
        <w:spacing w:line="360" w:lineRule="auto"/>
        <w:rPr>
          <w:rFonts w:ascii="方正仿宋_GBK" w:hAnsi="宋体" w:eastAsia="方正仿宋_GBK"/>
          <w:sz w:val="24"/>
          <w:szCs w:val="24"/>
        </w:rPr>
      </w:pPr>
    </w:p>
    <w:p w14:paraId="390134B0">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5DF9F74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6332756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808EB4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75EA168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14625BC4">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14:paraId="2F936D2F">
      <w:pPr>
        <w:tabs>
          <w:tab w:val="left" w:pos="6300"/>
        </w:tabs>
        <w:snapToGrid w:val="0"/>
        <w:spacing w:line="360" w:lineRule="auto"/>
        <w:rPr>
          <w:rFonts w:ascii="方正仿宋_GBK" w:hAnsi="宋体" w:eastAsia="方正仿宋_GBK"/>
          <w:sz w:val="24"/>
          <w:szCs w:val="24"/>
        </w:rPr>
      </w:pPr>
    </w:p>
    <w:p w14:paraId="17D9988E">
      <w:pPr>
        <w:tabs>
          <w:tab w:val="left" w:pos="6300"/>
        </w:tabs>
        <w:snapToGrid w:val="0"/>
        <w:spacing w:line="400" w:lineRule="atLeast"/>
        <w:rPr>
          <w:rFonts w:ascii="方正仿宋_GBK" w:eastAsia="方正仿宋_GBK"/>
        </w:rPr>
      </w:pPr>
    </w:p>
    <w:p w14:paraId="4BD82703">
      <w:pPr>
        <w:tabs>
          <w:tab w:val="left" w:pos="6300"/>
        </w:tabs>
        <w:snapToGrid w:val="0"/>
        <w:spacing w:line="400" w:lineRule="atLeast"/>
        <w:jc w:val="center"/>
        <w:outlineLvl w:val="0"/>
        <w:rPr>
          <w:rFonts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
          <w:szCs w:val="28"/>
        </w:rPr>
        <w:t>1.2法定代表人授权委托书（格式）</w:t>
      </w:r>
    </w:p>
    <w:p w14:paraId="02D47715">
      <w:pPr>
        <w:tabs>
          <w:tab w:val="left" w:pos="6300"/>
        </w:tabs>
        <w:snapToGrid w:val="0"/>
        <w:spacing w:line="360" w:lineRule="auto"/>
        <w:rPr>
          <w:rFonts w:ascii="方正仿宋_GBK" w:hAnsi="宋体" w:eastAsia="方正仿宋_GBK"/>
          <w:sz w:val="24"/>
          <w:szCs w:val="24"/>
        </w:rPr>
      </w:pPr>
    </w:p>
    <w:p w14:paraId="317B4A5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7D93587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0AAD1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致：_____________________（采购代理机构名称）</w:t>
      </w:r>
    </w:p>
    <w:p w14:paraId="2B26D907">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2DB9C486">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_________（供应商法定代表人姓名）特授权_________（被授权人姓名及身份证代码）代表我单位全权办理对上述项目的磋商、签约等具体工作，并签署全部有关的文件、协议及合同。</w:t>
      </w:r>
    </w:p>
    <w:p w14:paraId="1B3A00A1">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57EBEC1E">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066E0F31">
      <w:pPr>
        <w:tabs>
          <w:tab w:val="left" w:pos="6300"/>
        </w:tabs>
        <w:snapToGrid w:val="0"/>
        <w:spacing w:line="360" w:lineRule="auto"/>
        <w:rPr>
          <w:rFonts w:ascii="方正仿宋_GBK" w:hAnsi="宋体" w:eastAsia="方正仿宋_GBK"/>
          <w:sz w:val="24"/>
          <w:szCs w:val="24"/>
        </w:rPr>
      </w:pPr>
    </w:p>
    <w:p w14:paraId="593F6CEA">
      <w:pPr>
        <w:tabs>
          <w:tab w:val="left" w:pos="6300"/>
        </w:tabs>
        <w:snapToGrid w:val="0"/>
        <w:spacing w:line="360" w:lineRule="auto"/>
        <w:rPr>
          <w:rFonts w:ascii="方正仿宋_GBK" w:hAnsi="宋体" w:eastAsia="方正仿宋_GBK"/>
          <w:sz w:val="24"/>
          <w:szCs w:val="24"/>
        </w:rPr>
      </w:pPr>
    </w:p>
    <w:p w14:paraId="69FA878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3693FF40">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49AD9175">
      <w:pPr>
        <w:tabs>
          <w:tab w:val="left" w:pos="6300"/>
        </w:tabs>
        <w:snapToGrid w:val="0"/>
        <w:spacing w:line="500" w:lineRule="exact"/>
        <w:ind w:firstLine="570"/>
        <w:rPr>
          <w:rFonts w:ascii="方正仿宋_GBK" w:hAnsi="宋体" w:eastAsia="方正仿宋_GBK"/>
          <w:sz w:val="24"/>
          <w:szCs w:val="28"/>
        </w:rPr>
      </w:pPr>
    </w:p>
    <w:p w14:paraId="589D30F5">
      <w:pPr>
        <w:tabs>
          <w:tab w:val="left" w:pos="6300"/>
        </w:tabs>
        <w:snapToGrid w:val="0"/>
        <w:spacing w:line="500" w:lineRule="exact"/>
        <w:ind w:firstLine="570"/>
        <w:rPr>
          <w:rFonts w:ascii="方正仿宋_GBK" w:hAnsi="宋体" w:eastAsia="方正仿宋_GBK"/>
          <w:sz w:val="24"/>
          <w:szCs w:val="28"/>
        </w:rPr>
      </w:pPr>
      <w:bookmarkStart w:id="190" w:name="OLE_LINK3"/>
      <w:bookmarkStart w:id="191" w:name="OLE_LINK4"/>
      <w:r>
        <w:rPr>
          <w:rFonts w:hint="eastAsia" w:ascii="方正仿宋_GBK" w:hAnsi="宋体" w:eastAsia="方正仿宋_GBK"/>
          <w:sz w:val="24"/>
          <w:szCs w:val="28"/>
        </w:rPr>
        <w:t>（附：被授权人身份证正反面复印件）</w:t>
      </w:r>
      <w:bookmarkEnd w:id="190"/>
      <w:bookmarkEnd w:id="191"/>
    </w:p>
    <w:p w14:paraId="0D64B4CA">
      <w:pPr>
        <w:tabs>
          <w:tab w:val="left" w:pos="6300"/>
        </w:tabs>
        <w:snapToGrid w:val="0"/>
        <w:spacing w:line="360" w:lineRule="auto"/>
        <w:rPr>
          <w:rFonts w:ascii="方正仿宋_GBK" w:hAnsi="宋体" w:eastAsia="方正仿宋_GBK"/>
          <w:sz w:val="24"/>
          <w:szCs w:val="24"/>
        </w:rPr>
      </w:pPr>
    </w:p>
    <w:p w14:paraId="7F59A47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57FE34EE">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14:paraId="67CFCD6D">
      <w:pPr>
        <w:tabs>
          <w:tab w:val="left" w:pos="6300"/>
        </w:tabs>
        <w:snapToGrid w:val="0"/>
        <w:spacing w:line="360" w:lineRule="auto"/>
        <w:rPr>
          <w:rFonts w:ascii="方正仿宋_GBK" w:hAnsi="宋体" w:eastAsia="方正仿宋_GBK"/>
          <w:sz w:val="24"/>
          <w:szCs w:val="24"/>
        </w:rPr>
      </w:pPr>
    </w:p>
    <w:p w14:paraId="1A57B36C">
      <w:pPr>
        <w:tabs>
          <w:tab w:val="left" w:pos="6300"/>
        </w:tabs>
        <w:snapToGrid w:val="0"/>
        <w:spacing w:line="360" w:lineRule="auto"/>
        <w:ind w:firstLine="480" w:firstLineChars="200"/>
        <w:rPr>
          <w:rFonts w:ascii="方正仿宋_GBK" w:hAnsi="宋体" w:eastAsia="方正仿宋_GBK"/>
          <w:sz w:val="24"/>
          <w:szCs w:val="24"/>
        </w:rPr>
      </w:pPr>
    </w:p>
    <w:p w14:paraId="7F7C2338">
      <w:pPr>
        <w:tabs>
          <w:tab w:val="left" w:pos="6300"/>
        </w:tabs>
        <w:snapToGrid w:val="0"/>
        <w:spacing w:line="360" w:lineRule="auto"/>
        <w:ind w:firstLine="480" w:firstLineChars="200"/>
        <w:rPr>
          <w:rFonts w:ascii="方正仿宋_GBK" w:hAnsi="宋体" w:eastAsia="方正仿宋_GBK"/>
          <w:sz w:val="24"/>
          <w:szCs w:val="24"/>
        </w:rPr>
      </w:pPr>
    </w:p>
    <w:p w14:paraId="24293B2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1.3营业执照副本复印件</w:t>
      </w:r>
    </w:p>
    <w:p w14:paraId="6BA2DA1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1.4税务登记证副本复印件（国税和地税）；</w:t>
      </w:r>
    </w:p>
    <w:p w14:paraId="2D3A9E37">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1.5组织机构代码证副本复印件；</w:t>
      </w:r>
    </w:p>
    <w:p w14:paraId="7C8A03DF">
      <w:pPr>
        <w:tabs>
          <w:tab w:val="left" w:pos="6300"/>
        </w:tabs>
        <w:snapToGrid w:val="0"/>
        <w:spacing w:line="360" w:lineRule="auto"/>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注：营业执照、税务登记证、组织机构代码已经“三证合一”的，只提供营业执照。</w:t>
      </w:r>
    </w:p>
    <w:p w14:paraId="47B1CF39">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2、最近一年财务报表的复印件（可用基本资格条件承诺函代替）</w:t>
      </w:r>
    </w:p>
    <w:p w14:paraId="7A38606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3、售后服务机构、服务能力证明材料（格式自定）</w:t>
      </w:r>
    </w:p>
    <w:p w14:paraId="126DD39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4、有依法缴纳税收和社会保障资金的良好记录；（提供近三个月的缴税记录和社会保险缴纳证明复印件，可用基本资格条件承诺函代替。）</w:t>
      </w:r>
    </w:p>
    <w:p w14:paraId="6F24FAD6">
      <w:pPr>
        <w:pStyle w:val="11"/>
        <w:spacing w:line="360" w:lineRule="auto"/>
        <w:ind w:firstLine="480" w:firstLineChars="200"/>
      </w:pPr>
      <w:r>
        <w:rPr>
          <w:rFonts w:ascii="方正仿宋_GBK" w:hAnsi="宋体" w:eastAsia="方正仿宋_GBK"/>
          <w:sz w:val="24"/>
          <w:szCs w:val="24"/>
        </w:rPr>
        <w:t>5</w:t>
      </w:r>
      <w:r>
        <w:rPr>
          <w:rFonts w:hint="eastAsia" w:ascii="方正仿宋_GBK" w:hAnsi="宋体" w:eastAsia="方正仿宋_GBK"/>
          <w:sz w:val="24"/>
          <w:szCs w:val="24"/>
        </w:rPr>
        <w:t>、</w:t>
      </w:r>
      <w:r>
        <w:rPr>
          <w:rFonts w:ascii="方正仿宋_GBK" w:hAnsi="宋体" w:eastAsia="方正仿宋_GBK"/>
          <w:sz w:val="24"/>
          <w:szCs w:val="24"/>
        </w:rPr>
        <w:t>投标保证金银行转账回执</w:t>
      </w:r>
    </w:p>
    <w:p w14:paraId="113D6288">
      <w:pPr>
        <w:tabs>
          <w:tab w:val="left" w:pos="6300"/>
        </w:tabs>
        <w:snapToGrid w:val="0"/>
        <w:spacing w:line="360" w:lineRule="auto"/>
        <w:ind w:firstLine="480" w:firstLineChars="200"/>
        <w:rPr>
          <w:rFonts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、参加本项目采购活动基本资格条件承诺函：</w:t>
      </w:r>
    </w:p>
    <w:p w14:paraId="2F33C661">
      <w:pPr>
        <w:pStyle w:val="11"/>
      </w:pPr>
    </w:p>
    <w:p w14:paraId="627E6B66">
      <w:pPr>
        <w:tabs>
          <w:tab w:val="left" w:pos="6300"/>
        </w:tabs>
        <w:snapToGrid w:val="0"/>
        <w:spacing w:line="500" w:lineRule="exact"/>
        <w:ind w:firstLine="160" w:firstLineChars="50"/>
        <w:jc w:val="center"/>
        <w:rPr>
          <w:rFonts w:hint="eastAsia" w:ascii="方正小标宋_GBK" w:eastAsia="方正小标宋_GBK"/>
          <w:sz w:val="32"/>
          <w:szCs w:val="32"/>
          <w:lang w:eastAsia="zh-CN"/>
        </w:rPr>
      </w:pPr>
      <w:r>
        <w:rPr>
          <w:rFonts w:hint="eastAsia" w:ascii="方正小标宋_GBK" w:eastAsia="方正小标宋_GBK"/>
          <w:sz w:val="32"/>
          <w:szCs w:val="32"/>
          <w:lang w:val="en-US" w:eastAsia="zh-CN"/>
        </w:rPr>
        <w:t>6.</w:t>
      </w:r>
      <w:r>
        <w:rPr>
          <w:rFonts w:hint="eastAsia" w:ascii="方正小标宋_GBK" w:eastAsia="方正小标宋_GBK"/>
          <w:sz w:val="32"/>
          <w:szCs w:val="32"/>
        </w:rPr>
        <w:t>基本资格条件承诺函</w:t>
      </w:r>
      <w:r>
        <w:rPr>
          <w:rFonts w:hint="eastAsia" w:ascii="方正小标宋_GBK" w:eastAsia="方正小标宋_GBK"/>
          <w:sz w:val="32"/>
          <w:szCs w:val="32"/>
          <w:lang w:eastAsia="zh-CN"/>
        </w:rPr>
        <w:t>（</w:t>
      </w:r>
      <w:r>
        <w:rPr>
          <w:rFonts w:hint="eastAsia" w:ascii="方正小标宋_GBK" w:eastAsia="方正小标宋_GBK"/>
          <w:sz w:val="32"/>
          <w:szCs w:val="32"/>
          <w:lang w:val="en-US" w:eastAsia="zh-CN"/>
        </w:rPr>
        <w:t>格式</w:t>
      </w:r>
      <w:r>
        <w:rPr>
          <w:rFonts w:hint="eastAsia" w:ascii="方正小标宋_GBK" w:eastAsia="方正小标宋_GBK"/>
          <w:sz w:val="32"/>
          <w:szCs w:val="32"/>
          <w:lang w:eastAsia="zh-CN"/>
        </w:rPr>
        <w:t>）</w:t>
      </w:r>
    </w:p>
    <w:p w14:paraId="26AF5F7D">
      <w:pPr>
        <w:tabs>
          <w:tab w:val="left" w:pos="6300"/>
        </w:tabs>
        <w:snapToGrid w:val="0"/>
        <w:spacing w:line="500" w:lineRule="exact"/>
        <w:jc w:val="center"/>
        <w:rPr>
          <w:rFonts w:ascii="方正仿宋_GBK" w:hAnsi="宋体" w:eastAsia="方正仿宋_GBK"/>
          <w:sz w:val="24"/>
          <w:szCs w:val="28"/>
        </w:rPr>
      </w:pPr>
    </w:p>
    <w:p w14:paraId="00214DA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rPr>
        <w:t xml:space="preserve"> </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hint="eastAsia" w:ascii="方正仿宋_GBK" w:eastAsia="方正仿宋_GBK"/>
          <w:sz w:val="24"/>
          <w:szCs w:val="24"/>
        </w:rPr>
        <w:t>:</w:t>
      </w:r>
      <w:r>
        <w:rPr>
          <w:rFonts w:hint="eastAsia" w:ascii="方正仿宋_GBK" w:eastAsia="方正仿宋_GBK"/>
          <w:sz w:val="24"/>
          <w:szCs w:val="24"/>
        </w:rPr>
        <w:br w:type="textWrapping"/>
      </w:r>
      <w:r>
        <w:rPr>
          <w:rFonts w:hint="eastAsia" w:ascii="方正仿宋_GBK" w:eastAsia="方正仿宋_GBK"/>
          <w:sz w:val="24"/>
          <w:szCs w:val="24"/>
        </w:rPr>
        <w:t xml:space="preserve">      __________ (投标人名称)郑重承诺:</w:t>
      </w:r>
      <w:r>
        <w:rPr>
          <w:rFonts w:hint="eastAsia" w:ascii="方正仿宋_GBK" w:eastAsia="方正仿宋_GBK"/>
          <w:sz w:val="24"/>
          <w:szCs w:val="24"/>
        </w:rPr>
        <w:br w:type="textWrapping"/>
      </w: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1.我方具有良好的商业信誉和健全的财务会计制度，具有履行合同所必需的设备和专业技术能力,具有依法缴纳税收和社会.保障金的良好记录,参加本项目采购活动前三年内无重大违法活动记录。</w:t>
      </w:r>
    </w:p>
    <w:p w14:paraId="70DD0EF1">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)“失信被执行人”、“重大税收违法案件当事人名单”中，也未列入中国政府采购网(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wwwccgp.gov.cn)“政府采购严重违法失信行为记录名单”中。</w:t>
      </w:r>
    </w:p>
    <w:p w14:paraId="0540B11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3.我方在采购项目评审(评标)环节结束后，随时接受采购人、采购代理机构的检查验证，配合提供相关证明材料，证明符合《中华人民共和国政府采购法》规定的投标人基本资格条件。</w:t>
      </w:r>
    </w:p>
    <w:p w14:paraId="6D33033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1A1C0AC5">
      <w:pPr>
        <w:pStyle w:val="11"/>
      </w:pPr>
    </w:p>
    <w:p w14:paraId="174321C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20C4AE69">
      <w:pPr>
        <w:snapToGrid w:val="0"/>
        <w:spacing w:line="560" w:lineRule="exact"/>
        <w:ind w:firstLine="5520" w:firstLineChars="2300"/>
        <w:rPr>
          <w:rFonts w:ascii="方正仿宋_GBK" w:eastAsia="方正仿宋_GBK"/>
          <w:sz w:val="24"/>
          <w:szCs w:val="24"/>
        </w:rPr>
      </w:pPr>
      <w:r>
        <w:rPr>
          <w:rFonts w:hint="eastAsia" w:ascii="方正仿宋_GBK" w:eastAsia="方正仿宋_GBK"/>
          <w:sz w:val="24"/>
          <w:szCs w:val="24"/>
        </w:rPr>
        <w:t>(投标人公章)</w:t>
      </w:r>
    </w:p>
    <w:p w14:paraId="2D9EAC60">
      <w:pPr>
        <w:snapToGrid w:val="0"/>
        <w:spacing w:line="560" w:lineRule="exact"/>
        <w:ind w:firstLine="5760" w:firstLineChars="2400"/>
        <w:rPr>
          <w:rFonts w:ascii="方正仿宋_GBK" w:eastAsia="方正仿宋_GBK"/>
          <w:sz w:val="24"/>
          <w:szCs w:val="24"/>
        </w:rPr>
      </w:pPr>
      <w:r>
        <w:rPr>
          <w:rFonts w:hint="eastAsia" w:ascii="方正仿宋_GBK" w:eastAsia="方正仿宋_GBK"/>
          <w:sz w:val="24"/>
          <w:szCs w:val="24"/>
        </w:rPr>
        <w:t>年  月  日</w:t>
      </w:r>
    </w:p>
    <w:p w14:paraId="2B7FBDAD">
      <w:pPr>
        <w:pStyle w:val="11"/>
      </w:pPr>
    </w:p>
    <w:p w14:paraId="6BF71652">
      <w:pPr>
        <w:pStyle w:val="11"/>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7、承诺书</w:t>
      </w:r>
    </w:p>
    <w:p w14:paraId="5B2901AF">
      <w:pPr>
        <w:pStyle w:val="21"/>
      </w:pPr>
    </w:p>
    <w:p w14:paraId="402B589C">
      <w:pPr>
        <w:spacing w:line="500" w:lineRule="exact"/>
        <w:jc w:val="center"/>
        <w:rPr>
          <w:rFonts w:ascii="方正小标宋_GBK" w:eastAsia="方正小标宋_GBK"/>
          <w:sz w:val="32"/>
          <w:szCs w:val="32"/>
        </w:rPr>
      </w:pPr>
      <w:r>
        <w:rPr>
          <w:rFonts w:hint="eastAsia" w:ascii="方正小标宋_GBK" w:eastAsia="方正小标宋_GBK"/>
          <w:sz w:val="32"/>
          <w:szCs w:val="32"/>
          <w:lang w:val="en-US" w:eastAsia="zh-CN"/>
        </w:rPr>
        <w:t>7.</w:t>
      </w:r>
      <w:r>
        <w:rPr>
          <w:rFonts w:hint="eastAsia" w:ascii="方正小标宋_GBK" w:eastAsia="方正小标宋_GBK"/>
          <w:sz w:val="32"/>
          <w:szCs w:val="32"/>
        </w:rPr>
        <w:t>承诺书</w:t>
      </w:r>
      <w:r>
        <w:rPr>
          <w:rFonts w:hint="eastAsia" w:ascii="方正小标宋_GBK" w:hAnsi="Times New Roman" w:eastAsia="方正小标宋_GBK" w:cs="Times New Roman"/>
          <w:sz w:val="32"/>
          <w:szCs w:val="32"/>
          <w:lang w:val="en-US" w:eastAsia="zh-CN"/>
        </w:rPr>
        <w:t>（格式）</w:t>
      </w:r>
    </w:p>
    <w:p w14:paraId="4B51F910">
      <w:pPr>
        <w:pStyle w:val="21"/>
      </w:pPr>
    </w:p>
    <w:p w14:paraId="32825EFB">
      <w:pPr>
        <w:spacing w:line="500" w:lineRule="exact"/>
        <w:ind w:firstLine="480" w:firstLineChars="200"/>
        <w:rPr>
          <w:rFonts w:ascii="方正仿宋_GBK" w:eastAsia="方正仿宋_GBK"/>
          <w:sz w:val="24"/>
          <w:szCs w:val="24"/>
        </w:rPr>
      </w:pPr>
      <w:r>
        <w:rPr>
          <w:rFonts w:hint="eastAsia" w:ascii="方正仿宋_GBK" w:eastAsia="方正仿宋_GBK"/>
          <w:sz w:val="24"/>
          <w:szCs w:val="24"/>
        </w:rPr>
        <w:t>本公司郑重承诺：</w:t>
      </w:r>
      <w:r>
        <w:rPr>
          <w:rFonts w:ascii="方正仿宋_GBK" w:eastAsia="方正仿宋_GBK"/>
          <w:sz w:val="24"/>
          <w:szCs w:val="24"/>
        </w:rPr>
        <w:t>我公司自觉遵守《中华人民共和国招标投标法》和《中华人民共和国招标投标法</w:t>
      </w:r>
      <w:r>
        <w:rPr>
          <w:rFonts w:hint="eastAsia" w:ascii="方正仿宋_GBK" w:eastAsia="方正仿宋_GBK"/>
          <w:sz w:val="24"/>
          <w:szCs w:val="24"/>
        </w:rPr>
        <w:t>实施条例》以及招投标管理的有关规定。我公司在参加本次项目</w:t>
      </w:r>
      <w:r>
        <w:rPr>
          <w:rFonts w:ascii="方正仿宋_GBK" w:eastAsia="方正仿宋_GBK"/>
          <w:sz w:val="24"/>
          <w:szCs w:val="24"/>
        </w:rPr>
        <w:t>(项目名称:</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、项目编号</w:t>
      </w:r>
      <w:r>
        <w:rPr>
          <w:rFonts w:ascii="方正仿宋_GBK" w:eastAsia="方正仿宋_GBK"/>
          <w:sz w:val="24"/>
          <w:szCs w:val="24"/>
        </w:rPr>
        <w:t xml:space="preserve">:          </w:t>
      </w:r>
      <w:r>
        <w:rPr>
          <w:rFonts w:hint="eastAsia" w:ascii="方正仿宋_GBK" w:eastAsia="方正仿宋_GBK"/>
          <w:sz w:val="24"/>
          <w:szCs w:val="24"/>
        </w:rPr>
        <w:t>)</w:t>
      </w:r>
      <w:r>
        <w:rPr>
          <w:rFonts w:ascii="方正仿宋_GBK" w:eastAsia="方正仿宋_GBK"/>
          <w:sz w:val="24"/>
          <w:szCs w:val="24"/>
        </w:rPr>
        <w:t>活动中，无以下</w:t>
      </w:r>
      <w:r>
        <w:rPr>
          <w:rFonts w:hint="eastAsia" w:ascii="方正仿宋_GBK" w:eastAsia="方正仿宋_GBK"/>
          <w:sz w:val="24"/>
          <w:szCs w:val="24"/>
        </w:rPr>
        <w:t>围</w:t>
      </w:r>
      <w:r>
        <w:rPr>
          <w:rFonts w:ascii="方正仿宋_GBK" w:eastAsia="方正仿宋_GBK"/>
          <w:sz w:val="24"/>
          <w:szCs w:val="24"/>
        </w:rPr>
        <w:t>标、串标行为:</w:t>
      </w:r>
    </w:p>
    <w:p w14:paraId="5929990A">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不同供应商的投标文件由同一单位或者个人编制</w:t>
      </w:r>
      <w:r>
        <w:rPr>
          <w:rFonts w:hint="eastAsia" w:ascii="方正仿宋_GBK" w:eastAsia="方正仿宋_GBK"/>
          <w:sz w:val="24"/>
          <w:szCs w:val="24"/>
        </w:rPr>
        <w:t>；</w:t>
      </w:r>
    </w:p>
    <w:p w14:paraId="6973F48D">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2</w:t>
      </w:r>
      <w:r>
        <w:rPr>
          <w:rFonts w:hint="eastAsia" w:ascii="方正仿宋_GBK" w:eastAsia="方正仿宋_GBK"/>
          <w:sz w:val="24"/>
          <w:szCs w:val="24"/>
        </w:rPr>
        <w:t>）</w:t>
      </w:r>
      <w:r>
        <w:rPr>
          <w:rFonts w:ascii="方正仿宋_GBK" w:eastAsia="方正仿宋_GBK"/>
          <w:sz w:val="24"/>
          <w:szCs w:val="24"/>
        </w:rPr>
        <w:t>不同供应商委托同一单位或者个人办理投标事宜</w:t>
      </w:r>
      <w:r>
        <w:rPr>
          <w:rFonts w:hint="eastAsia" w:ascii="方正仿宋_GBK" w:eastAsia="方正仿宋_GBK"/>
          <w:sz w:val="24"/>
          <w:szCs w:val="24"/>
        </w:rPr>
        <w:t>；</w:t>
      </w:r>
    </w:p>
    <w:p w14:paraId="1949D2E6">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3</w:t>
      </w:r>
      <w:r>
        <w:rPr>
          <w:rFonts w:hint="eastAsia" w:ascii="方正仿宋_GBK" w:eastAsia="方正仿宋_GBK"/>
          <w:sz w:val="24"/>
          <w:szCs w:val="24"/>
        </w:rPr>
        <w:t>）</w:t>
      </w:r>
      <w:r>
        <w:rPr>
          <w:rFonts w:ascii="方正仿宋_GBK" w:eastAsia="方正仿宋_GBK"/>
          <w:sz w:val="24"/>
          <w:szCs w:val="24"/>
        </w:rPr>
        <w:t>不同供应商的投标文件载明的项目管理成员或者联系人员为同一人</w:t>
      </w:r>
      <w:r>
        <w:rPr>
          <w:rFonts w:hint="eastAsia" w:ascii="方正仿宋_GBK" w:eastAsia="方正仿宋_GBK"/>
          <w:sz w:val="24"/>
          <w:szCs w:val="24"/>
        </w:rPr>
        <w:t>；</w:t>
      </w:r>
    </w:p>
    <w:p w14:paraId="1920C180">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4</w:t>
      </w:r>
      <w:r>
        <w:rPr>
          <w:rFonts w:hint="eastAsia" w:ascii="方正仿宋_GBK" w:eastAsia="方正仿宋_GBK"/>
          <w:sz w:val="24"/>
          <w:szCs w:val="24"/>
        </w:rPr>
        <w:t>）</w:t>
      </w:r>
      <w:r>
        <w:rPr>
          <w:rFonts w:ascii="方正仿宋_GBK" w:eastAsia="方正仿宋_GBK"/>
          <w:sz w:val="24"/>
          <w:szCs w:val="24"/>
        </w:rPr>
        <w:t>不同供应商的投标文件异常</w:t>
      </w:r>
      <w:r>
        <w:rPr>
          <w:rFonts w:hint="eastAsia" w:ascii="方正仿宋_GBK" w:eastAsia="方正仿宋_GBK"/>
          <w:sz w:val="24"/>
          <w:szCs w:val="24"/>
        </w:rPr>
        <w:t>一</w:t>
      </w:r>
      <w:r>
        <w:rPr>
          <w:rFonts w:ascii="方正仿宋_GBK" w:eastAsia="方正仿宋_GBK"/>
          <w:sz w:val="24"/>
          <w:szCs w:val="24"/>
        </w:rPr>
        <w:t>致或者投标报价呈规律性差异</w:t>
      </w:r>
      <w:r>
        <w:rPr>
          <w:rFonts w:hint="eastAsia" w:ascii="方正仿宋_GBK" w:eastAsia="方正仿宋_GBK"/>
          <w:sz w:val="24"/>
          <w:szCs w:val="24"/>
        </w:rPr>
        <w:t>；</w:t>
      </w:r>
    </w:p>
    <w:p w14:paraId="78586DBB">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5</w:t>
      </w:r>
      <w:r>
        <w:rPr>
          <w:rFonts w:hint="eastAsia" w:ascii="方正仿宋_GBK" w:eastAsia="方正仿宋_GBK"/>
          <w:sz w:val="24"/>
          <w:szCs w:val="24"/>
        </w:rPr>
        <w:t>）</w:t>
      </w:r>
      <w:r>
        <w:rPr>
          <w:rFonts w:ascii="方正仿宋_GBK" w:eastAsia="方正仿宋_GBK"/>
          <w:sz w:val="24"/>
          <w:szCs w:val="24"/>
        </w:rPr>
        <w:t>不同供应商的投标文件相互混装</w:t>
      </w:r>
      <w:r>
        <w:rPr>
          <w:rFonts w:hint="eastAsia" w:ascii="方正仿宋_GBK" w:eastAsia="方正仿宋_GBK"/>
          <w:sz w:val="24"/>
          <w:szCs w:val="24"/>
        </w:rPr>
        <w:t>；</w:t>
      </w:r>
    </w:p>
    <w:p w14:paraId="342390D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6</w:t>
      </w:r>
      <w:r>
        <w:rPr>
          <w:rFonts w:hint="eastAsia" w:ascii="方正仿宋_GBK" w:eastAsia="方正仿宋_GBK"/>
          <w:sz w:val="24"/>
          <w:szCs w:val="24"/>
        </w:rPr>
        <w:t>）</w:t>
      </w:r>
      <w:r>
        <w:rPr>
          <w:rFonts w:ascii="方正仿宋_GBK" w:eastAsia="方正仿宋_GBK"/>
          <w:sz w:val="24"/>
          <w:szCs w:val="24"/>
        </w:rPr>
        <w:t>不同供应商的投标保证金从同一单位或者个人的账户转出</w:t>
      </w:r>
      <w:r>
        <w:rPr>
          <w:rFonts w:hint="eastAsia" w:ascii="方正仿宋_GBK" w:eastAsia="方正仿宋_GBK"/>
          <w:sz w:val="24"/>
          <w:szCs w:val="24"/>
        </w:rPr>
        <w:t>；</w:t>
      </w:r>
    </w:p>
    <w:p w14:paraId="2E189FE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7</w:t>
      </w:r>
      <w:r>
        <w:rPr>
          <w:rFonts w:hint="eastAsia" w:ascii="方正仿宋_GBK" w:eastAsia="方正仿宋_GBK"/>
          <w:sz w:val="24"/>
          <w:szCs w:val="24"/>
        </w:rPr>
        <w:t>）</w:t>
      </w:r>
      <w:r>
        <w:rPr>
          <w:rFonts w:ascii="方正仿宋_GBK" w:eastAsia="方正仿宋_GBK"/>
          <w:sz w:val="24"/>
          <w:szCs w:val="24"/>
        </w:rPr>
        <w:t>不同供应商的董事、监事、高管、单位负责人为同一人或者存在控股、管理关系的不同单</w:t>
      </w:r>
      <w:r>
        <w:rPr>
          <w:rFonts w:hint="eastAsia" w:ascii="方正仿宋_GBK" w:eastAsia="方正仿宋_GBK"/>
          <w:sz w:val="24"/>
          <w:szCs w:val="24"/>
        </w:rPr>
        <w:t>位参加同一包组招标项目投标；</w:t>
      </w:r>
    </w:p>
    <w:p w14:paraId="3C7215A5">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8</w:t>
      </w:r>
      <w:r>
        <w:rPr>
          <w:rFonts w:hint="eastAsia" w:ascii="方正仿宋_GBK" w:eastAsia="方正仿宋_GBK"/>
          <w:sz w:val="24"/>
          <w:szCs w:val="24"/>
        </w:rPr>
        <w:t>）</w:t>
      </w:r>
      <w:r>
        <w:rPr>
          <w:rFonts w:ascii="方正仿宋_GBK" w:eastAsia="方正仿宋_GBK"/>
          <w:sz w:val="24"/>
          <w:szCs w:val="24"/>
        </w:rPr>
        <w:t>法律法规界定的其他围标串标行为。</w:t>
      </w:r>
    </w:p>
    <w:p w14:paraId="4EF2535C">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如有发现我公司存在围标、串标行为，我公司愿承担一切法律责任。</w:t>
      </w:r>
    </w:p>
    <w:p w14:paraId="1F1CF4E2">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5DE0FAAF">
      <w:pPr>
        <w:spacing w:line="460" w:lineRule="exact"/>
        <w:ind w:firstLine="480" w:firstLineChars="200"/>
        <w:rPr>
          <w:rFonts w:ascii="方正仿宋_GBK" w:eastAsia="方正仿宋_GBK"/>
          <w:sz w:val="24"/>
          <w:szCs w:val="24"/>
        </w:rPr>
      </w:pPr>
    </w:p>
    <w:p w14:paraId="4CAB8174">
      <w:pPr>
        <w:spacing w:line="460" w:lineRule="exact"/>
        <w:rPr>
          <w:rFonts w:ascii="方正仿宋_GBK" w:eastAsia="方正仿宋_GBK"/>
          <w:sz w:val="24"/>
          <w:szCs w:val="24"/>
        </w:rPr>
      </w:pPr>
      <w:r>
        <w:rPr>
          <w:rFonts w:hint="eastAsia" w:ascii="方正仿宋_GBK" w:eastAsia="方正仿宋_GBK"/>
          <w:sz w:val="24"/>
          <w:szCs w:val="24"/>
        </w:rPr>
        <w:t>注：以上格式不得修改。</w:t>
      </w:r>
    </w:p>
    <w:p w14:paraId="3C3BB29A">
      <w:pPr>
        <w:spacing w:line="460" w:lineRule="exact"/>
        <w:rPr>
          <w:rFonts w:ascii="方正仿宋_GBK" w:eastAsia="方正仿宋_GBK"/>
          <w:sz w:val="24"/>
          <w:szCs w:val="24"/>
        </w:rPr>
      </w:pPr>
    </w:p>
    <w:p w14:paraId="268571EB">
      <w:pPr>
        <w:spacing w:line="460" w:lineRule="exact"/>
        <w:ind w:right="1280" w:firstLine="4080" w:firstLineChars="1700"/>
        <w:rPr>
          <w:rFonts w:ascii="方正仿宋_GBK" w:eastAsia="方正仿宋_GBK"/>
          <w:sz w:val="24"/>
          <w:szCs w:val="24"/>
        </w:rPr>
      </w:pPr>
      <w:r>
        <w:rPr>
          <w:rFonts w:hint="eastAsia" w:ascii="方正仿宋_GBK" w:eastAsia="方正仿宋_GBK"/>
          <w:sz w:val="24"/>
          <w:szCs w:val="24"/>
        </w:rPr>
        <w:t>投标人名称（加盖公章）：</w:t>
      </w:r>
    </w:p>
    <w:p w14:paraId="5BCC3C9A">
      <w:pPr>
        <w:spacing w:line="460" w:lineRule="exact"/>
        <w:ind w:right="1920" w:firstLine="3360" w:firstLineChars="1400"/>
        <w:rPr>
          <w:rFonts w:ascii="方正仿宋_GBK" w:eastAsia="方正仿宋_GBK"/>
          <w:sz w:val="24"/>
          <w:szCs w:val="24"/>
        </w:rPr>
      </w:pPr>
      <w:r>
        <w:rPr>
          <w:rFonts w:hint="eastAsia" w:ascii="方正仿宋_GBK" w:eastAsia="方正仿宋_GBK"/>
          <w:sz w:val="24"/>
          <w:szCs w:val="24"/>
        </w:rPr>
        <w:t>投标人法定代表人签字或其委托人签字：</w:t>
      </w:r>
    </w:p>
    <w:p w14:paraId="71FE42FD">
      <w:pPr>
        <w:spacing w:line="460" w:lineRule="exact"/>
        <w:ind w:right="2240" w:firstLine="4800" w:firstLineChars="2000"/>
        <w:rPr>
          <w:rFonts w:ascii="方正仿宋_GBK" w:eastAsia="方正仿宋_GBK"/>
          <w:sz w:val="24"/>
          <w:szCs w:val="24"/>
        </w:rPr>
      </w:pPr>
      <w:r>
        <w:rPr>
          <w:rFonts w:hint="eastAsia" w:ascii="方正仿宋_GBK" w:eastAsia="方正仿宋_GBK"/>
          <w:sz w:val="24"/>
          <w:szCs w:val="24"/>
        </w:rPr>
        <w:t>日期：</w:t>
      </w:r>
    </w:p>
    <w:p w14:paraId="206B841A">
      <w:pPr>
        <w:pStyle w:val="21"/>
      </w:pPr>
    </w:p>
    <w:p w14:paraId="4B58457E">
      <w:pPr>
        <w:pStyle w:val="21"/>
      </w:pPr>
    </w:p>
    <w:p w14:paraId="24964C9F">
      <w:pPr>
        <w:pStyle w:val="11"/>
        <w:spacing w:line="360" w:lineRule="auto"/>
        <w:ind w:firstLine="480" w:firstLineChars="200"/>
        <w:rPr>
          <w:rFonts w:ascii="方正仿宋_GBK" w:hAnsi="宋体" w:eastAsia="方正仿宋_GBK"/>
          <w:sz w:val="24"/>
          <w:szCs w:val="24"/>
        </w:rPr>
      </w:pPr>
    </w:p>
    <w:p w14:paraId="780E8803">
      <w:pPr>
        <w:pStyle w:val="11"/>
        <w:spacing w:line="360" w:lineRule="auto"/>
        <w:ind w:firstLine="480" w:firstLineChars="200"/>
        <w:rPr>
          <w:rFonts w:ascii="方正仿宋_GBK" w:hAnsi="宋体" w:eastAsia="方正仿宋_GBK"/>
          <w:sz w:val="24"/>
          <w:szCs w:val="24"/>
        </w:rPr>
      </w:pPr>
    </w:p>
    <w:p w14:paraId="007C74ED">
      <w:pPr>
        <w:pStyle w:val="11"/>
        <w:spacing w:line="360" w:lineRule="auto"/>
        <w:ind w:firstLine="480" w:firstLineChars="200"/>
        <w:rPr>
          <w:rFonts w:ascii="方正仿宋_GBK" w:hAnsi="宋体" w:eastAsia="方正仿宋_GBK"/>
          <w:sz w:val="24"/>
          <w:szCs w:val="24"/>
        </w:rPr>
      </w:pPr>
    </w:p>
    <w:p w14:paraId="29FE018F">
      <w:pPr>
        <w:pStyle w:val="11"/>
        <w:spacing w:line="360" w:lineRule="auto"/>
        <w:ind w:firstLine="480" w:firstLineChars="200"/>
        <w:rPr>
          <w:rFonts w:ascii="方正仿宋_GBK" w:hAnsi="宋体" w:eastAsia="方正仿宋_GBK"/>
          <w:sz w:val="24"/>
          <w:szCs w:val="24"/>
        </w:rPr>
      </w:pPr>
    </w:p>
    <w:p w14:paraId="433F6EF6">
      <w:pPr>
        <w:pStyle w:val="11"/>
        <w:spacing w:line="360" w:lineRule="auto"/>
        <w:ind w:firstLine="480" w:firstLineChars="200"/>
        <w:rPr>
          <w:rFonts w:ascii="方正仿宋_GBK" w:hAnsi="宋体" w:eastAsia="方正仿宋_GBK"/>
          <w:sz w:val="24"/>
          <w:szCs w:val="24"/>
        </w:rPr>
      </w:pPr>
    </w:p>
    <w:p w14:paraId="0D2302A6">
      <w:pPr>
        <w:pStyle w:val="11"/>
        <w:spacing w:line="360" w:lineRule="auto"/>
        <w:ind w:firstLine="480" w:firstLineChars="200"/>
        <w:rPr>
          <w:rFonts w:hint="default" w:ascii="方正小标宋_GBK" w:hAnsi="Times New Roman" w:eastAsia="方正小标宋_GBK" w:cs="Times New Roman"/>
          <w:sz w:val="32"/>
          <w:szCs w:val="32"/>
          <w:lang w:val="en-US" w:eastAsia="zh-CN"/>
        </w:rPr>
      </w:pPr>
      <w:r>
        <w:rPr>
          <w:rFonts w:hint="eastAsia" w:ascii="方正仿宋_GBK" w:hAnsi="宋体" w:eastAsia="方正仿宋_GBK" w:cs="Times New Roman"/>
          <w:sz w:val="24"/>
          <w:szCs w:val="24"/>
          <w:lang w:val="en-US" w:eastAsia="zh-CN"/>
        </w:rPr>
        <w:t>8.竞选供应商廉洁承诺书</w:t>
      </w:r>
    </w:p>
    <w:p w14:paraId="16A53D69">
      <w:pPr>
        <w:spacing w:line="500" w:lineRule="exact"/>
        <w:jc w:val="center"/>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32"/>
          <w:szCs w:val="32"/>
          <w:lang w:val="en-US" w:eastAsia="zh-CN"/>
        </w:rPr>
        <w:t>8.竞选供应商廉洁承诺书（格式）</w:t>
      </w:r>
    </w:p>
    <w:p w14:paraId="23E12322">
      <w:pPr>
        <w:pStyle w:val="11"/>
        <w:spacing w:line="360" w:lineRule="auto"/>
        <w:ind w:firstLine="480" w:firstLineChars="200"/>
        <w:rPr>
          <w:rFonts w:hint="eastAsia" w:ascii="方正仿宋_GBK" w:hAnsi="宋体" w:eastAsia="方正仿宋_GBK"/>
          <w:sz w:val="24"/>
          <w:szCs w:val="24"/>
          <w:lang w:val="en-US" w:eastAsia="zh-CN"/>
        </w:rPr>
      </w:pPr>
    </w:p>
    <w:p w14:paraId="3EC53CB3">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致：重庆市合川区妇幼保健院</w:t>
      </w:r>
    </w:p>
    <w:p w14:paraId="79738767">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为维护公平、公正的招标投标环境，防止商业贿赂和不正当竞争行为，本公司在参与项目名称：                      的竞选活动中，郑重承诺如下：</w:t>
      </w:r>
    </w:p>
    <w:p w14:paraId="7457083E">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竞选活动的公正性。</w:t>
      </w:r>
    </w:p>
    <w:p w14:paraId="40133EA3">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承诺不与其他竞选人串通投标，不进行围标、陪标等恶意竞争行为，确保竞选活动的公平性。</w:t>
      </w:r>
    </w:p>
    <w:p w14:paraId="4FAD8038">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承诺提供的所有竞选文件、资质证明、业绩材料等均真实、合法、有效，不存在任何虚假信息或误导性陈述。</w:t>
      </w:r>
    </w:p>
    <w:p w14:paraId="03EADFE2">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承诺积极配合贵院的廉洁监督工作，如发现贵院工作人员或其他竞选人有不正当行为，将及时向贵院举报。</w:t>
      </w:r>
    </w:p>
    <w:p w14:paraId="5C0E77C7">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如违反本承诺书内容，贵院有权取消我方的竞选资格或中选资格，并依法追究我方的法律责任。同时，我方自愿接受贵院将我方列入供应商黑名单的处理决定。</w:t>
      </w:r>
    </w:p>
    <w:p w14:paraId="33088DC3">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本承诺书不仅适用于本次竞选活动，也适用于我方与贵院的所有合作项目。</w:t>
      </w:r>
    </w:p>
    <w:p w14:paraId="2ED0F5C0">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承诺人（供应商）：</w:t>
      </w:r>
    </w:p>
    <w:p w14:paraId="5C4738B3">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公司名称（盖章）：________________________</w:t>
      </w:r>
    </w:p>
    <w:p w14:paraId="545E8BE8">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法定代表人（签字）：______________________</w:t>
      </w:r>
    </w:p>
    <w:p w14:paraId="219C2E21">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日期：________年____月____日</w:t>
      </w:r>
    </w:p>
    <w:p w14:paraId="07E72B9D">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6E8719CC">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附：举报联系方式</w:t>
      </w:r>
    </w:p>
    <w:p w14:paraId="3FFCE57D">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如发现招标投标活动中的不正当行为，可通过以下方式举报：</w:t>
      </w:r>
    </w:p>
    <w:p w14:paraId="62A720AF">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举报电话：________________________</w:t>
      </w:r>
    </w:p>
    <w:p w14:paraId="635168E9">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举报邮箱：________________________</w:t>
      </w:r>
    </w:p>
    <w:p w14:paraId="0D6F0D8D">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邮寄地址：________________________</w:t>
      </w:r>
    </w:p>
    <w:p w14:paraId="7A1D873B">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pict>
          <v:rect id="_x0000_i1026" o:spt="1" style="height:1.5pt;width:432pt;" fillcolor="#404040" filled="t" stroked="f" coordsize="21600,21600" o:hr="t" o:hrstd="t" o:hrnoshade="t" o:hralign="center">
            <v:path/>
            <v:fill on="t" focussize="0,0"/>
            <v:stroke on="f"/>
            <v:imagedata o:title=""/>
            <o:lock v:ext="edit"/>
            <w10:wrap type="none"/>
            <w10:anchorlock/>
          </v:rect>
        </w:pict>
      </w:r>
    </w:p>
    <w:p w14:paraId="1965ABA1">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w:t>
      </w:r>
    </w:p>
    <w:p w14:paraId="0E0EF7EC">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本承诺书需由投标供应商法定代表人签字并加盖公章；</w:t>
      </w:r>
    </w:p>
    <w:p w14:paraId="43ED36B4">
      <w:pPr>
        <w:pStyle w:val="11"/>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本承诺书作为投标文件的组成部分，与投标文件具有同等法律效力。</w:t>
      </w:r>
    </w:p>
    <w:p w14:paraId="36D2E999">
      <w:pPr>
        <w:pStyle w:val="11"/>
        <w:spacing w:line="360" w:lineRule="auto"/>
        <w:ind w:firstLine="480" w:firstLineChars="200"/>
        <w:rPr>
          <w:rFonts w:hint="eastAsia" w:ascii="方正仿宋_GBK" w:hAnsi="宋体" w:eastAsia="方正仿宋_GBK"/>
          <w:sz w:val="24"/>
          <w:szCs w:val="24"/>
          <w:lang w:val="en-US" w:eastAsia="zh-CN"/>
        </w:rPr>
      </w:pPr>
    </w:p>
    <w:p w14:paraId="6CC7906F">
      <w:pPr>
        <w:pStyle w:val="11"/>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cs="Times New Roman"/>
          <w:sz w:val="24"/>
          <w:szCs w:val="24"/>
          <w:lang w:val="en-US" w:eastAsia="zh-CN"/>
        </w:rPr>
        <w:t>9.投标人关联单位的说明</w:t>
      </w:r>
    </w:p>
    <w:p w14:paraId="33D15EBE">
      <w:pPr>
        <w:pStyle w:val="11"/>
        <w:spacing w:line="360" w:lineRule="auto"/>
        <w:ind w:firstLine="480" w:firstLineChars="200"/>
        <w:rPr>
          <w:rFonts w:hint="eastAsia" w:ascii="方正仿宋_GBK" w:hAnsi="宋体" w:eastAsia="方正仿宋_GBK"/>
          <w:sz w:val="24"/>
          <w:szCs w:val="24"/>
        </w:rPr>
      </w:pPr>
      <w:bookmarkStart w:id="192" w:name="_Toc20929_WPSOffice_Level2"/>
      <w:bookmarkStart w:id="193" w:name="_Toc9410_WPSOffice_Level2"/>
    </w:p>
    <w:p w14:paraId="4E938011">
      <w:pPr>
        <w:pStyle w:val="11"/>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r>
        <w:rPr>
          <w:rFonts w:hint="eastAsia" w:ascii="方正小标宋_GBK" w:hAnsi="Times New Roman" w:eastAsia="方正小标宋_GBK" w:cs="Times New Roman"/>
          <w:kern w:val="2"/>
          <w:sz w:val="32"/>
          <w:szCs w:val="32"/>
          <w:lang w:val="en-US" w:eastAsia="zh-CN" w:bidi="ar-SA"/>
        </w:rPr>
        <w:t>9.投标人关联单位的说明</w:t>
      </w:r>
      <w:bookmarkEnd w:id="192"/>
      <w:bookmarkEnd w:id="193"/>
      <w:r>
        <w:rPr>
          <w:rFonts w:hint="eastAsia" w:ascii="方正小标宋_GBK" w:hAnsi="Times New Roman" w:eastAsia="方正小标宋_GBK" w:cs="Times New Roman"/>
          <w:kern w:val="2"/>
          <w:sz w:val="32"/>
          <w:szCs w:val="32"/>
          <w:lang w:val="en-US" w:eastAsia="zh-CN" w:bidi="ar-SA"/>
        </w:rPr>
        <w:t>（格式）</w:t>
      </w:r>
    </w:p>
    <w:p w14:paraId="4E33B0AC">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说明：投标人应当如实披露与本单位存在下列关联关系的单位名称</w:t>
      </w:r>
    </w:p>
    <w:p w14:paraId="4BA87ABE">
      <w:pPr>
        <w:pStyle w:val="11"/>
        <w:spacing w:line="360" w:lineRule="auto"/>
        <w:ind w:firstLine="480" w:firstLineChars="200"/>
        <w:rPr>
          <w:rFonts w:hint="eastAsia" w:ascii="方正仿宋_GBK" w:hAnsi="宋体" w:eastAsia="方正仿宋_GBK"/>
          <w:sz w:val="24"/>
          <w:szCs w:val="24"/>
          <w:lang w:val="en-US" w:eastAsia="zh-CN"/>
        </w:rPr>
      </w:pPr>
      <w:bookmarkStart w:id="194" w:name="_Toc2074_WPSOffice_Level2"/>
      <w:bookmarkStart w:id="195" w:name="_Toc31070_WPSOffice_Level2"/>
      <w:r>
        <w:rPr>
          <w:rFonts w:hint="eastAsia" w:ascii="方正仿宋_GBK" w:hAnsi="宋体" w:eastAsia="方正仿宋_GBK"/>
          <w:sz w:val="24"/>
          <w:szCs w:val="24"/>
          <w:lang w:val="en-US" w:eastAsia="zh-CN"/>
        </w:rPr>
        <w:t>（1）与投标人单位法定代表人（或非法人组织负责人）为同一人的其他单位</w:t>
      </w:r>
      <w:bookmarkEnd w:id="194"/>
      <w:bookmarkEnd w:id="195"/>
      <w:r>
        <w:rPr>
          <w:rFonts w:hint="eastAsia" w:ascii="方正仿宋_GBK" w:hAnsi="宋体" w:eastAsia="方正仿宋_GBK"/>
          <w:sz w:val="24"/>
          <w:szCs w:val="24"/>
          <w:lang w:val="en-US" w:eastAsia="zh-CN"/>
        </w:rPr>
        <w:t>：</w:t>
      </w:r>
    </w:p>
    <w:p w14:paraId="28D65212">
      <w:pPr>
        <w:pStyle w:val="11"/>
        <w:spacing w:line="360" w:lineRule="auto"/>
        <w:ind w:firstLine="480" w:firstLineChars="200"/>
        <w:rPr>
          <w:rFonts w:hint="eastAsia" w:ascii="方正仿宋_GBK" w:hAnsi="宋体" w:eastAsia="方正仿宋_GBK"/>
          <w:sz w:val="24"/>
          <w:szCs w:val="24"/>
          <w:lang w:val="en-US" w:eastAsia="zh-CN"/>
        </w:rPr>
      </w:pPr>
      <w:bookmarkStart w:id="196" w:name="_Toc889_WPSOffice_Level2"/>
      <w:bookmarkStart w:id="197" w:name="_Toc27053_WPSOffice_Level2"/>
      <w:r>
        <w:rPr>
          <w:rFonts w:hint="eastAsia" w:ascii="方正仿宋_GBK" w:hAnsi="宋体" w:eastAsia="方正仿宋_GBK"/>
          <w:sz w:val="24"/>
          <w:szCs w:val="24"/>
          <w:lang w:val="en-US" w:eastAsia="zh-CN"/>
        </w:rPr>
        <w:t>（2）与投标人存在直接控股、管理关系的其他单位</w:t>
      </w:r>
      <w:bookmarkEnd w:id="196"/>
      <w:bookmarkEnd w:id="197"/>
      <w:r>
        <w:rPr>
          <w:rFonts w:hint="eastAsia" w:ascii="方正仿宋_GBK" w:hAnsi="宋体" w:eastAsia="方正仿宋_GBK"/>
          <w:sz w:val="24"/>
          <w:szCs w:val="24"/>
          <w:lang w:val="en-US" w:eastAsia="zh-CN"/>
        </w:rPr>
        <w:t>：</w:t>
      </w:r>
    </w:p>
    <w:p w14:paraId="7926A3F8">
      <w:pPr>
        <w:pStyle w:val="11"/>
        <w:spacing w:line="360" w:lineRule="auto"/>
        <w:ind w:firstLine="480" w:firstLineChars="200"/>
        <w:rPr>
          <w:rFonts w:hint="eastAsia" w:ascii="方正仿宋_GBK" w:hAnsi="宋体" w:eastAsia="方正仿宋_GBK"/>
          <w:sz w:val="24"/>
          <w:szCs w:val="24"/>
          <w:lang w:val="en-US" w:eastAsia="zh-CN"/>
        </w:rPr>
      </w:pPr>
    </w:p>
    <w:p w14:paraId="1E7A7E90">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注：若无此情形，写“无”即可</w:t>
      </w:r>
    </w:p>
    <w:p w14:paraId="6005A9E1">
      <w:pPr>
        <w:pStyle w:val="11"/>
        <w:spacing w:line="360" w:lineRule="auto"/>
        <w:ind w:firstLine="480" w:firstLineChars="200"/>
        <w:rPr>
          <w:rFonts w:hint="eastAsia" w:ascii="方正仿宋_GBK" w:hAnsi="宋体" w:eastAsia="方正仿宋_GBK"/>
          <w:sz w:val="24"/>
          <w:szCs w:val="24"/>
          <w:lang w:val="en-US" w:eastAsia="zh-CN"/>
        </w:rPr>
      </w:pPr>
    </w:p>
    <w:p w14:paraId="779585C3">
      <w:pPr>
        <w:pStyle w:val="11"/>
        <w:spacing w:line="360" w:lineRule="auto"/>
        <w:ind w:firstLine="480" w:firstLineChars="200"/>
        <w:rPr>
          <w:rFonts w:hint="eastAsia" w:ascii="方正仿宋_GBK" w:hAnsi="宋体" w:eastAsia="方正仿宋_GBK"/>
          <w:sz w:val="24"/>
          <w:szCs w:val="24"/>
          <w:lang w:val="en-US" w:eastAsia="zh-CN"/>
        </w:rPr>
      </w:pPr>
    </w:p>
    <w:p w14:paraId="66A1BD69">
      <w:pPr>
        <w:pStyle w:val="11"/>
        <w:spacing w:line="360" w:lineRule="auto"/>
        <w:ind w:firstLine="480" w:firstLineChars="200"/>
        <w:rPr>
          <w:rFonts w:hint="eastAsia" w:ascii="方正仿宋_GBK" w:hAnsi="宋体" w:eastAsia="方正仿宋_GBK"/>
          <w:sz w:val="24"/>
          <w:szCs w:val="24"/>
          <w:lang w:val="en-US" w:eastAsia="zh-CN"/>
        </w:rPr>
      </w:pPr>
    </w:p>
    <w:p w14:paraId="1F5C09E1">
      <w:pPr>
        <w:pStyle w:val="11"/>
        <w:spacing w:line="360" w:lineRule="auto"/>
        <w:ind w:firstLine="480" w:firstLineChars="200"/>
        <w:rPr>
          <w:rFonts w:hint="eastAsia" w:ascii="方正仿宋_GBK" w:hAnsi="宋体" w:eastAsia="方正仿宋_GBK"/>
          <w:sz w:val="24"/>
          <w:szCs w:val="24"/>
          <w:lang w:val="en-US" w:eastAsia="zh-CN"/>
        </w:rPr>
      </w:pPr>
    </w:p>
    <w:p w14:paraId="0AB09878">
      <w:pPr>
        <w:pStyle w:val="11"/>
        <w:spacing w:line="360" w:lineRule="auto"/>
        <w:ind w:firstLine="480" w:firstLineChars="200"/>
        <w:rPr>
          <w:rFonts w:hint="eastAsia" w:ascii="方正仿宋_GBK" w:hAnsi="宋体" w:eastAsia="方正仿宋_GBK"/>
          <w:sz w:val="24"/>
          <w:szCs w:val="24"/>
          <w:lang w:val="en-US" w:eastAsia="zh-CN"/>
        </w:rPr>
      </w:pPr>
    </w:p>
    <w:p w14:paraId="3DBEB744">
      <w:pPr>
        <w:pStyle w:val="11"/>
        <w:spacing w:line="360" w:lineRule="auto"/>
        <w:ind w:firstLine="480" w:firstLineChars="200"/>
        <w:rPr>
          <w:rFonts w:hint="eastAsia" w:ascii="方正仿宋_GBK" w:hAnsi="宋体" w:eastAsia="方正仿宋_GBK"/>
          <w:sz w:val="24"/>
          <w:szCs w:val="24"/>
          <w:lang w:val="en-US" w:eastAsia="zh-CN"/>
        </w:rPr>
      </w:pPr>
    </w:p>
    <w:p w14:paraId="0273781C">
      <w:pPr>
        <w:pStyle w:val="11"/>
        <w:spacing w:line="360" w:lineRule="auto"/>
        <w:ind w:firstLine="480" w:firstLineChars="200"/>
        <w:rPr>
          <w:rFonts w:hint="eastAsia" w:ascii="方正仿宋_GBK" w:hAnsi="宋体" w:eastAsia="方正仿宋_GBK"/>
          <w:sz w:val="24"/>
          <w:szCs w:val="24"/>
          <w:lang w:val="en-US" w:eastAsia="zh-CN"/>
        </w:rPr>
      </w:pPr>
    </w:p>
    <w:p w14:paraId="527A8F20">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投标人名称（加盖单位公章）：           </w:t>
      </w:r>
    </w:p>
    <w:p w14:paraId="598AB5DE">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法定代表人（或非法人组织负责人）或其授权委托人(签字或盖章)：           </w:t>
      </w:r>
    </w:p>
    <w:p w14:paraId="1A7DE091">
      <w:pPr>
        <w:pStyle w:val="11"/>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日期：                </w:t>
      </w:r>
    </w:p>
    <w:p w14:paraId="18ABB6D3">
      <w:pPr>
        <w:pStyle w:val="11"/>
        <w:spacing w:line="360" w:lineRule="auto"/>
        <w:ind w:firstLine="480" w:firstLineChars="200"/>
        <w:rPr>
          <w:rFonts w:ascii="方正仿宋_GBK" w:hAnsi="宋体" w:eastAsia="方正仿宋_GBK"/>
          <w:sz w:val="24"/>
          <w:szCs w:val="24"/>
        </w:rPr>
      </w:pPr>
    </w:p>
    <w:p w14:paraId="423902E0">
      <w:pPr>
        <w:pStyle w:val="11"/>
        <w:spacing w:line="360" w:lineRule="auto"/>
        <w:ind w:firstLine="480" w:firstLineChars="200"/>
        <w:rPr>
          <w:rFonts w:ascii="方正仿宋_GBK" w:hAnsi="宋体" w:eastAsia="方正仿宋_GBK"/>
          <w:sz w:val="24"/>
          <w:szCs w:val="24"/>
        </w:rPr>
      </w:pPr>
    </w:p>
    <w:p w14:paraId="1946A633">
      <w:pPr>
        <w:pStyle w:val="11"/>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、其他应提供的资料（自附）</w:t>
      </w:r>
    </w:p>
    <w:p w14:paraId="5CE59676">
      <w:pPr>
        <w:pStyle w:val="12"/>
      </w:pPr>
    </w:p>
    <w:p w14:paraId="436B7E9E"/>
    <w:p w14:paraId="0B30B7C8">
      <w:pPr>
        <w:spacing w:line="500" w:lineRule="exact"/>
        <w:jc w:val="center"/>
        <w:rPr>
          <w:rFonts w:ascii="方正小标宋_GBK" w:eastAsia="方正小标宋_GBK"/>
          <w:sz w:val="32"/>
          <w:szCs w:val="32"/>
        </w:rPr>
      </w:pPr>
      <w:r>
        <w:rPr>
          <w:rFonts w:hint="eastAsia" w:ascii="方正小标宋_GBK" w:eastAsia="方正小标宋_GBK"/>
          <w:sz w:val="32"/>
          <w:szCs w:val="32"/>
        </w:rPr>
        <w:t>（结束）</w:t>
      </w:r>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507182"/>
    </w:sdtPr>
    <w:sdtContent>
      <w:p w14:paraId="3E72B087">
        <w:pPr>
          <w:pStyle w:val="11"/>
          <w:jc w:val="center"/>
        </w:pPr>
        <w:r>
          <w:fldChar w:fldCharType="begin"/>
        </w:r>
        <w:r>
          <w:instrText xml:space="preserve">PAGE   \* MERGEFORMAT</w:instrText>
        </w:r>
        <w:r>
          <w:fldChar w:fldCharType="separate"/>
        </w:r>
        <w:r>
          <w:rPr>
            <w:lang w:val="zh-CN"/>
          </w:rPr>
          <w:t>16</w:t>
        </w:r>
        <w:r>
          <w:fldChar w:fldCharType="end"/>
        </w:r>
      </w:p>
    </w:sdtContent>
  </w:sdt>
  <w:p w14:paraId="3C48811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747991"/>
    </w:sdtPr>
    <w:sdtContent>
      <w:p w14:paraId="26EA9E3B">
        <w:pPr>
          <w:pStyle w:val="11"/>
          <w:jc w:val="center"/>
        </w:pPr>
        <w:r>
          <w:fldChar w:fldCharType="begin"/>
        </w:r>
        <w:r>
          <w:instrText xml:space="preserve">PAGE   \* MERGEFORMAT</w:instrText>
        </w:r>
        <w:r>
          <w:fldChar w:fldCharType="separate"/>
        </w:r>
        <w:r>
          <w:rPr>
            <w:lang w:val="zh-CN"/>
          </w:rPr>
          <w:t>24</w:t>
        </w:r>
        <w:r>
          <w:fldChar w:fldCharType="end"/>
        </w:r>
      </w:p>
    </w:sdtContent>
  </w:sdt>
  <w:p w14:paraId="3640B64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3E3D">
    <w:pPr>
      <w:pStyle w:val="13"/>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0B79">
    <w:pPr>
      <w:pStyle w:val="13"/>
      <w:jc w:val="both"/>
    </w:pPr>
  </w:p>
  <w:p w14:paraId="77449E74">
    <w:pPr>
      <w:pStyle w:val="13"/>
      <w:jc w:val="both"/>
      <w:rPr>
        <w:rFonts w:ascii="方正仿宋_GBK" w:eastAsia="方正仿宋_GBK"/>
        <w:color w:val="FF000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930F">
    <w:pPr>
      <w:pStyle w:val="13"/>
      <w:jc w:val="both"/>
      <w:rPr>
        <w:rFonts w:ascii="方正仿宋_GBK" w:eastAsia="方正仿宋_GBK"/>
        <w:sz w:val="21"/>
        <w:szCs w:val="21"/>
      </w:rPr>
    </w:pPr>
    <w:r>
      <w:rPr>
        <w:rFonts w:hint="eastAsia" w:ascii="方正仿宋_GBK" w:eastAsia="方正仿宋_GBK"/>
        <w:sz w:val="21"/>
        <w:szCs w:val="21"/>
      </w:rPr>
      <w:t xml:space="preserve">重庆市合川区妇幼保健院                                    </w:t>
    </w:r>
    <w:r>
      <w:rPr>
        <w:rFonts w:ascii="方正仿宋_GBK" w:eastAsia="方正仿宋_GBK"/>
        <w:sz w:val="21"/>
        <w:szCs w:val="21"/>
      </w:rPr>
      <w:t xml:space="preserve">    </w:t>
    </w:r>
    <w:r>
      <w:rPr>
        <w:rFonts w:hint="eastAsia" w:ascii="方正仿宋_GBK" w:eastAsia="方正仿宋_GBK"/>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1FB04AED"/>
    <w:multiLevelType w:val="multilevel"/>
    <w:tmpl w:val="1FB04AE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0D85E5D"/>
    <w:multiLevelType w:val="singleLevel"/>
    <w:tmpl w:val="40D85E5D"/>
    <w:lvl w:ilvl="0" w:tentative="0">
      <w:start w:val="1"/>
      <w:numFmt w:val="chineseCounting"/>
      <w:suff w:val="nothing"/>
      <w:lvlText w:val="（%1）"/>
      <w:lvlJc w:val="left"/>
    </w:lvl>
  </w:abstractNum>
  <w:abstractNum w:abstractNumId="3">
    <w:nsid w:val="78F1127A"/>
    <w:multiLevelType w:val="multilevel"/>
    <w:tmpl w:val="78F1127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9B7736"/>
    <w:rsid w:val="0001276D"/>
    <w:rsid w:val="0003117B"/>
    <w:rsid w:val="00035C95"/>
    <w:rsid w:val="00035D27"/>
    <w:rsid w:val="00036475"/>
    <w:rsid w:val="00037D92"/>
    <w:rsid w:val="00084362"/>
    <w:rsid w:val="00094918"/>
    <w:rsid w:val="000A64B3"/>
    <w:rsid w:val="000C37B4"/>
    <w:rsid w:val="000C579D"/>
    <w:rsid w:val="000D6568"/>
    <w:rsid w:val="000E082A"/>
    <w:rsid w:val="000E7A73"/>
    <w:rsid w:val="00106043"/>
    <w:rsid w:val="0013643B"/>
    <w:rsid w:val="00136D3B"/>
    <w:rsid w:val="00137FB4"/>
    <w:rsid w:val="00153B61"/>
    <w:rsid w:val="001540AE"/>
    <w:rsid w:val="00164382"/>
    <w:rsid w:val="001657DB"/>
    <w:rsid w:val="00172B27"/>
    <w:rsid w:val="0017706E"/>
    <w:rsid w:val="00186B2E"/>
    <w:rsid w:val="00197B94"/>
    <w:rsid w:val="001A22F4"/>
    <w:rsid w:val="001A2E6C"/>
    <w:rsid w:val="001A62AB"/>
    <w:rsid w:val="001B635D"/>
    <w:rsid w:val="001B6AFE"/>
    <w:rsid w:val="001C16C8"/>
    <w:rsid w:val="001C7700"/>
    <w:rsid w:val="001D4B1A"/>
    <w:rsid w:val="001E4724"/>
    <w:rsid w:val="001F4140"/>
    <w:rsid w:val="001F7C31"/>
    <w:rsid w:val="00213E69"/>
    <w:rsid w:val="0024443D"/>
    <w:rsid w:val="00253EB9"/>
    <w:rsid w:val="00255501"/>
    <w:rsid w:val="00266356"/>
    <w:rsid w:val="00266FF3"/>
    <w:rsid w:val="00272CA4"/>
    <w:rsid w:val="002A1610"/>
    <w:rsid w:val="002B5768"/>
    <w:rsid w:val="002C4518"/>
    <w:rsid w:val="002E56CA"/>
    <w:rsid w:val="0030063D"/>
    <w:rsid w:val="003073DE"/>
    <w:rsid w:val="00310015"/>
    <w:rsid w:val="00331548"/>
    <w:rsid w:val="0033371A"/>
    <w:rsid w:val="003346D8"/>
    <w:rsid w:val="00336EE2"/>
    <w:rsid w:val="00386354"/>
    <w:rsid w:val="0039525A"/>
    <w:rsid w:val="00395F6E"/>
    <w:rsid w:val="003A7370"/>
    <w:rsid w:val="003B45B9"/>
    <w:rsid w:val="003C0436"/>
    <w:rsid w:val="003C0CBF"/>
    <w:rsid w:val="003D0F06"/>
    <w:rsid w:val="003D75D7"/>
    <w:rsid w:val="003E5091"/>
    <w:rsid w:val="003F0FB8"/>
    <w:rsid w:val="003F3790"/>
    <w:rsid w:val="0041146E"/>
    <w:rsid w:val="004131E9"/>
    <w:rsid w:val="00422FCB"/>
    <w:rsid w:val="00427306"/>
    <w:rsid w:val="00430B69"/>
    <w:rsid w:val="00443E5C"/>
    <w:rsid w:val="004644F3"/>
    <w:rsid w:val="00466900"/>
    <w:rsid w:val="0047079C"/>
    <w:rsid w:val="004733D4"/>
    <w:rsid w:val="004760D6"/>
    <w:rsid w:val="00481E16"/>
    <w:rsid w:val="004B137C"/>
    <w:rsid w:val="004B75A1"/>
    <w:rsid w:val="004C604B"/>
    <w:rsid w:val="004C7FEB"/>
    <w:rsid w:val="004E0591"/>
    <w:rsid w:val="004F5E4F"/>
    <w:rsid w:val="005036E3"/>
    <w:rsid w:val="00504917"/>
    <w:rsid w:val="0052514A"/>
    <w:rsid w:val="00531F24"/>
    <w:rsid w:val="005349C3"/>
    <w:rsid w:val="00550DB8"/>
    <w:rsid w:val="00557FD5"/>
    <w:rsid w:val="0056644A"/>
    <w:rsid w:val="005831C7"/>
    <w:rsid w:val="005849A6"/>
    <w:rsid w:val="005851ED"/>
    <w:rsid w:val="00587C50"/>
    <w:rsid w:val="005A1600"/>
    <w:rsid w:val="005C2E40"/>
    <w:rsid w:val="005D09AC"/>
    <w:rsid w:val="005D6FC9"/>
    <w:rsid w:val="005E2E3A"/>
    <w:rsid w:val="005E3B49"/>
    <w:rsid w:val="005E3F8C"/>
    <w:rsid w:val="005E7280"/>
    <w:rsid w:val="005F3726"/>
    <w:rsid w:val="00605E08"/>
    <w:rsid w:val="00607F48"/>
    <w:rsid w:val="00617E69"/>
    <w:rsid w:val="00622934"/>
    <w:rsid w:val="00637743"/>
    <w:rsid w:val="00650C79"/>
    <w:rsid w:val="0067428B"/>
    <w:rsid w:val="00676DA7"/>
    <w:rsid w:val="006822B7"/>
    <w:rsid w:val="006A2354"/>
    <w:rsid w:val="006B38DF"/>
    <w:rsid w:val="006C12D5"/>
    <w:rsid w:val="006C42EF"/>
    <w:rsid w:val="006D7CF9"/>
    <w:rsid w:val="006E14BF"/>
    <w:rsid w:val="006F0FDB"/>
    <w:rsid w:val="007002E1"/>
    <w:rsid w:val="00717BA4"/>
    <w:rsid w:val="00724C11"/>
    <w:rsid w:val="00726A3F"/>
    <w:rsid w:val="00741183"/>
    <w:rsid w:val="00744E14"/>
    <w:rsid w:val="00746BAB"/>
    <w:rsid w:val="00753720"/>
    <w:rsid w:val="007547B9"/>
    <w:rsid w:val="00767B15"/>
    <w:rsid w:val="007806B6"/>
    <w:rsid w:val="00780851"/>
    <w:rsid w:val="00783001"/>
    <w:rsid w:val="00797389"/>
    <w:rsid w:val="0079775A"/>
    <w:rsid w:val="007A27F7"/>
    <w:rsid w:val="007B1467"/>
    <w:rsid w:val="007D00FE"/>
    <w:rsid w:val="007D14EF"/>
    <w:rsid w:val="008214AA"/>
    <w:rsid w:val="00833C21"/>
    <w:rsid w:val="00841880"/>
    <w:rsid w:val="00847E5E"/>
    <w:rsid w:val="00851E35"/>
    <w:rsid w:val="00874471"/>
    <w:rsid w:val="00874E0D"/>
    <w:rsid w:val="00876D9D"/>
    <w:rsid w:val="0088106B"/>
    <w:rsid w:val="008823F8"/>
    <w:rsid w:val="008842F3"/>
    <w:rsid w:val="00894408"/>
    <w:rsid w:val="00894B4B"/>
    <w:rsid w:val="008956C0"/>
    <w:rsid w:val="008A1C67"/>
    <w:rsid w:val="008C23FB"/>
    <w:rsid w:val="008C4B97"/>
    <w:rsid w:val="008D2D7D"/>
    <w:rsid w:val="008F40C4"/>
    <w:rsid w:val="008F7E78"/>
    <w:rsid w:val="00911EEA"/>
    <w:rsid w:val="00927BAF"/>
    <w:rsid w:val="00945E55"/>
    <w:rsid w:val="009523EE"/>
    <w:rsid w:val="0095730E"/>
    <w:rsid w:val="00964186"/>
    <w:rsid w:val="00965861"/>
    <w:rsid w:val="00967066"/>
    <w:rsid w:val="009811F1"/>
    <w:rsid w:val="00987994"/>
    <w:rsid w:val="009909F8"/>
    <w:rsid w:val="00991B1F"/>
    <w:rsid w:val="00995651"/>
    <w:rsid w:val="009B7119"/>
    <w:rsid w:val="009B7736"/>
    <w:rsid w:val="009C47F1"/>
    <w:rsid w:val="009D322D"/>
    <w:rsid w:val="009D3BF5"/>
    <w:rsid w:val="009E2456"/>
    <w:rsid w:val="009E45E1"/>
    <w:rsid w:val="00A03CEE"/>
    <w:rsid w:val="00A06F1C"/>
    <w:rsid w:val="00A12DCA"/>
    <w:rsid w:val="00A17214"/>
    <w:rsid w:val="00A2186F"/>
    <w:rsid w:val="00A22203"/>
    <w:rsid w:val="00A248D1"/>
    <w:rsid w:val="00A26240"/>
    <w:rsid w:val="00A2731C"/>
    <w:rsid w:val="00A441E8"/>
    <w:rsid w:val="00A52523"/>
    <w:rsid w:val="00A755DB"/>
    <w:rsid w:val="00A83602"/>
    <w:rsid w:val="00A84713"/>
    <w:rsid w:val="00A85A33"/>
    <w:rsid w:val="00AA2D6A"/>
    <w:rsid w:val="00AA3CB3"/>
    <w:rsid w:val="00AB3835"/>
    <w:rsid w:val="00AC40C7"/>
    <w:rsid w:val="00AC59E3"/>
    <w:rsid w:val="00AC727E"/>
    <w:rsid w:val="00AD285A"/>
    <w:rsid w:val="00AD2BF1"/>
    <w:rsid w:val="00AE291A"/>
    <w:rsid w:val="00AF00A2"/>
    <w:rsid w:val="00AF6D1D"/>
    <w:rsid w:val="00AF705B"/>
    <w:rsid w:val="00B00F70"/>
    <w:rsid w:val="00B14167"/>
    <w:rsid w:val="00B308CE"/>
    <w:rsid w:val="00B36659"/>
    <w:rsid w:val="00B51BF9"/>
    <w:rsid w:val="00B65D46"/>
    <w:rsid w:val="00B75CD5"/>
    <w:rsid w:val="00B86DB4"/>
    <w:rsid w:val="00B96A3B"/>
    <w:rsid w:val="00B971C2"/>
    <w:rsid w:val="00BA3CF7"/>
    <w:rsid w:val="00BB3D16"/>
    <w:rsid w:val="00BC278B"/>
    <w:rsid w:val="00BC573D"/>
    <w:rsid w:val="00BD505F"/>
    <w:rsid w:val="00BD7BFF"/>
    <w:rsid w:val="00BE488E"/>
    <w:rsid w:val="00C22E18"/>
    <w:rsid w:val="00C312E4"/>
    <w:rsid w:val="00C32402"/>
    <w:rsid w:val="00C617E0"/>
    <w:rsid w:val="00C61B08"/>
    <w:rsid w:val="00CB226C"/>
    <w:rsid w:val="00CB2991"/>
    <w:rsid w:val="00CC400E"/>
    <w:rsid w:val="00CC5FE8"/>
    <w:rsid w:val="00CD4798"/>
    <w:rsid w:val="00CE1E63"/>
    <w:rsid w:val="00CE6995"/>
    <w:rsid w:val="00D13D3B"/>
    <w:rsid w:val="00D15F0F"/>
    <w:rsid w:val="00D31C39"/>
    <w:rsid w:val="00D50B01"/>
    <w:rsid w:val="00D5719D"/>
    <w:rsid w:val="00D57AB2"/>
    <w:rsid w:val="00D655B0"/>
    <w:rsid w:val="00D731FE"/>
    <w:rsid w:val="00D74A89"/>
    <w:rsid w:val="00D77608"/>
    <w:rsid w:val="00D77632"/>
    <w:rsid w:val="00D82B33"/>
    <w:rsid w:val="00D8756C"/>
    <w:rsid w:val="00D959F8"/>
    <w:rsid w:val="00DD27CB"/>
    <w:rsid w:val="00DD3C82"/>
    <w:rsid w:val="00DE2728"/>
    <w:rsid w:val="00E016A9"/>
    <w:rsid w:val="00E07BDE"/>
    <w:rsid w:val="00E114C1"/>
    <w:rsid w:val="00E3765F"/>
    <w:rsid w:val="00E43A45"/>
    <w:rsid w:val="00E43D67"/>
    <w:rsid w:val="00E44895"/>
    <w:rsid w:val="00E575F8"/>
    <w:rsid w:val="00E66B8C"/>
    <w:rsid w:val="00E96D32"/>
    <w:rsid w:val="00EA4549"/>
    <w:rsid w:val="00EB2670"/>
    <w:rsid w:val="00EC2D7A"/>
    <w:rsid w:val="00ED0280"/>
    <w:rsid w:val="00EE0871"/>
    <w:rsid w:val="00EE3685"/>
    <w:rsid w:val="00EF5FBD"/>
    <w:rsid w:val="00F23382"/>
    <w:rsid w:val="00F269E0"/>
    <w:rsid w:val="00F305C3"/>
    <w:rsid w:val="00F5131E"/>
    <w:rsid w:val="00F52B6D"/>
    <w:rsid w:val="00F53CDD"/>
    <w:rsid w:val="00F75EF1"/>
    <w:rsid w:val="00F828B3"/>
    <w:rsid w:val="00F829C7"/>
    <w:rsid w:val="00F90175"/>
    <w:rsid w:val="00F91D5F"/>
    <w:rsid w:val="00F91F8C"/>
    <w:rsid w:val="00F94773"/>
    <w:rsid w:val="00FB692F"/>
    <w:rsid w:val="00FC53E1"/>
    <w:rsid w:val="00FD4BB0"/>
    <w:rsid w:val="00FE145D"/>
    <w:rsid w:val="00FE4578"/>
    <w:rsid w:val="00FF3F0E"/>
    <w:rsid w:val="00FF7356"/>
    <w:rsid w:val="02D52CB8"/>
    <w:rsid w:val="03180300"/>
    <w:rsid w:val="035F0B70"/>
    <w:rsid w:val="03E82C17"/>
    <w:rsid w:val="04D4476A"/>
    <w:rsid w:val="065D1494"/>
    <w:rsid w:val="065E327E"/>
    <w:rsid w:val="06E808E2"/>
    <w:rsid w:val="074810F4"/>
    <w:rsid w:val="07B45450"/>
    <w:rsid w:val="08A908BA"/>
    <w:rsid w:val="09241367"/>
    <w:rsid w:val="09607DBB"/>
    <w:rsid w:val="09EB0ED1"/>
    <w:rsid w:val="0A0115D1"/>
    <w:rsid w:val="0A6661B5"/>
    <w:rsid w:val="0B041415"/>
    <w:rsid w:val="0C000C73"/>
    <w:rsid w:val="0C975866"/>
    <w:rsid w:val="0CDA06AA"/>
    <w:rsid w:val="0DF91DEA"/>
    <w:rsid w:val="0EDA1396"/>
    <w:rsid w:val="0FDD306A"/>
    <w:rsid w:val="109F4903"/>
    <w:rsid w:val="10D62C02"/>
    <w:rsid w:val="116A02E9"/>
    <w:rsid w:val="11D119EE"/>
    <w:rsid w:val="12542080"/>
    <w:rsid w:val="12D272E2"/>
    <w:rsid w:val="13B85559"/>
    <w:rsid w:val="14101278"/>
    <w:rsid w:val="141C617E"/>
    <w:rsid w:val="147F0DC2"/>
    <w:rsid w:val="1487028D"/>
    <w:rsid w:val="16143DE7"/>
    <w:rsid w:val="167A40D0"/>
    <w:rsid w:val="169F040C"/>
    <w:rsid w:val="16B23E47"/>
    <w:rsid w:val="17094E06"/>
    <w:rsid w:val="172717D1"/>
    <w:rsid w:val="17D95A5E"/>
    <w:rsid w:val="184C6A54"/>
    <w:rsid w:val="18D80EB0"/>
    <w:rsid w:val="19991F3C"/>
    <w:rsid w:val="1A085A1A"/>
    <w:rsid w:val="1AFA6DD7"/>
    <w:rsid w:val="1B29656A"/>
    <w:rsid w:val="1B6908FA"/>
    <w:rsid w:val="1C0E3781"/>
    <w:rsid w:val="1C2D6F70"/>
    <w:rsid w:val="1C991A9D"/>
    <w:rsid w:val="1CAC2742"/>
    <w:rsid w:val="1E064534"/>
    <w:rsid w:val="1E2E4137"/>
    <w:rsid w:val="1EFA59E6"/>
    <w:rsid w:val="1F2F72C8"/>
    <w:rsid w:val="1F5350F7"/>
    <w:rsid w:val="1FAF6192"/>
    <w:rsid w:val="201E2E04"/>
    <w:rsid w:val="20FF4E74"/>
    <w:rsid w:val="2171092C"/>
    <w:rsid w:val="21B05864"/>
    <w:rsid w:val="224D0BE8"/>
    <w:rsid w:val="22513B6F"/>
    <w:rsid w:val="22CF2CE6"/>
    <w:rsid w:val="22D0502F"/>
    <w:rsid w:val="23243197"/>
    <w:rsid w:val="232B6FC5"/>
    <w:rsid w:val="235015FA"/>
    <w:rsid w:val="23B9668C"/>
    <w:rsid w:val="240E5EA1"/>
    <w:rsid w:val="24B631AA"/>
    <w:rsid w:val="24CA587E"/>
    <w:rsid w:val="25513EF1"/>
    <w:rsid w:val="27291419"/>
    <w:rsid w:val="28256EC4"/>
    <w:rsid w:val="286111BF"/>
    <w:rsid w:val="28752BA2"/>
    <w:rsid w:val="28910B46"/>
    <w:rsid w:val="28A85156"/>
    <w:rsid w:val="28C56F83"/>
    <w:rsid w:val="29190FC6"/>
    <w:rsid w:val="298F250F"/>
    <w:rsid w:val="2A863F0A"/>
    <w:rsid w:val="2A9A2A74"/>
    <w:rsid w:val="2AB10E10"/>
    <w:rsid w:val="2ACD4E46"/>
    <w:rsid w:val="2AD41909"/>
    <w:rsid w:val="2B3D2159"/>
    <w:rsid w:val="2B45472B"/>
    <w:rsid w:val="2C8E1721"/>
    <w:rsid w:val="2E1334BF"/>
    <w:rsid w:val="2E166DE8"/>
    <w:rsid w:val="2EE77CDE"/>
    <w:rsid w:val="2EFE26FA"/>
    <w:rsid w:val="2F1542D3"/>
    <w:rsid w:val="31580BC0"/>
    <w:rsid w:val="32B26E70"/>
    <w:rsid w:val="32B60A48"/>
    <w:rsid w:val="32FD0A15"/>
    <w:rsid w:val="33144B82"/>
    <w:rsid w:val="3330739B"/>
    <w:rsid w:val="3362049D"/>
    <w:rsid w:val="33FE78CF"/>
    <w:rsid w:val="342235BE"/>
    <w:rsid w:val="34232698"/>
    <w:rsid w:val="34B31569"/>
    <w:rsid w:val="34DA14EB"/>
    <w:rsid w:val="35DC154A"/>
    <w:rsid w:val="36AC3A3D"/>
    <w:rsid w:val="36CF2A62"/>
    <w:rsid w:val="36F9063D"/>
    <w:rsid w:val="38396ADB"/>
    <w:rsid w:val="38AE76F4"/>
    <w:rsid w:val="399053DB"/>
    <w:rsid w:val="3B2E317D"/>
    <w:rsid w:val="3C6B4FCB"/>
    <w:rsid w:val="3D507A81"/>
    <w:rsid w:val="3DFA56C3"/>
    <w:rsid w:val="3E8A4316"/>
    <w:rsid w:val="3EF66531"/>
    <w:rsid w:val="3F7A6114"/>
    <w:rsid w:val="41AF622D"/>
    <w:rsid w:val="42A973DD"/>
    <w:rsid w:val="42AE60D5"/>
    <w:rsid w:val="42C341BE"/>
    <w:rsid w:val="43573ADA"/>
    <w:rsid w:val="44010C26"/>
    <w:rsid w:val="44527860"/>
    <w:rsid w:val="44684C88"/>
    <w:rsid w:val="449A3471"/>
    <w:rsid w:val="457C1A8D"/>
    <w:rsid w:val="45CD098B"/>
    <w:rsid w:val="4692036A"/>
    <w:rsid w:val="46B10D83"/>
    <w:rsid w:val="47761618"/>
    <w:rsid w:val="47AF3A2D"/>
    <w:rsid w:val="47C708AA"/>
    <w:rsid w:val="483551EA"/>
    <w:rsid w:val="4856387A"/>
    <w:rsid w:val="48D62EAC"/>
    <w:rsid w:val="48E57B92"/>
    <w:rsid w:val="499C4085"/>
    <w:rsid w:val="4A1A577A"/>
    <w:rsid w:val="4D507D3C"/>
    <w:rsid w:val="4DF03210"/>
    <w:rsid w:val="4DF341E2"/>
    <w:rsid w:val="4DF42E1C"/>
    <w:rsid w:val="4E430870"/>
    <w:rsid w:val="4F1C1370"/>
    <w:rsid w:val="4F3A0D17"/>
    <w:rsid w:val="4F432289"/>
    <w:rsid w:val="50514E73"/>
    <w:rsid w:val="50C8299F"/>
    <w:rsid w:val="50D7600F"/>
    <w:rsid w:val="514F4EB3"/>
    <w:rsid w:val="515A5854"/>
    <w:rsid w:val="523323C8"/>
    <w:rsid w:val="53226DE4"/>
    <w:rsid w:val="532C1B13"/>
    <w:rsid w:val="53A17D41"/>
    <w:rsid w:val="54771E39"/>
    <w:rsid w:val="54C1099F"/>
    <w:rsid w:val="5503564E"/>
    <w:rsid w:val="560D098A"/>
    <w:rsid w:val="56694933"/>
    <w:rsid w:val="568B7A50"/>
    <w:rsid w:val="56D07986"/>
    <w:rsid w:val="571A5CF4"/>
    <w:rsid w:val="572020E4"/>
    <w:rsid w:val="57354838"/>
    <w:rsid w:val="578B1355"/>
    <w:rsid w:val="583628BD"/>
    <w:rsid w:val="58A2435B"/>
    <w:rsid w:val="58F279F2"/>
    <w:rsid w:val="59453A39"/>
    <w:rsid w:val="5AFF4668"/>
    <w:rsid w:val="5B2A0B21"/>
    <w:rsid w:val="5B94433A"/>
    <w:rsid w:val="5BD32083"/>
    <w:rsid w:val="5C557C98"/>
    <w:rsid w:val="5D0E5DA3"/>
    <w:rsid w:val="5DF64720"/>
    <w:rsid w:val="5E1978F6"/>
    <w:rsid w:val="5E8731E0"/>
    <w:rsid w:val="5EAF2D99"/>
    <w:rsid w:val="5EF17D1E"/>
    <w:rsid w:val="5EFA07A5"/>
    <w:rsid w:val="5F025C16"/>
    <w:rsid w:val="5F275310"/>
    <w:rsid w:val="5F6467D5"/>
    <w:rsid w:val="5F792DCD"/>
    <w:rsid w:val="60B21746"/>
    <w:rsid w:val="61FA3F63"/>
    <w:rsid w:val="625C5983"/>
    <w:rsid w:val="62BA4DD3"/>
    <w:rsid w:val="63B35731"/>
    <w:rsid w:val="63B57E16"/>
    <w:rsid w:val="641E4905"/>
    <w:rsid w:val="64997800"/>
    <w:rsid w:val="64CE3422"/>
    <w:rsid w:val="65A96E07"/>
    <w:rsid w:val="65B51517"/>
    <w:rsid w:val="65BF535F"/>
    <w:rsid w:val="66D43095"/>
    <w:rsid w:val="680E73DA"/>
    <w:rsid w:val="68CB3C8A"/>
    <w:rsid w:val="69197882"/>
    <w:rsid w:val="69271990"/>
    <w:rsid w:val="69432556"/>
    <w:rsid w:val="69FE2D3B"/>
    <w:rsid w:val="6A1F767C"/>
    <w:rsid w:val="6A244BCB"/>
    <w:rsid w:val="6B163F02"/>
    <w:rsid w:val="6B4A2DCE"/>
    <w:rsid w:val="6B8A321B"/>
    <w:rsid w:val="6BF947A8"/>
    <w:rsid w:val="6C98685E"/>
    <w:rsid w:val="6CC17620"/>
    <w:rsid w:val="6CD124B4"/>
    <w:rsid w:val="6D565B32"/>
    <w:rsid w:val="6DA12A23"/>
    <w:rsid w:val="6DFD4E15"/>
    <w:rsid w:val="6EB65410"/>
    <w:rsid w:val="6EC91C54"/>
    <w:rsid w:val="6FE23448"/>
    <w:rsid w:val="702F0290"/>
    <w:rsid w:val="71E47E30"/>
    <w:rsid w:val="724401CF"/>
    <w:rsid w:val="725E131B"/>
    <w:rsid w:val="72BE590C"/>
    <w:rsid w:val="74FE73E6"/>
    <w:rsid w:val="766D6295"/>
    <w:rsid w:val="77861A05"/>
    <w:rsid w:val="782A3C80"/>
    <w:rsid w:val="7843046D"/>
    <w:rsid w:val="785D7BF1"/>
    <w:rsid w:val="7874331C"/>
    <w:rsid w:val="78F0263B"/>
    <w:rsid w:val="791A228E"/>
    <w:rsid w:val="79500184"/>
    <w:rsid w:val="79E20998"/>
    <w:rsid w:val="7A431165"/>
    <w:rsid w:val="7A65450D"/>
    <w:rsid w:val="7A9B29DA"/>
    <w:rsid w:val="7B891E31"/>
    <w:rsid w:val="7BE256F0"/>
    <w:rsid w:val="7C8137C4"/>
    <w:rsid w:val="7C875E6D"/>
    <w:rsid w:val="7CCD5909"/>
    <w:rsid w:val="7D193F08"/>
    <w:rsid w:val="7E07756D"/>
    <w:rsid w:val="7EB9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0"/>
    <w:pPr>
      <w:adjustRightInd w:val="0"/>
      <w:snapToGrid w:val="0"/>
      <w:spacing w:line="360" w:lineRule="auto"/>
      <w:ind w:left="100" w:leftChars="400" w:hanging="200" w:hangingChars="200"/>
    </w:pPr>
    <w:rPr>
      <w:sz w:val="24"/>
    </w:rPr>
  </w:style>
  <w:style w:type="paragraph" w:styleId="5">
    <w:name w:val="Body Text"/>
    <w:basedOn w:val="1"/>
    <w:qFormat/>
    <w:uiPriority w:val="0"/>
    <w:rPr>
      <w:rFonts w:ascii="仿宋_GB2312" w:eastAsia="仿宋_GB2312"/>
      <w:sz w:val="32"/>
    </w:rPr>
  </w:style>
  <w:style w:type="paragraph" w:styleId="6">
    <w:name w:val="toc 3"/>
    <w:basedOn w:val="1"/>
    <w:next w:val="1"/>
    <w:qFormat/>
    <w:uiPriority w:val="39"/>
    <w:pPr>
      <w:ind w:left="840" w:leftChars="400"/>
    </w:p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next w:val="1"/>
    <w:link w:val="25"/>
    <w:qFormat/>
    <w:uiPriority w:val="0"/>
    <w:pPr>
      <w:snapToGrid w:val="0"/>
      <w:spacing w:line="560" w:lineRule="atLeast"/>
      <w:ind w:firstLine="540"/>
    </w:pPr>
  </w:style>
  <w:style w:type="paragraph" w:styleId="10">
    <w:name w:val="Balloon Text"/>
    <w:basedOn w:val="1"/>
    <w:link w:val="23"/>
    <w:qFormat/>
    <w:uiPriority w:val="0"/>
    <w:rPr>
      <w:sz w:val="18"/>
      <w:szCs w:val="18"/>
    </w:rPr>
  </w:style>
  <w:style w:type="paragraph" w:styleId="11">
    <w:name w:val="footer"/>
    <w:basedOn w:val="1"/>
    <w:next w:val="12"/>
    <w:link w:val="27"/>
    <w:qFormat/>
    <w:uiPriority w:val="99"/>
    <w:pPr>
      <w:tabs>
        <w:tab w:val="center" w:pos="4153"/>
        <w:tab w:val="right" w:pos="8306"/>
      </w:tabs>
      <w:snapToGrid w:val="0"/>
      <w:jc w:val="left"/>
    </w:pPr>
    <w:rPr>
      <w:sz w:val="18"/>
    </w:rPr>
  </w:style>
  <w:style w:type="paragraph" w:customStyle="1" w:styleId="12">
    <w:name w:val="索引 51"/>
    <w:basedOn w:val="1"/>
    <w:next w:val="1"/>
    <w:qFormat/>
    <w:uiPriority w:val="0"/>
    <w:pPr>
      <w:ind w:left="1680"/>
    </w:p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toc 2"/>
    <w:basedOn w:val="1"/>
    <w:next w:val="1"/>
    <w:qFormat/>
    <w:uiPriority w:val="39"/>
    <w:pPr>
      <w:ind w:left="420" w:leftChars="200"/>
    </w:pPr>
  </w:style>
  <w:style w:type="paragraph" w:styleId="16">
    <w:name w:val="Normal (Web)"/>
    <w:basedOn w:val="1"/>
    <w:qFormat/>
    <w:uiPriority w:val="0"/>
    <w:pPr>
      <w:spacing w:beforeAutospacing="1" w:afterAutospacing="1"/>
      <w:jc w:val="left"/>
    </w:pPr>
    <w:rPr>
      <w:rFonts w:ascii="Calibri" w:hAnsi="Calibri"/>
      <w:kern w:val="0"/>
      <w:sz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qFormat/>
    <w:uiPriority w:val="99"/>
    <w:rPr>
      <w:color w:val="666666"/>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1"/>
    <w:basedOn w:val="1"/>
    <w:next w:val="7"/>
    <w:qFormat/>
    <w:uiPriority w:val="0"/>
    <w:rPr>
      <w:rFonts w:ascii="宋体" w:hAnsi="Courier New"/>
      <w:sz w:val="21"/>
    </w:rPr>
  </w:style>
  <w:style w:type="character" w:customStyle="1" w:styleId="23">
    <w:name w:val="批注框文本 字符"/>
    <w:basedOn w:val="19"/>
    <w:link w:val="10"/>
    <w:qFormat/>
    <w:uiPriority w:val="0"/>
    <w:rPr>
      <w:rFonts w:ascii="Times New Roman" w:hAnsi="Times New Roman" w:eastAsia="宋体" w:cs="Times New Roman"/>
      <w:kern w:val="2"/>
      <w:sz w:val="18"/>
      <w:szCs w:val="18"/>
    </w:rPr>
  </w:style>
  <w:style w:type="paragraph" w:customStyle="1" w:styleId="24">
    <w:name w:val="修订1"/>
    <w:hidden/>
    <w:semiHidden/>
    <w:qFormat/>
    <w:uiPriority w:val="99"/>
    <w:rPr>
      <w:rFonts w:ascii="Times New Roman" w:hAnsi="Times New Roman" w:eastAsia="宋体" w:cs="Times New Roman"/>
      <w:kern w:val="2"/>
      <w:sz w:val="28"/>
      <w:lang w:val="en-US" w:eastAsia="zh-CN" w:bidi="ar-SA"/>
    </w:rPr>
  </w:style>
  <w:style w:type="character" w:customStyle="1" w:styleId="25">
    <w:name w:val="正文文本缩进 2 字符"/>
    <w:link w:val="9"/>
    <w:qFormat/>
    <w:uiPriority w:val="0"/>
    <w:rPr>
      <w:kern w:val="2"/>
      <w:sz w:val="28"/>
    </w:rPr>
  </w:style>
  <w:style w:type="paragraph" w:customStyle="1" w:styleId="26">
    <w:name w:val="修订2"/>
    <w:hidden/>
    <w:semiHidden/>
    <w:qFormat/>
    <w:uiPriority w:val="99"/>
    <w:rPr>
      <w:rFonts w:ascii="Times New Roman" w:hAnsi="Times New Roman" w:eastAsia="宋体" w:cs="Times New Roman"/>
      <w:kern w:val="2"/>
      <w:sz w:val="28"/>
      <w:lang w:val="en-US" w:eastAsia="zh-CN" w:bidi="ar-SA"/>
    </w:rPr>
  </w:style>
  <w:style w:type="character" w:customStyle="1" w:styleId="27">
    <w:name w:val="页脚 字符"/>
    <w:basedOn w:val="19"/>
    <w:link w:val="11"/>
    <w:qFormat/>
    <w:uiPriority w:val="99"/>
    <w:rPr>
      <w:kern w:val="2"/>
      <w:sz w:val="18"/>
    </w:rPr>
  </w:style>
  <w:style w:type="character" w:customStyle="1" w:styleId="28">
    <w:name w:val="页眉 字符"/>
    <w:basedOn w:val="19"/>
    <w:link w:val="13"/>
    <w:qFormat/>
    <w:uiPriority w:val="99"/>
    <w:rPr>
      <w:kern w:val="2"/>
      <w:sz w:val="18"/>
    </w:rPr>
  </w:style>
  <w:style w:type="paragraph" w:styleId="29">
    <w:name w:val="List Paragraph"/>
    <w:basedOn w:val="1"/>
    <w:qFormat/>
    <w:uiPriority w:val="99"/>
    <w:pPr>
      <w:ind w:firstLine="420" w:firstLineChars="200"/>
    </w:pPr>
  </w:style>
  <w:style w:type="paragraph" w:customStyle="1" w:styleId="30">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DF72D-637C-4202-9C26-6B13CD1538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17484</Words>
  <Characters>18345</Characters>
  <Lines>146</Lines>
  <Paragraphs>41</Paragraphs>
  <TotalTime>1</TotalTime>
  <ScaleCrop>false</ScaleCrop>
  <LinksUpToDate>false</LinksUpToDate>
  <CharactersWithSpaces>19459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2024-09-02T02:03:00Z</dcterms:created>
  <dc:creator>Administrator</dc:creator>
  <cp:lastModifiedBy>高文琼</cp:lastModifiedBy>
  <dcterms:modified xsi:type="dcterms:W3CDTF">2025-06-03T01:34:26Z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6F46B09DC3AA4AE68BAE37A8A6DB5389_13</vt:lpwstr>
  </property>
</Properties>
</file>