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06F3D">
      <w:pPr>
        <w:jc w:val="center"/>
        <w:rPr>
          <w:rFonts w:ascii="宋体" w:hAnsi="宋体"/>
          <w:b/>
          <w:color w:val="auto"/>
          <w:sz w:val="44"/>
          <w:szCs w:val="44"/>
          <w:highlight w:val="none"/>
        </w:rPr>
      </w:pPr>
      <w:bookmarkStart w:id="0" w:name="_Toc287620665"/>
    </w:p>
    <w:p w14:paraId="4C2082AD">
      <w:pPr>
        <w:spacing w:line="360" w:lineRule="auto"/>
        <w:jc w:val="center"/>
        <w:rPr>
          <w:rFonts w:hint="eastAsia" w:ascii="宋体" w:hAnsi="宋体" w:eastAsia="宋体"/>
          <w:b/>
          <w:bCs/>
          <w:color w:val="auto"/>
          <w:kern w:val="0"/>
          <w:sz w:val="32"/>
          <w:szCs w:val="32"/>
          <w:highlight w:val="none"/>
          <w:u w:val="none"/>
          <w:lang w:val="en-US" w:eastAsia="zh-CN"/>
        </w:rPr>
      </w:pPr>
      <w:r>
        <w:rPr>
          <w:rFonts w:hint="eastAsia" w:ascii="宋体" w:hAnsi="宋体"/>
          <w:b/>
          <w:bCs/>
          <w:color w:val="auto"/>
          <w:kern w:val="0"/>
          <w:sz w:val="32"/>
          <w:szCs w:val="32"/>
          <w:highlight w:val="none"/>
          <w:u w:val="none"/>
          <w:lang w:eastAsia="zh-CN"/>
        </w:rPr>
        <w:t>弹广路安全隐患治理提升工程危岩孤石设计</w:t>
      </w:r>
    </w:p>
    <w:p w14:paraId="18B10FDD">
      <w:pPr>
        <w:autoSpaceDE w:val="0"/>
        <w:autoSpaceDN w:val="0"/>
        <w:adjustRightInd w:val="0"/>
        <w:snapToGrid w:val="0"/>
        <w:spacing w:line="360" w:lineRule="auto"/>
        <w:jc w:val="left"/>
        <w:rPr>
          <w:rFonts w:ascii="宋体" w:hAnsi="宋体"/>
          <w:color w:val="auto"/>
          <w:kern w:val="0"/>
          <w:sz w:val="20"/>
          <w:szCs w:val="20"/>
          <w:highlight w:val="none"/>
        </w:rPr>
      </w:pPr>
    </w:p>
    <w:p w14:paraId="0024D2AA">
      <w:pPr>
        <w:autoSpaceDE w:val="0"/>
        <w:autoSpaceDN w:val="0"/>
        <w:adjustRightInd w:val="0"/>
        <w:snapToGrid w:val="0"/>
        <w:spacing w:line="360" w:lineRule="auto"/>
        <w:jc w:val="left"/>
        <w:rPr>
          <w:rFonts w:ascii="宋体" w:hAnsi="宋体"/>
          <w:color w:val="auto"/>
          <w:kern w:val="0"/>
          <w:sz w:val="20"/>
          <w:szCs w:val="20"/>
          <w:highlight w:val="none"/>
        </w:rPr>
      </w:pPr>
    </w:p>
    <w:p w14:paraId="0CC0323F">
      <w:pPr>
        <w:autoSpaceDE w:val="0"/>
        <w:autoSpaceDN w:val="0"/>
        <w:adjustRightInd w:val="0"/>
        <w:snapToGrid w:val="0"/>
        <w:spacing w:line="360" w:lineRule="auto"/>
        <w:jc w:val="left"/>
        <w:rPr>
          <w:rFonts w:ascii="宋体" w:hAnsi="宋体"/>
          <w:color w:val="auto"/>
          <w:kern w:val="0"/>
          <w:sz w:val="20"/>
          <w:szCs w:val="20"/>
          <w:highlight w:val="none"/>
        </w:rPr>
      </w:pPr>
    </w:p>
    <w:p w14:paraId="67E79327">
      <w:pPr>
        <w:autoSpaceDE w:val="0"/>
        <w:autoSpaceDN w:val="0"/>
        <w:adjustRightInd w:val="0"/>
        <w:snapToGrid w:val="0"/>
        <w:spacing w:line="360" w:lineRule="auto"/>
        <w:jc w:val="left"/>
        <w:rPr>
          <w:rFonts w:ascii="宋体" w:hAnsi="宋体"/>
          <w:color w:val="auto"/>
          <w:kern w:val="0"/>
          <w:sz w:val="20"/>
          <w:szCs w:val="20"/>
          <w:highlight w:val="none"/>
        </w:rPr>
      </w:pPr>
      <w:bookmarkStart w:id="859" w:name="_GoBack"/>
      <w:bookmarkEnd w:id="859"/>
    </w:p>
    <w:p w14:paraId="0DDC794D">
      <w:pPr>
        <w:autoSpaceDE w:val="0"/>
        <w:autoSpaceDN w:val="0"/>
        <w:adjustRightInd w:val="0"/>
        <w:snapToGrid w:val="0"/>
        <w:spacing w:line="360" w:lineRule="auto"/>
        <w:jc w:val="left"/>
        <w:rPr>
          <w:rFonts w:ascii="宋体" w:hAnsi="宋体"/>
          <w:color w:val="auto"/>
          <w:kern w:val="0"/>
          <w:sz w:val="20"/>
          <w:szCs w:val="20"/>
          <w:highlight w:val="none"/>
        </w:rPr>
      </w:pPr>
    </w:p>
    <w:p w14:paraId="47047393">
      <w:pPr>
        <w:autoSpaceDE w:val="0"/>
        <w:autoSpaceDN w:val="0"/>
        <w:adjustRightInd w:val="0"/>
        <w:snapToGrid w:val="0"/>
        <w:spacing w:line="360" w:lineRule="auto"/>
        <w:jc w:val="left"/>
        <w:rPr>
          <w:rFonts w:ascii="宋体" w:hAnsi="宋体"/>
          <w:color w:val="auto"/>
          <w:kern w:val="0"/>
          <w:sz w:val="20"/>
          <w:szCs w:val="20"/>
          <w:highlight w:val="none"/>
        </w:rPr>
      </w:pPr>
    </w:p>
    <w:p w14:paraId="0769B432">
      <w:pPr>
        <w:autoSpaceDE w:val="0"/>
        <w:autoSpaceDN w:val="0"/>
        <w:adjustRightInd w:val="0"/>
        <w:snapToGrid w:val="0"/>
        <w:spacing w:line="360" w:lineRule="auto"/>
        <w:jc w:val="left"/>
        <w:rPr>
          <w:rFonts w:ascii="宋体" w:hAnsi="宋体"/>
          <w:color w:val="auto"/>
          <w:kern w:val="0"/>
          <w:sz w:val="20"/>
          <w:szCs w:val="20"/>
          <w:highlight w:val="none"/>
        </w:rPr>
      </w:pPr>
    </w:p>
    <w:p w14:paraId="3F882B89">
      <w:pPr>
        <w:autoSpaceDE w:val="0"/>
        <w:autoSpaceDN w:val="0"/>
        <w:adjustRightInd w:val="0"/>
        <w:snapToGrid w:val="0"/>
        <w:spacing w:line="360" w:lineRule="auto"/>
        <w:jc w:val="left"/>
        <w:rPr>
          <w:rFonts w:ascii="宋体" w:hAnsi="宋体"/>
          <w:color w:val="auto"/>
          <w:kern w:val="0"/>
          <w:sz w:val="20"/>
          <w:szCs w:val="20"/>
          <w:highlight w:val="none"/>
        </w:rPr>
      </w:pPr>
    </w:p>
    <w:p w14:paraId="7734A126">
      <w:pPr>
        <w:autoSpaceDE w:val="0"/>
        <w:autoSpaceDN w:val="0"/>
        <w:adjustRightInd w:val="0"/>
        <w:snapToGrid w:val="0"/>
        <w:spacing w:line="360" w:lineRule="auto"/>
        <w:jc w:val="left"/>
        <w:rPr>
          <w:rFonts w:ascii="宋体" w:hAnsi="宋体"/>
          <w:color w:val="auto"/>
          <w:kern w:val="0"/>
          <w:sz w:val="20"/>
          <w:szCs w:val="20"/>
          <w:highlight w:val="none"/>
        </w:rPr>
      </w:pPr>
    </w:p>
    <w:p w14:paraId="3F1E8DEA">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竞争性比选文件</w:t>
      </w:r>
    </w:p>
    <w:p w14:paraId="26C31424">
      <w:pPr>
        <w:autoSpaceDE w:val="0"/>
        <w:autoSpaceDN w:val="0"/>
        <w:adjustRightInd w:val="0"/>
        <w:snapToGrid w:val="0"/>
        <w:spacing w:line="360" w:lineRule="auto"/>
        <w:jc w:val="left"/>
        <w:rPr>
          <w:rFonts w:ascii="宋体" w:hAnsi="宋体"/>
          <w:color w:val="auto"/>
          <w:kern w:val="0"/>
          <w:sz w:val="10"/>
          <w:szCs w:val="10"/>
          <w:highlight w:val="none"/>
        </w:rPr>
      </w:pPr>
    </w:p>
    <w:p w14:paraId="2D437635">
      <w:pPr>
        <w:autoSpaceDE w:val="0"/>
        <w:autoSpaceDN w:val="0"/>
        <w:adjustRightInd w:val="0"/>
        <w:snapToGrid w:val="0"/>
        <w:spacing w:line="360" w:lineRule="auto"/>
        <w:jc w:val="left"/>
        <w:rPr>
          <w:rFonts w:ascii="宋体" w:hAnsi="宋体"/>
          <w:color w:val="auto"/>
          <w:kern w:val="0"/>
          <w:sz w:val="20"/>
          <w:szCs w:val="20"/>
          <w:highlight w:val="none"/>
        </w:rPr>
      </w:pPr>
    </w:p>
    <w:p w14:paraId="053F172D">
      <w:pPr>
        <w:autoSpaceDE w:val="0"/>
        <w:autoSpaceDN w:val="0"/>
        <w:adjustRightInd w:val="0"/>
        <w:snapToGrid w:val="0"/>
        <w:spacing w:line="360" w:lineRule="auto"/>
        <w:jc w:val="left"/>
        <w:rPr>
          <w:rFonts w:ascii="宋体" w:hAnsi="宋体"/>
          <w:color w:val="auto"/>
          <w:kern w:val="0"/>
          <w:sz w:val="20"/>
          <w:szCs w:val="20"/>
          <w:highlight w:val="none"/>
        </w:rPr>
      </w:pPr>
    </w:p>
    <w:p w14:paraId="6961BF57">
      <w:pPr>
        <w:autoSpaceDE w:val="0"/>
        <w:autoSpaceDN w:val="0"/>
        <w:adjustRightInd w:val="0"/>
        <w:snapToGrid w:val="0"/>
        <w:spacing w:line="360" w:lineRule="auto"/>
        <w:jc w:val="left"/>
        <w:rPr>
          <w:rFonts w:ascii="宋体" w:hAnsi="宋体"/>
          <w:color w:val="auto"/>
          <w:kern w:val="0"/>
          <w:sz w:val="20"/>
          <w:szCs w:val="20"/>
          <w:highlight w:val="none"/>
        </w:rPr>
      </w:pPr>
    </w:p>
    <w:p w14:paraId="6CEE1CF0">
      <w:pPr>
        <w:autoSpaceDE w:val="0"/>
        <w:autoSpaceDN w:val="0"/>
        <w:adjustRightInd w:val="0"/>
        <w:snapToGrid w:val="0"/>
        <w:spacing w:line="360" w:lineRule="auto"/>
        <w:jc w:val="left"/>
        <w:rPr>
          <w:rFonts w:ascii="宋体" w:hAnsi="宋体"/>
          <w:color w:val="auto"/>
          <w:kern w:val="0"/>
          <w:sz w:val="20"/>
          <w:szCs w:val="20"/>
          <w:highlight w:val="none"/>
        </w:rPr>
      </w:pPr>
    </w:p>
    <w:p w14:paraId="72E0D756">
      <w:pPr>
        <w:autoSpaceDE w:val="0"/>
        <w:autoSpaceDN w:val="0"/>
        <w:adjustRightInd w:val="0"/>
        <w:snapToGrid w:val="0"/>
        <w:spacing w:line="360" w:lineRule="auto"/>
        <w:rPr>
          <w:rFonts w:ascii="宋体" w:hAnsi="宋体"/>
          <w:color w:val="auto"/>
          <w:kern w:val="0"/>
          <w:sz w:val="20"/>
          <w:szCs w:val="20"/>
          <w:highlight w:val="none"/>
        </w:rPr>
      </w:pPr>
    </w:p>
    <w:p w14:paraId="32CF26DA">
      <w:pPr>
        <w:autoSpaceDE w:val="0"/>
        <w:autoSpaceDN w:val="0"/>
        <w:adjustRightInd w:val="0"/>
        <w:snapToGrid w:val="0"/>
        <w:spacing w:line="360" w:lineRule="auto"/>
        <w:jc w:val="left"/>
        <w:rPr>
          <w:rFonts w:ascii="宋体" w:hAnsi="宋体"/>
          <w:color w:val="auto"/>
          <w:kern w:val="0"/>
          <w:sz w:val="20"/>
          <w:szCs w:val="20"/>
          <w:highlight w:val="none"/>
        </w:rPr>
      </w:pPr>
    </w:p>
    <w:p w14:paraId="36F1230A">
      <w:pPr>
        <w:autoSpaceDE w:val="0"/>
        <w:autoSpaceDN w:val="0"/>
        <w:adjustRightInd w:val="0"/>
        <w:snapToGrid w:val="0"/>
        <w:spacing w:line="360" w:lineRule="auto"/>
        <w:rPr>
          <w:rFonts w:ascii="宋体" w:hAnsi="宋体"/>
          <w:color w:val="auto"/>
          <w:kern w:val="0"/>
          <w:sz w:val="20"/>
          <w:szCs w:val="20"/>
          <w:highlight w:val="none"/>
        </w:rPr>
      </w:pPr>
    </w:p>
    <w:p w14:paraId="70F69959">
      <w:pPr>
        <w:autoSpaceDE w:val="0"/>
        <w:autoSpaceDN w:val="0"/>
        <w:adjustRightInd w:val="0"/>
        <w:snapToGrid w:val="0"/>
        <w:spacing w:line="360" w:lineRule="auto"/>
        <w:rPr>
          <w:rFonts w:ascii="宋体" w:hAnsi="宋体"/>
          <w:color w:val="auto"/>
          <w:kern w:val="0"/>
          <w:sz w:val="20"/>
          <w:szCs w:val="20"/>
          <w:highlight w:val="none"/>
        </w:rPr>
      </w:pPr>
    </w:p>
    <w:p w14:paraId="1D7B087E">
      <w:pPr>
        <w:autoSpaceDE w:val="0"/>
        <w:autoSpaceDN w:val="0"/>
        <w:adjustRightInd w:val="0"/>
        <w:snapToGrid w:val="0"/>
        <w:spacing w:line="360" w:lineRule="auto"/>
        <w:rPr>
          <w:rFonts w:ascii="宋体" w:hAnsi="宋体"/>
          <w:color w:val="auto"/>
          <w:kern w:val="0"/>
          <w:sz w:val="20"/>
          <w:szCs w:val="20"/>
          <w:highlight w:val="none"/>
        </w:rPr>
      </w:pPr>
    </w:p>
    <w:p w14:paraId="4873C603">
      <w:pPr>
        <w:tabs>
          <w:tab w:val="left" w:pos="6219"/>
        </w:tabs>
        <w:autoSpaceDE w:val="0"/>
        <w:autoSpaceDN w:val="0"/>
        <w:adjustRightInd w:val="0"/>
        <w:snapToGrid w:val="0"/>
        <w:spacing w:line="360" w:lineRule="auto"/>
        <w:ind w:firstLine="277" w:firstLineChars="100"/>
        <w:jc w:val="both"/>
        <w:rPr>
          <w:rFonts w:ascii="宋体" w:hAnsi="宋体"/>
          <w:bCs/>
          <w:color w:val="auto"/>
          <w:w w:val="99"/>
          <w:kern w:val="0"/>
          <w:sz w:val="28"/>
          <w:szCs w:val="28"/>
          <w:highlight w:val="none"/>
        </w:rPr>
      </w:pPr>
      <w:r>
        <w:rPr>
          <w:rFonts w:hint="eastAsia" w:ascii="宋体" w:hAnsi="宋体"/>
          <w:bCs/>
          <w:color w:val="auto"/>
          <w:w w:val="99"/>
          <w:kern w:val="0"/>
          <w:sz w:val="28"/>
          <w:szCs w:val="28"/>
          <w:highlight w:val="none"/>
        </w:rPr>
        <w:t>比  选  人</w:t>
      </w:r>
      <w:r>
        <w:rPr>
          <w:rFonts w:ascii="宋体" w:hAnsi="宋体"/>
          <w:bCs/>
          <w:color w:val="auto"/>
          <w:w w:val="99"/>
          <w:kern w:val="0"/>
          <w:sz w:val="28"/>
          <w:szCs w:val="28"/>
          <w:highlight w:val="none"/>
        </w:rPr>
        <w:t>：</w:t>
      </w:r>
      <w:r>
        <w:rPr>
          <w:rFonts w:hint="eastAsia" w:ascii="宋体" w:hAnsi="宋体"/>
          <w:bCs/>
          <w:color w:val="auto"/>
          <w:w w:val="99"/>
          <w:kern w:val="0"/>
          <w:sz w:val="28"/>
          <w:szCs w:val="28"/>
          <w:highlight w:val="none"/>
          <w:u w:val="single"/>
          <w:lang w:eastAsia="zh-CN"/>
        </w:rPr>
        <w:t>重庆市南岸区城市建设发展（集团）有限公司</w:t>
      </w:r>
      <w:r>
        <w:rPr>
          <w:rFonts w:ascii="宋体" w:hAnsi="宋体"/>
          <w:bCs/>
          <w:color w:val="auto"/>
          <w:w w:val="99"/>
          <w:kern w:val="0"/>
          <w:sz w:val="28"/>
          <w:szCs w:val="28"/>
          <w:highlight w:val="none"/>
        </w:rPr>
        <w:t>（盖单位法人章）</w:t>
      </w:r>
    </w:p>
    <w:p w14:paraId="648BC782">
      <w:pPr>
        <w:tabs>
          <w:tab w:val="left" w:pos="6252"/>
        </w:tabs>
        <w:autoSpaceDE w:val="0"/>
        <w:autoSpaceDN w:val="0"/>
        <w:adjustRightInd w:val="0"/>
        <w:snapToGrid w:val="0"/>
        <w:spacing w:line="360" w:lineRule="auto"/>
        <w:ind w:firstLine="296" w:firstLineChars="100"/>
        <w:jc w:val="both"/>
        <w:rPr>
          <w:rFonts w:ascii="宋体" w:hAnsi="宋体"/>
          <w:bCs/>
          <w:color w:val="auto"/>
          <w:w w:val="99"/>
          <w:kern w:val="0"/>
          <w:sz w:val="28"/>
          <w:szCs w:val="28"/>
          <w:highlight w:val="none"/>
        </w:rPr>
      </w:pPr>
      <w:r>
        <w:rPr>
          <w:rFonts w:hint="eastAsia" w:ascii="宋体" w:hAnsi="宋体"/>
          <w:bCs/>
          <w:color w:val="auto"/>
          <w:spacing w:val="8"/>
          <w:kern w:val="0"/>
          <w:sz w:val="28"/>
          <w:szCs w:val="28"/>
          <w:highlight w:val="none"/>
          <w:lang w:eastAsia="zh-CN"/>
        </w:rPr>
        <w:t>比选代理机构</w:t>
      </w:r>
      <w:r>
        <w:rPr>
          <w:rFonts w:ascii="宋体" w:hAnsi="宋体"/>
          <w:bCs/>
          <w:color w:val="auto"/>
          <w:spacing w:val="8"/>
          <w:kern w:val="0"/>
          <w:sz w:val="28"/>
          <w:szCs w:val="28"/>
          <w:highlight w:val="none"/>
        </w:rPr>
        <w:t>：</w:t>
      </w:r>
      <w:r>
        <w:rPr>
          <w:rFonts w:hint="eastAsia" w:ascii="宋体" w:hAnsi="宋体"/>
          <w:bCs/>
          <w:color w:val="auto"/>
          <w:spacing w:val="8"/>
          <w:kern w:val="0"/>
          <w:sz w:val="28"/>
          <w:szCs w:val="28"/>
          <w:highlight w:val="none"/>
          <w:u w:val="single"/>
          <w:lang w:eastAsia="zh-CN"/>
        </w:rPr>
        <w:t>中科高盛咨询集团有限公司</w:t>
      </w:r>
      <w:r>
        <w:rPr>
          <w:rFonts w:ascii="宋体" w:hAnsi="宋体"/>
          <w:bCs/>
          <w:color w:val="auto"/>
          <w:w w:val="99"/>
          <w:kern w:val="0"/>
          <w:sz w:val="28"/>
          <w:szCs w:val="28"/>
          <w:highlight w:val="none"/>
        </w:rPr>
        <w:t>（盖单位法人章）</w:t>
      </w:r>
    </w:p>
    <w:p w14:paraId="50D4942E">
      <w:pPr>
        <w:autoSpaceDE w:val="0"/>
        <w:autoSpaceDN w:val="0"/>
        <w:adjustRightInd w:val="0"/>
        <w:snapToGrid w:val="0"/>
        <w:spacing w:line="360" w:lineRule="auto"/>
        <w:jc w:val="center"/>
        <w:rPr>
          <w:rFonts w:ascii="宋体" w:hAnsi="宋体"/>
          <w:bCs/>
          <w:color w:val="auto"/>
          <w:kern w:val="0"/>
          <w:sz w:val="20"/>
          <w:szCs w:val="20"/>
          <w:highlight w:val="none"/>
        </w:rPr>
      </w:pPr>
    </w:p>
    <w:p w14:paraId="033699CD">
      <w:pPr>
        <w:autoSpaceDE w:val="0"/>
        <w:autoSpaceDN w:val="0"/>
        <w:adjustRightInd w:val="0"/>
        <w:snapToGrid w:val="0"/>
        <w:spacing w:line="360" w:lineRule="auto"/>
        <w:jc w:val="center"/>
        <w:rPr>
          <w:rFonts w:ascii="宋体" w:hAnsi="宋体"/>
          <w:bCs/>
          <w:color w:val="auto"/>
          <w:kern w:val="0"/>
          <w:sz w:val="28"/>
          <w:szCs w:val="28"/>
          <w:highlight w:val="none"/>
        </w:rPr>
      </w:pPr>
    </w:p>
    <w:p w14:paraId="16BF3376">
      <w:pPr>
        <w:autoSpaceDE w:val="0"/>
        <w:autoSpaceDN w:val="0"/>
        <w:adjustRightInd w:val="0"/>
        <w:snapToGrid w:val="0"/>
        <w:spacing w:line="360" w:lineRule="auto"/>
        <w:jc w:val="center"/>
        <w:rPr>
          <w:rFonts w:ascii="宋体" w:hAnsi="宋体"/>
          <w:bCs/>
          <w:color w:val="auto"/>
          <w:kern w:val="0"/>
          <w:sz w:val="28"/>
          <w:szCs w:val="28"/>
          <w:highlight w:val="none"/>
        </w:rPr>
      </w:pPr>
    </w:p>
    <w:p w14:paraId="778C2D3E">
      <w:pPr>
        <w:autoSpaceDE w:val="0"/>
        <w:autoSpaceDN w:val="0"/>
        <w:adjustRightInd w:val="0"/>
        <w:snapToGrid w:val="0"/>
        <w:spacing w:line="360" w:lineRule="auto"/>
        <w:rPr>
          <w:rFonts w:ascii="宋体" w:hAnsi="宋体"/>
          <w:bCs/>
          <w:color w:val="auto"/>
          <w:kern w:val="0"/>
          <w:sz w:val="20"/>
          <w:szCs w:val="20"/>
          <w:highlight w:val="none"/>
        </w:rPr>
      </w:pPr>
    </w:p>
    <w:p w14:paraId="59EE4FEF">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09218549"/>
      <w:bookmarkStart w:id="2" w:name="_Toc536796736"/>
      <w:bookmarkStart w:id="3" w:name="_Toc536797277"/>
      <w:bookmarkStart w:id="4" w:name="_Toc13210649"/>
      <w:bookmarkStart w:id="5" w:name="_Toc536621766"/>
      <w:r>
        <w:rPr>
          <w:rFonts w:hint="eastAsia" w:ascii="宋体" w:hAnsi="宋体"/>
          <w:bCs/>
          <w:color w:val="auto"/>
          <w:spacing w:val="8"/>
          <w:kern w:val="0"/>
          <w:sz w:val="28"/>
          <w:szCs w:val="28"/>
          <w:highlight w:val="none"/>
          <w:u w:val="single"/>
          <w:lang w:val="en-US" w:eastAsia="zh-CN"/>
        </w:rPr>
        <w:t>2025</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lang w:val="en-US" w:eastAsia="zh-CN"/>
        </w:rPr>
        <w:t>9</w:t>
      </w:r>
      <w:r>
        <w:rPr>
          <w:rFonts w:ascii="宋体" w:hAnsi="宋体"/>
          <w:bCs/>
          <w:color w:val="auto"/>
          <w:spacing w:val="8"/>
          <w:kern w:val="0"/>
          <w:sz w:val="28"/>
          <w:szCs w:val="28"/>
          <w:highlight w:val="none"/>
        </w:rPr>
        <w:t>月</w:t>
      </w:r>
      <w:bookmarkEnd w:id="1"/>
      <w:bookmarkEnd w:id="2"/>
      <w:bookmarkEnd w:id="3"/>
      <w:bookmarkEnd w:id="4"/>
      <w:bookmarkEnd w:id="5"/>
    </w:p>
    <w:p w14:paraId="3F2285C7">
      <w:pPr>
        <w:pStyle w:val="2"/>
        <w:spacing w:line="360" w:lineRule="auto"/>
        <w:rPr>
          <w:rFonts w:ascii="宋体" w:hAnsi="宋体"/>
          <w:color w:val="auto"/>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14:paraId="4127E772">
      <w:pPr>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14:paraId="7DB86DF6">
      <w:pPr>
        <w:pStyle w:val="31"/>
        <w:tabs>
          <w:tab w:val="right" w:leader="dot" w:pos="9469"/>
        </w:tabs>
        <w:rPr>
          <w:i w:val="0"/>
          <w:iCs w:val="0"/>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Fonts w:ascii="宋体" w:hAnsi="宋体"/>
          <w:i w:val="0"/>
          <w:iCs w:val="0"/>
          <w:color w:val="auto"/>
          <w:highlight w:val="none"/>
        </w:rPr>
        <w:fldChar w:fldCharType="begin"/>
      </w:r>
      <w:r>
        <w:rPr>
          <w:rFonts w:ascii="宋体" w:hAnsi="宋体"/>
          <w:i w:val="0"/>
          <w:iCs w:val="0"/>
          <w:color w:val="auto"/>
          <w:highlight w:val="none"/>
        </w:rPr>
        <w:instrText xml:space="preserve"> HYPERLINK \l _Toc5983 </w:instrText>
      </w:r>
      <w:r>
        <w:rPr>
          <w:rFonts w:ascii="宋体" w:hAnsi="宋体"/>
          <w:i w:val="0"/>
          <w:iCs w:val="0"/>
          <w:color w:val="auto"/>
          <w:highlight w:val="none"/>
        </w:rPr>
        <w:fldChar w:fldCharType="separate"/>
      </w:r>
      <w:r>
        <w:rPr>
          <w:rFonts w:hint="eastAsia" w:ascii="宋体" w:hAnsi="宋体"/>
          <w:i w:val="0"/>
          <w:iCs w:val="0"/>
          <w:color w:val="auto"/>
          <w:szCs w:val="52"/>
          <w:highlight w:val="none"/>
        </w:rPr>
        <w:t>第 一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_Toc5983 \h </w:instrText>
      </w:r>
      <w:r>
        <w:rPr>
          <w:i w:val="0"/>
          <w:iCs w:val="0"/>
          <w:color w:val="auto"/>
          <w:highlight w:val="none"/>
        </w:rPr>
        <w:fldChar w:fldCharType="separate"/>
      </w:r>
      <w:r>
        <w:rPr>
          <w:i w:val="0"/>
          <w:iCs w:val="0"/>
          <w:color w:val="auto"/>
          <w:highlight w:val="none"/>
        </w:rPr>
        <w:t>4</w:t>
      </w:r>
      <w:r>
        <w:rPr>
          <w:i w:val="0"/>
          <w:iCs w:val="0"/>
          <w:color w:val="auto"/>
          <w:highlight w:val="none"/>
        </w:rPr>
        <w:fldChar w:fldCharType="end"/>
      </w:r>
      <w:r>
        <w:rPr>
          <w:rFonts w:ascii="宋体" w:hAnsi="宋体"/>
          <w:i w:val="0"/>
          <w:iCs w:val="0"/>
          <w:color w:val="auto"/>
          <w:highlight w:val="none"/>
        </w:rPr>
        <w:fldChar w:fldCharType="end"/>
      </w:r>
    </w:p>
    <w:p w14:paraId="1939D163">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_Toc4166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第一章  </w:t>
      </w:r>
      <w:r>
        <w:rPr>
          <w:rFonts w:hint="eastAsia" w:ascii="宋体" w:hAnsi="宋体"/>
          <w:i w:val="0"/>
          <w:iCs w:val="0"/>
          <w:snapToGrid w:val="0"/>
          <w:color w:val="auto"/>
          <w:kern w:val="0"/>
          <w:highlight w:val="none"/>
          <w:lang w:eastAsia="zh-CN"/>
        </w:rPr>
        <w:t>比选公告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_Toc4166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93FE7E9">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_Toc1291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1.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招标条件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_Toc1291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B426056">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_Toc2683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2.</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 xml:space="preserve"> 项目概况与招标范围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_Toc2683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03CD8E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_Toc2141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3.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eastAsia="zh-CN"/>
        </w:rPr>
        <w:t>竞选人</w:t>
      </w:r>
      <w:r>
        <w:rPr>
          <w:rFonts w:ascii="宋体" w:hAnsi="宋体"/>
          <w:i w:val="0"/>
          <w:iCs w:val="0"/>
          <w:snapToGrid w:val="0"/>
          <w:color w:val="auto"/>
          <w:szCs w:val="28"/>
          <w:highlight w:val="none"/>
        </w:rPr>
        <w:t>资格要求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_Toc2141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8690EFA">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_Toc30675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4. </w:t>
      </w:r>
      <w:r>
        <w:rPr>
          <w:rFonts w:hint="eastAsia" w:ascii="宋体" w:hAnsi="宋体"/>
          <w:i w:val="0"/>
          <w:iCs w:val="0"/>
          <w:snapToGrid w:val="0"/>
          <w:color w:val="auto"/>
          <w:szCs w:val="28"/>
          <w:highlight w:val="none"/>
        </w:rPr>
        <w:t xml:space="preserve"> 技术成果经济补偿</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_Toc30675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CF82702">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_Toc29453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5.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eastAsia="zh-CN"/>
        </w:rPr>
        <w:t>比选文件</w:t>
      </w:r>
      <w:r>
        <w:rPr>
          <w:rFonts w:ascii="宋体" w:hAnsi="宋体"/>
          <w:i w:val="0"/>
          <w:iCs w:val="0"/>
          <w:snapToGrid w:val="0"/>
          <w:color w:val="auto"/>
          <w:szCs w:val="28"/>
          <w:highlight w:val="none"/>
        </w:rPr>
        <w:t>的获取</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_Toc29453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8FEF6B9">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_Toc21952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6.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eastAsia="zh-CN"/>
        </w:rPr>
        <w:t>竞选文件</w:t>
      </w:r>
      <w:r>
        <w:rPr>
          <w:rFonts w:ascii="宋体" w:hAnsi="宋体"/>
          <w:i w:val="0"/>
          <w:iCs w:val="0"/>
          <w:snapToGrid w:val="0"/>
          <w:color w:val="auto"/>
          <w:szCs w:val="28"/>
          <w:highlight w:val="none"/>
        </w:rPr>
        <w:t>的递交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_Toc21952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177BE94">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_Toc23796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7.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发布公告的媒介</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_Toc23796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0FBA9C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_Toc29725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8.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联系方式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_Toc29725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10019D9">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_Toc5261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第二章  </w:t>
      </w:r>
      <w:r>
        <w:rPr>
          <w:rFonts w:hint="eastAsia" w:ascii="宋体" w:hAnsi="宋体"/>
          <w:i w:val="0"/>
          <w:iCs w:val="0"/>
          <w:snapToGrid w:val="0"/>
          <w:color w:val="auto"/>
          <w:kern w:val="0"/>
          <w:highlight w:val="none"/>
          <w:lang w:eastAsia="zh-CN"/>
        </w:rPr>
        <w:t>竞选人</w:t>
      </w:r>
      <w:r>
        <w:rPr>
          <w:rFonts w:ascii="宋体" w:hAnsi="宋体"/>
          <w:i w:val="0"/>
          <w:iCs w:val="0"/>
          <w:snapToGrid w:val="0"/>
          <w:color w:val="auto"/>
          <w:kern w:val="0"/>
          <w:highlight w:val="none"/>
        </w:rPr>
        <w:t>须知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_Toc5261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F5198A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_Toc472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lang w:eastAsia="zh-CN"/>
        </w:rPr>
        <w:t>竞选人</w:t>
      </w:r>
      <w:r>
        <w:rPr>
          <w:rFonts w:hint="eastAsia" w:ascii="宋体" w:hAnsi="宋体"/>
          <w:i w:val="0"/>
          <w:iCs w:val="0"/>
          <w:color w:val="auto"/>
          <w:highlight w:val="none"/>
        </w:rPr>
        <w:t>须知前附表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_Toc472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0117560">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_Toc4438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总则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_Toc4438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741553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_Toc11692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  项目概况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_Toc11692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DFFC87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_Toc17766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1.2  </w:t>
      </w:r>
      <w:r>
        <w:rPr>
          <w:rFonts w:hint="eastAsia" w:ascii="宋体" w:hAnsi="宋体"/>
          <w:i w:val="0"/>
          <w:iCs w:val="0"/>
          <w:snapToGrid w:val="0"/>
          <w:color w:val="auto"/>
          <w:szCs w:val="24"/>
          <w:highlight w:val="none"/>
          <w:lang w:val="en-US" w:eastAsia="zh-CN"/>
        </w:rPr>
        <w:t>比选</w:t>
      </w:r>
      <w:r>
        <w:rPr>
          <w:rFonts w:hint="eastAsia" w:ascii="宋体" w:hAnsi="宋体"/>
          <w:i w:val="0"/>
          <w:iCs w:val="0"/>
          <w:snapToGrid w:val="0"/>
          <w:color w:val="auto"/>
          <w:szCs w:val="24"/>
          <w:highlight w:val="none"/>
        </w:rPr>
        <w:t>项目的</w:t>
      </w:r>
      <w:r>
        <w:rPr>
          <w:rFonts w:ascii="宋体" w:hAnsi="宋体"/>
          <w:i w:val="0"/>
          <w:iCs w:val="0"/>
          <w:snapToGrid w:val="0"/>
          <w:color w:val="auto"/>
          <w:szCs w:val="24"/>
          <w:highlight w:val="none"/>
        </w:rPr>
        <w:t>资金来源和落实情况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_Toc17766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ECACBF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_Toc4215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1.3  </w:t>
      </w:r>
      <w:r>
        <w:rPr>
          <w:rFonts w:hint="eastAsia" w:ascii="宋体" w:hAnsi="宋体"/>
          <w:i w:val="0"/>
          <w:iCs w:val="0"/>
          <w:snapToGrid w:val="0"/>
          <w:color w:val="auto"/>
          <w:szCs w:val="24"/>
          <w:highlight w:val="none"/>
          <w:lang w:val="en-US" w:eastAsia="zh-CN"/>
        </w:rPr>
        <w:t>比选</w:t>
      </w:r>
      <w:r>
        <w:rPr>
          <w:rFonts w:ascii="宋体" w:hAnsi="宋体"/>
          <w:i w:val="0"/>
          <w:iCs w:val="0"/>
          <w:snapToGrid w:val="0"/>
          <w:color w:val="auto"/>
          <w:szCs w:val="24"/>
          <w:highlight w:val="none"/>
        </w:rPr>
        <w:t>范围、</w:t>
      </w:r>
      <w:r>
        <w:rPr>
          <w:rFonts w:hint="eastAsia" w:ascii="宋体" w:hAnsi="宋体"/>
          <w:i w:val="0"/>
          <w:iCs w:val="0"/>
          <w:snapToGrid w:val="0"/>
          <w:color w:val="auto"/>
          <w:szCs w:val="24"/>
          <w:highlight w:val="none"/>
        </w:rPr>
        <w:t>设计服务期限</w:t>
      </w:r>
      <w:r>
        <w:rPr>
          <w:rFonts w:ascii="宋体" w:hAnsi="宋体"/>
          <w:i w:val="0"/>
          <w:iCs w:val="0"/>
          <w:snapToGrid w:val="0"/>
          <w:color w:val="auto"/>
          <w:szCs w:val="24"/>
          <w:highlight w:val="none"/>
        </w:rPr>
        <w:t>和质量</w:t>
      </w:r>
      <w:r>
        <w:rPr>
          <w:rFonts w:hint="eastAsia" w:ascii="宋体" w:hAnsi="宋体"/>
          <w:i w:val="0"/>
          <w:iCs w:val="0"/>
          <w:snapToGrid w:val="0"/>
          <w:color w:val="auto"/>
          <w:szCs w:val="24"/>
          <w:highlight w:val="none"/>
        </w:rPr>
        <w:t>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_Toc4215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12F50A2">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_Toc12091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1.4</w:t>
      </w:r>
      <w:r>
        <w:rPr>
          <w:rFonts w:hint="eastAsia" w:ascii="宋体" w:hAnsi="宋体"/>
          <w:i w:val="0"/>
          <w:iCs w:val="0"/>
          <w:snapToGrid w:val="0"/>
          <w:color w:val="auto"/>
          <w:szCs w:val="24"/>
          <w:highlight w:val="none"/>
        </w:rPr>
        <w:t>A</w:t>
      </w:r>
      <w:r>
        <w:rPr>
          <w:rFonts w:ascii="宋体" w:hAnsi="宋体"/>
          <w:i w:val="0"/>
          <w:iCs w:val="0"/>
          <w:snapToGrid w:val="0"/>
          <w:color w:val="auto"/>
          <w:szCs w:val="24"/>
          <w:highlight w:val="none"/>
        </w:rPr>
        <w:t xml:space="preserve">  </w:t>
      </w:r>
      <w:r>
        <w:rPr>
          <w:rFonts w:hint="eastAsia" w:ascii="宋体" w:hAnsi="宋体"/>
          <w:i w:val="0"/>
          <w:iCs w:val="0"/>
          <w:snapToGrid w:val="0"/>
          <w:color w:val="auto"/>
          <w:szCs w:val="24"/>
          <w:highlight w:val="none"/>
          <w:lang w:eastAsia="zh-CN"/>
        </w:rPr>
        <w:t>竞选人</w:t>
      </w:r>
      <w:r>
        <w:rPr>
          <w:rFonts w:ascii="宋体" w:hAnsi="宋体"/>
          <w:i w:val="0"/>
          <w:iCs w:val="0"/>
          <w:snapToGrid w:val="0"/>
          <w:color w:val="auto"/>
          <w:szCs w:val="24"/>
          <w:highlight w:val="none"/>
        </w:rPr>
        <w:t>资格要求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_Toc12091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1E1F4E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_Toc18369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1.5  费用承担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_Toc18369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4C42D3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_Toc28872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1.6  保密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_Toc28872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1301E8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_Toc10589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1.7  语言文字</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_Toc10589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04ADBE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_Toc15250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1.8  计量单位</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_Toc15250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531B26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_Toc3141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1.9  踏勘现场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_Toc3141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2F8572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_Toc4777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1.10  投标预备会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_Toc4777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B90B7E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_Toc10934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1.11  分包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_Toc10934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638FB6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_Toc25303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1.12  </w:t>
      </w:r>
      <w:r>
        <w:rPr>
          <w:rFonts w:hint="eastAsia" w:ascii="宋体" w:hAnsi="宋体"/>
          <w:i w:val="0"/>
          <w:iCs w:val="0"/>
          <w:snapToGrid w:val="0"/>
          <w:color w:val="auto"/>
          <w:szCs w:val="24"/>
          <w:highlight w:val="none"/>
        </w:rPr>
        <w:t>响应和偏离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_Toc25303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81BEA4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_Toc29640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2.  </w:t>
      </w:r>
      <w:r>
        <w:rPr>
          <w:rFonts w:hint="eastAsia" w:ascii="宋体" w:hAnsi="宋体"/>
          <w:i w:val="0"/>
          <w:iCs w:val="0"/>
          <w:snapToGrid w:val="0"/>
          <w:color w:val="auto"/>
          <w:highlight w:val="none"/>
          <w:lang w:eastAsia="zh-CN"/>
        </w:rPr>
        <w:t>比选文件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_Toc29640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9BC9BE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_Toc9830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2.1  </w:t>
      </w:r>
      <w:r>
        <w:rPr>
          <w:rFonts w:hint="eastAsia" w:ascii="宋体" w:hAnsi="宋体"/>
          <w:i w:val="0"/>
          <w:iCs w:val="0"/>
          <w:snapToGrid w:val="0"/>
          <w:color w:val="auto"/>
          <w:szCs w:val="24"/>
          <w:highlight w:val="none"/>
          <w:lang w:eastAsia="zh-CN"/>
        </w:rPr>
        <w:t>比选文件</w:t>
      </w:r>
      <w:r>
        <w:rPr>
          <w:rFonts w:ascii="宋体" w:hAnsi="宋体"/>
          <w:i w:val="0"/>
          <w:iCs w:val="0"/>
          <w:snapToGrid w:val="0"/>
          <w:color w:val="auto"/>
          <w:szCs w:val="24"/>
          <w:highlight w:val="none"/>
        </w:rPr>
        <w:t>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_Toc9830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C29E8D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_Toc27118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2.2  </w:t>
      </w:r>
      <w:r>
        <w:rPr>
          <w:rFonts w:hint="eastAsia" w:ascii="宋体" w:hAnsi="宋体"/>
          <w:i w:val="0"/>
          <w:iCs w:val="0"/>
          <w:snapToGrid w:val="0"/>
          <w:color w:val="auto"/>
          <w:szCs w:val="24"/>
          <w:highlight w:val="none"/>
          <w:lang w:eastAsia="zh-CN"/>
        </w:rPr>
        <w:t>比选文件</w:t>
      </w:r>
      <w:r>
        <w:rPr>
          <w:rFonts w:ascii="宋体" w:hAnsi="宋体"/>
          <w:i w:val="0"/>
          <w:iCs w:val="0"/>
          <w:snapToGrid w:val="0"/>
          <w:color w:val="auto"/>
          <w:szCs w:val="24"/>
          <w:highlight w:val="none"/>
        </w:rPr>
        <w:t>的澄清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_Toc27118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1440E6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_Toc10782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2.3  </w:t>
      </w:r>
      <w:r>
        <w:rPr>
          <w:rFonts w:hint="eastAsia" w:ascii="宋体" w:hAnsi="宋体"/>
          <w:i w:val="0"/>
          <w:iCs w:val="0"/>
          <w:snapToGrid w:val="0"/>
          <w:color w:val="auto"/>
          <w:szCs w:val="24"/>
          <w:highlight w:val="none"/>
          <w:lang w:eastAsia="zh-CN"/>
        </w:rPr>
        <w:t>比选文件</w:t>
      </w:r>
      <w:r>
        <w:rPr>
          <w:rFonts w:ascii="宋体" w:hAnsi="宋体"/>
          <w:i w:val="0"/>
          <w:iCs w:val="0"/>
          <w:snapToGrid w:val="0"/>
          <w:color w:val="auto"/>
          <w:szCs w:val="24"/>
          <w:highlight w:val="none"/>
        </w:rPr>
        <w:t>的修改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_Toc10782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D3250D2">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_Toc17279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3.  </w:t>
      </w:r>
      <w:r>
        <w:rPr>
          <w:rFonts w:hint="eastAsia" w:ascii="宋体" w:hAnsi="宋体"/>
          <w:i w:val="0"/>
          <w:iCs w:val="0"/>
          <w:snapToGrid w:val="0"/>
          <w:color w:val="auto"/>
          <w:highlight w:val="none"/>
          <w:lang w:eastAsia="zh-CN"/>
        </w:rPr>
        <w:t>竞选文件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_Toc17279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CA13DF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_Toc17687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3.1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_Toc17687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F30E6D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_Toc18821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3.2  投标报价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_Toc18821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7D79A3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_Toc26829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3.3  投标有效期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_Toc26829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C30571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_Toc27820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3.4  投标</w:t>
      </w:r>
      <w:r>
        <w:rPr>
          <w:rFonts w:hint="eastAsia" w:ascii="宋体" w:hAnsi="宋体"/>
          <w:i w:val="0"/>
          <w:iCs w:val="0"/>
          <w:snapToGrid w:val="0"/>
          <w:color w:val="auto"/>
          <w:szCs w:val="24"/>
          <w:highlight w:val="none"/>
        </w:rPr>
        <w:t>保证金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_Toc27820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F5218B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_Toc17818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3.5</w:t>
      </w:r>
      <w:r>
        <w:rPr>
          <w:rFonts w:hint="eastAsia" w:ascii="宋体" w:hAnsi="宋体"/>
          <w:i w:val="0"/>
          <w:iCs w:val="0"/>
          <w:snapToGrid w:val="0"/>
          <w:color w:val="auto"/>
          <w:szCs w:val="24"/>
          <w:highlight w:val="none"/>
        </w:rPr>
        <w:t>A</w:t>
      </w:r>
      <w:r>
        <w:rPr>
          <w:rFonts w:ascii="宋体" w:hAnsi="宋体"/>
          <w:i w:val="0"/>
          <w:iCs w:val="0"/>
          <w:snapToGrid w:val="0"/>
          <w:color w:val="auto"/>
          <w:szCs w:val="24"/>
          <w:highlight w:val="none"/>
        </w:rPr>
        <w:t xml:space="preserve">  资格审查资料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_Toc17818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925C5D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_Toc12316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3.5</w:t>
      </w:r>
      <w:r>
        <w:rPr>
          <w:rFonts w:hint="eastAsia" w:ascii="宋体" w:hAnsi="宋体"/>
          <w:i w:val="0"/>
          <w:iCs w:val="0"/>
          <w:snapToGrid w:val="0"/>
          <w:color w:val="auto"/>
          <w:szCs w:val="24"/>
          <w:highlight w:val="none"/>
        </w:rPr>
        <w:t>B</w:t>
      </w:r>
      <w:r>
        <w:rPr>
          <w:rFonts w:ascii="宋体" w:hAnsi="宋体"/>
          <w:i w:val="0"/>
          <w:iCs w:val="0"/>
          <w:snapToGrid w:val="0"/>
          <w:color w:val="auto"/>
          <w:szCs w:val="24"/>
          <w:highlight w:val="none"/>
        </w:rPr>
        <w:t xml:space="preserve">  资格审查资料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_Toc12316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D42505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_Toc26593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3.6  备选投标方案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_Toc26593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6A994A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_Toc5407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3.7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的编制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_Toc5407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C2541AC">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_Toc8305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4.  投标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_Toc8305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C8380C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_Toc21322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4.1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的密封和标记</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_Toc21322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95EEF72">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_Toc21121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4.2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_Toc21121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EC201B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_Toc2825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4.3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的修改与撤回</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_Toc2825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BD52390">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_Toc1687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5.  开标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_Toc1687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067D22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_Toc3436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5.1  开标时间和地点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_Toc3436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93D52E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_Toc4512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5.2  开标程序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_Toc4512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D4984D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_Toc27487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5.</w:t>
      </w:r>
      <w:r>
        <w:rPr>
          <w:rFonts w:hint="eastAsia" w:ascii="宋体" w:hAnsi="宋体"/>
          <w:i w:val="0"/>
          <w:iCs w:val="0"/>
          <w:snapToGrid w:val="0"/>
          <w:color w:val="auto"/>
          <w:szCs w:val="24"/>
          <w:highlight w:val="none"/>
        </w:rPr>
        <w:t>3</w:t>
      </w:r>
      <w:r>
        <w:rPr>
          <w:rFonts w:ascii="宋体" w:hAnsi="宋体"/>
          <w:i w:val="0"/>
          <w:iCs w:val="0"/>
          <w:snapToGrid w:val="0"/>
          <w:color w:val="auto"/>
          <w:szCs w:val="24"/>
          <w:highlight w:val="none"/>
        </w:rPr>
        <w:t xml:space="preserve">  </w:t>
      </w:r>
      <w:r>
        <w:rPr>
          <w:rFonts w:hint="eastAsia" w:ascii="宋体" w:hAnsi="宋体"/>
          <w:i w:val="0"/>
          <w:iCs w:val="0"/>
          <w:snapToGrid w:val="0"/>
          <w:color w:val="auto"/>
          <w:szCs w:val="24"/>
          <w:highlight w:val="none"/>
        </w:rPr>
        <w:t>开标异议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_Toc27487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5B509B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_Toc22973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6.  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_Toc22973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A9871F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_Toc20414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6.1  评标委员会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_Toc20414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09192C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_Toc20121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6.2  评标原则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_Toc20121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DF550A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_Toc734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6.3  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_Toc734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28DB948">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_Toc6463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7.  合同授予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_Toc6463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4D3EDF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_Toc11135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7.1  </w:t>
      </w:r>
      <w:r>
        <w:rPr>
          <w:rFonts w:hint="eastAsia" w:ascii="宋体" w:hAnsi="宋体"/>
          <w:i w:val="0"/>
          <w:iCs w:val="0"/>
          <w:snapToGrid w:val="0"/>
          <w:color w:val="auto"/>
          <w:szCs w:val="24"/>
          <w:highlight w:val="none"/>
        </w:rPr>
        <w:t>中标候选人公示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_Toc11135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F363A7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_Toc26566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7.2  </w:t>
      </w:r>
      <w:r>
        <w:rPr>
          <w:rFonts w:hint="eastAsia" w:ascii="宋体" w:hAnsi="宋体"/>
          <w:i w:val="0"/>
          <w:iCs w:val="0"/>
          <w:snapToGrid w:val="0"/>
          <w:color w:val="auto"/>
          <w:szCs w:val="24"/>
          <w:highlight w:val="none"/>
        </w:rPr>
        <w:t>评标结果异议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_Toc26566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903BBF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_Toc16461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7.3  </w:t>
      </w:r>
      <w:r>
        <w:rPr>
          <w:rFonts w:hint="eastAsia" w:ascii="宋体" w:hAnsi="宋体"/>
          <w:i w:val="0"/>
          <w:iCs w:val="0"/>
          <w:snapToGrid w:val="0"/>
          <w:color w:val="auto"/>
          <w:szCs w:val="24"/>
          <w:highlight w:val="none"/>
        </w:rPr>
        <w:t>中标候选人履约能力审查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_Toc16461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0923F3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_Toc6998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7.4  </w:t>
      </w:r>
      <w:r>
        <w:rPr>
          <w:rFonts w:hint="eastAsia" w:ascii="宋体" w:hAnsi="宋体"/>
          <w:i w:val="0"/>
          <w:iCs w:val="0"/>
          <w:snapToGrid w:val="0"/>
          <w:color w:val="auto"/>
          <w:szCs w:val="24"/>
          <w:highlight w:val="none"/>
        </w:rPr>
        <w:t>定标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_Toc6998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B6FACC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_Toc30288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7.5  中标通知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_Toc30288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352BDA3">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_Toc4942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7.6  </w:t>
      </w:r>
      <w:r>
        <w:rPr>
          <w:rFonts w:hint="eastAsia" w:ascii="宋体" w:hAnsi="宋体"/>
          <w:i w:val="0"/>
          <w:iCs w:val="0"/>
          <w:snapToGrid w:val="0"/>
          <w:color w:val="auto"/>
          <w:szCs w:val="24"/>
          <w:highlight w:val="none"/>
        </w:rPr>
        <w:t>技术成果经济补偿</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_Toc4942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4BFD0A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_Toc7170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7.7  履约担保</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_Toc7170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4237DB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_Toc26255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7.8  签订合同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_Toc26255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4361ED">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_Toc3550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8.  重新招标和不再招标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_Toc3550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C5594E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_Toc9278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8.1  重新招标</w:t>
      </w:r>
      <w:r>
        <w:rPr>
          <w:rFonts w:hint="eastAsia" w:ascii="宋体" w:hAnsi="宋体"/>
          <w:i w:val="0"/>
          <w:iCs w:val="0"/>
          <w:snapToGrid w:val="0"/>
          <w:color w:val="auto"/>
          <w:szCs w:val="24"/>
          <w:highlight w:val="none"/>
        </w:rPr>
        <w:t>的情形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_Toc9278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58F2D5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_Toc6311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8.2  </w:t>
      </w:r>
      <w:r>
        <w:rPr>
          <w:rFonts w:hint="eastAsia" w:ascii="宋体" w:hAnsi="宋体"/>
          <w:i w:val="0"/>
          <w:iCs w:val="0"/>
          <w:snapToGrid w:val="0"/>
          <w:color w:val="auto"/>
          <w:szCs w:val="24"/>
          <w:highlight w:val="none"/>
        </w:rPr>
        <w:t>重新</w:t>
      </w:r>
      <w:r>
        <w:rPr>
          <w:rFonts w:ascii="宋体" w:hAnsi="宋体"/>
          <w:i w:val="0"/>
          <w:iCs w:val="0"/>
          <w:snapToGrid w:val="0"/>
          <w:color w:val="auto"/>
          <w:szCs w:val="24"/>
          <w:highlight w:val="none"/>
        </w:rPr>
        <w:t>招标和不再招标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_Toc6311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D1D79F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_Toc16252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9.  纪律和监督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_Toc16252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E81835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_Toc32448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9.1  对</w:t>
      </w:r>
      <w:r>
        <w:rPr>
          <w:rFonts w:hint="eastAsia" w:ascii="宋体" w:hAnsi="宋体"/>
          <w:i w:val="0"/>
          <w:iCs w:val="0"/>
          <w:snapToGrid w:val="0"/>
          <w:color w:val="auto"/>
          <w:szCs w:val="24"/>
          <w:highlight w:val="none"/>
          <w:lang w:eastAsia="zh-CN"/>
        </w:rPr>
        <w:t>比选人</w:t>
      </w:r>
      <w:r>
        <w:rPr>
          <w:rFonts w:ascii="宋体" w:hAnsi="宋体"/>
          <w:i w:val="0"/>
          <w:iCs w:val="0"/>
          <w:snapToGrid w:val="0"/>
          <w:color w:val="auto"/>
          <w:szCs w:val="24"/>
          <w:highlight w:val="none"/>
        </w:rPr>
        <w:t>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_Toc32448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104F9E2">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_Toc9692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9.2  对</w:t>
      </w:r>
      <w:r>
        <w:rPr>
          <w:rFonts w:hint="eastAsia" w:ascii="宋体" w:hAnsi="宋体"/>
          <w:i w:val="0"/>
          <w:iCs w:val="0"/>
          <w:snapToGrid w:val="0"/>
          <w:color w:val="auto"/>
          <w:szCs w:val="24"/>
          <w:highlight w:val="none"/>
          <w:lang w:eastAsia="zh-CN"/>
        </w:rPr>
        <w:t>竞选人</w:t>
      </w:r>
      <w:r>
        <w:rPr>
          <w:rFonts w:ascii="宋体" w:hAnsi="宋体"/>
          <w:i w:val="0"/>
          <w:iCs w:val="0"/>
          <w:snapToGrid w:val="0"/>
          <w:color w:val="auto"/>
          <w:szCs w:val="24"/>
          <w:highlight w:val="none"/>
        </w:rPr>
        <w:t>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_Toc9692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3E51A8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_Toc16702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9.3  对评标委员会成员的纪律要求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_Toc16702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320572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_Toc16041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9.4  对与评标活动有关的工作人员的纪律要求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_Toc16041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6C4213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_Toc4771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9.5  投诉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_Toc4771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527CE39">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_Toc16696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10. 需要补充的其他内容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_Toc16696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23748C7">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_Toc18531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 xml:space="preserve">第三章 </w:t>
      </w:r>
      <w:r>
        <w:rPr>
          <w:rFonts w:hint="eastAsia" w:ascii="宋体" w:hAnsi="宋体"/>
          <w:i w:val="0"/>
          <w:iCs w:val="0"/>
          <w:color w:val="auto"/>
          <w:highlight w:val="none"/>
        </w:rPr>
        <w:t xml:space="preserve"> </w:t>
      </w:r>
      <w:r>
        <w:rPr>
          <w:rFonts w:ascii="宋体" w:hAnsi="宋体"/>
          <w:i w:val="0"/>
          <w:iCs w:val="0"/>
          <w:color w:val="auto"/>
          <w:highlight w:val="none"/>
        </w:rPr>
        <w:t>评标办法（综合评估法）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_Toc18531 \h </w:instrText>
      </w:r>
      <w:r>
        <w:rPr>
          <w:i w:val="0"/>
          <w:iCs w:val="0"/>
          <w:color w:val="auto"/>
          <w:highlight w:val="none"/>
        </w:rPr>
        <w:fldChar w:fldCharType="separate"/>
      </w:r>
      <w:r>
        <w:rPr>
          <w:i w:val="0"/>
          <w:iCs w:val="0"/>
          <w:color w:val="auto"/>
          <w:highlight w:val="none"/>
        </w:rPr>
        <w:t>33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CADE4BB">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_Toc721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评标办法前附表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_Toc721 \h </w:instrText>
      </w:r>
      <w:r>
        <w:rPr>
          <w:i w:val="0"/>
          <w:iCs w:val="0"/>
          <w:color w:val="auto"/>
          <w:highlight w:val="none"/>
        </w:rPr>
        <w:fldChar w:fldCharType="separate"/>
      </w:r>
      <w:r>
        <w:rPr>
          <w:i w:val="0"/>
          <w:iCs w:val="0"/>
          <w:color w:val="auto"/>
          <w:highlight w:val="none"/>
        </w:rPr>
        <w:t>33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B19A644">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_Toc2468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评标方法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_Toc2468 \h </w:instrText>
      </w:r>
      <w:r>
        <w:rPr>
          <w:i w:val="0"/>
          <w:iCs w:val="0"/>
          <w:color w:val="auto"/>
          <w:highlight w:val="none"/>
        </w:rPr>
        <w:fldChar w:fldCharType="separate"/>
      </w:r>
      <w:r>
        <w:rPr>
          <w:i w:val="0"/>
          <w:iCs w:val="0"/>
          <w:color w:val="auto"/>
          <w:highlight w:val="none"/>
        </w:rPr>
        <w:t>38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479D60">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_Toc8451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2.  评审标准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_Toc8451 \h </w:instrText>
      </w:r>
      <w:r>
        <w:rPr>
          <w:i w:val="0"/>
          <w:iCs w:val="0"/>
          <w:color w:val="auto"/>
          <w:highlight w:val="none"/>
        </w:rPr>
        <w:fldChar w:fldCharType="separate"/>
      </w:r>
      <w:r>
        <w:rPr>
          <w:i w:val="0"/>
          <w:iCs w:val="0"/>
          <w:color w:val="auto"/>
          <w:highlight w:val="none"/>
        </w:rPr>
        <w:t>38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371665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_Toc11473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2.1  初步评审标准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_Toc11473 \h </w:instrText>
      </w:r>
      <w:r>
        <w:rPr>
          <w:i w:val="0"/>
          <w:iCs w:val="0"/>
          <w:color w:val="auto"/>
          <w:highlight w:val="none"/>
        </w:rPr>
        <w:fldChar w:fldCharType="separate"/>
      </w:r>
      <w:r>
        <w:rPr>
          <w:i w:val="0"/>
          <w:iCs w:val="0"/>
          <w:color w:val="auto"/>
          <w:highlight w:val="none"/>
        </w:rPr>
        <w:t>38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6606E4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_Toc21330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2.2  分值构成与</w:t>
      </w:r>
      <w:r>
        <w:rPr>
          <w:rFonts w:hint="eastAsia" w:ascii="宋体" w:hAnsi="宋体"/>
          <w:i w:val="0"/>
          <w:iCs w:val="0"/>
          <w:snapToGrid w:val="0"/>
          <w:color w:val="auto"/>
          <w:szCs w:val="24"/>
          <w:highlight w:val="none"/>
        </w:rPr>
        <w:t>评审</w:t>
      </w:r>
      <w:r>
        <w:rPr>
          <w:rFonts w:ascii="宋体" w:hAnsi="宋体"/>
          <w:i w:val="0"/>
          <w:iCs w:val="0"/>
          <w:snapToGrid w:val="0"/>
          <w:color w:val="auto"/>
          <w:szCs w:val="24"/>
          <w:highlight w:val="none"/>
        </w:rPr>
        <w:t>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_Toc21330 \h </w:instrText>
      </w:r>
      <w:r>
        <w:rPr>
          <w:i w:val="0"/>
          <w:iCs w:val="0"/>
          <w:color w:val="auto"/>
          <w:highlight w:val="none"/>
        </w:rPr>
        <w:fldChar w:fldCharType="separate"/>
      </w:r>
      <w:r>
        <w:rPr>
          <w:i w:val="0"/>
          <w:iCs w:val="0"/>
          <w:color w:val="auto"/>
          <w:highlight w:val="none"/>
        </w:rPr>
        <w:t>38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62D7FFE">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_Toc765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3.  评标程序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_Toc765 \h </w:instrText>
      </w:r>
      <w:r>
        <w:rPr>
          <w:i w:val="0"/>
          <w:iCs w:val="0"/>
          <w:color w:val="auto"/>
          <w:highlight w:val="none"/>
        </w:rPr>
        <w:fldChar w:fldCharType="separate"/>
      </w:r>
      <w:r>
        <w:rPr>
          <w:i w:val="0"/>
          <w:iCs w:val="0"/>
          <w:color w:val="auto"/>
          <w:highlight w:val="none"/>
        </w:rPr>
        <w:t>38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F6FE4B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_Toc18340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3.1  初步评审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_Toc18340 \h </w:instrText>
      </w:r>
      <w:r>
        <w:rPr>
          <w:i w:val="0"/>
          <w:iCs w:val="0"/>
          <w:color w:val="auto"/>
          <w:highlight w:val="none"/>
        </w:rPr>
        <w:fldChar w:fldCharType="separate"/>
      </w:r>
      <w:r>
        <w:rPr>
          <w:i w:val="0"/>
          <w:iCs w:val="0"/>
          <w:color w:val="auto"/>
          <w:highlight w:val="none"/>
        </w:rPr>
        <w:t>38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5CC064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_Toc1832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3.2  详细评审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_Toc1832 \h </w:instrText>
      </w:r>
      <w:r>
        <w:rPr>
          <w:i w:val="0"/>
          <w:iCs w:val="0"/>
          <w:color w:val="auto"/>
          <w:highlight w:val="none"/>
        </w:rPr>
        <w:fldChar w:fldCharType="separate"/>
      </w:r>
      <w:r>
        <w:rPr>
          <w:i w:val="0"/>
          <w:iCs w:val="0"/>
          <w:color w:val="auto"/>
          <w:highlight w:val="none"/>
        </w:rPr>
        <w:t>39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CC0F1E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_Toc18143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3.3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的澄清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_Toc18143 \h </w:instrText>
      </w:r>
      <w:r>
        <w:rPr>
          <w:i w:val="0"/>
          <w:iCs w:val="0"/>
          <w:color w:val="auto"/>
          <w:highlight w:val="none"/>
        </w:rPr>
        <w:fldChar w:fldCharType="separate"/>
      </w:r>
      <w:r>
        <w:rPr>
          <w:i w:val="0"/>
          <w:iCs w:val="0"/>
          <w:color w:val="auto"/>
          <w:highlight w:val="none"/>
        </w:rPr>
        <w:t>39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DA492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_Toc22756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3.4  评标结果</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_Toc22756 \h </w:instrText>
      </w:r>
      <w:r>
        <w:rPr>
          <w:i w:val="0"/>
          <w:iCs w:val="0"/>
          <w:color w:val="auto"/>
          <w:highlight w:val="none"/>
        </w:rPr>
        <w:fldChar w:fldCharType="separate"/>
      </w:r>
      <w:r>
        <w:rPr>
          <w:i w:val="0"/>
          <w:iCs w:val="0"/>
          <w:color w:val="auto"/>
          <w:highlight w:val="none"/>
        </w:rPr>
        <w:t>39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A27100E">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_Toc30099 </w:instrText>
      </w:r>
      <w:r>
        <w:rPr>
          <w:rFonts w:ascii="宋体" w:hAnsi="宋体"/>
          <w:bCs/>
          <w:i w:val="0"/>
          <w:iCs w:val="0"/>
          <w:color w:val="auto"/>
          <w:szCs w:val="20"/>
          <w:highlight w:val="none"/>
          <w:lang w:val="zh-CN"/>
        </w:rPr>
        <w:fldChar w:fldCharType="separate"/>
      </w:r>
      <w:r>
        <w:rPr>
          <w:rFonts w:hint="eastAsia" w:ascii="宋体" w:hAnsi="宋体"/>
          <w:i w:val="0"/>
          <w:iCs w:val="0"/>
          <w:color w:val="auto"/>
          <w:kern w:val="0"/>
          <w:highlight w:val="none"/>
        </w:rPr>
        <w:t>第四章  合同条款及格式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_Toc30099 \h </w:instrText>
      </w:r>
      <w:r>
        <w:rPr>
          <w:i w:val="0"/>
          <w:iCs w:val="0"/>
          <w:color w:val="auto"/>
          <w:highlight w:val="none"/>
        </w:rPr>
        <w:fldChar w:fldCharType="separate"/>
      </w:r>
      <w:r>
        <w:rPr>
          <w:i w:val="0"/>
          <w:iCs w:val="0"/>
          <w:color w:val="auto"/>
          <w:highlight w:val="none"/>
        </w:rPr>
        <w:t>43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701FAEA">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_Toc2284 </w:instrText>
      </w:r>
      <w:r>
        <w:rPr>
          <w:rFonts w:ascii="宋体" w:hAnsi="宋体"/>
          <w:bCs/>
          <w:i w:val="0"/>
          <w:iCs w:val="0"/>
          <w:color w:val="auto"/>
          <w:szCs w:val="20"/>
          <w:highlight w:val="none"/>
          <w:lang w:val="zh-CN"/>
        </w:rPr>
        <w:fldChar w:fldCharType="separate"/>
      </w:r>
      <w:r>
        <w:rPr>
          <w:rFonts w:ascii="宋体" w:hAnsi="宋体"/>
          <w:i w:val="0"/>
          <w:iCs w:val="0"/>
          <w:color w:val="auto"/>
          <w:szCs w:val="52"/>
          <w:highlight w:val="none"/>
        </w:rPr>
        <w:t>第 二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_Toc2284 \h </w:instrText>
      </w:r>
      <w:r>
        <w:rPr>
          <w:i w:val="0"/>
          <w:iCs w:val="0"/>
          <w:color w:val="auto"/>
          <w:highlight w:val="none"/>
        </w:rPr>
        <w:fldChar w:fldCharType="separate"/>
      </w:r>
      <w:r>
        <w:rPr>
          <w:i w:val="0"/>
          <w:iCs w:val="0"/>
          <w:color w:val="auto"/>
          <w:highlight w:val="none"/>
        </w:rPr>
        <w:t>86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8264926">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_Toc16935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第五章  发包人要求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_Toc16935 \h </w:instrText>
      </w:r>
      <w:r>
        <w:rPr>
          <w:i w:val="0"/>
          <w:iCs w:val="0"/>
          <w:color w:val="auto"/>
          <w:highlight w:val="none"/>
        </w:rPr>
        <w:fldChar w:fldCharType="separate"/>
      </w:r>
      <w:r>
        <w:rPr>
          <w:i w:val="0"/>
          <w:iCs w:val="0"/>
          <w:color w:val="auto"/>
          <w:highlight w:val="none"/>
        </w:rPr>
        <w:t>87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451507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_Toc8275 </w:instrText>
      </w:r>
      <w:r>
        <w:rPr>
          <w:rFonts w:ascii="宋体" w:hAnsi="宋体"/>
          <w:bCs/>
          <w:i w:val="0"/>
          <w:iCs w:val="0"/>
          <w:color w:val="auto"/>
          <w:szCs w:val="20"/>
          <w:highlight w:val="none"/>
          <w:lang w:val="zh-CN"/>
        </w:rPr>
        <w:fldChar w:fldCharType="separate"/>
      </w:r>
      <w:r>
        <w:rPr>
          <w:rFonts w:ascii="Microsoft JhengHei" w:hAnsi="Microsoft JhengHei" w:eastAsia="Microsoft JhengHei" w:cs="Microsoft JhengHei"/>
          <w:bCs/>
          <w:i w:val="0"/>
          <w:iCs w:val="0"/>
          <w:color w:val="auto"/>
          <w:kern w:val="0"/>
          <w:szCs w:val="32"/>
          <w:highlight w:val="none"/>
        </w:rPr>
        <w:t>发包人要求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_Toc8275 \h </w:instrText>
      </w:r>
      <w:r>
        <w:rPr>
          <w:i w:val="0"/>
          <w:iCs w:val="0"/>
          <w:color w:val="auto"/>
          <w:highlight w:val="none"/>
        </w:rPr>
        <w:fldChar w:fldCharType="separate"/>
      </w:r>
      <w:r>
        <w:rPr>
          <w:i w:val="0"/>
          <w:iCs w:val="0"/>
          <w:color w:val="auto"/>
          <w:highlight w:val="none"/>
        </w:rPr>
        <w:t>88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771A563">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_Toc22628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52"/>
          <w:highlight w:val="none"/>
        </w:rPr>
        <w:t>第 三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_Toc22628 \h </w:instrText>
      </w:r>
      <w:r>
        <w:rPr>
          <w:i w:val="0"/>
          <w:iCs w:val="0"/>
          <w:color w:val="auto"/>
          <w:highlight w:val="none"/>
        </w:rPr>
        <w:fldChar w:fldCharType="separate"/>
      </w:r>
      <w:r>
        <w:rPr>
          <w:i w:val="0"/>
          <w:iCs w:val="0"/>
          <w:color w:val="auto"/>
          <w:highlight w:val="none"/>
        </w:rPr>
        <w:t>89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CB056D">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_Toc10210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 xml:space="preserve">第六章  </w:t>
      </w:r>
      <w:r>
        <w:rPr>
          <w:rFonts w:hint="eastAsia" w:ascii="宋体" w:hAnsi="宋体"/>
          <w:i w:val="0"/>
          <w:iCs w:val="0"/>
          <w:color w:val="auto"/>
          <w:highlight w:val="none"/>
          <w:lang w:eastAsia="zh-CN"/>
        </w:rPr>
        <w:t>竞选文件</w:t>
      </w:r>
      <w:r>
        <w:rPr>
          <w:rFonts w:hint="eastAsia" w:ascii="宋体" w:hAnsi="宋体"/>
          <w:i w:val="0"/>
          <w:iCs w:val="0"/>
          <w:color w:val="auto"/>
          <w:highlight w:val="none"/>
        </w:rPr>
        <w:t>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_Toc10210 \h </w:instrText>
      </w:r>
      <w:r>
        <w:rPr>
          <w:i w:val="0"/>
          <w:iCs w:val="0"/>
          <w:color w:val="auto"/>
          <w:highlight w:val="none"/>
        </w:rPr>
        <w:fldChar w:fldCharType="separate"/>
      </w:r>
      <w:r>
        <w:rPr>
          <w:i w:val="0"/>
          <w:iCs w:val="0"/>
          <w:color w:val="auto"/>
          <w:highlight w:val="none"/>
        </w:rPr>
        <w:t>90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4EAAF5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_Toc17415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rPr>
        <w:t>一、投标函部分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_Toc17415 \h </w:instrText>
      </w:r>
      <w:r>
        <w:rPr>
          <w:i w:val="0"/>
          <w:iCs w:val="0"/>
          <w:color w:val="auto"/>
          <w:highlight w:val="none"/>
        </w:rPr>
        <w:fldChar w:fldCharType="separate"/>
      </w:r>
      <w:r>
        <w:rPr>
          <w:i w:val="0"/>
          <w:iCs w:val="0"/>
          <w:color w:val="auto"/>
          <w:highlight w:val="none"/>
        </w:rPr>
        <w:t>92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5B0C3A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_Toc15022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（一）投标函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_Toc15022 \h </w:instrText>
      </w:r>
      <w:r>
        <w:rPr>
          <w:i w:val="0"/>
          <w:iCs w:val="0"/>
          <w:color w:val="auto"/>
          <w:highlight w:val="none"/>
        </w:rPr>
        <w:fldChar w:fldCharType="separate"/>
      </w:r>
      <w:r>
        <w:rPr>
          <w:i w:val="0"/>
          <w:iCs w:val="0"/>
          <w:color w:val="auto"/>
          <w:highlight w:val="none"/>
        </w:rPr>
        <w:t>95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94F054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_Toc29861 </w:instrText>
      </w:r>
      <w:r>
        <w:rPr>
          <w:rFonts w:ascii="宋体" w:hAnsi="宋体"/>
          <w:bCs/>
          <w:i w:val="0"/>
          <w:iCs w:val="0"/>
          <w:color w:val="auto"/>
          <w:szCs w:val="20"/>
          <w:highlight w:val="none"/>
          <w:lang w:val="zh-CN"/>
        </w:rPr>
        <w:fldChar w:fldCharType="separate"/>
      </w:r>
      <w:r>
        <w:rPr>
          <w:rFonts w:ascii="宋体" w:hAnsi="宋体"/>
          <w:bCs w:val="0"/>
          <w:i w:val="0"/>
          <w:iCs w:val="0"/>
          <w:color w:val="auto"/>
          <w:highlight w:val="none"/>
        </w:rPr>
        <w:t>（二）投标函附录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_Toc29861 \h </w:instrText>
      </w:r>
      <w:r>
        <w:rPr>
          <w:i w:val="0"/>
          <w:iCs w:val="0"/>
          <w:color w:val="auto"/>
          <w:highlight w:val="none"/>
        </w:rPr>
        <w:fldChar w:fldCharType="separate"/>
      </w:r>
      <w:r>
        <w:rPr>
          <w:i w:val="0"/>
          <w:iCs w:val="0"/>
          <w:color w:val="auto"/>
          <w:highlight w:val="none"/>
        </w:rPr>
        <w:t>96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5D461CC">
      <w:pPr>
        <w:pStyle w:val="22"/>
        <w:tabs>
          <w:tab w:val="right" w:leader="dot" w:pos="9469"/>
        </w:tabs>
        <w:rPr>
          <w:rFonts w:ascii="宋体" w:hAnsi="宋体"/>
          <w:bCs/>
          <w:i w:val="0"/>
          <w:iCs w:val="0"/>
          <w:color w:val="auto"/>
          <w:szCs w:val="20"/>
          <w:highlight w:val="none"/>
          <w:lang w:val="zh-CN"/>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_Toc12134 </w:instrText>
      </w:r>
      <w:r>
        <w:rPr>
          <w:rFonts w:ascii="宋体" w:hAnsi="宋体"/>
          <w:bCs/>
          <w:i w:val="0"/>
          <w:iCs w:val="0"/>
          <w:color w:val="auto"/>
          <w:szCs w:val="20"/>
          <w:highlight w:val="none"/>
          <w:lang w:val="zh-CN"/>
        </w:rPr>
        <w:fldChar w:fldCharType="separate"/>
      </w:r>
      <w:r>
        <w:rPr>
          <w:rFonts w:ascii="宋体" w:hAnsi="宋体"/>
          <w:bCs w:val="0"/>
          <w:i w:val="0"/>
          <w:iCs w:val="0"/>
          <w:color w:val="auto"/>
          <w:highlight w:val="none"/>
        </w:rPr>
        <w:t>（三）</w:t>
      </w:r>
      <w:r>
        <w:rPr>
          <w:rFonts w:hint="eastAsia" w:ascii="宋体" w:hAnsi="宋体"/>
          <w:bCs w:val="0"/>
          <w:i w:val="0"/>
          <w:iCs w:val="0"/>
          <w:color w:val="auto"/>
          <w:szCs w:val="30"/>
          <w:highlight w:val="none"/>
        </w:rPr>
        <w:t>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_Toc12134 \h </w:instrText>
      </w:r>
      <w:r>
        <w:rPr>
          <w:i w:val="0"/>
          <w:iCs w:val="0"/>
          <w:color w:val="auto"/>
          <w:highlight w:val="none"/>
        </w:rPr>
        <w:fldChar w:fldCharType="separate"/>
      </w:r>
      <w:r>
        <w:rPr>
          <w:i w:val="0"/>
          <w:iCs w:val="0"/>
          <w:color w:val="auto"/>
          <w:highlight w:val="none"/>
        </w:rPr>
        <w:t>97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3D7F11F">
      <w:pPr>
        <w:pStyle w:val="22"/>
        <w:tabs>
          <w:tab w:val="right" w:leader="dot" w:pos="9459"/>
        </w:tabs>
        <w:rPr>
          <w:rFonts w:hint="default" w:ascii="Calibri" w:hAnsi="Calibri" w:eastAsia="宋体"/>
          <w:i w:val="0"/>
          <w:iCs w:val="0"/>
          <w:color w:val="auto"/>
          <w:sz w:val="21"/>
          <w:szCs w:val="22"/>
          <w:highlight w:val="none"/>
          <w:lang w:val="en-US" w:eastAsia="zh-CN"/>
        </w:rPr>
      </w:pPr>
      <w:r>
        <w:rPr>
          <w:i w:val="0"/>
          <w:color w:val="auto"/>
          <w:highlight w:val="none"/>
        </w:rPr>
        <w:fldChar w:fldCharType="begin"/>
      </w:r>
      <w:r>
        <w:rPr>
          <w:rStyle w:val="55"/>
          <w:i w:val="0"/>
          <w:color w:val="auto"/>
          <w:highlight w:val="none"/>
        </w:rPr>
        <w:instrText xml:space="preserve"> </w:instrText>
      </w:r>
      <w:r>
        <w:rPr>
          <w:i w:val="0"/>
          <w:color w:val="auto"/>
          <w:highlight w:val="none"/>
        </w:rPr>
        <w:instrText xml:space="preserve">HYPERLINK \l "_Toc57820651"</w:instrText>
      </w:r>
      <w:r>
        <w:rPr>
          <w:rStyle w:val="55"/>
          <w:i w:val="0"/>
          <w:color w:val="auto"/>
          <w:highlight w:val="none"/>
        </w:rPr>
        <w:instrText xml:space="preserve"> </w:instrText>
      </w:r>
      <w:r>
        <w:rPr>
          <w:i w:val="0"/>
          <w:color w:val="auto"/>
          <w:highlight w:val="none"/>
        </w:rPr>
        <w:fldChar w:fldCharType="separate"/>
      </w:r>
      <w:r>
        <w:rPr>
          <w:rStyle w:val="55"/>
          <w:rFonts w:hint="eastAsia" w:ascii="宋体" w:hAnsi="宋体"/>
          <w:i w:val="0"/>
          <w:color w:val="auto"/>
          <w:highlight w:val="none"/>
        </w:rPr>
        <w:t>（四）低价风险担保提交承诺书</w:t>
      </w:r>
      <w:r>
        <w:rPr>
          <w:i w:val="0"/>
          <w:color w:val="auto"/>
          <w:highlight w:val="none"/>
        </w:rPr>
        <w:tab/>
      </w:r>
      <w:r>
        <w:rPr>
          <w:i w:val="0"/>
          <w:color w:val="auto"/>
          <w:highlight w:val="none"/>
        </w:rPr>
        <w:fldChar w:fldCharType="end"/>
      </w:r>
      <w:r>
        <w:rPr>
          <w:rFonts w:hint="eastAsia"/>
          <w:i w:val="0"/>
          <w:color w:val="auto"/>
          <w:highlight w:val="none"/>
          <w:lang w:val="en-US" w:eastAsia="zh-CN"/>
        </w:rPr>
        <w:t>98</w:t>
      </w:r>
    </w:p>
    <w:p w14:paraId="5E0C04BA">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_Toc4680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二</w:t>
      </w:r>
      <w:r>
        <w:rPr>
          <w:rFonts w:hint="eastAsia" w:ascii="宋体" w:hAnsi="宋体"/>
          <w:bCs w:val="0"/>
          <w:i w:val="0"/>
          <w:iCs w:val="0"/>
          <w:color w:val="auto"/>
          <w:szCs w:val="44"/>
          <w:highlight w:val="none"/>
        </w:rPr>
        <w:t>、技术部分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_Toc4680 \h </w:instrText>
      </w:r>
      <w:r>
        <w:rPr>
          <w:i w:val="0"/>
          <w:iCs w:val="0"/>
          <w:color w:val="auto"/>
          <w:highlight w:val="none"/>
        </w:rPr>
        <w:fldChar w:fldCharType="separate"/>
      </w:r>
      <w:r>
        <w:rPr>
          <w:i w:val="0"/>
          <w:iCs w:val="0"/>
          <w:color w:val="auto"/>
          <w:highlight w:val="none"/>
        </w:rPr>
        <w:t>99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35C2B9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_Toc27351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设计方案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_Toc27351 \h </w:instrText>
      </w:r>
      <w:r>
        <w:rPr>
          <w:i w:val="0"/>
          <w:iCs w:val="0"/>
          <w:color w:val="auto"/>
          <w:highlight w:val="none"/>
        </w:rPr>
        <w:fldChar w:fldCharType="separate"/>
      </w:r>
      <w:r>
        <w:rPr>
          <w:i w:val="0"/>
          <w:iCs w:val="0"/>
          <w:color w:val="auto"/>
          <w:highlight w:val="none"/>
        </w:rPr>
        <w:t>102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AF00DC2">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_Toc9645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三</w:t>
      </w:r>
      <w:r>
        <w:rPr>
          <w:rFonts w:hint="eastAsia" w:ascii="宋体" w:hAnsi="宋体"/>
          <w:bCs w:val="0"/>
          <w:i w:val="0"/>
          <w:iCs w:val="0"/>
          <w:color w:val="auto"/>
          <w:szCs w:val="44"/>
          <w:highlight w:val="none"/>
        </w:rPr>
        <w:t>、资格审查部分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_Toc9645 \h </w:instrText>
      </w:r>
      <w:r>
        <w:rPr>
          <w:i w:val="0"/>
          <w:iCs w:val="0"/>
          <w:color w:val="auto"/>
          <w:highlight w:val="none"/>
        </w:rPr>
        <w:fldChar w:fldCharType="separate"/>
      </w:r>
      <w:r>
        <w:rPr>
          <w:i w:val="0"/>
          <w:iCs w:val="0"/>
          <w:color w:val="auto"/>
          <w:highlight w:val="none"/>
        </w:rPr>
        <w:t>103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A682BB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_Toc25467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30"/>
          <w:highlight w:val="none"/>
        </w:rPr>
        <w:t>（一）法定代表人身份证明或附有法定代表人身份证明的授权委托书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_Toc25467 \h </w:instrText>
      </w:r>
      <w:r>
        <w:rPr>
          <w:i w:val="0"/>
          <w:iCs w:val="0"/>
          <w:color w:val="auto"/>
          <w:highlight w:val="none"/>
        </w:rPr>
        <w:fldChar w:fldCharType="separate"/>
      </w:r>
      <w:r>
        <w:rPr>
          <w:i w:val="0"/>
          <w:iCs w:val="0"/>
          <w:color w:val="auto"/>
          <w:highlight w:val="none"/>
        </w:rPr>
        <w:t>106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6AAC9D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_Toc22392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二</w:t>
      </w:r>
      <w:r>
        <w:rPr>
          <w:rFonts w:hint="eastAsia" w:ascii="宋体" w:hAnsi="宋体"/>
          <w:bCs w:val="0"/>
          <w:i w:val="0"/>
          <w:iCs w:val="0"/>
          <w:color w:val="auto"/>
          <w:highlight w:val="none"/>
        </w:rPr>
        <w:t>）</w:t>
      </w:r>
      <w:r>
        <w:rPr>
          <w:rFonts w:hint="eastAsia" w:ascii="宋体" w:hAnsi="宋体"/>
          <w:bCs w:val="0"/>
          <w:i w:val="0"/>
          <w:iCs w:val="0"/>
          <w:color w:val="auto"/>
          <w:highlight w:val="none"/>
          <w:lang w:eastAsia="zh-CN"/>
        </w:rPr>
        <w:t>竞选人</w:t>
      </w:r>
      <w:r>
        <w:rPr>
          <w:rFonts w:hint="eastAsia" w:ascii="宋体" w:hAnsi="宋体"/>
          <w:bCs w:val="0"/>
          <w:i w:val="0"/>
          <w:iCs w:val="0"/>
          <w:color w:val="auto"/>
          <w:highlight w:val="none"/>
        </w:rPr>
        <w:t>基本情况表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_Toc22392 \h </w:instrText>
      </w:r>
      <w:r>
        <w:rPr>
          <w:i w:val="0"/>
          <w:iCs w:val="0"/>
          <w:color w:val="auto"/>
          <w:highlight w:val="none"/>
        </w:rPr>
        <w:fldChar w:fldCharType="separate"/>
      </w:r>
      <w:r>
        <w:rPr>
          <w:i w:val="0"/>
          <w:iCs w:val="0"/>
          <w:color w:val="auto"/>
          <w:highlight w:val="none"/>
        </w:rPr>
        <w:t>108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2CA31F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_Toc20047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三</w:t>
      </w:r>
      <w:r>
        <w:rPr>
          <w:rFonts w:hint="eastAsia" w:ascii="宋体" w:hAnsi="宋体"/>
          <w:bCs w:val="0"/>
          <w:i w:val="0"/>
          <w:iCs w:val="0"/>
          <w:color w:val="auto"/>
          <w:highlight w:val="none"/>
        </w:rPr>
        <w:t>）</w:t>
      </w:r>
      <w:r>
        <w:rPr>
          <w:rFonts w:ascii="宋体" w:hAnsi="宋体"/>
          <w:bCs w:val="0"/>
          <w:i w:val="0"/>
          <w:iCs w:val="0"/>
          <w:color w:val="auto"/>
          <w:highlight w:val="none"/>
        </w:rPr>
        <w:t>拟委任的主要人员汇总表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_Toc20047 \h </w:instrText>
      </w:r>
      <w:r>
        <w:rPr>
          <w:i w:val="0"/>
          <w:iCs w:val="0"/>
          <w:color w:val="auto"/>
          <w:highlight w:val="none"/>
        </w:rPr>
        <w:fldChar w:fldCharType="separate"/>
      </w:r>
      <w:r>
        <w:rPr>
          <w:i w:val="0"/>
          <w:iCs w:val="0"/>
          <w:color w:val="auto"/>
          <w:highlight w:val="none"/>
        </w:rPr>
        <w:t>109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F8A3A3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_Toc9497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四</w:t>
      </w:r>
      <w:r>
        <w:rPr>
          <w:rFonts w:hint="eastAsia" w:ascii="宋体" w:hAnsi="宋体"/>
          <w:bCs w:val="0"/>
          <w:i w:val="0"/>
          <w:iCs w:val="0"/>
          <w:color w:val="auto"/>
          <w:highlight w:val="none"/>
        </w:rPr>
        <w:t>）主要人员简历表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_Toc9497 \h </w:instrText>
      </w:r>
      <w:r>
        <w:rPr>
          <w:i w:val="0"/>
          <w:iCs w:val="0"/>
          <w:color w:val="auto"/>
          <w:highlight w:val="none"/>
        </w:rPr>
        <w:fldChar w:fldCharType="separate"/>
      </w:r>
      <w:r>
        <w:rPr>
          <w:i w:val="0"/>
          <w:iCs w:val="0"/>
          <w:color w:val="auto"/>
          <w:highlight w:val="none"/>
        </w:rPr>
        <w:t>110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E7AA6D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_Toc12708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w:t>
      </w:r>
      <w:r>
        <w:rPr>
          <w:rFonts w:hint="eastAsia" w:ascii="宋体" w:hAnsi="宋体"/>
          <w:i w:val="0"/>
          <w:iCs w:val="0"/>
          <w:color w:val="auto"/>
          <w:highlight w:val="none"/>
          <w:lang w:val="en-US" w:eastAsia="zh-CN"/>
        </w:rPr>
        <w:t>五</w:t>
      </w:r>
      <w:r>
        <w:rPr>
          <w:rFonts w:ascii="宋体" w:hAnsi="宋体"/>
          <w:i w:val="0"/>
          <w:iCs w:val="0"/>
          <w:color w:val="auto"/>
          <w:highlight w:val="none"/>
        </w:rPr>
        <w:t>）</w:t>
      </w:r>
      <w:r>
        <w:rPr>
          <w:rFonts w:hint="eastAsia" w:ascii="宋体" w:hAnsi="宋体"/>
          <w:i w:val="0"/>
          <w:iCs w:val="0"/>
          <w:color w:val="auto"/>
          <w:highlight w:val="none"/>
        </w:rPr>
        <w:t>承诺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_Toc12708 \h </w:instrText>
      </w:r>
      <w:r>
        <w:rPr>
          <w:i w:val="0"/>
          <w:iCs w:val="0"/>
          <w:color w:val="auto"/>
          <w:highlight w:val="none"/>
        </w:rPr>
        <w:fldChar w:fldCharType="separate"/>
      </w:r>
      <w:r>
        <w:rPr>
          <w:i w:val="0"/>
          <w:iCs w:val="0"/>
          <w:color w:val="auto"/>
          <w:highlight w:val="none"/>
        </w:rPr>
        <w:t>111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C3926AC">
      <w:pPr>
        <w:pStyle w:val="22"/>
        <w:tabs>
          <w:tab w:val="right" w:leader="dot" w:pos="9469"/>
        </w:tabs>
        <w:rPr>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_Toc2214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w:t>
      </w:r>
      <w:r>
        <w:rPr>
          <w:rFonts w:hint="eastAsia" w:ascii="宋体" w:hAnsi="宋体"/>
          <w:i w:val="0"/>
          <w:iCs w:val="0"/>
          <w:color w:val="auto"/>
          <w:highlight w:val="none"/>
          <w:lang w:val="en-US" w:eastAsia="zh-CN"/>
        </w:rPr>
        <w:t>六</w:t>
      </w:r>
      <w:r>
        <w:rPr>
          <w:rFonts w:hint="eastAsia" w:ascii="宋体" w:hAnsi="宋体"/>
          <w:i w:val="0"/>
          <w:iCs w:val="0"/>
          <w:color w:val="auto"/>
          <w:highlight w:val="none"/>
        </w:rPr>
        <w:t>）其他资料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_Toc2214 \h </w:instrText>
      </w:r>
      <w:r>
        <w:rPr>
          <w:i w:val="0"/>
          <w:iCs w:val="0"/>
          <w:color w:val="auto"/>
          <w:highlight w:val="none"/>
        </w:rPr>
        <w:fldChar w:fldCharType="separate"/>
      </w:r>
      <w:r>
        <w:rPr>
          <w:i w:val="0"/>
          <w:iCs w:val="0"/>
          <w:color w:val="auto"/>
          <w:highlight w:val="none"/>
        </w:rPr>
        <w:t>113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187DE6E">
      <w:pPr>
        <w:spacing w:line="360" w:lineRule="auto"/>
        <w:rPr>
          <w:rFonts w:ascii="宋体" w:hAnsi="宋体"/>
          <w:color w:val="auto"/>
          <w:highlight w:val="none"/>
        </w:rPr>
      </w:pPr>
      <w:r>
        <w:rPr>
          <w:rFonts w:ascii="宋体" w:hAnsi="宋体"/>
          <w:bCs/>
          <w:color w:val="auto"/>
          <w:szCs w:val="20"/>
          <w:highlight w:val="none"/>
          <w:lang w:val="zh-CN"/>
        </w:rPr>
        <w:fldChar w:fldCharType="end"/>
      </w:r>
      <w:bookmarkEnd w:id="0"/>
    </w:p>
    <w:p w14:paraId="6E59B984">
      <w:pPr>
        <w:pStyle w:val="2"/>
        <w:spacing w:before="0" w:after="0" w:line="480" w:lineRule="auto"/>
        <w:jc w:val="center"/>
        <w:rPr>
          <w:rFonts w:ascii="宋体" w:hAnsi="宋体"/>
          <w:color w:val="auto"/>
          <w:sz w:val="52"/>
          <w:szCs w:val="52"/>
          <w:highlight w:val="none"/>
        </w:rPr>
      </w:pPr>
      <w:bookmarkStart w:id="7" w:name="_Toc509218690"/>
      <w:bookmarkStart w:id="8" w:name="_Toc5983"/>
      <w:r>
        <w:rPr>
          <w:rFonts w:hint="eastAsia" w:ascii="宋体" w:hAnsi="宋体"/>
          <w:color w:val="auto"/>
          <w:sz w:val="52"/>
          <w:szCs w:val="52"/>
          <w:highlight w:val="none"/>
        </w:rPr>
        <w:t>第 一 卷</w:t>
      </w:r>
      <w:bookmarkEnd w:id="7"/>
      <w:bookmarkEnd w:id="8"/>
    </w:p>
    <w:p w14:paraId="47E1F6FA">
      <w:pPr>
        <w:spacing w:line="200" w:lineRule="exact"/>
        <w:rPr>
          <w:rFonts w:ascii="宋体" w:hAnsi="宋体"/>
          <w:color w:val="auto"/>
          <w:highlight w:val="none"/>
        </w:rPr>
      </w:pPr>
      <w:r>
        <w:rPr>
          <w:rFonts w:ascii="宋体" w:hAnsi="宋体"/>
          <w:color w:val="auto"/>
          <w:highlight w:val="none"/>
        </w:rPr>
        <w:br w:type="page"/>
      </w:r>
    </w:p>
    <w:p w14:paraId="611EAA78">
      <w:pPr>
        <w:pStyle w:val="2"/>
        <w:spacing w:line="360" w:lineRule="auto"/>
        <w:jc w:val="center"/>
        <w:rPr>
          <w:rFonts w:ascii="宋体" w:hAnsi="宋体"/>
          <w:snapToGrid w:val="0"/>
          <w:color w:val="auto"/>
          <w:kern w:val="0"/>
          <w:highlight w:val="none"/>
        </w:rPr>
      </w:pPr>
      <w:bookmarkStart w:id="9" w:name="_Toc287620666"/>
      <w:bookmarkStart w:id="10" w:name="_Toc277082535"/>
      <w:bookmarkStart w:id="11" w:name="_Toc224103298"/>
      <w:bookmarkStart w:id="12" w:name="_Toc287607727"/>
      <w:bookmarkStart w:id="13" w:name="_Toc4166"/>
      <w:bookmarkStart w:id="14" w:name="_Toc509218691"/>
      <w:bookmarkStart w:id="15" w:name="_Toc430530415"/>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比选公告</w:t>
      </w:r>
      <w:bookmarkEnd w:id="9"/>
      <w:bookmarkEnd w:id="10"/>
      <w:bookmarkEnd w:id="11"/>
      <w:bookmarkEnd w:id="12"/>
      <w:bookmarkEnd w:id="13"/>
      <w:bookmarkEnd w:id="14"/>
      <w:bookmarkEnd w:id="15"/>
    </w:p>
    <w:p w14:paraId="08AE67E4">
      <w:pPr>
        <w:autoSpaceDE w:val="0"/>
        <w:autoSpaceDN w:val="0"/>
        <w:adjustRightInd w:val="0"/>
        <w:snapToGrid w:val="0"/>
        <w:spacing w:line="360" w:lineRule="auto"/>
        <w:jc w:val="center"/>
        <w:rPr>
          <w:rFonts w:hint="eastAsia" w:ascii="宋体" w:hAnsi="宋体" w:eastAsia="宋体"/>
          <w:snapToGrid w:val="0"/>
          <w:color w:val="auto"/>
          <w:kern w:val="0"/>
          <w:sz w:val="28"/>
          <w:szCs w:val="28"/>
          <w:highlight w:val="none"/>
          <w:lang w:eastAsia="zh-CN"/>
        </w:rPr>
      </w:pPr>
      <w:r>
        <w:rPr>
          <w:rFonts w:hint="eastAsia" w:ascii="宋体" w:hAnsi="宋体"/>
          <w:snapToGrid w:val="0"/>
          <w:color w:val="auto"/>
          <w:w w:val="99"/>
          <w:kern w:val="0"/>
          <w:sz w:val="28"/>
          <w:szCs w:val="28"/>
          <w:highlight w:val="none"/>
          <w:u w:val="single"/>
          <w:lang w:eastAsia="zh-CN"/>
        </w:rPr>
        <w:t>弹广路安全隐患治理提升工程危岩孤石设计</w:t>
      </w:r>
      <w:r>
        <w:rPr>
          <w:rFonts w:hint="eastAsia" w:ascii="宋体" w:hAnsi="宋体"/>
          <w:snapToGrid w:val="0"/>
          <w:color w:val="auto"/>
          <w:w w:val="99"/>
          <w:kern w:val="0"/>
          <w:sz w:val="28"/>
          <w:szCs w:val="28"/>
          <w:highlight w:val="none"/>
          <w:lang w:eastAsia="zh-CN"/>
        </w:rPr>
        <w:t>比选公告</w:t>
      </w:r>
    </w:p>
    <w:p w14:paraId="13A0490E">
      <w:pPr>
        <w:pStyle w:val="3"/>
        <w:spacing w:before="100" w:after="100" w:line="460" w:lineRule="exact"/>
        <w:rPr>
          <w:rFonts w:ascii="宋体" w:hAnsi="宋体"/>
          <w:snapToGrid w:val="0"/>
          <w:color w:val="auto"/>
          <w:sz w:val="28"/>
          <w:szCs w:val="28"/>
          <w:highlight w:val="none"/>
        </w:rPr>
      </w:pPr>
      <w:bookmarkStart w:id="16" w:name="_Toc430530416"/>
      <w:bookmarkStart w:id="17" w:name="_Toc287620667"/>
      <w:bookmarkStart w:id="18" w:name="_Toc1291"/>
      <w:bookmarkStart w:id="19" w:name="_Toc287607728"/>
      <w:bookmarkStart w:id="20" w:name="_Toc200359427"/>
      <w:bookmarkStart w:id="21" w:name="_Toc277082536"/>
      <w:bookmarkStart w:id="22" w:name="_Toc200359238"/>
      <w:bookmarkStart w:id="23" w:name="_Toc509218692"/>
      <w:bookmarkStart w:id="24" w:name="_Toc224103299"/>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6"/>
      <w:bookmarkEnd w:id="17"/>
      <w:bookmarkEnd w:id="18"/>
      <w:bookmarkEnd w:id="19"/>
      <w:bookmarkEnd w:id="20"/>
      <w:bookmarkEnd w:id="21"/>
      <w:bookmarkEnd w:id="22"/>
      <w:bookmarkEnd w:id="23"/>
      <w:bookmarkEnd w:id="24"/>
    </w:p>
    <w:p w14:paraId="21A2CFA6">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lang w:eastAsia="zh-CN"/>
        </w:rPr>
        <w:t>弹广路安全隐患治理提升工程危岩孤石设计</w:t>
      </w:r>
      <w:r>
        <w:rPr>
          <w:rFonts w:ascii="宋体" w:hAnsi="宋体"/>
          <w:snapToGrid w:val="0"/>
          <w:color w:val="auto"/>
          <w:kern w:val="0"/>
          <w:szCs w:val="21"/>
          <w:highlight w:val="none"/>
        </w:rPr>
        <w:t>已批准建设，项目业主为</w:t>
      </w:r>
      <w:r>
        <w:rPr>
          <w:rFonts w:hint="eastAsia" w:ascii="宋体" w:hAnsi="宋体"/>
          <w:snapToGrid w:val="0"/>
          <w:color w:val="auto"/>
          <w:kern w:val="0"/>
          <w:szCs w:val="21"/>
          <w:highlight w:val="none"/>
          <w:u w:val="single"/>
          <w:lang w:eastAsia="zh-CN"/>
        </w:rPr>
        <w:t>重庆市南岸区城市建设发展（集团）有限公司</w:t>
      </w:r>
      <w:r>
        <w:rPr>
          <w:rFonts w:ascii="宋体" w:hAnsi="宋体"/>
          <w:snapToGrid w:val="0"/>
          <w:color w:val="auto"/>
          <w:kern w:val="0"/>
          <w:szCs w:val="21"/>
          <w:highlight w:val="none"/>
        </w:rPr>
        <w:t>，建设资金来</w:t>
      </w:r>
      <w:r>
        <w:rPr>
          <w:rFonts w:hint="eastAsia" w:ascii="宋体" w:hAnsi="宋体"/>
          <w:snapToGrid w:val="0"/>
          <w:color w:val="auto"/>
          <w:kern w:val="0"/>
          <w:szCs w:val="21"/>
          <w:highlight w:val="none"/>
          <w:u w:val="single"/>
          <w:lang w:val="en-US" w:eastAsia="zh-CN"/>
        </w:rPr>
        <w:t>国有资金</w:t>
      </w:r>
      <w:r>
        <w:rPr>
          <w:rFonts w:ascii="宋体" w:hAnsi="宋体"/>
          <w:snapToGrid w:val="0"/>
          <w:color w:val="auto"/>
          <w:kern w:val="0"/>
          <w:szCs w:val="21"/>
          <w:highlight w:val="none"/>
        </w:rPr>
        <w:t>，项目出资比例为</w:t>
      </w:r>
      <w:r>
        <w:rPr>
          <w:rFonts w:cs="宋体" w:asciiTheme="minorEastAsia" w:hAnsiTheme="minorEastAsia" w:eastAsiaTheme="minorEastAsia"/>
          <w:color w:val="auto"/>
          <w:spacing w:val="4"/>
          <w:szCs w:val="21"/>
          <w:highlight w:val="none"/>
          <w:u w:val="single"/>
        </w:rPr>
        <w:t xml:space="preserve"> 100</w:t>
      </w:r>
      <w:r>
        <w:rPr>
          <w:rFonts w:hint="eastAsia" w:cs="宋体" w:asciiTheme="minorEastAsia" w:hAnsiTheme="minorEastAsia" w:eastAsiaTheme="minorEastAsia"/>
          <w:color w:val="auto"/>
          <w:spacing w:val="4"/>
          <w:szCs w:val="21"/>
          <w:highlight w:val="none"/>
          <w:u w:val="single"/>
        </w:rPr>
        <w:t>%</w:t>
      </w:r>
      <w:r>
        <w:rPr>
          <w:rFonts w:cs="宋体" w:asciiTheme="minorEastAsia" w:hAnsiTheme="minorEastAsia" w:eastAsiaTheme="minorEastAsia"/>
          <w:color w:val="auto"/>
          <w:spacing w:val="4"/>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重庆市南岸区城市建设发展（集团）有限公司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该工程的设计</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14:paraId="1E078887">
      <w:pPr>
        <w:pStyle w:val="3"/>
        <w:spacing w:before="100" w:after="100" w:line="460" w:lineRule="exact"/>
        <w:rPr>
          <w:rFonts w:ascii="宋体" w:hAnsi="宋体"/>
          <w:snapToGrid w:val="0"/>
          <w:color w:val="auto"/>
          <w:sz w:val="28"/>
          <w:szCs w:val="28"/>
          <w:highlight w:val="none"/>
        </w:rPr>
      </w:pPr>
      <w:bookmarkStart w:id="25" w:name="_Toc287620668"/>
      <w:bookmarkStart w:id="26" w:name="_Toc287607729"/>
      <w:bookmarkStart w:id="27" w:name="_Toc200359239"/>
      <w:bookmarkStart w:id="28" w:name="_Toc200359428"/>
      <w:bookmarkStart w:id="29" w:name="_Toc2683"/>
      <w:bookmarkStart w:id="30" w:name="_Toc277082537"/>
      <w:bookmarkStart w:id="31" w:name="_Toc224103300"/>
      <w:bookmarkStart w:id="32" w:name="_Toc430530417"/>
      <w:bookmarkStart w:id="33" w:name="_Toc509218693"/>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5"/>
      <w:bookmarkEnd w:id="26"/>
      <w:bookmarkEnd w:id="27"/>
      <w:bookmarkEnd w:id="28"/>
      <w:bookmarkEnd w:id="29"/>
      <w:bookmarkEnd w:id="30"/>
      <w:bookmarkEnd w:id="31"/>
      <w:bookmarkEnd w:id="32"/>
      <w:bookmarkEnd w:id="33"/>
    </w:p>
    <w:p w14:paraId="29E6706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弹广路铜锣峡段</w:t>
      </w:r>
    </w:p>
    <w:p w14:paraId="16D9EB3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弹广路铜锣峡段危岩带为已有地灾隐患点，长约1.5km，危岩带共发育3级陡崖、110处危岩单体及斜坡上稳定性差的26处孤石,最大的危岩单体体积9845方，总方量达20万立方米以上，危岩处于欠稳定或基本稳定状态。根据弹广路危岩地勘资料，本次治理范围为14处(W1～W7、W32、W35、W36、W37、W44、W94、W109)危岩及26处（G1～G26）孤石，以及W1～W7危岩下部斜坡。</w:t>
      </w:r>
    </w:p>
    <w:p w14:paraId="35047D37">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 本次招标项目设计合同估算金额：</w:t>
      </w:r>
      <w:r>
        <w:rPr>
          <w:rFonts w:hint="eastAsia" w:ascii="宋体" w:hAnsi="宋体"/>
          <w:snapToGrid w:val="0"/>
          <w:color w:val="auto"/>
          <w:kern w:val="0"/>
          <w:szCs w:val="21"/>
          <w:highlight w:val="none"/>
          <w:u w:val="single"/>
          <w:lang w:val="en-US" w:eastAsia="zh-CN"/>
        </w:rPr>
        <w:t>45万元</w:t>
      </w:r>
    </w:p>
    <w:p w14:paraId="4FF915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lang w:eastAsia="zh-CN"/>
        </w:rPr>
        <w:t>弹广路安全隐患治理提升工程危岩孤石设计</w:t>
      </w:r>
      <w:r>
        <w:rPr>
          <w:rFonts w:hint="eastAsia" w:ascii="宋体" w:hAnsi="宋体"/>
          <w:snapToGrid w:val="0"/>
          <w:color w:val="auto"/>
          <w:kern w:val="0"/>
          <w:szCs w:val="21"/>
          <w:highlight w:val="none"/>
          <w:lang w:val="en-US" w:eastAsia="zh-CN"/>
        </w:rPr>
        <w:t xml:space="preserve">以及配套服务工作。主要包括但不限于：初步设计（含概算）、施工图设计、施工阶段及缺陷责任期的伴随设计服务等。按照比选人与相关行政审批部门的要求办理与设计有关的各类报批报审工作，配合施工图设计审查，按照相关行政审批部门、施工图审查机构及比选人对各设计阶段设计成果所提出的相关审核意见与要求进行修改、完善，直至满足送审合格的要求；开工至竣工的驻地配合服务、施工全过程中的技术咨询服务、工程施工至竣工验收合格阶段的设计服务（含：配合比选人进行施工招标并在施工图设计阶段提出施工控制的建议方案，完成建设过程中变更所涉及的全部设计工作以及协助比选人完成各项审批手续办理）及质量保修阶段的配合等后期服务。 </w:t>
      </w:r>
    </w:p>
    <w:p w14:paraId="117A0B0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2.5 </w:t>
      </w:r>
      <w:bookmarkStart w:id="34" w:name="_Hlk64626254"/>
      <w:r>
        <w:rPr>
          <w:rFonts w:hint="eastAsia" w:ascii="宋体" w:hAnsi="宋体"/>
          <w:snapToGrid w:val="0"/>
          <w:color w:val="auto"/>
          <w:kern w:val="0"/>
          <w:szCs w:val="21"/>
          <w:highlight w:val="none"/>
        </w:rPr>
        <w:t>设计服务期限：</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7</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rPr>
        <w:t>。</w:t>
      </w:r>
    </w:p>
    <w:bookmarkEnd w:id="34"/>
    <w:p w14:paraId="08B0C6D1">
      <w:pPr>
        <w:pStyle w:val="3"/>
        <w:spacing w:before="100" w:after="100" w:line="460" w:lineRule="exact"/>
        <w:rPr>
          <w:rFonts w:ascii="宋体" w:hAnsi="宋体"/>
          <w:snapToGrid w:val="0"/>
          <w:color w:val="auto"/>
          <w:sz w:val="28"/>
          <w:szCs w:val="28"/>
          <w:highlight w:val="none"/>
        </w:rPr>
      </w:pPr>
      <w:bookmarkStart w:id="35" w:name="_Toc224103301"/>
      <w:bookmarkStart w:id="36" w:name="_Toc200359240"/>
      <w:bookmarkStart w:id="37" w:name="_Toc277082538"/>
      <w:bookmarkStart w:id="38" w:name="_Toc2141"/>
      <w:bookmarkStart w:id="39" w:name="_Toc200359429"/>
      <w:bookmarkStart w:id="40" w:name="_Toc287620669"/>
      <w:bookmarkStart w:id="41" w:name="_Toc287607730"/>
      <w:bookmarkStart w:id="42" w:name="_Toc430530418"/>
      <w:bookmarkStart w:id="43" w:name="_Toc509218694"/>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竞选人</w:t>
      </w:r>
      <w:r>
        <w:rPr>
          <w:rFonts w:ascii="宋体" w:hAnsi="宋体"/>
          <w:snapToGrid w:val="0"/>
          <w:color w:val="auto"/>
          <w:sz w:val="28"/>
          <w:szCs w:val="28"/>
          <w:highlight w:val="none"/>
        </w:rPr>
        <w:t>资格要求</w:t>
      </w:r>
      <w:bookmarkEnd w:id="35"/>
      <w:bookmarkEnd w:id="36"/>
      <w:bookmarkEnd w:id="37"/>
      <w:bookmarkEnd w:id="38"/>
      <w:bookmarkEnd w:id="39"/>
      <w:bookmarkEnd w:id="40"/>
      <w:bookmarkEnd w:id="41"/>
      <w:bookmarkEnd w:id="42"/>
      <w:bookmarkEnd w:id="43"/>
    </w:p>
    <w:p w14:paraId="3B641EF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71F2A25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具备建设行政主管部门颁发的</w:t>
      </w:r>
      <w:r>
        <w:rPr>
          <w:rFonts w:hint="eastAsia" w:ascii="宋体" w:hAnsi="宋体"/>
          <w:snapToGrid w:val="0"/>
          <w:color w:val="auto"/>
          <w:kern w:val="0"/>
          <w:szCs w:val="21"/>
          <w:highlight w:val="none"/>
        </w:rPr>
        <w:t>以下资质之一：</w:t>
      </w:r>
    </w:p>
    <w:p w14:paraId="5923186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①工程设计综合甲级资质；</w:t>
      </w:r>
    </w:p>
    <w:p w14:paraId="1360A28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②地质灾害评估和</w:t>
      </w:r>
      <w:r>
        <w:rPr>
          <w:rFonts w:hint="eastAsia" w:ascii="宋体" w:hAnsi="宋体"/>
          <w:snapToGrid w:val="0"/>
          <w:color w:val="auto"/>
          <w:kern w:val="0"/>
          <w:szCs w:val="21"/>
          <w:highlight w:val="none"/>
          <w:lang w:val="en-US" w:eastAsia="zh-CN"/>
        </w:rPr>
        <w:t>治理</w:t>
      </w:r>
      <w:r>
        <w:rPr>
          <w:rFonts w:hint="eastAsia" w:ascii="宋体" w:hAnsi="宋体"/>
          <w:snapToGrid w:val="0"/>
          <w:color w:val="auto"/>
          <w:kern w:val="0"/>
          <w:szCs w:val="21"/>
          <w:highlight w:val="none"/>
        </w:rPr>
        <w:t>工程勘查设计甲</w:t>
      </w:r>
      <w:r>
        <w:rPr>
          <w:rFonts w:hint="eastAsia" w:ascii="宋体" w:hAnsi="宋体"/>
          <w:snapToGrid w:val="0"/>
          <w:color w:val="auto"/>
          <w:kern w:val="0"/>
          <w:szCs w:val="21"/>
          <w:highlight w:val="none"/>
          <w:lang w:val="en-US" w:eastAsia="zh-CN"/>
        </w:rPr>
        <w:t>级。</w:t>
      </w:r>
    </w:p>
    <w:p w14:paraId="1C3BCA1D">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3.1.2 </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还应在人员、业绩、设备、资金等方面具有相应的设计能力，详见</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第二章</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须知前附表第1.4.1项内容。</w:t>
      </w:r>
    </w:p>
    <w:p w14:paraId="25DC3C4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3.2  本</w:t>
      </w:r>
      <w:r>
        <w:rPr>
          <w:rFonts w:ascii="宋体" w:hAnsi="宋体"/>
          <w:snapToGrid w:val="0"/>
          <w:color w:val="auto"/>
          <w:kern w:val="0"/>
          <w:szCs w:val="21"/>
          <w:highlight w:val="none"/>
        </w:rPr>
        <w:t>次招标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74163C86">
      <w:pPr>
        <w:pStyle w:val="3"/>
        <w:spacing w:before="100" w:after="100" w:line="460" w:lineRule="exact"/>
        <w:rPr>
          <w:rFonts w:ascii="宋体" w:hAnsi="宋体"/>
          <w:snapToGrid w:val="0"/>
          <w:color w:val="auto"/>
          <w:sz w:val="28"/>
          <w:szCs w:val="28"/>
          <w:highlight w:val="none"/>
        </w:rPr>
      </w:pPr>
      <w:bookmarkStart w:id="44" w:name="_Toc30675"/>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技术成果经济补偿</w:t>
      </w:r>
      <w:bookmarkEnd w:id="44"/>
    </w:p>
    <w:p w14:paraId="543C63D9">
      <w:pPr>
        <w:tabs>
          <w:tab w:val="left" w:pos="3840"/>
          <w:tab w:val="left" w:pos="5300"/>
        </w:tabs>
        <w:autoSpaceDE w:val="0"/>
        <w:autoSpaceDN w:val="0"/>
        <w:adjustRightInd w:val="0"/>
        <w:snapToGrid w:val="0"/>
        <w:spacing w:line="460" w:lineRule="exact"/>
        <w:ind w:firstLine="420" w:firstLineChars="200"/>
        <w:jc w:val="left"/>
        <w:rPr>
          <w:color w:val="auto"/>
          <w:highlight w:val="none"/>
        </w:rPr>
      </w:pPr>
      <w:bookmarkStart w:id="45" w:name="_Hlk64626659"/>
      <w:r>
        <w:rPr>
          <w:color w:val="auto"/>
          <w:highlight w:val="none"/>
        </w:rPr>
        <w:t>本次招标对未中标人</w:t>
      </w:r>
      <w:r>
        <w:rPr>
          <w:rFonts w:hint="eastAsia"/>
          <w:color w:val="auto"/>
          <w:highlight w:val="none"/>
          <w:lang w:eastAsia="zh-CN"/>
        </w:rPr>
        <w:t>竞选文件</w:t>
      </w:r>
      <w:r>
        <w:rPr>
          <w:color w:val="auto"/>
          <w:highlight w:val="none"/>
        </w:rPr>
        <w:t>中的技术成果</w:t>
      </w:r>
      <w:r>
        <w:rPr>
          <w:color w:val="auto"/>
          <w:highlight w:val="none"/>
          <w:u w:val="single"/>
        </w:rPr>
        <w:t xml:space="preserve"> 不给予</w:t>
      </w:r>
      <w:r>
        <w:rPr>
          <w:color w:val="auto"/>
          <w:highlight w:val="none"/>
        </w:rPr>
        <w:t>经济补偿。</w:t>
      </w:r>
    </w:p>
    <w:bookmarkEnd w:id="45"/>
    <w:p w14:paraId="3961A1B0">
      <w:pPr>
        <w:pStyle w:val="3"/>
        <w:spacing w:before="100" w:after="100" w:line="460" w:lineRule="exact"/>
        <w:rPr>
          <w:rFonts w:ascii="宋体" w:hAnsi="宋体"/>
          <w:snapToGrid w:val="0"/>
          <w:color w:val="auto"/>
          <w:sz w:val="28"/>
          <w:szCs w:val="28"/>
          <w:highlight w:val="none"/>
        </w:rPr>
      </w:pPr>
      <w:bookmarkStart w:id="46" w:name="_Toc200359430"/>
      <w:bookmarkStart w:id="47" w:name="_Toc287607731"/>
      <w:bookmarkStart w:id="48" w:name="_Toc430530419"/>
      <w:bookmarkStart w:id="49" w:name="_Toc509218695"/>
      <w:bookmarkStart w:id="50" w:name="_Toc29453"/>
      <w:bookmarkStart w:id="51" w:name="_Toc200359241"/>
      <w:bookmarkStart w:id="52" w:name="_Toc224103302"/>
      <w:bookmarkStart w:id="53" w:name="_Toc287620670"/>
      <w:bookmarkStart w:id="54" w:name="_Toc277082539"/>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比选文件</w:t>
      </w:r>
      <w:r>
        <w:rPr>
          <w:rFonts w:ascii="宋体" w:hAnsi="宋体"/>
          <w:snapToGrid w:val="0"/>
          <w:color w:val="auto"/>
          <w:sz w:val="28"/>
          <w:szCs w:val="28"/>
          <w:highlight w:val="none"/>
        </w:rPr>
        <w:t>的获取</w:t>
      </w:r>
      <w:bookmarkEnd w:id="46"/>
      <w:bookmarkEnd w:id="47"/>
      <w:bookmarkEnd w:id="48"/>
      <w:bookmarkEnd w:id="49"/>
      <w:bookmarkEnd w:id="50"/>
      <w:bookmarkEnd w:id="51"/>
      <w:bookmarkEnd w:id="52"/>
      <w:bookmarkEnd w:id="53"/>
      <w:bookmarkEnd w:id="54"/>
    </w:p>
    <w:p w14:paraId="6574BEF2">
      <w:pPr>
        <w:keepNext w:val="0"/>
        <w:keepLines w:val="0"/>
        <w:pageBreakBefore w:val="0"/>
        <w:widowControl w:val="0"/>
        <w:kinsoku/>
        <w:wordWrap/>
        <w:overflowPunct/>
        <w:topLinePunct w:val="0"/>
        <w:autoSpaceDE w:val="0"/>
        <w:autoSpaceDN w:val="0"/>
        <w:bidi w:val="0"/>
        <w:adjustRightInd w:val="0"/>
        <w:snapToGrid w:val="0"/>
        <w:spacing w:line="440" w:lineRule="exact"/>
        <w:ind w:firstLine="390" w:firstLineChars="186"/>
        <w:jc w:val="left"/>
        <w:textAlignment w:val="auto"/>
        <w:rPr>
          <w:rFonts w:hint="eastAsia" w:ascii="宋体" w:hAnsi="宋体" w:eastAsia="宋体" w:cs="宋体"/>
          <w:snapToGrid w:val="0"/>
          <w:color w:val="auto"/>
          <w:kern w:val="0"/>
          <w:szCs w:val="21"/>
          <w:highlight w:val="none"/>
        </w:rPr>
      </w:pPr>
      <w:bookmarkStart w:id="55" w:name="_Toc430530420"/>
      <w:bookmarkStart w:id="56" w:name="_Toc509218696"/>
      <w:bookmarkStart w:id="57" w:name="_Toc200359242"/>
      <w:bookmarkStart w:id="58" w:name="_Toc287607732"/>
      <w:bookmarkStart w:id="59" w:name="_Toc287620671"/>
      <w:bookmarkStart w:id="60" w:name="_Toc200359431"/>
      <w:bookmarkStart w:id="61" w:name="_Toc21952"/>
      <w:bookmarkStart w:id="62" w:name="_Toc277082540"/>
      <w:bookmarkStart w:id="63" w:name="_Toc224103303"/>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.1 凡有意参加比选的比选申请人在行采家（https://www.gec123.com/）上获取竞争性比选文件以及补遗等开标前公布的所有项目资料，无论比选申请人领取或下载与否，均视为已知晓所有比选内容，并在</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202</w:t>
      </w:r>
      <w:r>
        <w:rPr>
          <w:rFonts w:hint="eastAsia" w:ascii="宋体" w:hAnsi="宋体" w:cs="宋体"/>
          <w:snapToGrid w:val="0"/>
          <w:color w:val="auto"/>
          <w:kern w:val="0"/>
          <w:szCs w:val="21"/>
          <w:highlight w:val="none"/>
          <w:u w:val="single"/>
          <w:lang w:val="en-US" w:eastAsia="zh-CN"/>
        </w:rPr>
        <w:t xml:space="preserve">5 </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9</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14</w:t>
      </w:r>
      <w:r>
        <w:rPr>
          <w:rFonts w:hint="eastAsia" w:ascii="宋体" w:hAnsi="宋体" w:eastAsia="宋体" w:cs="宋体"/>
          <w:snapToGrid w:val="0"/>
          <w:color w:val="auto"/>
          <w:kern w:val="0"/>
          <w:szCs w:val="21"/>
          <w:highlight w:val="none"/>
        </w:rPr>
        <w:t>日下午</w:t>
      </w:r>
      <w:r>
        <w:rPr>
          <w:rFonts w:hint="eastAsia" w:ascii="宋体" w:hAnsi="宋体" w:eastAsia="宋体" w:cs="宋体"/>
          <w:snapToGrid w:val="0"/>
          <w:color w:val="auto"/>
          <w:kern w:val="0"/>
          <w:szCs w:val="21"/>
          <w:highlight w:val="none"/>
          <w:u w:val="single"/>
        </w:rPr>
        <w:t>17：00</w:t>
      </w:r>
      <w:r>
        <w:rPr>
          <w:rFonts w:hint="eastAsia" w:ascii="宋体" w:hAnsi="宋体" w:eastAsia="宋体" w:cs="宋体"/>
          <w:snapToGrid w:val="0"/>
          <w:color w:val="auto"/>
          <w:kern w:val="0"/>
          <w:szCs w:val="21"/>
          <w:highlight w:val="none"/>
          <w:u w:val="none"/>
        </w:rPr>
        <w:t>时前持单位授权委托书至中科高盛咨询集团有限公司（地址：重庆市渝北区泰山大道东段62号动力国际B座7-12 ）递交《登记表》（加盖投人公章）报名或《登记表》（加盖投人公章）的扫描件发至邮箱（113497853@qq.com）报名。</w:t>
      </w:r>
    </w:p>
    <w:p w14:paraId="3B2A377B">
      <w:pPr>
        <w:keepNext w:val="0"/>
        <w:keepLines w:val="0"/>
        <w:pageBreakBefore w:val="0"/>
        <w:widowControl w:val="0"/>
        <w:kinsoku/>
        <w:wordWrap/>
        <w:overflowPunct/>
        <w:topLinePunct w:val="0"/>
        <w:autoSpaceDE w:val="0"/>
        <w:autoSpaceDN w:val="0"/>
        <w:bidi w:val="0"/>
        <w:adjustRightInd w:val="0"/>
        <w:snapToGrid w:val="0"/>
        <w:spacing w:line="440" w:lineRule="exact"/>
        <w:ind w:firstLine="390"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本次竞争性比选不采用邮寄等方式报名。</w:t>
      </w:r>
    </w:p>
    <w:p w14:paraId="77BFC356">
      <w:pPr>
        <w:keepNext w:val="0"/>
        <w:keepLines w:val="0"/>
        <w:pageBreakBefore w:val="0"/>
        <w:widowControl w:val="0"/>
        <w:kinsoku/>
        <w:wordWrap/>
        <w:overflowPunct/>
        <w:topLinePunct w:val="0"/>
        <w:autoSpaceDE w:val="0"/>
        <w:autoSpaceDN w:val="0"/>
        <w:bidi w:val="0"/>
        <w:adjustRightInd w:val="0"/>
        <w:snapToGrid w:val="0"/>
        <w:spacing w:line="440" w:lineRule="exact"/>
        <w:ind w:firstLine="390"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比选文件每套售价500元/份，在递交比选文件时支付给代理机构，售后不退。</w:t>
      </w:r>
    </w:p>
    <w:p w14:paraId="3BFFE096">
      <w:pPr>
        <w:keepNext w:val="0"/>
        <w:keepLines w:val="0"/>
        <w:pageBreakBefore w:val="0"/>
        <w:widowControl w:val="0"/>
        <w:kinsoku/>
        <w:wordWrap/>
        <w:overflowPunct/>
        <w:topLinePunct w:val="0"/>
        <w:autoSpaceDE w:val="0"/>
        <w:autoSpaceDN w:val="0"/>
        <w:bidi w:val="0"/>
        <w:adjustRightInd w:val="0"/>
        <w:snapToGrid w:val="0"/>
        <w:spacing w:line="440" w:lineRule="exact"/>
        <w:ind w:firstLine="390"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比选申请人须满足以下要件，其比选申请文件才被接受：</w:t>
      </w:r>
    </w:p>
    <w:p w14:paraId="01486716">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.1  按时递交了比选申请文件；</w:t>
      </w:r>
    </w:p>
    <w:p w14:paraId="51A8FE38">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.2  按时报名并签到。</w:t>
      </w:r>
    </w:p>
    <w:p w14:paraId="16A48FB5">
      <w:pPr>
        <w:pStyle w:val="3"/>
        <w:spacing w:before="100" w:after="100" w:line="460" w:lineRule="exact"/>
        <w:rPr>
          <w:rFonts w:ascii="宋体" w:hAnsi="宋体"/>
          <w:snapToGrid w:val="0"/>
          <w:color w:val="auto"/>
          <w:sz w:val="28"/>
          <w:szCs w:val="28"/>
          <w:highlight w:val="none"/>
        </w:rPr>
      </w:pPr>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竞选文件</w:t>
      </w:r>
      <w:r>
        <w:rPr>
          <w:rFonts w:ascii="宋体" w:hAnsi="宋体"/>
          <w:snapToGrid w:val="0"/>
          <w:color w:val="auto"/>
          <w:sz w:val="28"/>
          <w:szCs w:val="28"/>
          <w:highlight w:val="none"/>
        </w:rPr>
        <w:t>的递交</w:t>
      </w:r>
      <w:bookmarkEnd w:id="55"/>
      <w:bookmarkEnd w:id="56"/>
      <w:bookmarkEnd w:id="57"/>
      <w:bookmarkEnd w:id="58"/>
      <w:bookmarkEnd w:id="59"/>
      <w:bookmarkEnd w:id="60"/>
      <w:bookmarkEnd w:id="61"/>
      <w:bookmarkEnd w:id="62"/>
      <w:bookmarkEnd w:id="63"/>
    </w:p>
    <w:p w14:paraId="3E610D93">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  竞选文件递交的截止时间（竞选截止时间，下同）为</w:t>
      </w:r>
      <w:r>
        <w:rPr>
          <w:rFonts w:hint="eastAsia" w:ascii="宋体" w:hAnsi="宋体" w:eastAsia="宋体" w:cs="宋体"/>
          <w:snapToGrid w:val="0"/>
          <w:color w:val="auto"/>
          <w:kern w:val="0"/>
          <w:szCs w:val="21"/>
          <w:highlight w:val="none"/>
          <w:u w:val="single"/>
        </w:rPr>
        <w:t xml:space="preserve"> 202</w:t>
      </w:r>
      <w:r>
        <w:rPr>
          <w:rFonts w:hint="eastAsia" w:ascii="宋体" w:hAnsi="宋体" w:cs="宋体"/>
          <w:snapToGrid w:val="0"/>
          <w:color w:val="auto"/>
          <w:kern w:val="0"/>
          <w:szCs w:val="21"/>
          <w:highlight w:val="none"/>
          <w:u w:val="singl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9</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15</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val="en-US" w:eastAsia="zh-CN"/>
        </w:rPr>
        <w:t>10</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时</w:t>
      </w:r>
      <w:r>
        <w:rPr>
          <w:rFonts w:hint="eastAsia" w:ascii="宋体" w:hAnsi="宋体" w:cs="宋体"/>
          <w:snapToGrid w:val="0"/>
          <w:color w:val="auto"/>
          <w:kern w:val="0"/>
          <w:szCs w:val="21"/>
          <w:highlight w:val="none"/>
          <w:u w:val="single"/>
          <w:lang w:val="en-US" w:eastAsia="zh-CN"/>
        </w:rPr>
        <w:t xml:space="preserve"> 00 </w:t>
      </w:r>
      <w:r>
        <w:rPr>
          <w:rFonts w:hint="eastAsia" w:ascii="宋体" w:hAnsi="宋体" w:eastAsia="宋体" w:cs="宋体"/>
          <w:snapToGrid w:val="0"/>
          <w:color w:val="auto"/>
          <w:kern w:val="0"/>
          <w:szCs w:val="21"/>
          <w:highlight w:val="none"/>
        </w:rPr>
        <w:t>分，地点为</w:t>
      </w:r>
      <w:r>
        <w:rPr>
          <w:rFonts w:hint="eastAsia" w:ascii="宋体" w:hAnsi="宋体" w:eastAsia="宋体" w:cs="宋体"/>
          <w:snapToGrid w:val="0"/>
          <w:color w:val="auto"/>
          <w:kern w:val="0"/>
          <w:szCs w:val="21"/>
          <w:highlight w:val="none"/>
          <w:u w:val="single"/>
        </w:rPr>
        <w:t xml:space="preserve"> 重庆市南岸区行政服务中心B区3号楼</w:t>
      </w:r>
      <w:r>
        <w:rPr>
          <w:rFonts w:hint="eastAsia" w:ascii="宋体" w:hAnsi="宋体" w:cs="宋体"/>
          <w:snapToGrid w:val="0"/>
          <w:color w:val="auto"/>
          <w:kern w:val="0"/>
          <w:szCs w:val="21"/>
          <w:highlight w:val="none"/>
          <w:u w:val="single"/>
          <w:lang w:val="en-US" w:eastAsia="zh-CN"/>
        </w:rPr>
        <w:t>2012室</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4FBC68EC">
      <w:pPr>
        <w:autoSpaceDE w:val="0"/>
        <w:autoSpaceDN w:val="0"/>
        <w:adjustRightInd w:val="0"/>
        <w:snapToGrid w:val="0"/>
        <w:spacing w:line="45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.2  逾期送达的或者未送达指定地点的竞选文件，比选人不予受理。</w:t>
      </w:r>
    </w:p>
    <w:p w14:paraId="3AAB334B">
      <w:pPr>
        <w:pStyle w:val="3"/>
        <w:spacing w:before="100" w:after="100" w:line="460" w:lineRule="exact"/>
        <w:rPr>
          <w:rFonts w:ascii="宋体" w:hAnsi="宋体"/>
          <w:snapToGrid w:val="0"/>
          <w:color w:val="auto"/>
          <w:sz w:val="28"/>
          <w:szCs w:val="28"/>
          <w:highlight w:val="none"/>
        </w:rPr>
      </w:pPr>
      <w:bookmarkStart w:id="64" w:name="_Toc430530421"/>
      <w:bookmarkStart w:id="65" w:name="_Toc200359432"/>
      <w:bookmarkStart w:id="66" w:name="_Toc224103304"/>
      <w:bookmarkStart w:id="67" w:name="_Toc287620672"/>
      <w:bookmarkStart w:id="68" w:name="_Toc23796"/>
      <w:bookmarkStart w:id="69" w:name="_Toc200359243"/>
      <w:bookmarkStart w:id="70" w:name="_Toc277082541"/>
      <w:bookmarkStart w:id="71" w:name="_Toc287607733"/>
      <w:bookmarkStart w:id="72" w:name="_Toc509218697"/>
      <w:r>
        <w:rPr>
          <w:rFonts w:ascii="宋体" w:hAnsi="宋体"/>
          <w:snapToGrid w:val="0"/>
          <w:color w:val="auto"/>
          <w:sz w:val="28"/>
          <w:szCs w:val="28"/>
          <w:highlight w:val="none"/>
        </w:rPr>
        <w:t xml:space="preserve">7.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4"/>
      <w:bookmarkEnd w:id="65"/>
      <w:bookmarkEnd w:id="66"/>
      <w:bookmarkEnd w:id="67"/>
      <w:bookmarkEnd w:id="68"/>
      <w:bookmarkEnd w:id="69"/>
      <w:bookmarkEnd w:id="70"/>
      <w:bookmarkEnd w:id="71"/>
      <w:bookmarkEnd w:id="72"/>
    </w:p>
    <w:p w14:paraId="1C63769A">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行采家（http://www.gec123.com）</w:t>
      </w:r>
      <w:r>
        <w:rPr>
          <w:rFonts w:hint="eastAsia" w:ascii="宋体" w:hAnsi="宋体" w:cs="宋体"/>
          <w:snapToGrid w:val="0"/>
          <w:color w:val="auto"/>
          <w:kern w:val="0"/>
          <w:szCs w:val="21"/>
          <w:highlight w:val="none"/>
          <w:u w:val="single"/>
          <w:lang w:eastAsia="zh-CN"/>
        </w:rPr>
        <w:t>、中国招标投标公共服务平台 （http://www.cebpubservice.com）</w:t>
      </w:r>
      <w:r>
        <w:rPr>
          <w:rFonts w:ascii="宋体" w:hAnsi="宋体"/>
          <w:snapToGrid w:val="0"/>
          <w:color w:val="auto"/>
          <w:kern w:val="0"/>
          <w:szCs w:val="21"/>
          <w:highlight w:val="none"/>
        </w:rPr>
        <w:t>上发布。</w:t>
      </w:r>
    </w:p>
    <w:p w14:paraId="17CC520D">
      <w:pPr>
        <w:pStyle w:val="3"/>
        <w:spacing w:before="100" w:after="100" w:line="460" w:lineRule="exact"/>
        <w:rPr>
          <w:rFonts w:ascii="宋体" w:hAnsi="宋体"/>
          <w:snapToGrid w:val="0"/>
          <w:color w:val="auto"/>
          <w:sz w:val="28"/>
          <w:szCs w:val="28"/>
          <w:highlight w:val="none"/>
        </w:rPr>
      </w:pPr>
      <w:bookmarkStart w:id="73" w:name="_Toc224103305"/>
      <w:bookmarkStart w:id="74" w:name="_Toc287620673"/>
      <w:bookmarkStart w:id="75" w:name="_Toc277082542"/>
      <w:bookmarkStart w:id="76" w:name="_Toc287607734"/>
      <w:bookmarkStart w:id="77" w:name="_Toc430530422"/>
      <w:bookmarkStart w:id="78" w:name="_Toc29725"/>
      <w:bookmarkStart w:id="79" w:name="_Toc509218698"/>
      <w:r>
        <w:rPr>
          <w:rFonts w:ascii="宋体" w:hAnsi="宋体"/>
          <w:snapToGrid w:val="0"/>
          <w:color w:val="auto"/>
          <w:sz w:val="28"/>
          <w:szCs w:val="28"/>
          <w:highlight w:val="none"/>
        </w:rPr>
        <w:t xml:space="preserve">8.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3"/>
      <w:bookmarkEnd w:id="74"/>
      <w:bookmarkEnd w:id="75"/>
      <w:bookmarkEnd w:id="76"/>
      <w:bookmarkEnd w:id="77"/>
      <w:bookmarkEnd w:id="78"/>
      <w:bookmarkEnd w:id="79"/>
    </w:p>
    <w:p w14:paraId="23E1E198">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比选人：</w:t>
      </w:r>
      <w:r>
        <w:rPr>
          <w:rFonts w:hint="eastAsia" w:ascii="宋体" w:hAnsi="宋体"/>
          <w:color w:val="auto"/>
          <w:szCs w:val="21"/>
          <w:highlight w:val="none"/>
          <w:lang w:eastAsia="zh-CN"/>
        </w:rPr>
        <w:t>重庆市南岸区城市建设发展（集团）有限公司</w:t>
      </w:r>
      <w:r>
        <w:rPr>
          <w:rFonts w:hint="eastAsia" w:ascii="宋体" w:hAnsi="宋体"/>
          <w:color w:val="auto"/>
          <w:szCs w:val="21"/>
          <w:highlight w:val="none"/>
        </w:rPr>
        <w:t xml:space="preserve">      </w:t>
      </w:r>
    </w:p>
    <w:p w14:paraId="0AEBE785">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地址：</w:t>
      </w:r>
      <w:r>
        <w:rPr>
          <w:rFonts w:hint="eastAsia" w:asciiTheme="minorEastAsia" w:hAnsiTheme="minorEastAsia" w:eastAsiaTheme="minorEastAsia"/>
          <w:color w:val="auto"/>
          <w:highlight w:val="none"/>
        </w:rPr>
        <w:t>重庆市南岸区行政中心B区三号楼</w:t>
      </w:r>
      <w:r>
        <w:rPr>
          <w:rFonts w:hint="eastAsia" w:ascii="宋体" w:hAnsi="宋体"/>
          <w:color w:val="auto"/>
          <w:szCs w:val="21"/>
          <w:highlight w:val="none"/>
        </w:rPr>
        <w:t xml:space="preserve">                        </w:t>
      </w:r>
    </w:p>
    <w:p w14:paraId="002F4CA7">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联系人：</w:t>
      </w:r>
      <w:r>
        <w:rPr>
          <w:rFonts w:hint="eastAsia" w:cs="宋体" w:asciiTheme="minorEastAsia" w:hAnsiTheme="minorEastAsia" w:eastAsiaTheme="minorEastAsia"/>
          <w:color w:val="auto"/>
          <w:highlight w:val="none"/>
          <w:lang w:val="en-US" w:eastAsia="zh-CN"/>
        </w:rPr>
        <w:t>李</w:t>
      </w:r>
      <w:r>
        <w:rPr>
          <w:rFonts w:hint="eastAsia" w:cs="宋体" w:asciiTheme="minorEastAsia" w:hAnsiTheme="minorEastAsia" w:eastAsiaTheme="minorEastAsia"/>
          <w:color w:val="auto"/>
          <w:highlight w:val="none"/>
        </w:rPr>
        <w:t>老师</w:t>
      </w:r>
      <w:r>
        <w:rPr>
          <w:rFonts w:hint="eastAsia" w:ascii="宋体" w:hAnsi="宋体"/>
          <w:color w:val="auto"/>
          <w:szCs w:val="21"/>
          <w:highlight w:val="none"/>
        </w:rPr>
        <w:t xml:space="preserve">                                           </w:t>
      </w:r>
    </w:p>
    <w:p w14:paraId="227C382F">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电  话：</w:t>
      </w:r>
      <w:r>
        <w:rPr>
          <w:rFonts w:hint="eastAsia" w:cs="宋体" w:asciiTheme="minorEastAsia" w:hAnsiTheme="minorEastAsia" w:eastAsiaTheme="minorEastAsia"/>
          <w:color w:val="auto"/>
          <w:highlight w:val="none"/>
        </w:rPr>
        <w:t>023-62905607</w:t>
      </w:r>
    </w:p>
    <w:p w14:paraId="6EA1ED22">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比选代理机构：中科高盛咨询集团有限公司</w:t>
      </w:r>
    </w:p>
    <w:p w14:paraId="3117DCCB">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地址：重庆市渝北区泰山大道东段62号动力国际B座7-12</w:t>
      </w:r>
    </w:p>
    <w:p w14:paraId="52E3C51F">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联系人：谭老师  </w:t>
      </w:r>
    </w:p>
    <w:p w14:paraId="126A212B">
      <w:pPr>
        <w:autoSpaceDE w:val="0"/>
        <w:autoSpaceDN w:val="0"/>
        <w:adjustRightInd w:val="0"/>
        <w:snapToGrid w:val="0"/>
        <w:spacing w:line="440" w:lineRule="exact"/>
        <w:ind w:firstLine="420" w:firstLineChars="200"/>
        <w:rPr>
          <w:rFonts w:ascii="宋体" w:hAnsi="宋体"/>
          <w:snapToGrid w:val="0"/>
          <w:color w:val="auto"/>
          <w:kern w:val="0"/>
          <w:sz w:val="20"/>
          <w:szCs w:val="20"/>
          <w:highlight w:val="none"/>
        </w:rPr>
      </w:pPr>
      <w:r>
        <w:rPr>
          <w:rFonts w:hint="eastAsia" w:ascii="宋体" w:hAnsi="宋体"/>
          <w:color w:val="auto"/>
          <w:szCs w:val="21"/>
          <w:highlight w:val="none"/>
        </w:rPr>
        <w:t xml:space="preserve">电  话：18502322020 </w:t>
      </w:r>
      <w:r>
        <w:rPr>
          <w:rFonts w:hint="eastAsia" w:ascii="宋体" w:hAnsi="宋体"/>
          <w:snapToGrid w:val="0"/>
          <w:color w:val="auto"/>
          <w:kern w:val="0"/>
          <w:szCs w:val="21"/>
          <w:highlight w:val="none"/>
        </w:rPr>
        <w:t xml:space="preserve">  </w:t>
      </w:r>
    </w:p>
    <w:p w14:paraId="17AE5456">
      <w:pPr>
        <w:pStyle w:val="17"/>
        <w:rPr>
          <w:snapToGrid w:val="0"/>
          <w:color w:val="auto"/>
          <w:highlight w:val="none"/>
        </w:rPr>
      </w:pPr>
      <w:r>
        <w:rPr>
          <w:snapToGrid w:val="0"/>
          <w:color w:val="auto"/>
          <w:highlight w:val="none"/>
        </w:rPr>
        <w:br w:type="page"/>
      </w:r>
    </w:p>
    <w:p w14:paraId="62C25400">
      <w:pPr>
        <w:pStyle w:val="2"/>
        <w:spacing w:line="360" w:lineRule="auto"/>
        <w:jc w:val="center"/>
        <w:rPr>
          <w:rFonts w:ascii="宋体" w:hAnsi="宋体"/>
          <w:bCs w:val="0"/>
          <w:snapToGrid w:val="0"/>
          <w:color w:val="auto"/>
          <w:kern w:val="0"/>
          <w:highlight w:val="none"/>
        </w:rPr>
      </w:pPr>
      <w:bookmarkStart w:id="80" w:name="_Toc5261"/>
      <w:bookmarkStart w:id="81" w:name="_Toc287607744"/>
      <w:bookmarkStart w:id="82" w:name="_Toc287620683"/>
      <w:bookmarkStart w:id="83" w:name="_Toc224103315"/>
      <w:bookmarkStart w:id="84" w:name="_Toc430530432"/>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bookmarkEnd w:id="80"/>
      <w:bookmarkEnd w:id="81"/>
      <w:bookmarkEnd w:id="82"/>
      <w:bookmarkEnd w:id="83"/>
      <w:bookmarkEnd w:id="84"/>
      <w:bookmarkStart w:id="85" w:name="_Toc430530433"/>
      <w:bookmarkStart w:id="86" w:name="_Toc287620684"/>
      <w:bookmarkStart w:id="87" w:name="_Toc277082551"/>
      <w:bookmarkStart w:id="88" w:name="_Toc287607745"/>
      <w:bookmarkStart w:id="89" w:name="_Toc224103316"/>
    </w:p>
    <w:p w14:paraId="547D67FE">
      <w:pPr>
        <w:pStyle w:val="3"/>
        <w:spacing w:before="100" w:after="100" w:line="360" w:lineRule="auto"/>
        <w:rPr>
          <w:rFonts w:ascii="宋体" w:hAnsi="宋体"/>
          <w:color w:val="auto"/>
          <w:highlight w:val="none"/>
        </w:rPr>
      </w:pPr>
      <w:bookmarkStart w:id="90" w:name="_Toc509218708"/>
      <w:bookmarkStart w:id="91" w:name="_Toc472"/>
      <w:r>
        <w:rPr>
          <w:rFonts w:hint="eastAsia" w:ascii="宋体" w:hAnsi="宋体"/>
          <w:color w:val="auto"/>
          <w:highlight w:val="none"/>
          <w:lang w:eastAsia="zh-CN"/>
        </w:rPr>
        <w:t>竞选人</w:t>
      </w:r>
      <w:r>
        <w:rPr>
          <w:rFonts w:hint="eastAsia" w:ascii="宋体" w:hAnsi="宋体"/>
          <w:color w:val="auto"/>
          <w:highlight w:val="none"/>
        </w:rPr>
        <w:t>须知前附表</w:t>
      </w:r>
      <w:bookmarkEnd w:id="85"/>
      <w:bookmarkEnd w:id="86"/>
      <w:bookmarkEnd w:id="87"/>
      <w:bookmarkEnd w:id="88"/>
      <w:bookmarkEnd w:id="89"/>
      <w:bookmarkEnd w:id="90"/>
      <w:bookmarkEnd w:id="91"/>
    </w:p>
    <w:p w14:paraId="01005EDF">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竞选人</w:t>
      </w:r>
      <w:r>
        <w:rPr>
          <w:rFonts w:ascii="宋体" w:hAnsi="宋体"/>
          <w:color w:val="auto"/>
          <w:szCs w:val="21"/>
          <w:highlight w:val="none"/>
        </w:rPr>
        <w:t>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56B82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B78D9DC">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1099BCC">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74B7FA5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6EAFE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D9D56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22BB6891">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160D65D2">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olor w:val="auto"/>
                <w:kern w:val="0"/>
                <w:szCs w:val="21"/>
                <w:highlight w:val="none"/>
                <w:lang w:eastAsia="zh-CN"/>
              </w:rPr>
              <w:t>重庆市南岸区城市建设发展（集团）有限公司</w:t>
            </w:r>
          </w:p>
          <w:p w14:paraId="4F051D83">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color w:val="auto"/>
                <w:kern w:val="0"/>
                <w:szCs w:val="21"/>
                <w:highlight w:val="none"/>
              </w:rPr>
              <w:t>重庆市南岸区行政中心B区三号楼</w:t>
            </w:r>
          </w:p>
          <w:p w14:paraId="5579E39A">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s="宋体"/>
                <w:color w:val="auto"/>
                <w:kern w:val="0"/>
                <w:szCs w:val="21"/>
                <w:highlight w:val="none"/>
              </w:rPr>
              <w:t>李老师</w:t>
            </w:r>
          </w:p>
          <w:p w14:paraId="316002A3">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023-62905607</w:t>
            </w:r>
          </w:p>
        </w:tc>
      </w:tr>
      <w:tr w14:paraId="2A0FE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6253A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56835C06">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490" w:type="dxa"/>
            <w:vAlign w:val="center"/>
          </w:tcPr>
          <w:p w14:paraId="6A449BC9">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color w:val="auto"/>
                <w:highlight w:val="none"/>
              </w:rPr>
              <w:fldChar w:fldCharType="begin"/>
            </w:r>
            <w:r>
              <w:rPr>
                <w:color w:val="auto"/>
                <w:highlight w:val="none"/>
              </w:rPr>
              <w:instrText xml:space="preserve"> HYPERLINK "http://183.66.171.75:88/CQCollect/Qy_Query/Zjzxjg/javascript:__doPostBack('DataGrid1$_ctl2$_ctl0','')" </w:instrText>
            </w:r>
            <w:r>
              <w:rPr>
                <w:color w:val="auto"/>
                <w:highlight w:val="none"/>
              </w:rPr>
              <w:fldChar w:fldCharType="separate"/>
            </w:r>
            <w:r>
              <w:rPr>
                <w:rFonts w:hint="eastAsia" w:ascii="宋体" w:hAnsi="宋体"/>
                <w:color w:val="auto"/>
                <w:szCs w:val="21"/>
                <w:highlight w:val="none"/>
              </w:rPr>
              <w:t>中科高盛咨询集团有限公司</w:t>
            </w:r>
            <w:r>
              <w:rPr>
                <w:rFonts w:hint="eastAsia" w:ascii="宋体" w:hAnsi="宋体"/>
                <w:color w:val="auto"/>
                <w:szCs w:val="21"/>
                <w:highlight w:val="none"/>
              </w:rPr>
              <w:fldChar w:fldCharType="end"/>
            </w:r>
          </w:p>
          <w:p w14:paraId="1FB9C8AC">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szCs w:val="21"/>
                <w:highlight w:val="none"/>
              </w:rPr>
              <w:t>重庆市渝北区泰山大道东段62号动力国际B座7-12</w:t>
            </w:r>
          </w:p>
          <w:p w14:paraId="60F817E5">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szCs w:val="21"/>
                <w:highlight w:val="none"/>
              </w:rPr>
              <w:t>谭老师</w:t>
            </w:r>
          </w:p>
          <w:p w14:paraId="5FB58E95">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szCs w:val="21"/>
                <w:highlight w:val="none"/>
              </w:rPr>
              <w:t>18502322020</w:t>
            </w:r>
          </w:p>
        </w:tc>
      </w:tr>
      <w:tr w14:paraId="08385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A23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170DE53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招标</w:t>
            </w:r>
            <w:r>
              <w:rPr>
                <w:rFonts w:ascii="宋体" w:hAnsi="宋体"/>
                <w:color w:val="auto"/>
                <w:kern w:val="0"/>
                <w:szCs w:val="21"/>
                <w:highlight w:val="none"/>
              </w:rPr>
              <w:t>项目名称</w:t>
            </w:r>
          </w:p>
        </w:tc>
        <w:tc>
          <w:tcPr>
            <w:tcW w:w="6490" w:type="dxa"/>
            <w:vAlign w:val="center"/>
          </w:tcPr>
          <w:p w14:paraId="673DBA84">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弹广路安全隐患治理提升工程危岩孤石设计</w:t>
            </w:r>
          </w:p>
        </w:tc>
      </w:tr>
      <w:tr w14:paraId="1C943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D81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4E38BEF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建设地点</w:t>
            </w:r>
          </w:p>
        </w:tc>
        <w:tc>
          <w:tcPr>
            <w:tcW w:w="6490" w:type="dxa"/>
            <w:vAlign w:val="center"/>
          </w:tcPr>
          <w:p w14:paraId="7B19EF68">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龙门浩片区</w:t>
            </w:r>
          </w:p>
        </w:tc>
      </w:tr>
      <w:tr w14:paraId="4DCCC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C8DD5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368CD1A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建设规模</w:t>
            </w:r>
          </w:p>
        </w:tc>
        <w:tc>
          <w:tcPr>
            <w:tcW w:w="6490" w:type="dxa"/>
            <w:vAlign w:val="center"/>
          </w:tcPr>
          <w:p w14:paraId="33F4D623">
            <w:pPr>
              <w:snapToGrid w:val="0"/>
              <w:spacing w:line="400" w:lineRule="exact"/>
              <w:ind w:firstLine="420" w:firstLineChars="200"/>
              <w:rPr>
                <w:color w:val="auto"/>
                <w:highlight w:val="none"/>
              </w:rPr>
            </w:pPr>
            <w:r>
              <w:rPr>
                <w:rFonts w:hint="eastAsia" w:ascii="宋体" w:hAnsi="宋体"/>
                <w:snapToGrid w:val="0"/>
                <w:color w:val="auto"/>
                <w:kern w:val="0"/>
                <w:szCs w:val="21"/>
                <w:highlight w:val="none"/>
                <w:u w:val="single"/>
              </w:rPr>
              <w:t>弹广路铜锣峡段危岩带为已有地灾隐患点，长约1.5km，危岩带共发育3级陡崖、110处危岩单体及斜坡上稳定性差的26处孤石,最大的危岩单体体积9845方，总方量达20万立方米以上，危岩处于欠稳定或基本稳定状态。根据弹广路危岩地勘资料，本次治理范围为14处(W1～W7、W32、W35、W36、W37、W44、W94、W109)危岩及26处（G1～G26）孤石，以及W1～W7危岩下部斜坡。</w:t>
            </w:r>
          </w:p>
        </w:tc>
      </w:tr>
      <w:tr w14:paraId="2CFCD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70207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.1.7</w:t>
            </w:r>
          </w:p>
        </w:tc>
        <w:tc>
          <w:tcPr>
            <w:tcW w:w="1644" w:type="dxa"/>
            <w:vAlign w:val="center"/>
          </w:tcPr>
          <w:p w14:paraId="603555C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项目估算金额</w:t>
            </w:r>
          </w:p>
          <w:p w14:paraId="11D328B9">
            <w:pPr>
              <w:rPr>
                <w:color w:val="auto"/>
                <w:highlight w:val="none"/>
              </w:rPr>
            </w:pPr>
          </w:p>
        </w:tc>
        <w:tc>
          <w:tcPr>
            <w:tcW w:w="6490" w:type="dxa"/>
            <w:vAlign w:val="center"/>
          </w:tcPr>
          <w:p w14:paraId="4D01FBBE">
            <w:pPr>
              <w:tabs>
                <w:tab w:val="left" w:pos="3840"/>
                <w:tab w:val="left" w:pos="5300"/>
              </w:tabs>
              <w:autoSpaceDE w:val="0"/>
              <w:autoSpaceDN w:val="0"/>
              <w:adjustRightInd w:val="0"/>
              <w:snapToGrid w:val="0"/>
              <w:spacing w:line="46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本次招标项目设计合同估算金额：</w:t>
            </w:r>
            <w:r>
              <w:rPr>
                <w:rFonts w:hint="eastAsia" w:ascii="宋体" w:hAnsi="宋体"/>
                <w:snapToGrid w:val="0"/>
                <w:color w:val="auto"/>
                <w:kern w:val="0"/>
                <w:szCs w:val="21"/>
                <w:highlight w:val="none"/>
                <w:u w:val="single"/>
                <w:lang w:val="en-US" w:eastAsia="zh-CN"/>
              </w:rPr>
              <w:t>45万元</w:t>
            </w:r>
          </w:p>
        </w:tc>
      </w:tr>
      <w:tr w14:paraId="7AC39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B277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408D60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490" w:type="dxa"/>
            <w:vAlign w:val="center"/>
          </w:tcPr>
          <w:p w14:paraId="3427619C">
            <w:pPr>
              <w:tabs>
                <w:tab w:val="left" w:pos="3840"/>
                <w:tab w:val="left" w:pos="5300"/>
              </w:tabs>
              <w:autoSpaceDE w:val="0"/>
              <w:autoSpaceDN w:val="0"/>
              <w:adjustRightInd w:val="0"/>
              <w:snapToGrid w:val="0"/>
              <w:spacing w:line="46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u w:val="single"/>
                <w:lang w:val="en-US" w:eastAsia="zh-CN"/>
              </w:rPr>
              <w:t>国有资金</w:t>
            </w:r>
          </w:p>
        </w:tc>
      </w:tr>
      <w:tr w14:paraId="01614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9B449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29B250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63364828">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14811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54292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765CFC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14:paraId="091B01B0">
            <w:pPr>
              <w:snapToGrid w:val="0"/>
              <w:spacing w:line="400" w:lineRule="exact"/>
              <w:ind w:firstLine="420" w:firstLineChars="200"/>
              <w:rPr>
                <w:rFonts w:ascii="宋体" w:hAnsi="宋体"/>
                <w:i/>
                <w:color w:val="auto"/>
                <w:szCs w:val="21"/>
                <w:highlight w:val="none"/>
              </w:rPr>
            </w:pPr>
            <w:r>
              <w:rPr>
                <w:rFonts w:hint="eastAsia" w:ascii="宋体" w:hAnsi="宋体"/>
                <w:snapToGrid w:val="0"/>
                <w:color w:val="auto"/>
                <w:kern w:val="0"/>
                <w:szCs w:val="21"/>
                <w:highlight w:val="none"/>
                <w:lang w:eastAsia="zh-CN"/>
              </w:rPr>
              <w:t>弹广路安全隐患治理提升工程危岩孤石设计</w:t>
            </w:r>
            <w:r>
              <w:rPr>
                <w:rFonts w:hint="eastAsia" w:ascii="宋体" w:hAnsi="宋体"/>
                <w:snapToGrid w:val="0"/>
                <w:color w:val="auto"/>
                <w:kern w:val="0"/>
                <w:szCs w:val="21"/>
                <w:highlight w:val="none"/>
                <w:lang w:val="en-US" w:eastAsia="zh-CN"/>
              </w:rPr>
              <w:t>以及配套服务工作。主要包括但不限于：初步设计（含概算）、施工图设计、施工阶段及缺陷责任期的伴随设计服务等。按照比选人与相关行政审批部门的要求办理与设计有关的各类报批报审工作，配合施工图设计审查，按照相关行政审批部门、施工图审查机构及比选人对各设计阶段设计成果所提出的相关审核意见与要求进行修改、完善，直至满足送审合格的要求；开工至竣工的驻地配合服务、施工全过程中的技术咨询服务、工程施工至竣工验收合格阶段的设计服务（含：配合比选人进行施工招标并在施工图设计阶段提出施工控制的建议方案，完成建设过程中变更所涉及的全部设计工作以及协助比选人完成各项审批手续办理）及质量保修阶段的配合等后期服务。</w:t>
            </w:r>
          </w:p>
        </w:tc>
      </w:tr>
      <w:tr w14:paraId="64315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F481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AF5E3A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设计服务期限</w:t>
            </w:r>
          </w:p>
        </w:tc>
        <w:tc>
          <w:tcPr>
            <w:tcW w:w="6490" w:type="dxa"/>
            <w:vAlign w:val="center"/>
          </w:tcPr>
          <w:p w14:paraId="1CA3646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7</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rPr>
              <w:t>。</w:t>
            </w:r>
          </w:p>
        </w:tc>
      </w:tr>
      <w:tr w14:paraId="2B5EF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4F91E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110BF8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w:t>
            </w:r>
            <w:r>
              <w:rPr>
                <w:rFonts w:hint="eastAsia" w:ascii="宋体" w:hAnsi="宋体"/>
                <w:color w:val="auto"/>
                <w:kern w:val="0"/>
                <w:szCs w:val="21"/>
                <w:highlight w:val="none"/>
              </w:rPr>
              <w:t>标准</w:t>
            </w:r>
          </w:p>
        </w:tc>
        <w:tc>
          <w:tcPr>
            <w:tcW w:w="6490" w:type="dxa"/>
            <w:vAlign w:val="center"/>
          </w:tcPr>
          <w:p w14:paraId="5851111B">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lang w:bidi="ar"/>
              </w:rPr>
              <w:t>工程设计严格执行工程建设强制性质量标准，</w:t>
            </w:r>
            <w:r>
              <w:rPr>
                <w:rFonts w:hint="eastAsia" w:ascii="宋体" w:hAnsi="宋体"/>
                <w:snapToGrid w:val="0"/>
                <w:color w:val="auto"/>
                <w:kern w:val="0"/>
                <w:szCs w:val="21"/>
                <w:highlight w:val="none"/>
                <w:lang w:val="en-US" w:eastAsia="zh-CN" w:bidi="ar"/>
              </w:rPr>
              <w:t xml:space="preserve">符合国家和重庆市现行有关设计规范、技术标准要求，并经相应的技术审查机构和行政审批机构审查通过。 </w:t>
            </w:r>
          </w:p>
        </w:tc>
      </w:tr>
      <w:tr w14:paraId="3DED0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4" w:hRule="atLeast"/>
          <w:jc w:val="center"/>
        </w:trPr>
        <w:tc>
          <w:tcPr>
            <w:tcW w:w="1335" w:type="dxa"/>
            <w:vAlign w:val="center"/>
          </w:tcPr>
          <w:p w14:paraId="393F9A16">
            <w:pPr>
              <w:snapToGrid w:val="0"/>
              <w:spacing w:line="400" w:lineRule="exact"/>
              <w:jc w:val="center"/>
              <w:rPr>
                <w:rFonts w:ascii="宋体" w:hAnsi="宋体"/>
                <w:color w:val="auto"/>
                <w:kern w:val="0"/>
                <w:szCs w:val="21"/>
                <w:highlight w:val="none"/>
              </w:rPr>
            </w:pPr>
          </w:p>
          <w:p w14:paraId="25575EF6">
            <w:pPr>
              <w:snapToGrid w:val="0"/>
              <w:spacing w:line="400" w:lineRule="exact"/>
              <w:jc w:val="center"/>
              <w:rPr>
                <w:rFonts w:ascii="宋体" w:hAnsi="宋体"/>
                <w:color w:val="auto"/>
                <w:kern w:val="0"/>
                <w:szCs w:val="21"/>
                <w:highlight w:val="none"/>
              </w:rPr>
            </w:pPr>
          </w:p>
          <w:p w14:paraId="61BAA023">
            <w:pPr>
              <w:snapToGrid w:val="0"/>
              <w:spacing w:line="400" w:lineRule="exact"/>
              <w:jc w:val="center"/>
              <w:rPr>
                <w:rFonts w:ascii="宋体" w:hAnsi="宋体"/>
                <w:color w:val="auto"/>
                <w:kern w:val="0"/>
                <w:szCs w:val="21"/>
                <w:highlight w:val="none"/>
              </w:rPr>
            </w:pPr>
          </w:p>
          <w:p w14:paraId="47592E3A">
            <w:pPr>
              <w:snapToGrid w:val="0"/>
              <w:spacing w:line="400" w:lineRule="exact"/>
              <w:jc w:val="center"/>
              <w:rPr>
                <w:rFonts w:ascii="宋体" w:hAnsi="宋体"/>
                <w:color w:val="auto"/>
                <w:kern w:val="0"/>
                <w:szCs w:val="21"/>
                <w:highlight w:val="none"/>
              </w:rPr>
            </w:pPr>
          </w:p>
          <w:p w14:paraId="3EB6705B">
            <w:pPr>
              <w:snapToGrid w:val="0"/>
              <w:spacing w:line="400" w:lineRule="exact"/>
              <w:jc w:val="center"/>
              <w:rPr>
                <w:rFonts w:ascii="宋体" w:hAnsi="宋体"/>
                <w:color w:val="auto"/>
                <w:kern w:val="0"/>
                <w:szCs w:val="21"/>
                <w:highlight w:val="none"/>
              </w:rPr>
            </w:pPr>
          </w:p>
          <w:p w14:paraId="11EA9657">
            <w:pPr>
              <w:snapToGrid w:val="0"/>
              <w:spacing w:line="400" w:lineRule="exact"/>
              <w:jc w:val="center"/>
              <w:rPr>
                <w:rFonts w:ascii="宋体" w:hAnsi="宋体"/>
                <w:color w:val="auto"/>
                <w:kern w:val="0"/>
                <w:szCs w:val="21"/>
                <w:highlight w:val="none"/>
              </w:rPr>
            </w:pPr>
          </w:p>
          <w:p w14:paraId="53A96B1B">
            <w:pPr>
              <w:snapToGrid w:val="0"/>
              <w:spacing w:line="400" w:lineRule="exact"/>
              <w:jc w:val="center"/>
              <w:rPr>
                <w:rFonts w:ascii="宋体" w:hAnsi="宋体"/>
                <w:color w:val="auto"/>
                <w:kern w:val="0"/>
                <w:szCs w:val="21"/>
                <w:highlight w:val="none"/>
              </w:rPr>
            </w:pPr>
          </w:p>
          <w:p w14:paraId="51D90848">
            <w:pPr>
              <w:snapToGrid w:val="0"/>
              <w:spacing w:line="400" w:lineRule="exact"/>
              <w:jc w:val="center"/>
              <w:rPr>
                <w:rFonts w:ascii="宋体" w:hAnsi="宋体"/>
                <w:color w:val="auto"/>
                <w:kern w:val="0"/>
                <w:szCs w:val="21"/>
                <w:highlight w:val="none"/>
              </w:rPr>
            </w:pPr>
          </w:p>
          <w:p w14:paraId="46FD5B93">
            <w:pPr>
              <w:snapToGrid w:val="0"/>
              <w:spacing w:line="400" w:lineRule="exact"/>
              <w:jc w:val="center"/>
              <w:rPr>
                <w:rFonts w:ascii="宋体" w:hAnsi="宋体"/>
                <w:color w:val="auto"/>
                <w:kern w:val="0"/>
                <w:szCs w:val="21"/>
                <w:highlight w:val="none"/>
              </w:rPr>
            </w:pPr>
          </w:p>
          <w:p w14:paraId="3090F7BE">
            <w:pPr>
              <w:snapToGrid w:val="0"/>
              <w:spacing w:line="400" w:lineRule="exact"/>
              <w:jc w:val="center"/>
              <w:rPr>
                <w:rFonts w:ascii="宋体" w:hAnsi="宋体"/>
                <w:color w:val="auto"/>
                <w:kern w:val="0"/>
                <w:szCs w:val="21"/>
                <w:highlight w:val="none"/>
              </w:rPr>
            </w:pPr>
          </w:p>
          <w:p w14:paraId="4EE999EC">
            <w:pPr>
              <w:snapToGrid w:val="0"/>
              <w:spacing w:line="400" w:lineRule="exact"/>
              <w:jc w:val="center"/>
              <w:rPr>
                <w:rFonts w:ascii="宋体" w:hAnsi="宋体"/>
                <w:color w:val="auto"/>
                <w:kern w:val="0"/>
                <w:szCs w:val="21"/>
                <w:highlight w:val="none"/>
              </w:rPr>
            </w:pPr>
          </w:p>
          <w:p w14:paraId="2CBAE1C2">
            <w:pPr>
              <w:snapToGrid w:val="0"/>
              <w:spacing w:line="400" w:lineRule="exact"/>
              <w:jc w:val="center"/>
              <w:rPr>
                <w:rFonts w:ascii="宋体" w:hAnsi="宋体"/>
                <w:color w:val="auto"/>
                <w:kern w:val="0"/>
                <w:szCs w:val="21"/>
                <w:highlight w:val="none"/>
              </w:rPr>
            </w:pPr>
          </w:p>
          <w:p w14:paraId="3ED95FEB">
            <w:pPr>
              <w:snapToGrid w:val="0"/>
              <w:spacing w:line="400" w:lineRule="exact"/>
              <w:jc w:val="center"/>
              <w:rPr>
                <w:rFonts w:ascii="宋体" w:hAnsi="宋体"/>
                <w:color w:val="auto"/>
                <w:kern w:val="0"/>
                <w:szCs w:val="21"/>
                <w:highlight w:val="none"/>
              </w:rPr>
            </w:pPr>
          </w:p>
          <w:p w14:paraId="4ED98462">
            <w:pPr>
              <w:snapToGrid w:val="0"/>
              <w:spacing w:line="400" w:lineRule="exact"/>
              <w:jc w:val="center"/>
              <w:rPr>
                <w:rFonts w:ascii="宋体" w:hAnsi="宋体"/>
                <w:color w:val="auto"/>
                <w:kern w:val="0"/>
                <w:szCs w:val="21"/>
                <w:highlight w:val="none"/>
              </w:rPr>
            </w:pPr>
          </w:p>
          <w:p w14:paraId="1439BA4D">
            <w:pPr>
              <w:snapToGrid w:val="0"/>
              <w:spacing w:line="400" w:lineRule="exact"/>
              <w:jc w:val="center"/>
              <w:rPr>
                <w:rFonts w:ascii="宋体" w:hAnsi="宋体"/>
                <w:color w:val="auto"/>
                <w:kern w:val="0"/>
                <w:szCs w:val="21"/>
                <w:highlight w:val="none"/>
              </w:rPr>
            </w:pPr>
          </w:p>
          <w:p w14:paraId="61F456D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1E76144F">
            <w:pPr>
              <w:snapToGrid w:val="0"/>
              <w:spacing w:line="400" w:lineRule="exact"/>
              <w:jc w:val="center"/>
              <w:rPr>
                <w:rFonts w:ascii="宋体" w:hAnsi="宋体"/>
                <w:color w:val="auto"/>
                <w:kern w:val="0"/>
                <w:szCs w:val="21"/>
                <w:highlight w:val="none"/>
              </w:rPr>
            </w:pPr>
          </w:p>
          <w:p w14:paraId="1CFD7316">
            <w:pPr>
              <w:snapToGrid w:val="0"/>
              <w:spacing w:line="400" w:lineRule="exact"/>
              <w:jc w:val="center"/>
              <w:rPr>
                <w:rFonts w:ascii="宋体" w:hAnsi="宋体"/>
                <w:color w:val="auto"/>
                <w:kern w:val="0"/>
                <w:szCs w:val="21"/>
                <w:highlight w:val="none"/>
              </w:rPr>
            </w:pPr>
          </w:p>
          <w:p w14:paraId="2196D614">
            <w:pPr>
              <w:snapToGrid w:val="0"/>
              <w:spacing w:line="400" w:lineRule="exact"/>
              <w:jc w:val="center"/>
              <w:rPr>
                <w:rFonts w:ascii="宋体" w:hAnsi="宋体"/>
                <w:color w:val="auto"/>
                <w:kern w:val="0"/>
                <w:szCs w:val="21"/>
                <w:highlight w:val="none"/>
              </w:rPr>
            </w:pPr>
          </w:p>
          <w:p w14:paraId="79A268EE">
            <w:pPr>
              <w:snapToGrid w:val="0"/>
              <w:spacing w:line="400" w:lineRule="exact"/>
              <w:jc w:val="center"/>
              <w:rPr>
                <w:rFonts w:ascii="宋体" w:hAnsi="宋体"/>
                <w:color w:val="auto"/>
                <w:kern w:val="0"/>
                <w:szCs w:val="21"/>
                <w:highlight w:val="none"/>
              </w:rPr>
            </w:pPr>
          </w:p>
          <w:p w14:paraId="54AD45F6">
            <w:pPr>
              <w:snapToGrid w:val="0"/>
              <w:spacing w:line="400" w:lineRule="exact"/>
              <w:jc w:val="center"/>
              <w:rPr>
                <w:rFonts w:ascii="宋体" w:hAnsi="宋体"/>
                <w:color w:val="auto"/>
                <w:kern w:val="0"/>
                <w:szCs w:val="21"/>
                <w:highlight w:val="none"/>
              </w:rPr>
            </w:pPr>
          </w:p>
          <w:p w14:paraId="1A9F2E61">
            <w:pPr>
              <w:snapToGrid w:val="0"/>
              <w:spacing w:line="400" w:lineRule="exact"/>
              <w:jc w:val="center"/>
              <w:rPr>
                <w:rFonts w:ascii="宋体" w:hAnsi="宋体"/>
                <w:color w:val="auto"/>
                <w:kern w:val="0"/>
                <w:szCs w:val="21"/>
                <w:highlight w:val="none"/>
              </w:rPr>
            </w:pPr>
          </w:p>
          <w:p w14:paraId="028713EE">
            <w:pPr>
              <w:snapToGrid w:val="0"/>
              <w:spacing w:line="400" w:lineRule="exact"/>
              <w:jc w:val="center"/>
              <w:rPr>
                <w:rFonts w:ascii="宋体" w:hAnsi="宋体"/>
                <w:color w:val="auto"/>
                <w:kern w:val="0"/>
                <w:szCs w:val="21"/>
                <w:highlight w:val="none"/>
              </w:rPr>
            </w:pPr>
          </w:p>
          <w:p w14:paraId="45FAE605">
            <w:pPr>
              <w:snapToGrid w:val="0"/>
              <w:spacing w:line="400" w:lineRule="exact"/>
              <w:jc w:val="center"/>
              <w:rPr>
                <w:rFonts w:ascii="宋体" w:hAnsi="宋体"/>
                <w:color w:val="auto"/>
                <w:kern w:val="0"/>
                <w:szCs w:val="21"/>
                <w:highlight w:val="none"/>
              </w:rPr>
            </w:pPr>
          </w:p>
          <w:p w14:paraId="1ABB509B">
            <w:pPr>
              <w:snapToGrid w:val="0"/>
              <w:spacing w:line="400" w:lineRule="exact"/>
              <w:jc w:val="center"/>
              <w:rPr>
                <w:rFonts w:ascii="宋体" w:hAnsi="宋体"/>
                <w:color w:val="auto"/>
                <w:kern w:val="0"/>
                <w:szCs w:val="21"/>
                <w:highlight w:val="none"/>
              </w:rPr>
            </w:pPr>
          </w:p>
          <w:p w14:paraId="121EB91B">
            <w:pPr>
              <w:snapToGrid w:val="0"/>
              <w:spacing w:line="400" w:lineRule="exact"/>
              <w:jc w:val="center"/>
              <w:rPr>
                <w:rFonts w:ascii="宋体" w:hAnsi="宋体"/>
                <w:color w:val="auto"/>
                <w:kern w:val="0"/>
                <w:szCs w:val="21"/>
                <w:highlight w:val="none"/>
              </w:rPr>
            </w:pPr>
          </w:p>
          <w:p w14:paraId="297B83B4">
            <w:pPr>
              <w:snapToGrid w:val="0"/>
              <w:spacing w:line="400" w:lineRule="exact"/>
              <w:jc w:val="center"/>
              <w:rPr>
                <w:rFonts w:ascii="宋体" w:hAnsi="宋体"/>
                <w:color w:val="auto"/>
                <w:kern w:val="0"/>
                <w:szCs w:val="21"/>
                <w:highlight w:val="none"/>
              </w:rPr>
            </w:pPr>
          </w:p>
          <w:p w14:paraId="49AA3F05">
            <w:pPr>
              <w:snapToGrid w:val="0"/>
              <w:spacing w:line="400" w:lineRule="exact"/>
              <w:jc w:val="center"/>
              <w:rPr>
                <w:rFonts w:ascii="宋体" w:hAnsi="宋体"/>
                <w:color w:val="auto"/>
                <w:kern w:val="0"/>
                <w:szCs w:val="21"/>
                <w:highlight w:val="none"/>
              </w:rPr>
            </w:pPr>
          </w:p>
          <w:p w14:paraId="48EC1EA8">
            <w:pPr>
              <w:snapToGrid w:val="0"/>
              <w:spacing w:line="400" w:lineRule="exact"/>
              <w:jc w:val="center"/>
              <w:rPr>
                <w:rFonts w:ascii="宋体" w:hAnsi="宋体"/>
                <w:color w:val="auto"/>
                <w:kern w:val="0"/>
                <w:szCs w:val="21"/>
                <w:highlight w:val="none"/>
              </w:rPr>
            </w:pPr>
          </w:p>
          <w:p w14:paraId="1324075F">
            <w:pPr>
              <w:snapToGrid w:val="0"/>
              <w:spacing w:line="400" w:lineRule="exact"/>
              <w:jc w:val="center"/>
              <w:rPr>
                <w:rFonts w:ascii="宋体" w:hAnsi="宋体"/>
                <w:color w:val="auto"/>
                <w:kern w:val="0"/>
                <w:szCs w:val="21"/>
                <w:highlight w:val="none"/>
              </w:rPr>
            </w:pPr>
          </w:p>
          <w:p w14:paraId="3FAB0242">
            <w:pPr>
              <w:snapToGrid w:val="0"/>
              <w:spacing w:line="400" w:lineRule="exact"/>
              <w:jc w:val="center"/>
              <w:rPr>
                <w:rFonts w:ascii="宋体" w:hAnsi="宋体"/>
                <w:color w:val="auto"/>
                <w:kern w:val="0"/>
                <w:szCs w:val="21"/>
                <w:highlight w:val="none"/>
              </w:rPr>
            </w:pPr>
          </w:p>
          <w:p w14:paraId="15F28903">
            <w:pPr>
              <w:snapToGrid w:val="0"/>
              <w:spacing w:line="400" w:lineRule="exact"/>
              <w:jc w:val="center"/>
              <w:rPr>
                <w:rFonts w:ascii="宋体" w:hAnsi="宋体"/>
                <w:color w:val="auto"/>
                <w:kern w:val="0"/>
                <w:szCs w:val="21"/>
                <w:highlight w:val="none"/>
              </w:rPr>
            </w:pPr>
          </w:p>
          <w:p w14:paraId="3454F0DC">
            <w:pPr>
              <w:snapToGrid w:val="0"/>
              <w:spacing w:line="400" w:lineRule="exact"/>
              <w:jc w:val="center"/>
              <w:rPr>
                <w:rFonts w:ascii="宋体" w:hAnsi="宋体"/>
                <w:color w:val="auto"/>
                <w:kern w:val="0"/>
                <w:szCs w:val="21"/>
                <w:highlight w:val="none"/>
              </w:rPr>
            </w:pPr>
          </w:p>
          <w:p w14:paraId="0FDC4C2F">
            <w:pPr>
              <w:snapToGrid w:val="0"/>
              <w:spacing w:line="400" w:lineRule="exact"/>
              <w:jc w:val="center"/>
              <w:rPr>
                <w:rFonts w:ascii="宋体" w:hAnsi="宋体"/>
                <w:color w:val="auto"/>
                <w:kern w:val="0"/>
                <w:szCs w:val="21"/>
                <w:highlight w:val="none"/>
              </w:rPr>
            </w:pPr>
          </w:p>
          <w:p w14:paraId="34514AB4">
            <w:pPr>
              <w:snapToGrid w:val="0"/>
              <w:spacing w:line="400" w:lineRule="exact"/>
              <w:jc w:val="center"/>
              <w:rPr>
                <w:rFonts w:ascii="宋体" w:hAnsi="宋体"/>
                <w:color w:val="auto"/>
                <w:kern w:val="0"/>
                <w:szCs w:val="21"/>
                <w:highlight w:val="none"/>
              </w:rPr>
            </w:pPr>
          </w:p>
          <w:p w14:paraId="3D394115">
            <w:pPr>
              <w:snapToGrid w:val="0"/>
              <w:spacing w:line="400" w:lineRule="exact"/>
              <w:jc w:val="center"/>
              <w:rPr>
                <w:rFonts w:ascii="宋体" w:hAnsi="宋体"/>
                <w:color w:val="auto"/>
                <w:kern w:val="0"/>
                <w:szCs w:val="21"/>
                <w:highlight w:val="none"/>
              </w:rPr>
            </w:pPr>
          </w:p>
          <w:p w14:paraId="410D0813">
            <w:pPr>
              <w:snapToGrid w:val="0"/>
              <w:spacing w:line="400" w:lineRule="exact"/>
              <w:jc w:val="center"/>
              <w:rPr>
                <w:rFonts w:ascii="宋体" w:hAnsi="宋体"/>
                <w:color w:val="auto"/>
                <w:kern w:val="0"/>
                <w:szCs w:val="21"/>
                <w:highlight w:val="none"/>
              </w:rPr>
            </w:pPr>
          </w:p>
          <w:p w14:paraId="01E5E777">
            <w:pPr>
              <w:snapToGrid w:val="0"/>
              <w:spacing w:line="400" w:lineRule="exact"/>
              <w:jc w:val="center"/>
              <w:rPr>
                <w:rFonts w:ascii="宋体" w:hAnsi="宋体"/>
                <w:color w:val="auto"/>
                <w:kern w:val="0"/>
                <w:szCs w:val="21"/>
                <w:highlight w:val="none"/>
              </w:rPr>
            </w:pPr>
          </w:p>
          <w:p w14:paraId="2E4B60A3">
            <w:pPr>
              <w:snapToGrid w:val="0"/>
              <w:spacing w:line="400" w:lineRule="exact"/>
              <w:jc w:val="center"/>
              <w:rPr>
                <w:rFonts w:ascii="宋体" w:hAnsi="宋体"/>
                <w:color w:val="auto"/>
                <w:kern w:val="0"/>
                <w:szCs w:val="21"/>
                <w:highlight w:val="none"/>
              </w:rPr>
            </w:pPr>
          </w:p>
          <w:p w14:paraId="79E52DD6">
            <w:pPr>
              <w:snapToGrid w:val="0"/>
              <w:spacing w:line="400" w:lineRule="exact"/>
              <w:jc w:val="center"/>
              <w:rPr>
                <w:rFonts w:ascii="宋体" w:hAnsi="宋体"/>
                <w:color w:val="auto"/>
                <w:kern w:val="0"/>
                <w:szCs w:val="21"/>
                <w:highlight w:val="none"/>
              </w:rPr>
            </w:pPr>
          </w:p>
          <w:p w14:paraId="53B9BC2D">
            <w:pPr>
              <w:snapToGrid w:val="0"/>
              <w:spacing w:line="400" w:lineRule="exact"/>
              <w:jc w:val="center"/>
              <w:rPr>
                <w:rFonts w:ascii="宋体" w:hAnsi="宋体"/>
                <w:color w:val="auto"/>
                <w:kern w:val="0"/>
                <w:szCs w:val="21"/>
                <w:highlight w:val="none"/>
              </w:rPr>
            </w:pPr>
          </w:p>
          <w:p w14:paraId="28C7BA0E">
            <w:pPr>
              <w:snapToGrid w:val="0"/>
              <w:spacing w:line="400" w:lineRule="exact"/>
              <w:jc w:val="center"/>
              <w:rPr>
                <w:rFonts w:ascii="宋体" w:hAnsi="宋体"/>
                <w:color w:val="auto"/>
                <w:kern w:val="0"/>
                <w:szCs w:val="21"/>
                <w:highlight w:val="none"/>
              </w:rPr>
            </w:pPr>
          </w:p>
          <w:p w14:paraId="3042E89B">
            <w:pPr>
              <w:snapToGrid w:val="0"/>
              <w:spacing w:line="400" w:lineRule="exact"/>
              <w:jc w:val="center"/>
              <w:rPr>
                <w:rFonts w:ascii="宋体" w:hAnsi="宋体"/>
                <w:color w:val="auto"/>
                <w:kern w:val="0"/>
                <w:szCs w:val="21"/>
                <w:highlight w:val="none"/>
              </w:rPr>
            </w:pPr>
          </w:p>
          <w:p w14:paraId="065F809B">
            <w:pPr>
              <w:snapToGrid w:val="0"/>
              <w:spacing w:line="400" w:lineRule="exact"/>
              <w:jc w:val="center"/>
              <w:rPr>
                <w:rFonts w:ascii="宋体" w:hAnsi="宋体"/>
                <w:color w:val="auto"/>
                <w:kern w:val="0"/>
                <w:szCs w:val="21"/>
                <w:highlight w:val="none"/>
              </w:rPr>
            </w:pPr>
          </w:p>
          <w:p w14:paraId="41412FAA">
            <w:pPr>
              <w:snapToGrid w:val="0"/>
              <w:spacing w:line="400" w:lineRule="exact"/>
              <w:jc w:val="center"/>
              <w:rPr>
                <w:rFonts w:ascii="宋体" w:hAnsi="宋体"/>
                <w:color w:val="auto"/>
                <w:kern w:val="0"/>
                <w:szCs w:val="21"/>
                <w:highlight w:val="none"/>
              </w:rPr>
            </w:pPr>
          </w:p>
          <w:p w14:paraId="1FE2C7D0">
            <w:pPr>
              <w:snapToGrid w:val="0"/>
              <w:spacing w:line="400" w:lineRule="exact"/>
              <w:jc w:val="center"/>
              <w:rPr>
                <w:rFonts w:ascii="宋体" w:hAnsi="宋体"/>
                <w:color w:val="auto"/>
                <w:kern w:val="0"/>
                <w:szCs w:val="21"/>
                <w:highlight w:val="none"/>
              </w:rPr>
            </w:pPr>
          </w:p>
          <w:p w14:paraId="4616D79D">
            <w:pPr>
              <w:snapToGrid w:val="0"/>
              <w:spacing w:line="400" w:lineRule="exact"/>
              <w:jc w:val="center"/>
              <w:rPr>
                <w:rFonts w:ascii="宋体" w:hAnsi="宋体"/>
                <w:color w:val="auto"/>
                <w:kern w:val="0"/>
                <w:szCs w:val="21"/>
                <w:highlight w:val="none"/>
              </w:rPr>
            </w:pPr>
          </w:p>
          <w:p w14:paraId="30B6F6B4">
            <w:pPr>
              <w:snapToGrid w:val="0"/>
              <w:spacing w:line="400" w:lineRule="exact"/>
              <w:jc w:val="center"/>
              <w:rPr>
                <w:rFonts w:ascii="宋体" w:hAnsi="宋体"/>
                <w:color w:val="auto"/>
                <w:kern w:val="0"/>
                <w:szCs w:val="21"/>
                <w:highlight w:val="none"/>
              </w:rPr>
            </w:pPr>
          </w:p>
          <w:p w14:paraId="42D0D3D1">
            <w:pPr>
              <w:snapToGrid w:val="0"/>
              <w:spacing w:line="400" w:lineRule="exact"/>
              <w:jc w:val="center"/>
              <w:rPr>
                <w:rFonts w:ascii="宋体" w:hAnsi="宋体"/>
                <w:color w:val="auto"/>
                <w:kern w:val="0"/>
                <w:szCs w:val="21"/>
                <w:highlight w:val="none"/>
              </w:rPr>
            </w:pPr>
          </w:p>
          <w:p w14:paraId="29BD4260">
            <w:pPr>
              <w:snapToGrid w:val="0"/>
              <w:spacing w:line="400" w:lineRule="exact"/>
              <w:jc w:val="center"/>
              <w:rPr>
                <w:rFonts w:ascii="宋体" w:hAnsi="宋体"/>
                <w:color w:val="auto"/>
                <w:kern w:val="0"/>
                <w:szCs w:val="21"/>
                <w:highlight w:val="none"/>
              </w:rPr>
            </w:pPr>
          </w:p>
          <w:p w14:paraId="566FAC8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6A40F594">
            <w:pPr>
              <w:snapToGrid w:val="0"/>
              <w:spacing w:line="400" w:lineRule="exact"/>
              <w:jc w:val="center"/>
              <w:rPr>
                <w:rFonts w:ascii="宋体" w:hAnsi="宋体"/>
                <w:color w:val="auto"/>
                <w:kern w:val="0"/>
                <w:szCs w:val="21"/>
                <w:highlight w:val="none"/>
              </w:rPr>
            </w:pPr>
          </w:p>
          <w:p w14:paraId="272FA7AB">
            <w:pPr>
              <w:snapToGrid w:val="0"/>
              <w:spacing w:line="400" w:lineRule="exact"/>
              <w:jc w:val="center"/>
              <w:rPr>
                <w:rFonts w:ascii="宋体" w:hAnsi="宋体"/>
                <w:color w:val="auto"/>
                <w:kern w:val="0"/>
                <w:szCs w:val="21"/>
                <w:highlight w:val="none"/>
              </w:rPr>
            </w:pPr>
          </w:p>
          <w:p w14:paraId="35C828C8">
            <w:pPr>
              <w:snapToGrid w:val="0"/>
              <w:spacing w:line="400" w:lineRule="exact"/>
              <w:jc w:val="center"/>
              <w:rPr>
                <w:rFonts w:ascii="宋体" w:hAnsi="宋体"/>
                <w:color w:val="auto"/>
                <w:kern w:val="0"/>
                <w:szCs w:val="21"/>
                <w:highlight w:val="none"/>
              </w:rPr>
            </w:pPr>
          </w:p>
          <w:p w14:paraId="692E68F8">
            <w:pPr>
              <w:snapToGrid w:val="0"/>
              <w:spacing w:line="400" w:lineRule="exact"/>
              <w:jc w:val="center"/>
              <w:rPr>
                <w:rFonts w:ascii="宋体" w:hAnsi="宋体"/>
                <w:color w:val="auto"/>
                <w:kern w:val="0"/>
                <w:szCs w:val="21"/>
                <w:highlight w:val="none"/>
              </w:rPr>
            </w:pPr>
          </w:p>
          <w:p w14:paraId="7FD87C90">
            <w:pPr>
              <w:snapToGrid w:val="0"/>
              <w:spacing w:line="400" w:lineRule="exact"/>
              <w:jc w:val="center"/>
              <w:rPr>
                <w:rFonts w:ascii="宋体" w:hAnsi="宋体"/>
                <w:color w:val="auto"/>
                <w:kern w:val="0"/>
                <w:szCs w:val="21"/>
                <w:highlight w:val="none"/>
              </w:rPr>
            </w:pPr>
          </w:p>
          <w:p w14:paraId="322F87CC">
            <w:pPr>
              <w:snapToGrid w:val="0"/>
              <w:spacing w:line="400" w:lineRule="exact"/>
              <w:jc w:val="center"/>
              <w:rPr>
                <w:rFonts w:ascii="宋体" w:hAnsi="宋体"/>
                <w:color w:val="auto"/>
                <w:kern w:val="0"/>
                <w:szCs w:val="21"/>
                <w:highlight w:val="none"/>
              </w:rPr>
            </w:pPr>
          </w:p>
          <w:p w14:paraId="5318198B">
            <w:pPr>
              <w:snapToGrid w:val="0"/>
              <w:spacing w:line="400" w:lineRule="exact"/>
              <w:jc w:val="center"/>
              <w:rPr>
                <w:rFonts w:ascii="宋体" w:hAnsi="宋体"/>
                <w:color w:val="auto"/>
                <w:kern w:val="0"/>
                <w:szCs w:val="21"/>
                <w:highlight w:val="none"/>
              </w:rPr>
            </w:pPr>
          </w:p>
          <w:p w14:paraId="514BB7C9">
            <w:pPr>
              <w:snapToGrid w:val="0"/>
              <w:spacing w:line="400" w:lineRule="exact"/>
              <w:jc w:val="center"/>
              <w:rPr>
                <w:rFonts w:ascii="宋体" w:hAnsi="宋体"/>
                <w:color w:val="auto"/>
                <w:kern w:val="0"/>
                <w:szCs w:val="21"/>
                <w:highlight w:val="none"/>
              </w:rPr>
            </w:pPr>
          </w:p>
          <w:p w14:paraId="56C8E2C6">
            <w:pPr>
              <w:snapToGrid w:val="0"/>
              <w:spacing w:line="400" w:lineRule="exact"/>
              <w:jc w:val="center"/>
              <w:rPr>
                <w:rFonts w:ascii="宋体" w:hAnsi="宋体"/>
                <w:color w:val="auto"/>
                <w:kern w:val="0"/>
                <w:szCs w:val="21"/>
                <w:highlight w:val="none"/>
              </w:rPr>
            </w:pPr>
          </w:p>
          <w:p w14:paraId="5DC14EFA">
            <w:pPr>
              <w:snapToGrid w:val="0"/>
              <w:spacing w:line="400" w:lineRule="exact"/>
              <w:jc w:val="center"/>
              <w:rPr>
                <w:rFonts w:ascii="宋体" w:hAnsi="宋体"/>
                <w:color w:val="auto"/>
                <w:kern w:val="0"/>
                <w:szCs w:val="21"/>
                <w:highlight w:val="none"/>
              </w:rPr>
            </w:pPr>
          </w:p>
          <w:p w14:paraId="6AF3331D">
            <w:pPr>
              <w:snapToGrid w:val="0"/>
              <w:spacing w:line="400" w:lineRule="exact"/>
              <w:jc w:val="center"/>
              <w:rPr>
                <w:rFonts w:ascii="宋体" w:hAnsi="宋体"/>
                <w:color w:val="auto"/>
                <w:kern w:val="0"/>
                <w:szCs w:val="21"/>
                <w:highlight w:val="none"/>
              </w:rPr>
            </w:pPr>
          </w:p>
          <w:p w14:paraId="54EB333F">
            <w:pPr>
              <w:snapToGrid w:val="0"/>
              <w:spacing w:line="400" w:lineRule="exact"/>
              <w:jc w:val="center"/>
              <w:rPr>
                <w:rFonts w:ascii="宋体" w:hAnsi="宋体"/>
                <w:color w:val="auto"/>
                <w:kern w:val="0"/>
                <w:szCs w:val="21"/>
                <w:highlight w:val="none"/>
              </w:rPr>
            </w:pPr>
          </w:p>
          <w:p w14:paraId="47511D61">
            <w:pPr>
              <w:snapToGrid w:val="0"/>
              <w:spacing w:line="400" w:lineRule="exact"/>
              <w:jc w:val="center"/>
              <w:rPr>
                <w:rFonts w:ascii="宋体" w:hAnsi="宋体"/>
                <w:color w:val="auto"/>
                <w:kern w:val="0"/>
                <w:szCs w:val="21"/>
                <w:highlight w:val="none"/>
              </w:rPr>
            </w:pPr>
          </w:p>
          <w:p w14:paraId="3F71618D">
            <w:pPr>
              <w:snapToGrid w:val="0"/>
              <w:spacing w:line="400" w:lineRule="exact"/>
              <w:jc w:val="center"/>
              <w:rPr>
                <w:rFonts w:ascii="宋体" w:hAnsi="宋体"/>
                <w:color w:val="auto"/>
                <w:kern w:val="0"/>
                <w:szCs w:val="21"/>
                <w:highlight w:val="none"/>
              </w:rPr>
            </w:pPr>
          </w:p>
          <w:p w14:paraId="1C4AECFA">
            <w:pPr>
              <w:snapToGrid w:val="0"/>
              <w:spacing w:line="400" w:lineRule="exact"/>
              <w:jc w:val="center"/>
              <w:rPr>
                <w:rFonts w:ascii="宋体" w:hAnsi="宋体"/>
                <w:color w:val="auto"/>
                <w:kern w:val="0"/>
                <w:szCs w:val="21"/>
                <w:highlight w:val="none"/>
              </w:rPr>
            </w:pPr>
          </w:p>
          <w:p w14:paraId="49FFB7AA">
            <w:pPr>
              <w:snapToGrid w:val="0"/>
              <w:spacing w:line="400" w:lineRule="exact"/>
              <w:jc w:val="center"/>
              <w:rPr>
                <w:rFonts w:ascii="宋体" w:hAnsi="宋体"/>
                <w:color w:val="auto"/>
                <w:kern w:val="0"/>
                <w:szCs w:val="21"/>
                <w:highlight w:val="none"/>
              </w:rPr>
            </w:pPr>
          </w:p>
          <w:p w14:paraId="45E4D219">
            <w:pPr>
              <w:snapToGrid w:val="0"/>
              <w:spacing w:line="400" w:lineRule="exact"/>
              <w:jc w:val="center"/>
              <w:rPr>
                <w:rFonts w:ascii="宋体" w:hAnsi="宋体"/>
                <w:color w:val="auto"/>
                <w:kern w:val="0"/>
                <w:szCs w:val="21"/>
                <w:highlight w:val="none"/>
              </w:rPr>
            </w:pPr>
          </w:p>
          <w:p w14:paraId="70CE75E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40479B45">
            <w:pPr>
              <w:snapToGrid w:val="0"/>
              <w:spacing w:line="400" w:lineRule="exact"/>
              <w:jc w:val="center"/>
              <w:rPr>
                <w:rFonts w:ascii="宋体" w:hAnsi="宋体"/>
                <w:color w:val="auto"/>
                <w:kern w:val="0"/>
                <w:szCs w:val="21"/>
                <w:highlight w:val="none"/>
              </w:rPr>
            </w:pPr>
          </w:p>
          <w:p w14:paraId="0D6BB834">
            <w:pPr>
              <w:snapToGrid w:val="0"/>
              <w:spacing w:line="400" w:lineRule="exact"/>
              <w:jc w:val="center"/>
              <w:rPr>
                <w:rFonts w:ascii="宋体" w:hAnsi="宋体"/>
                <w:color w:val="auto"/>
                <w:kern w:val="0"/>
                <w:szCs w:val="21"/>
                <w:highlight w:val="none"/>
              </w:rPr>
            </w:pPr>
          </w:p>
          <w:p w14:paraId="4A7D4BB4">
            <w:pPr>
              <w:snapToGrid w:val="0"/>
              <w:spacing w:line="400" w:lineRule="exact"/>
              <w:jc w:val="center"/>
              <w:rPr>
                <w:rFonts w:ascii="宋体" w:hAnsi="宋体"/>
                <w:color w:val="auto"/>
                <w:kern w:val="0"/>
                <w:szCs w:val="21"/>
                <w:highlight w:val="none"/>
              </w:rPr>
            </w:pPr>
          </w:p>
          <w:p w14:paraId="44A9DE67">
            <w:pPr>
              <w:snapToGrid w:val="0"/>
              <w:spacing w:line="400" w:lineRule="exact"/>
              <w:jc w:val="center"/>
              <w:rPr>
                <w:rFonts w:ascii="宋体" w:hAnsi="宋体"/>
                <w:color w:val="auto"/>
                <w:kern w:val="0"/>
                <w:szCs w:val="21"/>
                <w:highlight w:val="none"/>
              </w:rPr>
            </w:pPr>
          </w:p>
        </w:tc>
        <w:tc>
          <w:tcPr>
            <w:tcW w:w="1644" w:type="dxa"/>
            <w:vAlign w:val="center"/>
          </w:tcPr>
          <w:p w14:paraId="3E20A31C">
            <w:pPr>
              <w:snapToGrid w:val="0"/>
              <w:spacing w:line="400" w:lineRule="exact"/>
              <w:jc w:val="center"/>
              <w:rPr>
                <w:rFonts w:ascii="宋体" w:hAnsi="宋体"/>
                <w:color w:val="auto"/>
                <w:kern w:val="0"/>
                <w:szCs w:val="21"/>
                <w:highlight w:val="none"/>
              </w:rPr>
            </w:pPr>
          </w:p>
          <w:p w14:paraId="3705B05F">
            <w:pPr>
              <w:snapToGrid w:val="0"/>
              <w:spacing w:line="400" w:lineRule="exact"/>
              <w:jc w:val="center"/>
              <w:rPr>
                <w:rFonts w:ascii="宋体" w:hAnsi="宋体"/>
                <w:color w:val="auto"/>
                <w:kern w:val="0"/>
                <w:szCs w:val="21"/>
                <w:highlight w:val="none"/>
              </w:rPr>
            </w:pPr>
          </w:p>
          <w:p w14:paraId="63A899F4">
            <w:pPr>
              <w:snapToGrid w:val="0"/>
              <w:spacing w:line="400" w:lineRule="exact"/>
              <w:jc w:val="center"/>
              <w:rPr>
                <w:rFonts w:ascii="宋体" w:hAnsi="宋体"/>
                <w:color w:val="auto"/>
                <w:kern w:val="0"/>
                <w:szCs w:val="21"/>
                <w:highlight w:val="none"/>
              </w:rPr>
            </w:pPr>
          </w:p>
          <w:p w14:paraId="40BF6AB1">
            <w:pPr>
              <w:snapToGrid w:val="0"/>
              <w:spacing w:line="400" w:lineRule="exact"/>
              <w:jc w:val="center"/>
              <w:rPr>
                <w:rFonts w:ascii="宋体" w:hAnsi="宋体"/>
                <w:color w:val="auto"/>
                <w:kern w:val="0"/>
                <w:szCs w:val="21"/>
                <w:highlight w:val="none"/>
              </w:rPr>
            </w:pPr>
          </w:p>
          <w:p w14:paraId="055734E4">
            <w:pPr>
              <w:snapToGrid w:val="0"/>
              <w:spacing w:line="400" w:lineRule="exact"/>
              <w:jc w:val="center"/>
              <w:rPr>
                <w:rFonts w:ascii="宋体" w:hAnsi="宋体"/>
                <w:color w:val="auto"/>
                <w:kern w:val="0"/>
                <w:szCs w:val="21"/>
                <w:highlight w:val="none"/>
              </w:rPr>
            </w:pPr>
          </w:p>
          <w:p w14:paraId="68F4735B">
            <w:pPr>
              <w:snapToGrid w:val="0"/>
              <w:spacing w:line="400" w:lineRule="exact"/>
              <w:jc w:val="center"/>
              <w:rPr>
                <w:rFonts w:ascii="宋体" w:hAnsi="宋体"/>
                <w:color w:val="auto"/>
                <w:kern w:val="0"/>
                <w:szCs w:val="21"/>
                <w:highlight w:val="none"/>
              </w:rPr>
            </w:pPr>
          </w:p>
          <w:p w14:paraId="6D44B340">
            <w:pPr>
              <w:snapToGrid w:val="0"/>
              <w:spacing w:line="400" w:lineRule="exact"/>
              <w:jc w:val="center"/>
              <w:rPr>
                <w:rFonts w:ascii="宋体" w:hAnsi="宋体"/>
                <w:color w:val="auto"/>
                <w:kern w:val="0"/>
                <w:szCs w:val="21"/>
                <w:highlight w:val="none"/>
              </w:rPr>
            </w:pPr>
          </w:p>
          <w:p w14:paraId="7ADE03C5">
            <w:pPr>
              <w:snapToGrid w:val="0"/>
              <w:spacing w:line="400" w:lineRule="exact"/>
              <w:jc w:val="center"/>
              <w:rPr>
                <w:rFonts w:ascii="宋体" w:hAnsi="宋体"/>
                <w:color w:val="auto"/>
                <w:kern w:val="0"/>
                <w:szCs w:val="21"/>
                <w:highlight w:val="none"/>
              </w:rPr>
            </w:pPr>
          </w:p>
          <w:p w14:paraId="4A8F2F17">
            <w:pPr>
              <w:snapToGrid w:val="0"/>
              <w:spacing w:line="400" w:lineRule="exact"/>
              <w:jc w:val="center"/>
              <w:rPr>
                <w:rFonts w:ascii="宋体" w:hAnsi="宋体"/>
                <w:color w:val="auto"/>
                <w:kern w:val="0"/>
                <w:szCs w:val="21"/>
                <w:highlight w:val="none"/>
              </w:rPr>
            </w:pPr>
          </w:p>
          <w:p w14:paraId="7EC7D2CF">
            <w:pPr>
              <w:snapToGrid w:val="0"/>
              <w:spacing w:line="400" w:lineRule="exact"/>
              <w:jc w:val="center"/>
              <w:rPr>
                <w:rFonts w:ascii="宋体" w:hAnsi="宋体"/>
                <w:color w:val="auto"/>
                <w:kern w:val="0"/>
                <w:szCs w:val="21"/>
                <w:highlight w:val="none"/>
              </w:rPr>
            </w:pPr>
          </w:p>
          <w:p w14:paraId="4E49C942">
            <w:pPr>
              <w:snapToGrid w:val="0"/>
              <w:spacing w:line="400" w:lineRule="exact"/>
              <w:jc w:val="center"/>
              <w:rPr>
                <w:rFonts w:ascii="宋体" w:hAnsi="宋体"/>
                <w:color w:val="auto"/>
                <w:kern w:val="0"/>
                <w:szCs w:val="21"/>
                <w:highlight w:val="none"/>
              </w:rPr>
            </w:pPr>
          </w:p>
          <w:p w14:paraId="18D51E40">
            <w:pPr>
              <w:snapToGrid w:val="0"/>
              <w:spacing w:line="400" w:lineRule="exact"/>
              <w:jc w:val="center"/>
              <w:rPr>
                <w:rFonts w:ascii="宋体" w:hAnsi="宋体"/>
                <w:color w:val="auto"/>
                <w:kern w:val="0"/>
                <w:szCs w:val="21"/>
                <w:highlight w:val="none"/>
              </w:rPr>
            </w:pPr>
          </w:p>
          <w:p w14:paraId="277F59A5">
            <w:pPr>
              <w:snapToGrid w:val="0"/>
              <w:spacing w:line="400" w:lineRule="exact"/>
              <w:jc w:val="center"/>
              <w:rPr>
                <w:rFonts w:ascii="宋体" w:hAnsi="宋体"/>
                <w:color w:val="auto"/>
                <w:kern w:val="0"/>
                <w:szCs w:val="21"/>
                <w:highlight w:val="none"/>
              </w:rPr>
            </w:pPr>
          </w:p>
          <w:p w14:paraId="3A60B508">
            <w:pPr>
              <w:snapToGrid w:val="0"/>
              <w:spacing w:line="400" w:lineRule="exact"/>
              <w:jc w:val="center"/>
              <w:rPr>
                <w:rFonts w:ascii="宋体" w:hAnsi="宋体"/>
                <w:color w:val="auto"/>
                <w:kern w:val="0"/>
                <w:szCs w:val="21"/>
                <w:highlight w:val="none"/>
              </w:rPr>
            </w:pPr>
          </w:p>
          <w:p w14:paraId="091A8E3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14:paraId="343BE405">
            <w:pPr>
              <w:snapToGrid w:val="0"/>
              <w:spacing w:line="400" w:lineRule="exact"/>
              <w:jc w:val="center"/>
              <w:rPr>
                <w:rFonts w:ascii="宋体" w:hAnsi="宋体"/>
                <w:color w:val="auto"/>
                <w:kern w:val="0"/>
                <w:szCs w:val="21"/>
                <w:highlight w:val="none"/>
              </w:rPr>
            </w:pPr>
          </w:p>
          <w:p w14:paraId="1E3CC541">
            <w:pPr>
              <w:snapToGrid w:val="0"/>
              <w:spacing w:line="400" w:lineRule="exact"/>
              <w:jc w:val="center"/>
              <w:rPr>
                <w:rFonts w:ascii="宋体" w:hAnsi="宋体"/>
                <w:color w:val="auto"/>
                <w:kern w:val="0"/>
                <w:szCs w:val="21"/>
                <w:highlight w:val="none"/>
              </w:rPr>
            </w:pPr>
          </w:p>
          <w:p w14:paraId="2D809012">
            <w:pPr>
              <w:snapToGrid w:val="0"/>
              <w:spacing w:line="400" w:lineRule="exact"/>
              <w:jc w:val="center"/>
              <w:rPr>
                <w:rFonts w:ascii="宋体" w:hAnsi="宋体"/>
                <w:color w:val="auto"/>
                <w:kern w:val="0"/>
                <w:szCs w:val="21"/>
                <w:highlight w:val="none"/>
              </w:rPr>
            </w:pPr>
          </w:p>
          <w:p w14:paraId="7A89204E">
            <w:pPr>
              <w:snapToGrid w:val="0"/>
              <w:spacing w:line="400" w:lineRule="exact"/>
              <w:jc w:val="center"/>
              <w:rPr>
                <w:rFonts w:ascii="宋体" w:hAnsi="宋体"/>
                <w:color w:val="auto"/>
                <w:kern w:val="0"/>
                <w:szCs w:val="21"/>
                <w:highlight w:val="none"/>
              </w:rPr>
            </w:pPr>
          </w:p>
          <w:p w14:paraId="24AF8FD5">
            <w:pPr>
              <w:snapToGrid w:val="0"/>
              <w:spacing w:line="400" w:lineRule="exact"/>
              <w:jc w:val="center"/>
              <w:rPr>
                <w:rFonts w:ascii="宋体" w:hAnsi="宋体"/>
                <w:color w:val="auto"/>
                <w:kern w:val="0"/>
                <w:szCs w:val="21"/>
                <w:highlight w:val="none"/>
              </w:rPr>
            </w:pPr>
          </w:p>
          <w:p w14:paraId="1AE8D142">
            <w:pPr>
              <w:snapToGrid w:val="0"/>
              <w:spacing w:line="400" w:lineRule="exact"/>
              <w:jc w:val="center"/>
              <w:rPr>
                <w:rFonts w:ascii="宋体" w:hAnsi="宋体"/>
                <w:color w:val="auto"/>
                <w:kern w:val="0"/>
                <w:szCs w:val="21"/>
                <w:highlight w:val="none"/>
              </w:rPr>
            </w:pPr>
          </w:p>
          <w:p w14:paraId="0CF66E91">
            <w:pPr>
              <w:snapToGrid w:val="0"/>
              <w:spacing w:line="400" w:lineRule="exact"/>
              <w:jc w:val="center"/>
              <w:rPr>
                <w:rFonts w:ascii="宋体" w:hAnsi="宋体"/>
                <w:color w:val="auto"/>
                <w:kern w:val="0"/>
                <w:szCs w:val="21"/>
                <w:highlight w:val="none"/>
              </w:rPr>
            </w:pPr>
          </w:p>
          <w:p w14:paraId="4E5BA6D8">
            <w:pPr>
              <w:snapToGrid w:val="0"/>
              <w:spacing w:line="400" w:lineRule="exact"/>
              <w:jc w:val="center"/>
              <w:rPr>
                <w:rFonts w:ascii="宋体" w:hAnsi="宋体"/>
                <w:color w:val="auto"/>
                <w:kern w:val="0"/>
                <w:szCs w:val="21"/>
                <w:highlight w:val="none"/>
              </w:rPr>
            </w:pPr>
          </w:p>
          <w:p w14:paraId="030D9985">
            <w:pPr>
              <w:snapToGrid w:val="0"/>
              <w:spacing w:line="400" w:lineRule="exact"/>
              <w:jc w:val="center"/>
              <w:rPr>
                <w:rFonts w:ascii="宋体" w:hAnsi="宋体"/>
                <w:color w:val="auto"/>
                <w:kern w:val="0"/>
                <w:szCs w:val="21"/>
                <w:highlight w:val="none"/>
              </w:rPr>
            </w:pPr>
          </w:p>
          <w:p w14:paraId="3810851F">
            <w:pPr>
              <w:snapToGrid w:val="0"/>
              <w:spacing w:line="400" w:lineRule="exact"/>
              <w:jc w:val="center"/>
              <w:rPr>
                <w:rFonts w:ascii="宋体" w:hAnsi="宋体"/>
                <w:color w:val="auto"/>
                <w:kern w:val="0"/>
                <w:szCs w:val="21"/>
                <w:highlight w:val="none"/>
              </w:rPr>
            </w:pPr>
          </w:p>
          <w:p w14:paraId="2FF061A7">
            <w:pPr>
              <w:snapToGrid w:val="0"/>
              <w:spacing w:line="400" w:lineRule="exact"/>
              <w:jc w:val="center"/>
              <w:rPr>
                <w:rFonts w:ascii="宋体" w:hAnsi="宋体"/>
                <w:color w:val="auto"/>
                <w:kern w:val="0"/>
                <w:szCs w:val="21"/>
                <w:highlight w:val="none"/>
              </w:rPr>
            </w:pPr>
          </w:p>
          <w:p w14:paraId="440B3E94">
            <w:pPr>
              <w:snapToGrid w:val="0"/>
              <w:spacing w:line="400" w:lineRule="exact"/>
              <w:jc w:val="center"/>
              <w:rPr>
                <w:rFonts w:ascii="宋体" w:hAnsi="宋体"/>
                <w:color w:val="auto"/>
                <w:kern w:val="0"/>
                <w:szCs w:val="21"/>
                <w:highlight w:val="none"/>
              </w:rPr>
            </w:pPr>
          </w:p>
          <w:p w14:paraId="63F0C66A">
            <w:pPr>
              <w:snapToGrid w:val="0"/>
              <w:spacing w:line="400" w:lineRule="exact"/>
              <w:jc w:val="center"/>
              <w:rPr>
                <w:rFonts w:ascii="宋体" w:hAnsi="宋体"/>
                <w:color w:val="auto"/>
                <w:kern w:val="0"/>
                <w:szCs w:val="21"/>
                <w:highlight w:val="none"/>
              </w:rPr>
            </w:pPr>
          </w:p>
          <w:p w14:paraId="324ABB83">
            <w:pPr>
              <w:snapToGrid w:val="0"/>
              <w:spacing w:line="400" w:lineRule="exact"/>
              <w:jc w:val="center"/>
              <w:rPr>
                <w:rFonts w:ascii="宋体" w:hAnsi="宋体"/>
                <w:color w:val="auto"/>
                <w:kern w:val="0"/>
                <w:szCs w:val="21"/>
                <w:highlight w:val="none"/>
              </w:rPr>
            </w:pPr>
          </w:p>
          <w:p w14:paraId="092B5095">
            <w:pPr>
              <w:snapToGrid w:val="0"/>
              <w:spacing w:line="400" w:lineRule="exact"/>
              <w:jc w:val="center"/>
              <w:rPr>
                <w:rFonts w:ascii="宋体" w:hAnsi="宋体"/>
                <w:color w:val="auto"/>
                <w:kern w:val="0"/>
                <w:szCs w:val="21"/>
                <w:highlight w:val="none"/>
              </w:rPr>
            </w:pPr>
          </w:p>
          <w:p w14:paraId="4D8E00AD">
            <w:pPr>
              <w:snapToGrid w:val="0"/>
              <w:spacing w:line="400" w:lineRule="exact"/>
              <w:jc w:val="center"/>
              <w:rPr>
                <w:rFonts w:ascii="宋体" w:hAnsi="宋体"/>
                <w:color w:val="auto"/>
                <w:kern w:val="0"/>
                <w:szCs w:val="21"/>
                <w:highlight w:val="none"/>
              </w:rPr>
            </w:pPr>
          </w:p>
          <w:p w14:paraId="0888E069">
            <w:pPr>
              <w:snapToGrid w:val="0"/>
              <w:spacing w:line="400" w:lineRule="exact"/>
              <w:jc w:val="center"/>
              <w:rPr>
                <w:rFonts w:ascii="宋体" w:hAnsi="宋体"/>
                <w:color w:val="auto"/>
                <w:kern w:val="0"/>
                <w:szCs w:val="21"/>
                <w:highlight w:val="none"/>
              </w:rPr>
            </w:pPr>
          </w:p>
          <w:p w14:paraId="45879636">
            <w:pPr>
              <w:snapToGrid w:val="0"/>
              <w:spacing w:line="400" w:lineRule="exact"/>
              <w:jc w:val="center"/>
              <w:rPr>
                <w:rFonts w:ascii="宋体" w:hAnsi="宋体"/>
                <w:color w:val="auto"/>
                <w:kern w:val="0"/>
                <w:szCs w:val="21"/>
                <w:highlight w:val="none"/>
              </w:rPr>
            </w:pPr>
          </w:p>
          <w:p w14:paraId="73CEC51A">
            <w:pPr>
              <w:snapToGrid w:val="0"/>
              <w:spacing w:line="400" w:lineRule="exact"/>
              <w:jc w:val="center"/>
              <w:rPr>
                <w:rFonts w:ascii="宋体" w:hAnsi="宋体"/>
                <w:color w:val="auto"/>
                <w:kern w:val="0"/>
                <w:szCs w:val="21"/>
                <w:highlight w:val="none"/>
              </w:rPr>
            </w:pPr>
          </w:p>
          <w:p w14:paraId="3C288869">
            <w:pPr>
              <w:snapToGrid w:val="0"/>
              <w:spacing w:line="400" w:lineRule="exact"/>
              <w:jc w:val="center"/>
              <w:rPr>
                <w:rFonts w:ascii="宋体" w:hAnsi="宋体"/>
                <w:color w:val="auto"/>
                <w:kern w:val="0"/>
                <w:szCs w:val="21"/>
                <w:highlight w:val="none"/>
              </w:rPr>
            </w:pPr>
          </w:p>
          <w:p w14:paraId="5B65F51D">
            <w:pPr>
              <w:snapToGrid w:val="0"/>
              <w:spacing w:line="400" w:lineRule="exact"/>
              <w:jc w:val="center"/>
              <w:rPr>
                <w:rFonts w:ascii="宋体" w:hAnsi="宋体"/>
                <w:color w:val="auto"/>
                <w:kern w:val="0"/>
                <w:szCs w:val="21"/>
                <w:highlight w:val="none"/>
              </w:rPr>
            </w:pPr>
          </w:p>
          <w:p w14:paraId="5B060465">
            <w:pPr>
              <w:snapToGrid w:val="0"/>
              <w:spacing w:line="400" w:lineRule="exact"/>
              <w:jc w:val="center"/>
              <w:rPr>
                <w:rFonts w:ascii="宋体" w:hAnsi="宋体"/>
                <w:color w:val="auto"/>
                <w:kern w:val="0"/>
                <w:szCs w:val="21"/>
                <w:highlight w:val="none"/>
              </w:rPr>
            </w:pPr>
          </w:p>
          <w:p w14:paraId="63556287">
            <w:pPr>
              <w:snapToGrid w:val="0"/>
              <w:spacing w:line="400" w:lineRule="exact"/>
              <w:jc w:val="center"/>
              <w:rPr>
                <w:rFonts w:ascii="宋体" w:hAnsi="宋体"/>
                <w:color w:val="auto"/>
                <w:kern w:val="0"/>
                <w:szCs w:val="21"/>
                <w:highlight w:val="none"/>
              </w:rPr>
            </w:pPr>
          </w:p>
          <w:p w14:paraId="723CC4CC">
            <w:pPr>
              <w:snapToGrid w:val="0"/>
              <w:spacing w:line="400" w:lineRule="exact"/>
              <w:jc w:val="center"/>
              <w:rPr>
                <w:rFonts w:ascii="宋体" w:hAnsi="宋体"/>
                <w:color w:val="auto"/>
                <w:kern w:val="0"/>
                <w:szCs w:val="21"/>
                <w:highlight w:val="none"/>
              </w:rPr>
            </w:pPr>
          </w:p>
          <w:p w14:paraId="6A790B87">
            <w:pPr>
              <w:snapToGrid w:val="0"/>
              <w:spacing w:line="400" w:lineRule="exact"/>
              <w:jc w:val="center"/>
              <w:rPr>
                <w:rFonts w:ascii="宋体" w:hAnsi="宋体"/>
                <w:color w:val="auto"/>
                <w:kern w:val="0"/>
                <w:szCs w:val="21"/>
                <w:highlight w:val="none"/>
              </w:rPr>
            </w:pPr>
          </w:p>
          <w:p w14:paraId="3E7EDF7D">
            <w:pPr>
              <w:snapToGrid w:val="0"/>
              <w:spacing w:line="400" w:lineRule="exact"/>
              <w:jc w:val="center"/>
              <w:rPr>
                <w:rFonts w:ascii="宋体" w:hAnsi="宋体"/>
                <w:color w:val="auto"/>
                <w:kern w:val="0"/>
                <w:szCs w:val="21"/>
                <w:highlight w:val="none"/>
              </w:rPr>
            </w:pPr>
          </w:p>
          <w:p w14:paraId="115183C8">
            <w:pPr>
              <w:snapToGrid w:val="0"/>
              <w:spacing w:line="400" w:lineRule="exact"/>
              <w:jc w:val="center"/>
              <w:rPr>
                <w:rFonts w:ascii="宋体" w:hAnsi="宋体"/>
                <w:color w:val="auto"/>
                <w:kern w:val="0"/>
                <w:szCs w:val="21"/>
                <w:highlight w:val="none"/>
              </w:rPr>
            </w:pPr>
          </w:p>
          <w:p w14:paraId="623FCA67">
            <w:pPr>
              <w:snapToGrid w:val="0"/>
              <w:spacing w:line="400" w:lineRule="exact"/>
              <w:jc w:val="center"/>
              <w:rPr>
                <w:rFonts w:ascii="宋体" w:hAnsi="宋体"/>
                <w:color w:val="auto"/>
                <w:kern w:val="0"/>
                <w:szCs w:val="21"/>
                <w:highlight w:val="none"/>
              </w:rPr>
            </w:pPr>
          </w:p>
          <w:p w14:paraId="681C5987">
            <w:pPr>
              <w:snapToGrid w:val="0"/>
              <w:spacing w:line="400" w:lineRule="exact"/>
              <w:jc w:val="center"/>
              <w:rPr>
                <w:rFonts w:ascii="宋体" w:hAnsi="宋体"/>
                <w:color w:val="auto"/>
                <w:kern w:val="0"/>
                <w:szCs w:val="21"/>
                <w:highlight w:val="none"/>
              </w:rPr>
            </w:pPr>
          </w:p>
          <w:p w14:paraId="48E5A340">
            <w:pPr>
              <w:snapToGrid w:val="0"/>
              <w:spacing w:line="400" w:lineRule="exact"/>
              <w:jc w:val="center"/>
              <w:rPr>
                <w:rFonts w:ascii="宋体" w:hAnsi="宋体"/>
                <w:color w:val="auto"/>
                <w:kern w:val="0"/>
                <w:szCs w:val="21"/>
                <w:highlight w:val="none"/>
              </w:rPr>
            </w:pPr>
          </w:p>
          <w:p w14:paraId="67315643">
            <w:pPr>
              <w:snapToGrid w:val="0"/>
              <w:spacing w:line="400" w:lineRule="exact"/>
              <w:jc w:val="center"/>
              <w:rPr>
                <w:rFonts w:ascii="宋体" w:hAnsi="宋体"/>
                <w:color w:val="auto"/>
                <w:kern w:val="0"/>
                <w:szCs w:val="21"/>
                <w:highlight w:val="none"/>
              </w:rPr>
            </w:pPr>
          </w:p>
          <w:p w14:paraId="00B427D5">
            <w:pPr>
              <w:snapToGrid w:val="0"/>
              <w:spacing w:line="400" w:lineRule="exact"/>
              <w:jc w:val="center"/>
              <w:rPr>
                <w:rFonts w:ascii="宋体" w:hAnsi="宋体"/>
                <w:color w:val="auto"/>
                <w:kern w:val="0"/>
                <w:szCs w:val="21"/>
                <w:highlight w:val="none"/>
              </w:rPr>
            </w:pPr>
          </w:p>
          <w:p w14:paraId="2D81408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14:paraId="166F27D7">
            <w:pPr>
              <w:snapToGrid w:val="0"/>
              <w:spacing w:line="400" w:lineRule="exact"/>
              <w:jc w:val="center"/>
              <w:rPr>
                <w:rFonts w:ascii="宋体" w:hAnsi="宋体"/>
                <w:color w:val="auto"/>
                <w:kern w:val="0"/>
                <w:szCs w:val="21"/>
                <w:highlight w:val="none"/>
              </w:rPr>
            </w:pPr>
          </w:p>
          <w:p w14:paraId="571DF460">
            <w:pPr>
              <w:snapToGrid w:val="0"/>
              <w:spacing w:line="400" w:lineRule="exact"/>
              <w:jc w:val="center"/>
              <w:rPr>
                <w:rFonts w:ascii="宋体" w:hAnsi="宋体"/>
                <w:color w:val="auto"/>
                <w:kern w:val="0"/>
                <w:szCs w:val="21"/>
                <w:highlight w:val="none"/>
              </w:rPr>
            </w:pPr>
          </w:p>
          <w:p w14:paraId="1DC4F291">
            <w:pPr>
              <w:snapToGrid w:val="0"/>
              <w:spacing w:line="400" w:lineRule="exact"/>
              <w:jc w:val="center"/>
              <w:rPr>
                <w:rFonts w:ascii="宋体" w:hAnsi="宋体"/>
                <w:color w:val="auto"/>
                <w:kern w:val="0"/>
                <w:szCs w:val="21"/>
                <w:highlight w:val="none"/>
              </w:rPr>
            </w:pPr>
          </w:p>
          <w:p w14:paraId="0A0ADBC7">
            <w:pPr>
              <w:snapToGrid w:val="0"/>
              <w:spacing w:line="400" w:lineRule="exact"/>
              <w:jc w:val="center"/>
              <w:rPr>
                <w:rFonts w:ascii="宋体" w:hAnsi="宋体"/>
                <w:color w:val="auto"/>
                <w:kern w:val="0"/>
                <w:szCs w:val="21"/>
                <w:highlight w:val="none"/>
              </w:rPr>
            </w:pPr>
          </w:p>
          <w:p w14:paraId="7CF72F8B">
            <w:pPr>
              <w:snapToGrid w:val="0"/>
              <w:spacing w:line="400" w:lineRule="exact"/>
              <w:jc w:val="center"/>
              <w:rPr>
                <w:rFonts w:ascii="宋体" w:hAnsi="宋体"/>
                <w:color w:val="auto"/>
                <w:kern w:val="0"/>
                <w:szCs w:val="21"/>
                <w:highlight w:val="none"/>
              </w:rPr>
            </w:pPr>
          </w:p>
          <w:p w14:paraId="179FE5B5">
            <w:pPr>
              <w:snapToGrid w:val="0"/>
              <w:spacing w:line="400" w:lineRule="exact"/>
              <w:jc w:val="center"/>
              <w:rPr>
                <w:rFonts w:ascii="宋体" w:hAnsi="宋体"/>
                <w:color w:val="auto"/>
                <w:kern w:val="0"/>
                <w:szCs w:val="21"/>
                <w:highlight w:val="none"/>
              </w:rPr>
            </w:pPr>
          </w:p>
          <w:p w14:paraId="14517C7C">
            <w:pPr>
              <w:snapToGrid w:val="0"/>
              <w:spacing w:line="400" w:lineRule="exact"/>
              <w:jc w:val="center"/>
              <w:rPr>
                <w:rFonts w:ascii="宋体" w:hAnsi="宋体"/>
                <w:color w:val="auto"/>
                <w:kern w:val="0"/>
                <w:szCs w:val="21"/>
                <w:highlight w:val="none"/>
              </w:rPr>
            </w:pPr>
          </w:p>
          <w:p w14:paraId="4CA1B32D">
            <w:pPr>
              <w:snapToGrid w:val="0"/>
              <w:spacing w:line="400" w:lineRule="exact"/>
              <w:jc w:val="center"/>
              <w:rPr>
                <w:rFonts w:ascii="宋体" w:hAnsi="宋体"/>
                <w:color w:val="auto"/>
                <w:kern w:val="0"/>
                <w:szCs w:val="21"/>
                <w:highlight w:val="none"/>
              </w:rPr>
            </w:pPr>
          </w:p>
          <w:p w14:paraId="6E3066A3">
            <w:pPr>
              <w:snapToGrid w:val="0"/>
              <w:spacing w:line="400" w:lineRule="exact"/>
              <w:jc w:val="center"/>
              <w:rPr>
                <w:rFonts w:ascii="宋体" w:hAnsi="宋体"/>
                <w:color w:val="auto"/>
                <w:kern w:val="0"/>
                <w:szCs w:val="21"/>
                <w:highlight w:val="none"/>
              </w:rPr>
            </w:pPr>
          </w:p>
          <w:p w14:paraId="53AA2F69">
            <w:pPr>
              <w:snapToGrid w:val="0"/>
              <w:spacing w:line="400" w:lineRule="exact"/>
              <w:jc w:val="center"/>
              <w:rPr>
                <w:rFonts w:ascii="宋体" w:hAnsi="宋体"/>
                <w:color w:val="auto"/>
                <w:kern w:val="0"/>
                <w:szCs w:val="21"/>
                <w:highlight w:val="none"/>
              </w:rPr>
            </w:pPr>
          </w:p>
          <w:p w14:paraId="41DAC9AD">
            <w:pPr>
              <w:snapToGrid w:val="0"/>
              <w:spacing w:line="400" w:lineRule="exact"/>
              <w:jc w:val="center"/>
              <w:rPr>
                <w:rFonts w:ascii="宋体" w:hAnsi="宋体"/>
                <w:color w:val="auto"/>
                <w:kern w:val="0"/>
                <w:szCs w:val="21"/>
                <w:highlight w:val="none"/>
              </w:rPr>
            </w:pPr>
          </w:p>
          <w:p w14:paraId="7EFE0DBF">
            <w:pPr>
              <w:snapToGrid w:val="0"/>
              <w:spacing w:line="400" w:lineRule="exact"/>
              <w:jc w:val="center"/>
              <w:rPr>
                <w:rFonts w:ascii="宋体" w:hAnsi="宋体"/>
                <w:color w:val="auto"/>
                <w:kern w:val="0"/>
                <w:szCs w:val="21"/>
                <w:highlight w:val="none"/>
              </w:rPr>
            </w:pPr>
          </w:p>
          <w:p w14:paraId="3850470D">
            <w:pPr>
              <w:snapToGrid w:val="0"/>
              <w:spacing w:line="400" w:lineRule="exact"/>
              <w:jc w:val="center"/>
              <w:rPr>
                <w:rFonts w:ascii="宋体" w:hAnsi="宋体"/>
                <w:color w:val="auto"/>
                <w:kern w:val="0"/>
                <w:szCs w:val="21"/>
                <w:highlight w:val="none"/>
              </w:rPr>
            </w:pPr>
          </w:p>
          <w:p w14:paraId="6739BFD0">
            <w:pPr>
              <w:snapToGrid w:val="0"/>
              <w:spacing w:line="400" w:lineRule="exact"/>
              <w:jc w:val="center"/>
              <w:rPr>
                <w:rFonts w:ascii="宋体" w:hAnsi="宋体"/>
                <w:color w:val="auto"/>
                <w:kern w:val="0"/>
                <w:szCs w:val="21"/>
                <w:highlight w:val="none"/>
              </w:rPr>
            </w:pPr>
          </w:p>
          <w:p w14:paraId="4A370ABD">
            <w:pPr>
              <w:snapToGrid w:val="0"/>
              <w:spacing w:line="400" w:lineRule="exact"/>
              <w:jc w:val="center"/>
              <w:rPr>
                <w:rFonts w:ascii="宋体" w:hAnsi="宋体"/>
                <w:color w:val="auto"/>
                <w:kern w:val="0"/>
                <w:szCs w:val="21"/>
                <w:highlight w:val="none"/>
              </w:rPr>
            </w:pPr>
          </w:p>
          <w:p w14:paraId="58FA00CD">
            <w:pPr>
              <w:snapToGrid w:val="0"/>
              <w:spacing w:line="400" w:lineRule="exact"/>
              <w:jc w:val="center"/>
              <w:rPr>
                <w:rFonts w:ascii="宋体" w:hAnsi="宋体"/>
                <w:color w:val="auto"/>
                <w:kern w:val="0"/>
                <w:szCs w:val="21"/>
                <w:highlight w:val="none"/>
              </w:rPr>
            </w:pPr>
          </w:p>
          <w:p w14:paraId="1F033A58">
            <w:pPr>
              <w:snapToGrid w:val="0"/>
              <w:spacing w:line="400" w:lineRule="exact"/>
              <w:jc w:val="center"/>
              <w:rPr>
                <w:rFonts w:ascii="宋体" w:hAnsi="宋体"/>
                <w:color w:val="auto"/>
                <w:kern w:val="0"/>
                <w:szCs w:val="21"/>
                <w:highlight w:val="none"/>
              </w:rPr>
            </w:pPr>
          </w:p>
          <w:p w14:paraId="59BD1B06">
            <w:pPr>
              <w:snapToGrid w:val="0"/>
              <w:spacing w:line="400" w:lineRule="exact"/>
              <w:jc w:val="center"/>
              <w:rPr>
                <w:rFonts w:ascii="宋体" w:hAnsi="宋体"/>
                <w:color w:val="auto"/>
                <w:kern w:val="0"/>
                <w:szCs w:val="21"/>
                <w:highlight w:val="none"/>
              </w:rPr>
            </w:pPr>
          </w:p>
          <w:p w14:paraId="117E597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14:paraId="09FA8E7B">
            <w:pPr>
              <w:snapToGrid w:val="0"/>
              <w:spacing w:line="400" w:lineRule="exact"/>
              <w:jc w:val="center"/>
              <w:rPr>
                <w:rFonts w:ascii="宋体" w:hAnsi="宋体"/>
                <w:color w:val="auto"/>
                <w:kern w:val="0"/>
                <w:szCs w:val="21"/>
                <w:highlight w:val="none"/>
              </w:rPr>
            </w:pPr>
          </w:p>
          <w:p w14:paraId="7866076E">
            <w:pPr>
              <w:snapToGrid w:val="0"/>
              <w:spacing w:line="400" w:lineRule="exact"/>
              <w:jc w:val="center"/>
              <w:rPr>
                <w:rFonts w:ascii="宋体" w:hAnsi="宋体"/>
                <w:color w:val="auto"/>
                <w:kern w:val="0"/>
                <w:szCs w:val="21"/>
                <w:highlight w:val="none"/>
              </w:rPr>
            </w:pPr>
          </w:p>
          <w:p w14:paraId="00483647">
            <w:pPr>
              <w:snapToGrid w:val="0"/>
              <w:spacing w:line="400" w:lineRule="exact"/>
              <w:jc w:val="center"/>
              <w:rPr>
                <w:rFonts w:ascii="宋体" w:hAnsi="宋体"/>
                <w:color w:val="auto"/>
                <w:kern w:val="0"/>
                <w:szCs w:val="21"/>
                <w:highlight w:val="none"/>
              </w:rPr>
            </w:pPr>
          </w:p>
          <w:p w14:paraId="5768C48F">
            <w:pPr>
              <w:snapToGrid w:val="0"/>
              <w:spacing w:line="400" w:lineRule="exact"/>
              <w:jc w:val="center"/>
              <w:rPr>
                <w:rFonts w:ascii="宋体" w:hAnsi="宋体"/>
                <w:color w:val="auto"/>
                <w:kern w:val="0"/>
                <w:szCs w:val="21"/>
                <w:highlight w:val="none"/>
              </w:rPr>
            </w:pPr>
          </w:p>
        </w:tc>
        <w:tc>
          <w:tcPr>
            <w:tcW w:w="6490" w:type="dxa"/>
            <w:vAlign w:val="center"/>
          </w:tcPr>
          <w:p w14:paraId="6AB0A15D">
            <w:pPr>
              <w:autoSpaceDE w:val="0"/>
              <w:autoSpaceDN w:val="0"/>
              <w:adjustRightInd w:val="0"/>
              <w:snapToGrid w:val="0"/>
              <w:spacing w:line="400" w:lineRule="exact"/>
              <w:ind w:firstLine="420" w:firstLineChars="200"/>
              <w:rPr>
                <w:rFonts w:ascii="宋体" w:hAnsi="宋体"/>
                <w:color w:val="auto"/>
                <w:szCs w:val="21"/>
                <w:highlight w:val="none"/>
              </w:rPr>
            </w:pPr>
            <w:bookmarkStart w:id="92" w:name="OLE_LINK1"/>
            <w:r>
              <w:rPr>
                <w:rFonts w:ascii="宋体" w:hAnsi="宋体"/>
                <w:color w:val="auto"/>
                <w:szCs w:val="21"/>
                <w:highlight w:val="none"/>
              </w:rPr>
              <w:t>本工程</w:t>
            </w:r>
            <w:r>
              <w:rPr>
                <w:rFonts w:hint="eastAsia" w:ascii="宋体" w:hAnsi="宋体"/>
                <w:color w:val="auto"/>
                <w:szCs w:val="21"/>
                <w:highlight w:val="none"/>
              </w:rPr>
              <w:t>设计</w:t>
            </w:r>
            <w:r>
              <w:rPr>
                <w:rFonts w:ascii="宋体" w:hAnsi="宋体"/>
                <w:color w:val="auto"/>
                <w:szCs w:val="21"/>
                <w:highlight w:val="none"/>
              </w:rPr>
              <w:t>招标实行资格后审，</w:t>
            </w:r>
            <w:r>
              <w:rPr>
                <w:rFonts w:hint="eastAsia" w:ascii="宋体" w:hAnsi="宋体"/>
                <w:color w:val="auto"/>
                <w:szCs w:val="21"/>
                <w:highlight w:val="none"/>
                <w:lang w:eastAsia="zh-CN"/>
              </w:rPr>
              <w:t>竞选人</w:t>
            </w:r>
            <w:r>
              <w:rPr>
                <w:rFonts w:ascii="宋体" w:hAnsi="宋体"/>
                <w:color w:val="auto"/>
                <w:szCs w:val="21"/>
                <w:highlight w:val="none"/>
              </w:rPr>
              <w:t>应</w:t>
            </w:r>
            <w:bookmarkStart w:id="93" w:name="一是"/>
            <w:bookmarkEnd w:id="93"/>
            <w:r>
              <w:rPr>
                <w:rFonts w:ascii="宋体" w:hAnsi="宋体"/>
                <w:color w:val="auto"/>
                <w:szCs w:val="21"/>
                <w:highlight w:val="none"/>
              </w:rPr>
              <w:t>具备以下资格条件：</w:t>
            </w:r>
          </w:p>
          <w:bookmarkEnd w:id="92"/>
          <w:p w14:paraId="5FA77D60">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w:t>
            </w:r>
            <w:r>
              <w:rPr>
                <w:rFonts w:hint="eastAsia" w:ascii="宋体" w:hAnsi="宋体"/>
                <w:b/>
                <w:color w:val="auto"/>
                <w:szCs w:val="21"/>
                <w:highlight w:val="none"/>
              </w:rPr>
              <w:t>要求及</w:t>
            </w:r>
            <w:r>
              <w:rPr>
                <w:rFonts w:ascii="宋体" w:hAnsi="宋体"/>
                <w:b/>
                <w:color w:val="auto"/>
                <w:szCs w:val="21"/>
                <w:highlight w:val="none"/>
              </w:rPr>
              <w:t>营业执照</w:t>
            </w:r>
          </w:p>
          <w:p w14:paraId="21B1AA6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w:t>
            </w:r>
            <w:r>
              <w:rPr>
                <w:rFonts w:hint="eastAsia" w:ascii="宋体" w:hAnsi="宋体"/>
                <w:color w:val="auto"/>
                <w:szCs w:val="21"/>
                <w:highlight w:val="none"/>
              </w:rPr>
              <w:t>有效的以下资质之一：</w:t>
            </w:r>
          </w:p>
          <w:p w14:paraId="070F169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①工程设计综合甲级资质；</w:t>
            </w:r>
          </w:p>
          <w:p w14:paraId="533FE3E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②地质灾害评估和</w:t>
            </w:r>
            <w:r>
              <w:rPr>
                <w:rFonts w:hint="eastAsia" w:ascii="宋体" w:hAnsi="宋体"/>
                <w:snapToGrid w:val="0"/>
                <w:color w:val="auto"/>
                <w:kern w:val="0"/>
                <w:szCs w:val="21"/>
                <w:highlight w:val="none"/>
                <w:lang w:val="en-US" w:eastAsia="zh-CN"/>
              </w:rPr>
              <w:t>治理</w:t>
            </w:r>
            <w:r>
              <w:rPr>
                <w:rFonts w:hint="eastAsia" w:ascii="宋体" w:hAnsi="宋体"/>
                <w:snapToGrid w:val="0"/>
                <w:color w:val="auto"/>
                <w:kern w:val="0"/>
                <w:szCs w:val="21"/>
                <w:highlight w:val="none"/>
              </w:rPr>
              <w:t>工程勘查设计甲</w:t>
            </w:r>
            <w:r>
              <w:rPr>
                <w:rFonts w:hint="eastAsia" w:ascii="宋体" w:hAnsi="宋体"/>
                <w:snapToGrid w:val="0"/>
                <w:color w:val="auto"/>
                <w:kern w:val="0"/>
                <w:szCs w:val="21"/>
                <w:highlight w:val="none"/>
                <w:lang w:val="en-US" w:eastAsia="zh-CN"/>
              </w:rPr>
              <w:t>级。</w:t>
            </w:r>
          </w:p>
          <w:p w14:paraId="62D5112E">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w:t>
            </w:r>
          </w:p>
          <w:p w14:paraId="7ADA202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7F48EA4">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w:t>
            </w:r>
            <w:r>
              <w:rPr>
                <w:rFonts w:ascii="宋体" w:hAnsi="宋体"/>
                <w:color w:val="auto"/>
                <w:szCs w:val="21"/>
                <w:highlight w:val="none"/>
              </w:rPr>
              <w:t>提供有效的营业执照。</w:t>
            </w:r>
          </w:p>
          <w:p w14:paraId="7E0510FC">
            <w:pPr>
              <w:autoSpaceDE w:val="0"/>
              <w:autoSpaceDN w:val="0"/>
              <w:adjustRightInd w:val="0"/>
              <w:snapToGrid w:val="0"/>
              <w:spacing w:line="400" w:lineRule="exact"/>
              <w:ind w:firstLine="420" w:firstLineChars="200"/>
              <w:rPr>
                <w:rFonts w:ascii="宋体" w:hAnsi="宋体"/>
                <w:color w:val="auto"/>
                <w:highlight w:val="none"/>
              </w:rPr>
            </w:pPr>
            <w:r>
              <w:rPr>
                <w:rFonts w:hint="eastAsia"/>
                <w:color w:val="auto"/>
                <w:highlight w:val="none"/>
              </w:rPr>
              <w:t>注：不得将</w:t>
            </w:r>
            <w:r>
              <w:rPr>
                <w:rFonts w:hint="eastAsia"/>
                <w:color w:val="auto"/>
                <w:highlight w:val="none"/>
                <w:lang w:eastAsia="zh-CN"/>
              </w:rPr>
              <w:t>竞选人</w:t>
            </w:r>
            <w:r>
              <w:rPr>
                <w:rFonts w:hint="eastAsia"/>
                <w:color w:val="auto"/>
                <w:highlight w:val="none"/>
              </w:rPr>
              <w:t>营业执照记载的经营范围作为评审因素。</w:t>
            </w:r>
          </w:p>
          <w:p w14:paraId="2E82DFF5">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1F9D956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自行承诺（格式见第六章</w:t>
            </w:r>
            <w:r>
              <w:rPr>
                <w:rFonts w:hint="eastAsia" w:ascii="宋体" w:hAnsi="宋体"/>
                <w:color w:val="auto"/>
                <w:szCs w:val="21"/>
                <w:highlight w:val="none"/>
                <w:lang w:eastAsia="zh-CN"/>
              </w:rPr>
              <w:t>竞选文件</w:t>
            </w:r>
            <w:r>
              <w:rPr>
                <w:rFonts w:hint="eastAsia" w:ascii="宋体" w:hAnsi="宋体"/>
                <w:color w:val="auto"/>
                <w:szCs w:val="21"/>
                <w:highlight w:val="none"/>
              </w:rPr>
              <w:t>格式）不得存在下列情形之一：</w:t>
            </w:r>
          </w:p>
          <w:p w14:paraId="362EE898">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7FE6A3E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2398CFE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619BEBA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247D91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w:t>
            </w:r>
            <w:r>
              <w:rPr>
                <w:rFonts w:hint="eastAsia" w:ascii="宋体" w:hAnsi="宋体"/>
                <w:color w:val="auto"/>
                <w:szCs w:val="21"/>
                <w:highlight w:val="none"/>
                <w:lang w:val="en-US" w:eastAsia="zh-CN"/>
              </w:rPr>
              <w:t>行业主管</w:t>
            </w:r>
            <w:r>
              <w:rPr>
                <w:rFonts w:hint="eastAsia" w:ascii="宋体" w:hAnsi="宋体"/>
                <w:color w:val="auto"/>
                <w:szCs w:val="21"/>
                <w:highlight w:val="none"/>
              </w:rPr>
              <w:t>部门暂停在渝承揽新业务且在暂停期内。</w:t>
            </w:r>
          </w:p>
          <w:p w14:paraId="157C0C11">
            <w:pPr>
              <w:snapToGrid w:val="0"/>
              <w:spacing w:line="400" w:lineRule="exact"/>
              <w:ind w:firstLine="420" w:firstLineChars="200"/>
              <w:rPr>
                <w:color w:val="auto"/>
                <w:highlight w:val="none"/>
              </w:rPr>
            </w:pPr>
            <w:r>
              <w:rPr>
                <w:rFonts w:hint="eastAsia"/>
                <w:color w:val="auto"/>
                <w:highlight w:val="none"/>
                <w:lang w:eastAsia="zh-CN"/>
              </w:rPr>
              <w:t>竞选人</w:t>
            </w:r>
            <w:r>
              <w:rPr>
                <w:rFonts w:hint="eastAsia"/>
                <w:color w:val="auto"/>
                <w:highlight w:val="none"/>
              </w:rPr>
              <w:t>须在</w:t>
            </w:r>
            <w:r>
              <w:rPr>
                <w:rFonts w:hint="eastAsia"/>
                <w:color w:val="auto"/>
                <w:highlight w:val="none"/>
                <w:lang w:eastAsia="zh-CN"/>
              </w:rPr>
              <w:t>竞选文件</w:t>
            </w:r>
            <w:r>
              <w:rPr>
                <w:rFonts w:hint="eastAsia"/>
                <w:color w:val="auto"/>
                <w:highlight w:val="none"/>
              </w:rPr>
              <w:t>资格审查部分提供承诺。</w:t>
            </w:r>
          </w:p>
          <w:p w14:paraId="674CD9CA">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w:t>
            </w:r>
            <w:r>
              <w:rPr>
                <w:rFonts w:hint="eastAsia" w:ascii="宋体" w:hAnsi="宋体"/>
                <w:b/>
                <w:color w:val="auto"/>
                <w:szCs w:val="21"/>
                <w:highlight w:val="none"/>
              </w:rPr>
              <w:t>负责人的</w:t>
            </w:r>
            <w:r>
              <w:rPr>
                <w:rFonts w:ascii="宋体" w:hAnsi="宋体"/>
                <w:b/>
                <w:color w:val="auto"/>
                <w:szCs w:val="21"/>
                <w:highlight w:val="none"/>
              </w:rPr>
              <w:t>资格要求</w:t>
            </w:r>
          </w:p>
          <w:p w14:paraId="216C3C7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color w:val="auto"/>
                <w:szCs w:val="21"/>
                <w:highlight w:val="none"/>
                <w:lang w:eastAsia="zh-CN"/>
              </w:rPr>
              <w:t>竞选人</w:t>
            </w:r>
            <w:r>
              <w:rPr>
                <w:rFonts w:hint="eastAsia"/>
                <w:color w:val="auto"/>
                <w:szCs w:val="21"/>
                <w:highlight w:val="none"/>
              </w:rPr>
              <w:t>拟派的</w:t>
            </w:r>
            <w:r>
              <w:rPr>
                <w:color w:val="auto"/>
                <w:szCs w:val="21"/>
                <w:highlight w:val="none"/>
              </w:rPr>
              <w:t>项目</w:t>
            </w:r>
            <w:r>
              <w:rPr>
                <w:rFonts w:hint="eastAsia"/>
                <w:color w:val="auto"/>
                <w:szCs w:val="21"/>
                <w:highlight w:val="none"/>
              </w:rPr>
              <w:t>负责人必须是</w:t>
            </w:r>
            <w:r>
              <w:rPr>
                <w:rFonts w:hint="eastAsia"/>
                <w:color w:val="auto"/>
                <w:szCs w:val="21"/>
                <w:highlight w:val="none"/>
                <w:lang w:eastAsia="zh-CN"/>
              </w:rPr>
              <w:t>竞选人</w:t>
            </w:r>
            <w:r>
              <w:rPr>
                <w:rFonts w:hint="eastAsia"/>
                <w:color w:val="auto"/>
                <w:szCs w:val="21"/>
                <w:highlight w:val="none"/>
              </w:rPr>
              <w:t>本单位人员，具备</w:t>
            </w:r>
            <w:r>
              <w:rPr>
                <w:rFonts w:hint="eastAsia"/>
                <w:color w:val="auto"/>
                <w:szCs w:val="21"/>
                <w:highlight w:val="none"/>
                <w:u w:val="single"/>
                <w:lang w:val="en-US" w:eastAsia="zh-CN"/>
              </w:rPr>
              <w:t>中</w:t>
            </w:r>
            <w:r>
              <w:rPr>
                <w:rFonts w:hint="eastAsia"/>
                <w:color w:val="auto"/>
                <w:szCs w:val="21"/>
                <w:highlight w:val="none"/>
              </w:rPr>
              <w:t>级及以上</w:t>
            </w:r>
            <w:r>
              <w:rPr>
                <w:rFonts w:hint="eastAsia"/>
                <w:color w:val="auto"/>
                <w:szCs w:val="21"/>
                <w:highlight w:val="none"/>
                <w:u w:val="single"/>
                <w:lang w:val="en-US" w:eastAsia="zh-CN"/>
              </w:rPr>
              <w:t xml:space="preserve"> 工程类 </w:t>
            </w:r>
            <w:r>
              <w:rPr>
                <w:rFonts w:hint="eastAsia"/>
                <w:color w:val="auto"/>
                <w:szCs w:val="21"/>
                <w:highlight w:val="none"/>
              </w:rPr>
              <w:t>专业职称，</w:t>
            </w:r>
            <w:r>
              <w:rPr>
                <w:rFonts w:hint="eastAsia" w:ascii="宋体" w:hAnsi="宋体"/>
                <w:color w:val="auto"/>
                <w:szCs w:val="21"/>
                <w:highlight w:val="none"/>
                <w:lang w:val="en-US" w:eastAsia="zh-CN"/>
              </w:rPr>
              <w:t>并已</w:t>
            </w:r>
            <w:r>
              <w:rPr>
                <w:color w:val="auto"/>
                <w:szCs w:val="21"/>
                <w:highlight w:val="none"/>
              </w:rPr>
              <w:t>在</w:t>
            </w:r>
            <w:r>
              <w:rPr>
                <w:rFonts w:hint="eastAsia"/>
                <w:color w:val="auto"/>
                <w:szCs w:val="21"/>
                <w:highlight w:val="none"/>
                <w:lang w:eastAsia="zh-CN"/>
              </w:rPr>
              <w:t>竞选人</w:t>
            </w:r>
            <w:r>
              <w:rPr>
                <w:rFonts w:hint="eastAsia"/>
                <w:color w:val="auto"/>
                <w:szCs w:val="21"/>
                <w:highlight w:val="none"/>
              </w:rPr>
              <w:t>本</w:t>
            </w:r>
            <w:r>
              <w:rPr>
                <w:color w:val="auto"/>
                <w:szCs w:val="21"/>
                <w:highlight w:val="none"/>
              </w:rPr>
              <w:t>单位注册</w:t>
            </w:r>
            <w:r>
              <w:rPr>
                <w:rFonts w:hint="eastAsia" w:ascii="宋体" w:hAnsi="宋体"/>
                <w:color w:val="auto"/>
                <w:szCs w:val="21"/>
                <w:highlight w:val="none"/>
              </w:rPr>
              <w:t>。</w:t>
            </w:r>
          </w:p>
          <w:p w14:paraId="75A1060A">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资格审查部分提供在有效期内的拟派项目负责人身份证、职称证（职称证书无法体现专业的，可以提供学历证书或注册证书）、</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为其缴纳的养老保险证明材料。</w:t>
            </w:r>
          </w:p>
          <w:p w14:paraId="21184AA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w:t>
            </w:r>
            <w:r>
              <w:rPr>
                <w:rFonts w:hint="eastAsia" w:ascii="宋体" w:hAnsi="宋体"/>
                <w:color w:val="auto"/>
                <w:szCs w:val="21"/>
                <w:highlight w:val="none"/>
                <w:lang w:eastAsia="zh-CN"/>
              </w:rPr>
              <w:t>竞选人</w:t>
            </w:r>
            <w:r>
              <w:rPr>
                <w:rFonts w:hint="eastAsia" w:ascii="宋体" w:hAnsi="宋体"/>
                <w:color w:val="auto"/>
                <w:szCs w:val="21"/>
                <w:highlight w:val="none"/>
              </w:rPr>
              <w:t>须承诺拟派项目负责人履职和未被禁止参与投标。</w:t>
            </w:r>
          </w:p>
          <w:p w14:paraId="195E2A4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.2.1履职承诺要求：承诺拟派项目负责人中标后在本项目履职，签订合同时拟派的项目负责人必须与</w:t>
            </w:r>
            <w:r>
              <w:rPr>
                <w:rFonts w:hint="eastAsia" w:ascii="宋体" w:hAnsi="宋体"/>
                <w:color w:val="auto"/>
                <w:szCs w:val="21"/>
                <w:highlight w:val="none"/>
                <w:lang w:eastAsia="zh-CN"/>
              </w:rPr>
              <w:t>竞选文件</w:t>
            </w:r>
            <w:r>
              <w:rPr>
                <w:rFonts w:hint="eastAsia" w:ascii="宋体" w:hAnsi="宋体"/>
                <w:color w:val="auto"/>
                <w:szCs w:val="21"/>
                <w:highlight w:val="none"/>
              </w:rPr>
              <w:t>中的项目负责人一致，并满足办理相关手续的要求。不能按承诺履职的，按合同相关条款处罚并上报行政主管部门，给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w:t>
            </w:r>
            <w:r>
              <w:rPr>
                <w:rFonts w:hint="eastAsia" w:ascii="宋体" w:hAnsi="宋体"/>
                <w:color w:val="auto"/>
                <w:szCs w:val="21"/>
                <w:highlight w:val="none"/>
                <w:lang w:eastAsia="zh-CN"/>
              </w:rPr>
              <w:t>竞选人</w:t>
            </w:r>
            <w:r>
              <w:rPr>
                <w:rFonts w:hint="eastAsia" w:ascii="宋体" w:hAnsi="宋体"/>
                <w:color w:val="auto"/>
                <w:szCs w:val="21"/>
                <w:highlight w:val="none"/>
              </w:rPr>
              <w:t>依法承担违约赔偿责任。拟派项目负责人中标后不得随意更换。</w:t>
            </w:r>
          </w:p>
          <w:p w14:paraId="1977972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.2.2未被禁止参与投标承诺要求：承诺拟派项目负责人未被重庆市</w:t>
            </w:r>
            <w:r>
              <w:rPr>
                <w:rFonts w:hint="eastAsia" w:ascii="宋体" w:hAnsi="宋体"/>
                <w:color w:val="auto"/>
                <w:szCs w:val="21"/>
                <w:highlight w:val="none"/>
                <w:lang w:eastAsia="zh-CN"/>
              </w:rPr>
              <w:t>市级有关</w:t>
            </w:r>
            <w:r>
              <w:rPr>
                <w:rFonts w:hint="eastAsia" w:ascii="宋体" w:hAnsi="宋体"/>
                <w:color w:val="auto"/>
                <w:szCs w:val="21"/>
                <w:highlight w:val="none"/>
                <w:lang w:val="en-US" w:eastAsia="zh-CN"/>
              </w:rPr>
              <w:t>行业</w:t>
            </w:r>
            <w:r>
              <w:rPr>
                <w:rFonts w:hint="eastAsia" w:ascii="宋体" w:hAnsi="宋体"/>
                <w:color w:val="auto"/>
                <w:szCs w:val="21"/>
                <w:highlight w:val="none"/>
              </w:rPr>
              <w:t>主管部门暂停在渝承揽新业务。若被暂停在渝承揽新业务但仍参加投标，将被否决投标；已取得中标候选人资格或中标资格的，</w:t>
            </w:r>
            <w:r>
              <w:rPr>
                <w:rFonts w:hint="eastAsia" w:ascii="宋体" w:hAnsi="宋体"/>
                <w:color w:val="auto"/>
                <w:szCs w:val="21"/>
                <w:highlight w:val="none"/>
                <w:lang w:eastAsia="zh-CN"/>
              </w:rPr>
              <w:t>比选人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w:t>
            </w:r>
            <w:r>
              <w:rPr>
                <w:rFonts w:hint="eastAsia" w:ascii="宋体" w:hAnsi="宋体"/>
                <w:color w:val="auto"/>
                <w:szCs w:val="21"/>
                <w:highlight w:val="none"/>
                <w:lang w:eastAsia="zh-CN"/>
              </w:rPr>
              <w:t>竞选人</w:t>
            </w:r>
            <w:r>
              <w:rPr>
                <w:rFonts w:hint="eastAsia" w:ascii="宋体" w:hAnsi="宋体"/>
                <w:color w:val="auto"/>
                <w:szCs w:val="21"/>
                <w:highlight w:val="none"/>
              </w:rPr>
              <w:t>依法承担赔偿责任</w:t>
            </w:r>
            <w:r>
              <w:rPr>
                <w:rFonts w:hint="eastAsia" w:ascii="宋体" w:hAnsi="宋体"/>
                <w:color w:val="auto"/>
                <w:szCs w:val="21"/>
                <w:highlight w:val="none"/>
                <w:lang w:val="en-US" w:eastAsia="zh-CN"/>
              </w:rPr>
              <w:t>或</w:t>
            </w:r>
            <w:r>
              <w:rPr>
                <w:rFonts w:hint="eastAsia" w:ascii="宋体" w:hAnsi="宋体"/>
                <w:color w:val="auto"/>
                <w:szCs w:val="21"/>
                <w:highlight w:val="none"/>
              </w:rPr>
              <w:t>违约</w:t>
            </w:r>
            <w:r>
              <w:rPr>
                <w:rFonts w:hint="eastAsia" w:ascii="宋体" w:hAnsi="宋体"/>
                <w:color w:val="auto"/>
                <w:szCs w:val="21"/>
                <w:highlight w:val="none"/>
                <w:lang w:val="en-US" w:eastAsia="zh-CN"/>
              </w:rPr>
              <w:t>责任</w:t>
            </w:r>
            <w:r>
              <w:rPr>
                <w:rFonts w:hint="eastAsia" w:ascii="宋体" w:hAnsi="宋体"/>
                <w:color w:val="auto"/>
                <w:szCs w:val="21"/>
                <w:highlight w:val="none"/>
              </w:rPr>
              <w:t>。</w:t>
            </w:r>
          </w:p>
          <w:p w14:paraId="040DB8C3">
            <w:pPr>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w:t>
            </w:r>
            <w:r>
              <w:rPr>
                <w:rFonts w:ascii="宋体" w:hAnsi="宋体"/>
                <w:color w:val="auto"/>
                <w:szCs w:val="21"/>
                <w:highlight w:val="none"/>
              </w:rPr>
              <w:t>3</w:t>
            </w:r>
            <w:r>
              <w:rPr>
                <w:rFonts w:hint="eastAsia" w:ascii="宋体" w:hAnsi="宋体"/>
                <w:color w:val="auto"/>
                <w:szCs w:val="21"/>
                <w:highlight w:val="none"/>
              </w:rPr>
              <w:t>未提供上述承诺或承诺内容不符合要求的，由评标委员会作否决投标处理。以上承诺同时作为合同的附件。</w:t>
            </w:r>
          </w:p>
          <w:p w14:paraId="7AE88B5A">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资格审查部分提供拟派项目负责人履职和未被禁止参与投标的承诺（承诺格式见第六章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w:t>
            </w:r>
          </w:p>
          <w:p w14:paraId="6F82DECB">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1301400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设计团队</w:t>
            </w:r>
            <w:r>
              <w:rPr>
                <w:rFonts w:hint="eastAsia" w:ascii="宋体" w:hAnsi="宋体"/>
                <w:color w:val="auto"/>
                <w:szCs w:val="21"/>
                <w:highlight w:val="none"/>
              </w:rPr>
              <w:t>其他主要人员要求</w:t>
            </w:r>
            <w:r>
              <w:rPr>
                <w:rFonts w:ascii="宋体" w:hAnsi="宋体"/>
                <w:color w:val="auto"/>
                <w:szCs w:val="21"/>
                <w:highlight w:val="none"/>
              </w:rPr>
              <w:t>：</w:t>
            </w:r>
          </w:p>
          <w:p w14:paraId="4DB95AC9">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须在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资格审查部分提供承诺（承诺格式见第六章</w:t>
            </w:r>
            <w:r>
              <w:rPr>
                <w:rFonts w:hint="eastAsia" w:ascii="宋体" w:hAnsi="宋体"/>
                <w:color w:val="auto"/>
                <w:szCs w:val="21"/>
                <w:highlight w:val="none"/>
                <w:lang w:eastAsia="zh-CN"/>
              </w:rPr>
              <w:t>竞选文件</w:t>
            </w:r>
            <w:r>
              <w:rPr>
                <w:rFonts w:hint="eastAsia" w:ascii="宋体" w:hAnsi="宋体"/>
                <w:color w:val="auto"/>
                <w:szCs w:val="21"/>
                <w:highlight w:val="none"/>
              </w:rPr>
              <w:t>格式）。</w:t>
            </w:r>
            <w:r>
              <w:rPr>
                <w:rFonts w:hint="eastAsia" w:ascii="宋体" w:hAnsi="宋体"/>
                <w:color w:val="auto"/>
                <w:szCs w:val="21"/>
                <w:highlight w:val="none"/>
                <w:lang w:eastAsia="zh-CN"/>
              </w:rPr>
              <w:t>竞选人</w:t>
            </w:r>
            <w:r>
              <w:rPr>
                <w:rFonts w:hint="eastAsia" w:ascii="宋体" w:hAnsi="宋体"/>
                <w:color w:val="auto"/>
                <w:szCs w:val="21"/>
                <w:highlight w:val="none"/>
              </w:rPr>
              <w:t>自行承诺中标后在签订合同之前，根据项目实际情况组建项目设计团队，出具任命文件。任命文件应当明确设计团队的职责、岗位设置、人员配备，并书面通知建设单位。专业设计人员应持有建设行政主管部门要求的岗位证书或注册证书或职称证书，并提供</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为其缴纳的养老保险证明材料。中标后不能满足该要求的，取消其中标资格；签订合同后不满足该要求的，按合同相关条款处罚并上报行政主管部门；给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w:t>
            </w:r>
            <w:r>
              <w:rPr>
                <w:rFonts w:hint="eastAsia" w:ascii="宋体" w:hAnsi="宋体"/>
                <w:color w:val="auto"/>
                <w:szCs w:val="21"/>
                <w:highlight w:val="none"/>
                <w:lang w:eastAsia="zh-CN"/>
              </w:rPr>
              <w:t>竞选人</w:t>
            </w:r>
            <w:r>
              <w:rPr>
                <w:rFonts w:hint="eastAsia" w:ascii="宋体" w:hAnsi="宋体"/>
                <w:color w:val="auto"/>
                <w:szCs w:val="21"/>
                <w:highlight w:val="none"/>
              </w:rPr>
              <w:t>依法承担违约赔偿责任。</w:t>
            </w:r>
          </w:p>
          <w:p w14:paraId="4F670E8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（2）委托代理人</w:t>
            </w:r>
            <w:r>
              <w:rPr>
                <w:rFonts w:hint="eastAsia" w:ascii="宋体" w:hAnsi="宋体"/>
                <w:color w:val="auto"/>
                <w:kern w:val="0"/>
                <w:szCs w:val="21"/>
                <w:highlight w:val="none"/>
              </w:rPr>
              <w:t>：</w:t>
            </w:r>
          </w:p>
          <w:p w14:paraId="1B10AEF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2F88052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须</w:t>
            </w:r>
            <w:r>
              <w:rPr>
                <w:rFonts w:hint="eastAsia" w:ascii="宋体" w:hAnsi="宋体"/>
                <w:color w:val="auto"/>
                <w:kern w:val="0"/>
                <w:szCs w:val="21"/>
                <w:highlight w:val="none"/>
              </w:rPr>
              <w:t>在</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资格审查部分</w:t>
            </w:r>
            <w:r>
              <w:rPr>
                <w:rFonts w:ascii="宋体" w:hAnsi="宋体"/>
                <w:color w:val="auto"/>
                <w:kern w:val="0"/>
                <w:szCs w:val="21"/>
                <w:highlight w:val="none"/>
              </w:rPr>
              <w:t>提供</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缴纳的养老保险证明。否则，将由评标委员会作否决投标处理。</w:t>
            </w:r>
          </w:p>
          <w:p w14:paraId="3122C17A">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79639CEA">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上述要求须提交的相关证明材料复印件均应加盖投标单位法人章并装入竞选文件资格审查部分中。</w:t>
            </w:r>
          </w:p>
          <w:p w14:paraId="1C948BF5">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须自行承诺其提供的上述相关证明材料真实有效，不存在弄虚作假情形（格式见第六章</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格式）。</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在合同签订前均有权对</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提供的资料进行核实，若发现弄虚作假，</w:t>
            </w:r>
            <w:r>
              <w:rPr>
                <w:rFonts w:hint="eastAsia" w:ascii="宋体" w:hAnsi="宋体" w:cs="宋体"/>
                <w:color w:val="auto"/>
                <w:szCs w:val="21"/>
                <w:highlight w:val="none"/>
                <w:lang w:val="en-US" w:eastAsia="zh-CN"/>
              </w:rPr>
              <w:t>按相关规定</w:t>
            </w:r>
            <w:r>
              <w:rPr>
                <w:rFonts w:hint="eastAsia" w:ascii="宋体" w:hAnsi="宋体" w:cs="宋体"/>
                <w:color w:val="auto"/>
                <w:szCs w:val="21"/>
                <w:highlight w:val="none"/>
              </w:rPr>
              <w:t>取消其中标资格，并按相关法律法规报招标投标监督部门，其投标保证金不予退还，</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承担因此造成的相关责任并赔偿相应损失。</w:t>
            </w:r>
          </w:p>
          <w:p w14:paraId="7431B743">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6B2964B8">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7A87B0FE">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项目负责人</w:t>
            </w:r>
            <w:r>
              <w:rPr>
                <w:rFonts w:ascii="宋体" w:hAnsi="宋体"/>
                <w:bCs/>
                <w:snapToGrid w:val="0"/>
                <w:color w:val="auto"/>
                <w:kern w:val="0"/>
                <w:szCs w:val="21"/>
                <w:highlight w:val="none"/>
              </w:rPr>
              <w:t>和</w:t>
            </w:r>
            <w:r>
              <w:rPr>
                <w:rFonts w:hint="eastAsia" w:ascii="宋体" w:hAnsi="宋体"/>
                <w:bCs/>
                <w:snapToGrid w:val="0"/>
                <w:color w:val="auto"/>
                <w:kern w:val="0"/>
                <w:szCs w:val="21"/>
                <w:highlight w:val="none"/>
              </w:rPr>
              <w:t>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lang w:val="en-US" w:eastAsia="zh-CN"/>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3</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8</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38CC4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98C3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202B18D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4C5ADA0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不接受</w:t>
            </w:r>
          </w:p>
        </w:tc>
      </w:tr>
      <w:tr w14:paraId="3F7DC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2E08B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1.4.3</w:t>
            </w:r>
          </w:p>
        </w:tc>
        <w:tc>
          <w:tcPr>
            <w:tcW w:w="1644" w:type="dxa"/>
            <w:vAlign w:val="center"/>
          </w:tcPr>
          <w:p w14:paraId="028DD1B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不得存在的其他情形</w:t>
            </w:r>
          </w:p>
        </w:tc>
        <w:tc>
          <w:tcPr>
            <w:tcW w:w="6490" w:type="dxa"/>
            <w:vAlign w:val="center"/>
          </w:tcPr>
          <w:p w14:paraId="7E557038">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w:t>
            </w:r>
          </w:p>
        </w:tc>
      </w:tr>
      <w:tr w14:paraId="51E89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88283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4683F5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2E19209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039ED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A3FD7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3FD024A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491089C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02A93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E6C2B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1.11.1</w:t>
            </w:r>
          </w:p>
        </w:tc>
        <w:tc>
          <w:tcPr>
            <w:tcW w:w="1644" w:type="dxa"/>
            <w:vAlign w:val="center"/>
          </w:tcPr>
          <w:p w14:paraId="3E34B4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7C68575F">
            <w:pPr>
              <w:snapToGrid w:val="0"/>
              <w:spacing w:line="400" w:lineRule="exact"/>
              <w:ind w:firstLine="420" w:firstLineChars="200"/>
              <w:rPr>
                <w:color w:val="auto"/>
                <w:highlight w:val="none"/>
              </w:rPr>
            </w:pPr>
            <w:r>
              <w:rPr>
                <w:rFonts w:hint="eastAsia"/>
                <w:color w:val="auto"/>
                <w:highlight w:val="none"/>
                <w:lang w:eastAsia="zh-CN"/>
              </w:rPr>
              <w:t>☑</w:t>
            </w:r>
            <w:r>
              <w:rPr>
                <w:color w:val="auto"/>
                <w:highlight w:val="none"/>
              </w:rPr>
              <w:t>不允许</w:t>
            </w:r>
          </w:p>
        </w:tc>
      </w:tr>
      <w:tr w14:paraId="0B1BB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754F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1.12.3</w:t>
            </w:r>
          </w:p>
        </w:tc>
        <w:tc>
          <w:tcPr>
            <w:tcW w:w="1644" w:type="dxa"/>
            <w:vAlign w:val="center"/>
          </w:tcPr>
          <w:p w14:paraId="27E3F10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响应和偏离</w:t>
            </w:r>
          </w:p>
        </w:tc>
        <w:tc>
          <w:tcPr>
            <w:tcW w:w="6490" w:type="dxa"/>
            <w:vAlign w:val="center"/>
          </w:tcPr>
          <w:p w14:paraId="5AE336E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存在</w:t>
            </w:r>
            <w:r>
              <w:rPr>
                <w:rFonts w:hint="eastAsia" w:ascii="宋体" w:hAnsi="宋体"/>
                <w:color w:val="auto"/>
                <w:szCs w:val="21"/>
                <w:highlight w:val="none"/>
              </w:rPr>
              <w:t>第三章“附件：否决投标情况一览表”中</w:t>
            </w:r>
            <w:r>
              <w:rPr>
                <w:rFonts w:hint="eastAsia" w:ascii="宋体" w:hAnsi="宋体"/>
                <w:color w:val="auto"/>
                <w:kern w:val="0"/>
                <w:szCs w:val="21"/>
                <w:highlight w:val="none"/>
              </w:rPr>
              <w:t>情形之一的，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视为重大偏差并作否决投标处理，否则，评标委员会不得视为重大偏差而否决</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w:t>
            </w:r>
          </w:p>
        </w:tc>
      </w:tr>
      <w:tr w14:paraId="65337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253B7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2618B1B3">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的其他材料</w:t>
            </w:r>
          </w:p>
        </w:tc>
        <w:tc>
          <w:tcPr>
            <w:tcW w:w="6490" w:type="dxa"/>
            <w:vAlign w:val="center"/>
          </w:tcPr>
          <w:p w14:paraId="7FBE777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999D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88688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C64384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要求澄清</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hint="eastAsia" w:ascii="宋体" w:hAnsi="宋体"/>
                <w:color w:val="auto"/>
                <w:kern w:val="0"/>
                <w:szCs w:val="21"/>
                <w:highlight w:val="none"/>
              </w:rPr>
              <w:t>形式和</w:t>
            </w:r>
            <w:r>
              <w:rPr>
                <w:rFonts w:ascii="宋体" w:hAnsi="宋体"/>
                <w:color w:val="auto"/>
                <w:kern w:val="0"/>
                <w:szCs w:val="21"/>
                <w:highlight w:val="none"/>
              </w:rPr>
              <w:t>截止时间</w:t>
            </w:r>
          </w:p>
        </w:tc>
        <w:tc>
          <w:tcPr>
            <w:tcW w:w="6490" w:type="dxa"/>
            <w:vAlign w:val="center"/>
          </w:tcPr>
          <w:p w14:paraId="7BAE638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竞选人在收到比选文件后，应仔细检查比选文件的所有内容，如有残缺或文字表述不清，图纸尺寸标注不明以及存在错、碰、漏、缺、概念模糊和有可能出现歧义或理解上的偏差的内容，清单工程量等应在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：00 </w:t>
            </w:r>
            <w:r>
              <w:rPr>
                <w:rFonts w:hint="eastAsia" w:ascii="宋体" w:hAnsi="宋体"/>
                <w:color w:val="auto"/>
                <w:kern w:val="0"/>
                <w:szCs w:val="21"/>
                <w:highlight w:val="none"/>
              </w:rPr>
              <w:t>前通过匿名发送至邮箱</w:t>
            </w:r>
            <w:r>
              <w:rPr>
                <w:rFonts w:hint="eastAsia" w:ascii="宋体" w:hAnsi="宋体"/>
                <w:color w:val="auto"/>
                <w:kern w:val="0"/>
                <w:szCs w:val="21"/>
                <w:highlight w:val="none"/>
                <w:lang w:val="en-US" w:eastAsia="zh-CN"/>
              </w:rPr>
              <w:t>113497853</w:t>
            </w:r>
            <w:r>
              <w:rPr>
                <w:rFonts w:hint="eastAsia" w:ascii="宋体" w:hAnsi="宋体"/>
                <w:color w:val="auto"/>
                <w:kern w:val="0"/>
                <w:szCs w:val="21"/>
                <w:highlight w:val="none"/>
              </w:rPr>
              <w:t>@qq.com。</w:t>
            </w:r>
          </w:p>
        </w:tc>
      </w:tr>
      <w:tr w14:paraId="11FB6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0424BFA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3DF60B5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比选文件</w:t>
            </w:r>
            <w:r>
              <w:rPr>
                <w:rFonts w:ascii="宋体" w:hAnsi="宋体"/>
                <w:color w:val="auto"/>
                <w:kern w:val="0"/>
                <w:szCs w:val="21"/>
                <w:highlight w:val="none"/>
              </w:rPr>
              <w:t>澄清发出的</w:t>
            </w:r>
            <w:r>
              <w:rPr>
                <w:rFonts w:hint="eastAsia" w:ascii="宋体" w:hAnsi="宋体"/>
                <w:color w:val="auto"/>
                <w:kern w:val="0"/>
                <w:szCs w:val="21"/>
                <w:highlight w:val="none"/>
              </w:rPr>
              <w:t>形式和</w:t>
            </w:r>
            <w:r>
              <w:rPr>
                <w:rFonts w:ascii="宋体" w:hAnsi="宋体"/>
                <w:color w:val="auto"/>
                <w:kern w:val="0"/>
                <w:szCs w:val="21"/>
                <w:highlight w:val="none"/>
              </w:rPr>
              <w:t>时间</w:t>
            </w:r>
          </w:p>
        </w:tc>
        <w:tc>
          <w:tcPr>
            <w:tcW w:w="6490" w:type="dxa"/>
            <w:vAlign w:val="center"/>
          </w:tcPr>
          <w:p w14:paraId="4D9FBB4F">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比选人应在</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17：00 </w:t>
            </w:r>
            <w:r>
              <w:rPr>
                <w:rFonts w:hint="eastAsia" w:ascii="宋体" w:hAnsi="宋体" w:cs="宋体"/>
                <w:color w:val="auto"/>
                <w:szCs w:val="21"/>
                <w:highlight w:val="none"/>
              </w:rPr>
              <w:t>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“行采家”网站（https://www.gec123.com/）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021C2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2471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2.3.1</w:t>
            </w:r>
          </w:p>
        </w:tc>
        <w:tc>
          <w:tcPr>
            <w:tcW w:w="1644" w:type="dxa"/>
            <w:vAlign w:val="center"/>
          </w:tcPr>
          <w:p w14:paraId="6F87AFBB">
            <w:pPr>
              <w:snapToGrid w:val="0"/>
              <w:spacing w:after="12"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比选文件</w:t>
            </w:r>
            <w:r>
              <w:rPr>
                <w:rFonts w:ascii="宋体" w:hAnsi="宋体"/>
                <w:color w:val="auto"/>
                <w:kern w:val="0"/>
                <w:szCs w:val="21"/>
                <w:highlight w:val="none"/>
              </w:rPr>
              <w:t>修改发出的形式</w:t>
            </w:r>
            <w:r>
              <w:rPr>
                <w:rFonts w:hint="eastAsia" w:ascii="宋体" w:hAnsi="宋体"/>
                <w:color w:val="auto"/>
                <w:kern w:val="0"/>
                <w:szCs w:val="21"/>
                <w:highlight w:val="none"/>
              </w:rPr>
              <w:t>和</w:t>
            </w:r>
            <w:r>
              <w:rPr>
                <w:rFonts w:ascii="宋体" w:hAnsi="宋体"/>
                <w:color w:val="auto"/>
                <w:kern w:val="0"/>
                <w:szCs w:val="21"/>
                <w:highlight w:val="none"/>
              </w:rPr>
              <w:t>时间</w:t>
            </w:r>
          </w:p>
        </w:tc>
        <w:tc>
          <w:tcPr>
            <w:tcW w:w="6490" w:type="dxa"/>
            <w:vAlign w:val="center"/>
          </w:tcPr>
          <w:p w14:paraId="58EA1780">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比选公告</w:t>
            </w:r>
            <w:r>
              <w:rPr>
                <w:rFonts w:hint="eastAsia" w:ascii="宋体" w:hAnsi="宋体"/>
                <w:snapToGrid w:val="0"/>
                <w:color w:val="auto"/>
                <w:kern w:val="0"/>
                <w:szCs w:val="21"/>
                <w:highlight w:val="none"/>
              </w:rPr>
              <w:t>规定的时间前</w:t>
            </w:r>
            <w:r>
              <w:rPr>
                <w:rFonts w:ascii="宋体" w:hAnsi="宋体"/>
                <w:snapToGrid w:val="0"/>
                <w:color w:val="auto"/>
                <w:kern w:val="0"/>
                <w:szCs w:val="21"/>
                <w:highlight w:val="none"/>
              </w:rPr>
              <w:t>，在</w:t>
            </w:r>
            <w:r>
              <w:rPr>
                <w:rFonts w:hint="eastAsia" w:ascii="宋体" w:hAnsi="宋体"/>
                <w:color w:val="auto"/>
                <w:kern w:val="0"/>
                <w:szCs w:val="21"/>
                <w:highlight w:val="none"/>
                <w:u w:val="single"/>
              </w:rPr>
              <w:t>“行采家”网站（https://www.gec123.com/）</w:t>
            </w:r>
            <w:r>
              <w:rPr>
                <w:rFonts w:ascii="宋体" w:hAnsi="宋体"/>
                <w:snapToGrid w:val="0"/>
                <w:color w:val="auto"/>
                <w:kern w:val="0"/>
                <w:szCs w:val="21"/>
                <w:highlight w:val="none"/>
              </w:rPr>
              <w:t>发布</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w:t>
            </w:r>
          </w:p>
        </w:tc>
      </w:tr>
      <w:tr w14:paraId="74B20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54F64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6B04F0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的其他</w:t>
            </w:r>
            <w:r>
              <w:rPr>
                <w:rFonts w:hint="eastAsia" w:ascii="宋体" w:hAnsi="宋体"/>
                <w:color w:val="auto"/>
                <w:kern w:val="0"/>
                <w:szCs w:val="21"/>
                <w:highlight w:val="none"/>
              </w:rPr>
              <w:t>资</w:t>
            </w:r>
            <w:r>
              <w:rPr>
                <w:rFonts w:ascii="宋体" w:hAnsi="宋体"/>
                <w:color w:val="auto"/>
                <w:kern w:val="0"/>
                <w:szCs w:val="21"/>
                <w:highlight w:val="none"/>
              </w:rPr>
              <w:t>料</w:t>
            </w:r>
          </w:p>
        </w:tc>
        <w:tc>
          <w:tcPr>
            <w:tcW w:w="6490" w:type="dxa"/>
            <w:vAlign w:val="center"/>
          </w:tcPr>
          <w:p w14:paraId="6B44075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的书面澄清、说明和补正（但不得改变</w:t>
            </w:r>
            <w:r>
              <w:rPr>
                <w:rFonts w:hint="eastAsia" w:ascii="宋体" w:hAnsi="宋体"/>
                <w:color w:val="auto"/>
                <w:szCs w:val="21"/>
                <w:highlight w:val="none"/>
                <w:lang w:eastAsia="zh-CN"/>
              </w:rPr>
              <w:t>竞选文件</w:t>
            </w:r>
            <w:r>
              <w:rPr>
                <w:rFonts w:ascii="宋体" w:hAnsi="宋体"/>
                <w:color w:val="auto"/>
                <w:szCs w:val="21"/>
                <w:highlight w:val="none"/>
              </w:rPr>
              <w:t>的实质性内容）</w:t>
            </w:r>
          </w:p>
        </w:tc>
      </w:tr>
      <w:tr w14:paraId="2A6C5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9A4B9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.2.1</w:t>
            </w:r>
          </w:p>
        </w:tc>
        <w:tc>
          <w:tcPr>
            <w:tcW w:w="1644" w:type="dxa"/>
            <w:vAlign w:val="center"/>
          </w:tcPr>
          <w:p w14:paraId="5804B1F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增值税税金的计算方法</w:t>
            </w:r>
          </w:p>
        </w:tc>
        <w:tc>
          <w:tcPr>
            <w:tcW w:w="6490" w:type="dxa"/>
            <w:vAlign w:val="center"/>
          </w:tcPr>
          <w:p w14:paraId="382EE06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一般计税法</w:t>
            </w:r>
          </w:p>
          <w:p w14:paraId="6BF85A8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□简易计税法</w:t>
            </w:r>
          </w:p>
        </w:tc>
      </w:tr>
      <w:tr w14:paraId="2AA15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vAlign w:val="center"/>
          </w:tcPr>
          <w:p w14:paraId="43CEBCC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.2.3</w:t>
            </w:r>
          </w:p>
        </w:tc>
        <w:tc>
          <w:tcPr>
            <w:tcW w:w="1644" w:type="dxa"/>
            <w:vAlign w:val="center"/>
          </w:tcPr>
          <w:p w14:paraId="3322B2F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报价方式</w:t>
            </w:r>
          </w:p>
        </w:tc>
        <w:tc>
          <w:tcPr>
            <w:tcW w:w="6490" w:type="dxa"/>
            <w:vAlign w:val="center"/>
          </w:tcPr>
          <w:p w14:paraId="35257ACE">
            <w:pPr>
              <w:snapToGrid w:val="0"/>
              <w:spacing w:line="400" w:lineRule="exact"/>
              <w:ind w:firstLine="420" w:firstLineChars="200"/>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本次招标采用的报价方式为：</w:t>
            </w:r>
            <w:r>
              <w:rPr>
                <w:rFonts w:hint="eastAsia" w:ascii="宋体" w:hAnsi="宋体" w:cs="Times New Roman"/>
                <w:color w:val="auto"/>
                <w:szCs w:val="21"/>
                <w:highlight w:val="none"/>
                <w:lang w:val="en-US" w:eastAsia="zh-CN"/>
              </w:rPr>
              <w:t>费率</w:t>
            </w:r>
            <w:r>
              <w:rPr>
                <w:rFonts w:hint="eastAsia" w:ascii="宋体" w:hAnsi="宋体" w:cs="Times New Roman"/>
                <w:color w:val="auto"/>
                <w:szCs w:val="21"/>
                <w:highlight w:val="none"/>
                <w:lang w:eastAsia="zh-CN"/>
              </w:rPr>
              <w:t>报价，暂定总价。</w:t>
            </w:r>
          </w:p>
        </w:tc>
      </w:tr>
      <w:tr w14:paraId="02B20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C9567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.2.4</w:t>
            </w:r>
          </w:p>
        </w:tc>
        <w:tc>
          <w:tcPr>
            <w:tcW w:w="1644" w:type="dxa"/>
            <w:vAlign w:val="center"/>
          </w:tcPr>
          <w:p w14:paraId="09DEAD9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最高投标限价</w:t>
            </w:r>
          </w:p>
        </w:tc>
        <w:tc>
          <w:tcPr>
            <w:tcW w:w="6490" w:type="dxa"/>
            <w:vAlign w:val="center"/>
          </w:tcPr>
          <w:p w14:paraId="094A823B">
            <w:pPr>
              <w:snapToGrid w:val="0"/>
              <w:spacing w:line="400" w:lineRule="exact"/>
              <w:ind w:firstLine="420" w:firstLineChars="200"/>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本项目</w:t>
            </w:r>
            <w:r>
              <w:rPr>
                <w:rFonts w:hint="eastAsia" w:ascii="宋体" w:hAnsi="宋体" w:cs="Times New Roman"/>
                <w:color w:val="auto"/>
                <w:szCs w:val="21"/>
                <w:highlight w:val="none"/>
                <w:lang w:val="en-US" w:eastAsia="zh-CN"/>
              </w:rPr>
              <w:t>设计</w:t>
            </w:r>
            <w:r>
              <w:rPr>
                <w:rFonts w:hint="eastAsia" w:ascii="宋体" w:hAnsi="宋体" w:cs="Times New Roman"/>
                <w:color w:val="auto"/>
                <w:szCs w:val="21"/>
                <w:highlight w:val="none"/>
                <w:lang w:eastAsia="zh-CN"/>
              </w:rPr>
              <w:t>服务计算基数暂按</w:t>
            </w:r>
            <w:r>
              <w:rPr>
                <w:rFonts w:hint="eastAsia" w:ascii="宋体" w:hAnsi="宋体" w:cs="Times New Roman"/>
                <w:color w:val="auto"/>
                <w:szCs w:val="21"/>
                <w:highlight w:val="none"/>
                <w:lang w:val="en-US" w:eastAsia="zh-CN"/>
              </w:rPr>
              <w:t>工程费</w:t>
            </w:r>
            <w:r>
              <w:rPr>
                <w:rFonts w:hint="eastAsia" w:ascii="宋体" w:hAnsi="宋体" w:cs="Times New Roman"/>
                <w:color w:val="auto"/>
                <w:szCs w:val="21"/>
                <w:highlight w:val="none"/>
                <w:u w:val="single"/>
                <w:lang w:val="en-US" w:eastAsia="zh-CN"/>
              </w:rPr>
              <w:t xml:space="preserve"> 1916.33  </w:t>
            </w:r>
            <w:r>
              <w:rPr>
                <w:rFonts w:hint="eastAsia" w:ascii="宋体" w:hAnsi="宋体" w:cs="Times New Roman"/>
                <w:color w:val="auto"/>
                <w:szCs w:val="21"/>
                <w:highlight w:val="none"/>
                <w:lang w:eastAsia="zh-CN"/>
              </w:rPr>
              <w:t>万元计算，本项目设计费率招标控制价为</w:t>
            </w:r>
            <w:r>
              <w:rPr>
                <w:rFonts w:hint="eastAsia" w:ascii="宋体" w:hAnsi="宋体" w:cs="Times New Roman"/>
                <w:color w:val="auto"/>
                <w:szCs w:val="21"/>
                <w:highlight w:val="none"/>
                <w:u w:val="single"/>
                <w:lang w:eastAsia="zh-CN"/>
              </w:rPr>
              <w:t xml:space="preserve"> </w:t>
            </w:r>
            <w:r>
              <w:rPr>
                <w:rFonts w:hint="eastAsia" w:ascii="宋体" w:hAnsi="宋体" w:cs="Times New Roman"/>
                <w:color w:val="auto"/>
                <w:szCs w:val="21"/>
                <w:highlight w:val="none"/>
                <w:u w:val="single"/>
                <w:lang w:val="en-US" w:eastAsia="zh-CN"/>
              </w:rPr>
              <w:t xml:space="preserve">2.30 </w:t>
            </w:r>
            <w:r>
              <w:rPr>
                <w:rFonts w:hint="eastAsia" w:ascii="宋体" w:hAnsi="宋体" w:cs="Times New Roman"/>
                <w:color w:val="auto"/>
                <w:szCs w:val="21"/>
                <w:highlight w:val="none"/>
                <w:u w:val="single"/>
                <w:lang w:eastAsia="zh-CN"/>
              </w:rPr>
              <w:t xml:space="preserve"> </w:t>
            </w:r>
            <w:r>
              <w:rPr>
                <w:rFonts w:hint="eastAsia" w:ascii="宋体" w:hAnsi="宋体" w:cs="Times New Roman"/>
                <w:color w:val="auto"/>
                <w:szCs w:val="21"/>
                <w:highlight w:val="none"/>
                <w:lang w:eastAsia="zh-CN"/>
              </w:rPr>
              <w:t>%，对应的暂定设计费招标控制价为</w:t>
            </w:r>
            <w:r>
              <w:rPr>
                <w:rFonts w:hint="eastAsia" w:ascii="宋体" w:hAnsi="宋体" w:cs="Times New Roman"/>
                <w:color w:val="auto"/>
                <w:szCs w:val="21"/>
                <w:highlight w:val="none"/>
                <w:u w:val="single"/>
                <w:lang w:eastAsia="zh-CN"/>
              </w:rPr>
              <w:t xml:space="preserve"> </w:t>
            </w:r>
            <w:r>
              <w:rPr>
                <w:rFonts w:hint="eastAsia" w:ascii="宋体" w:hAnsi="宋体" w:cs="Times New Roman"/>
                <w:color w:val="auto"/>
                <w:szCs w:val="21"/>
                <w:highlight w:val="none"/>
                <w:u w:val="single"/>
                <w:lang w:val="en-US" w:eastAsia="zh-CN"/>
              </w:rPr>
              <w:t xml:space="preserve"> 441659.87</w:t>
            </w:r>
            <w:r>
              <w:rPr>
                <w:rFonts w:hint="eastAsia" w:ascii="宋体" w:hAnsi="宋体" w:cs="Times New Roman"/>
                <w:color w:val="auto"/>
                <w:szCs w:val="21"/>
                <w:highlight w:val="none"/>
                <w:lang w:eastAsia="zh-CN"/>
              </w:rPr>
              <w:t>元，</w:t>
            </w:r>
            <w:r>
              <w:rPr>
                <w:rFonts w:hint="eastAsia" w:ascii="宋体" w:hAnsi="宋体" w:cs="Times New Roman"/>
                <w:color w:val="auto"/>
                <w:szCs w:val="21"/>
                <w:highlight w:val="none"/>
                <w:lang w:val="en-US" w:eastAsia="zh-CN"/>
              </w:rPr>
              <w:t>即：设计费控制价=计算基数</w:t>
            </w:r>
            <w:r>
              <w:rPr>
                <w:rFonts w:hint="eastAsia" w:ascii="宋体" w:hAnsi="宋体" w:cs="Times New Roman"/>
                <w:color w:val="auto"/>
                <w:szCs w:val="21"/>
                <w:highlight w:val="none"/>
                <w:lang w:eastAsia="zh-CN"/>
              </w:rPr>
              <w:t>* 固定费率。</w:t>
            </w:r>
          </w:p>
          <w:p w14:paraId="4EBD4911">
            <w:pPr>
              <w:snapToGrid w:val="0"/>
              <w:spacing w:line="400" w:lineRule="exact"/>
              <w:ind w:firstLine="420" w:firstLineChars="200"/>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投标人填报的投标费率不得高于费率招标控制价，投标人填报的暂定设计费不得高于暂定设计费招标控制价，否则，投标文件将被否决。</w:t>
            </w:r>
          </w:p>
        </w:tc>
      </w:tr>
      <w:tr w14:paraId="0D2C1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8EBC9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r>
              <w:rPr>
                <w:rFonts w:ascii="宋体" w:hAnsi="宋体"/>
                <w:color w:val="auto"/>
                <w:kern w:val="0"/>
                <w:szCs w:val="21"/>
                <w:highlight w:val="none"/>
              </w:rPr>
              <w:t>.5</w:t>
            </w:r>
          </w:p>
        </w:tc>
        <w:tc>
          <w:tcPr>
            <w:tcW w:w="1644" w:type="dxa"/>
            <w:vAlign w:val="center"/>
          </w:tcPr>
          <w:p w14:paraId="7B0C1EB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r>
              <w:rPr>
                <w:rFonts w:hint="eastAsia" w:ascii="宋体" w:hAnsi="宋体"/>
                <w:color w:val="auto"/>
                <w:kern w:val="0"/>
                <w:szCs w:val="21"/>
                <w:highlight w:val="none"/>
              </w:rPr>
              <w:t>的其他要求</w:t>
            </w:r>
          </w:p>
        </w:tc>
        <w:tc>
          <w:tcPr>
            <w:tcW w:w="6490" w:type="dxa"/>
            <w:vAlign w:val="center"/>
          </w:tcPr>
          <w:p w14:paraId="23C99551">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报价应为完成</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所确定的委托设计的范围和设计业务所需的全部费用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包含</w:t>
            </w:r>
            <w:r>
              <w:rPr>
                <w:rFonts w:hint="eastAsia" w:ascii="宋体" w:hAnsi="宋体" w:cs="宋体"/>
                <w:color w:val="auto"/>
                <w:szCs w:val="21"/>
                <w:highlight w:val="none"/>
                <w:u w:val="single"/>
              </w:rPr>
              <w:t>初步设计及概算、施工图设计、施工阶段及缺陷责任期的伴随设计服务</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具体包括为实施和完成本项目全部设计工作所需的管理费、资料费、劳务费、技术服务费、办公家具、办公设施、通讯工具、通讯费用、交通工具、编制BIM模型、保险、税费、利润及协调配合费等实施工程设计所产生的一切费用。</w:t>
            </w:r>
          </w:p>
          <w:p w14:paraId="1C9F120A">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根据住建部《危险性较大的分部分项工程安全管理规定》，设计单位应当在设计文件中注明涉及危大工程的重点部位和环节，提出保障工程周边环境安全和工程施工安全的意见，必要时进行专项设计。相关费用在投标报价时综合考虑。</w:t>
            </w:r>
          </w:p>
          <w:p w14:paraId="57DFF301">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s="宋体"/>
                <w:iCs/>
                <w:color w:val="auto"/>
                <w:szCs w:val="21"/>
                <w:highlight w:val="none"/>
              </w:rPr>
              <w:t>3</w:t>
            </w:r>
            <w:r>
              <w:rPr>
                <w:rFonts w:ascii="宋体" w:hAnsi="宋体" w:cs="宋体"/>
                <w:iCs/>
                <w:color w:val="auto"/>
                <w:szCs w:val="21"/>
                <w:highlight w:val="none"/>
              </w:rPr>
              <w:t>.</w:t>
            </w:r>
            <w:r>
              <w:rPr>
                <w:rFonts w:hint="eastAsia" w:ascii="宋体" w:hAnsi="宋体" w:cs="宋体"/>
                <w:iCs/>
                <w:color w:val="auto"/>
                <w:szCs w:val="21"/>
                <w:highlight w:val="none"/>
              </w:rPr>
              <w:t>根据《</w:t>
            </w:r>
            <w:r>
              <w:rPr>
                <w:rFonts w:hint="eastAsia" w:ascii="宋体" w:hAnsi="宋体"/>
                <w:color w:val="auto"/>
                <w:szCs w:val="21"/>
                <w:highlight w:val="none"/>
              </w:rPr>
              <w:t>重庆市城乡建设委员会关于进一步加快应用建筑信息模型(BIM)技术的通知</w:t>
            </w:r>
            <w:r>
              <w:rPr>
                <w:rFonts w:hint="eastAsia" w:ascii="宋体" w:hAnsi="宋体" w:cs="宋体"/>
                <w:iCs/>
                <w:color w:val="auto"/>
                <w:szCs w:val="21"/>
                <w:highlight w:val="none"/>
              </w:rPr>
              <w:t>》（渝建发〔2018〕19号）规定，在设计阶段采用建筑信息模型（BIM）技术的，</w:t>
            </w:r>
            <w:r>
              <w:rPr>
                <w:rFonts w:hint="eastAsia" w:ascii="宋体" w:hAnsi="宋体"/>
                <w:color w:val="auto"/>
                <w:szCs w:val="21"/>
                <w:highlight w:val="none"/>
              </w:rPr>
              <w:t>相关费用在投标报价时综合考虑。</w:t>
            </w:r>
          </w:p>
        </w:tc>
      </w:tr>
      <w:tr w14:paraId="3C675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FDDFE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543A5E2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4F37BCB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eastAsia="zh-CN"/>
              </w:rPr>
              <w:t>竞选文件</w:t>
            </w:r>
            <w:r>
              <w:rPr>
                <w:rFonts w:ascii="宋体" w:hAnsi="宋体"/>
                <w:color w:val="auto"/>
                <w:szCs w:val="21"/>
                <w:highlight w:val="none"/>
              </w:rPr>
              <w:t>截止日起计算）</w:t>
            </w:r>
          </w:p>
        </w:tc>
      </w:tr>
      <w:tr w14:paraId="3EC5D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4415E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3.4.1</w:t>
            </w:r>
          </w:p>
        </w:tc>
        <w:tc>
          <w:tcPr>
            <w:tcW w:w="1644" w:type="dxa"/>
            <w:vAlign w:val="center"/>
          </w:tcPr>
          <w:p w14:paraId="51BC51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6D88013E">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一、保证金的缴纳：</w:t>
            </w:r>
          </w:p>
          <w:p w14:paraId="310E0029">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1、比选保证金的形式</w:t>
            </w:r>
          </w:p>
          <w:p w14:paraId="7731BE71">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比选保证金形式：现金。</w:t>
            </w:r>
          </w:p>
          <w:p w14:paraId="05EDBEC8">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2、比选保证金的金额</w:t>
            </w:r>
          </w:p>
          <w:p w14:paraId="70617D89">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比选保证金金额：人民币</w:t>
            </w:r>
            <w:r>
              <w:rPr>
                <w:rFonts w:hint="eastAsia" w:ascii="宋体" w:hAnsi="宋体" w:cs="Times New Roman"/>
                <w:color w:val="auto"/>
                <w:kern w:val="0"/>
                <w:szCs w:val="21"/>
                <w:highlight w:val="none"/>
                <w:lang w:val="en-US" w:eastAsia="zh-CN"/>
              </w:rPr>
              <w:t>7</w:t>
            </w:r>
            <w:r>
              <w:rPr>
                <w:rFonts w:hint="eastAsia" w:ascii="宋体" w:hAnsi="宋体" w:eastAsia="宋体" w:cs="Times New Roman"/>
                <w:color w:val="auto"/>
                <w:kern w:val="0"/>
                <w:szCs w:val="21"/>
                <w:highlight w:val="none"/>
                <w:lang w:val="en-US" w:eastAsia="zh-CN"/>
              </w:rPr>
              <w:t>000</w:t>
            </w:r>
            <w:r>
              <w:rPr>
                <w:rFonts w:hint="eastAsia" w:ascii="宋体" w:hAnsi="宋体" w:eastAsia="宋体" w:cs="Times New Roman"/>
                <w:color w:val="auto"/>
                <w:kern w:val="0"/>
                <w:szCs w:val="21"/>
                <w:highlight w:val="none"/>
              </w:rPr>
              <w:t>.00元；</w:t>
            </w:r>
          </w:p>
          <w:p w14:paraId="3491768C">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3、比选申请保证金缴纳时间：</w:t>
            </w:r>
          </w:p>
          <w:p w14:paraId="1DC8671B">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在递交比选申请文件的同时以现金方式交纳给比选代理机构。</w:t>
            </w:r>
          </w:p>
          <w:p w14:paraId="6DCA2B06">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二、保证金的退还</w:t>
            </w:r>
          </w:p>
          <w:p w14:paraId="1C2539FC">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1.非中选候选人的保证金，在中选通知书发放后，比选代理机构在</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个工作日内退还。</w:t>
            </w:r>
          </w:p>
          <w:p w14:paraId="60FC145A">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2.中选候选人的保证金，在中选人与比选人签订合同后，比选代理机构在</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个工作日内比选人确认后退还。</w:t>
            </w:r>
          </w:p>
          <w:p w14:paraId="2E43215B">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注：投标保证金应用信封袋密封完好并加盖鲜章。未按本比选文件规定缴纳投标保证金的。当场退还其投标文件或由评标小组按否决投标处理。</w:t>
            </w:r>
          </w:p>
        </w:tc>
      </w:tr>
      <w:tr w14:paraId="27124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FBBB1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.4.4</w:t>
            </w:r>
          </w:p>
        </w:tc>
        <w:tc>
          <w:tcPr>
            <w:tcW w:w="1644" w:type="dxa"/>
            <w:vAlign w:val="center"/>
          </w:tcPr>
          <w:p w14:paraId="25FAA0F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其他可以不予退还投标保证金的情形</w:t>
            </w:r>
          </w:p>
        </w:tc>
        <w:tc>
          <w:tcPr>
            <w:tcW w:w="6490" w:type="dxa"/>
            <w:vAlign w:val="center"/>
          </w:tcPr>
          <w:p w14:paraId="34E6748D">
            <w:pPr>
              <w:snapToGrid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在规定的投标有效期内撤销其</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w:t>
            </w:r>
          </w:p>
          <w:p w14:paraId="789A2FE2">
            <w:pPr>
              <w:snapToGrid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p>
          <w:p w14:paraId="1644D862">
            <w:pPr>
              <w:snapToGrid w:val="0"/>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）违反</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须知</w:t>
            </w:r>
            <w:r>
              <w:rPr>
                <w:rFonts w:ascii="宋体" w:hAnsi="宋体"/>
                <w:color w:val="auto"/>
                <w:kern w:val="0"/>
                <w:szCs w:val="21"/>
                <w:highlight w:val="none"/>
              </w:rPr>
              <w:t>第9.2</w:t>
            </w:r>
            <w:r>
              <w:rPr>
                <w:rFonts w:hint="eastAsia" w:ascii="宋体" w:hAnsi="宋体"/>
                <w:color w:val="auto"/>
                <w:kern w:val="0"/>
                <w:szCs w:val="21"/>
                <w:highlight w:val="none"/>
              </w:rPr>
              <w:t>款</w:t>
            </w:r>
            <w:r>
              <w:rPr>
                <w:rFonts w:ascii="宋体" w:hAnsi="宋体"/>
                <w:color w:val="auto"/>
                <w:kern w:val="0"/>
                <w:szCs w:val="21"/>
                <w:highlight w:val="none"/>
              </w:rPr>
              <w:t>对</w:t>
            </w:r>
            <w:r>
              <w:rPr>
                <w:rFonts w:hint="eastAsia" w:ascii="宋体" w:hAnsi="宋体"/>
                <w:color w:val="auto"/>
                <w:kern w:val="0"/>
                <w:szCs w:val="21"/>
                <w:highlight w:val="none"/>
                <w:lang w:eastAsia="zh-CN"/>
              </w:rPr>
              <w:t>竞选人</w:t>
            </w:r>
            <w:r>
              <w:rPr>
                <w:rFonts w:ascii="宋体" w:hAnsi="宋体"/>
                <w:color w:val="auto"/>
                <w:kern w:val="0"/>
                <w:szCs w:val="21"/>
                <w:highlight w:val="none"/>
              </w:rPr>
              <w:t>的纪律要求的；</w:t>
            </w:r>
          </w:p>
          <w:p w14:paraId="75A98EE2">
            <w:pPr>
              <w:snapToGrid w:val="0"/>
              <w:spacing w:line="400" w:lineRule="exact"/>
              <w:ind w:firstLine="420" w:firstLineChars="200"/>
              <w:jc w:val="left"/>
              <w:rPr>
                <w:color w:val="auto"/>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4</w:t>
            </w:r>
            <w:r>
              <w:rPr>
                <w:rFonts w:ascii="宋体" w:hAnsi="宋体"/>
                <w:color w:val="auto"/>
                <w:kern w:val="0"/>
                <w:szCs w:val="21"/>
                <w:highlight w:val="none"/>
              </w:rPr>
              <w:t>）法律法规规定的其他情形。</w:t>
            </w:r>
          </w:p>
        </w:tc>
      </w:tr>
      <w:tr w14:paraId="09650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C432B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3.6.1</w:t>
            </w:r>
          </w:p>
        </w:tc>
        <w:tc>
          <w:tcPr>
            <w:tcW w:w="1644" w:type="dxa"/>
            <w:vAlign w:val="center"/>
          </w:tcPr>
          <w:p w14:paraId="59BAF4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4E367ACA">
            <w:pPr>
              <w:snapToGrid w:val="0"/>
              <w:spacing w:after="72"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6269588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7BBDE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2CC5E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182793C8">
            <w:pPr>
              <w:snapToGrid w:val="0"/>
              <w:spacing w:after="72"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格式要求</w:t>
            </w:r>
          </w:p>
        </w:tc>
        <w:tc>
          <w:tcPr>
            <w:tcW w:w="6490" w:type="dxa"/>
            <w:vAlign w:val="center"/>
          </w:tcPr>
          <w:p w14:paraId="3932FE2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时不得对第六章“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格式”的相应要素作实质性修改，否则视为重大偏差，由评标委员会作否决投标处理。</w:t>
            </w:r>
          </w:p>
        </w:tc>
      </w:tr>
      <w:tr w14:paraId="03B00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066E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7D43688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4A93F92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3AD63E4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14:paraId="6D0FC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A843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1E2206AC">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的份数</w:t>
            </w:r>
          </w:p>
        </w:tc>
        <w:tc>
          <w:tcPr>
            <w:tcW w:w="6490" w:type="dxa"/>
            <w:vAlign w:val="center"/>
          </w:tcPr>
          <w:p w14:paraId="52F000C9">
            <w:pPr>
              <w:autoSpaceDE w:val="0"/>
              <w:autoSpaceDN w:val="0"/>
              <w:adjustRightInd w:val="0"/>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1份、副本2份，电子版形式（U盘）1份，当副本和正本不一致时，以正本为准。否则由评标委员会作否决投标处理。</w:t>
            </w:r>
          </w:p>
        </w:tc>
      </w:tr>
      <w:tr w14:paraId="3A42B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2E582B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4179591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w:t>
            </w:r>
            <w:r>
              <w:rPr>
                <w:rFonts w:ascii="宋体" w:hAnsi="宋体"/>
                <w:color w:val="auto"/>
                <w:kern w:val="0"/>
                <w:szCs w:val="21"/>
                <w:highlight w:val="none"/>
              </w:rPr>
              <w:t>要求</w:t>
            </w:r>
          </w:p>
        </w:tc>
        <w:tc>
          <w:tcPr>
            <w:tcW w:w="6490" w:type="dxa"/>
            <w:vAlign w:val="center"/>
          </w:tcPr>
          <w:p w14:paraId="7E54D740">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1、本工程技术部分采用明标评审，应将投标函部分、技术部分、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14:paraId="3BEB4411">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14:paraId="538FD2F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14:paraId="14D7042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1618F723">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）技术部分的装订要求</w:t>
            </w:r>
          </w:p>
          <w:p w14:paraId="33EA190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rPr>
              <w:t>第六章</w:t>
            </w:r>
            <w:r>
              <w:rPr>
                <w:rFonts w:ascii="宋体" w:hAnsi="宋体"/>
                <w:color w:val="auto"/>
                <w:szCs w:val="21"/>
                <w:highlight w:val="none"/>
              </w:rPr>
              <w:t>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，逐页标注页码。</w:t>
            </w:r>
            <w:r>
              <w:rPr>
                <w:rFonts w:hint="eastAsia" w:ascii="宋体" w:hAnsi="宋体"/>
                <w:color w:val="auto"/>
                <w:szCs w:val="21"/>
                <w:highlight w:val="none"/>
              </w:rPr>
              <w:t>注：技术部分采用明标评审时，不因形式评审的问题（包括但不限于封面、页码、目录、字体、格式等）而被否决竞标。</w:t>
            </w:r>
          </w:p>
          <w:p w14:paraId="791B094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200 </w:t>
            </w:r>
            <w:r>
              <w:rPr>
                <w:rFonts w:hint="eastAsia" w:ascii="宋体" w:hAnsi="宋体"/>
                <w:color w:val="auto"/>
                <w:szCs w:val="21"/>
                <w:highlight w:val="none"/>
              </w:rPr>
              <w:t>页。）</w:t>
            </w:r>
          </w:p>
          <w:p w14:paraId="02A33B87">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248F1581">
            <w:pPr>
              <w:adjustRightInd w:val="0"/>
              <w:snapToGrid w:val="0"/>
              <w:spacing w:line="400" w:lineRule="exact"/>
              <w:ind w:firstLine="420" w:firstLineChars="200"/>
              <w:rPr>
                <w:rStyle w:val="57"/>
                <w:color w:val="auto"/>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r>
              <w:rPr>
                <w:rFonts w:hint="eastAsia" w:ascii="宋体" w:hAnsi="宋体"/>
                <w:color w:val="auto"/>
                <w:szCs w:val="21"/>
                <w:highlight w:val="none"/>
              </w:rPr>
              <w:t>。</w:t>
            </w:r>
          </w:p>
        </w:tc>
      </w:tr>
      <w:tr w14:paraId="355F4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C658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7256A406">
            <w:pPr>
              <w:snapToGrid w:val="0"/>
              <w:spacing w:line="400" w:lineRule="exact"/>
              <w:jc w:val="center"/>
              <w:rPr>
                <w:rFonts w:hint="eastAsia" w:ascii="宋体" w:hAnsi="宋体" w:eastAsia="宋体"/>
                <w:color w:val="auto"/>
                <w:spacing w:val="-6"/>
                <w:kern w:val="0"/>
                <w:szCs w:val="21"/>
                <w:highlight w:val="none"/>
                <w:lang w:eastAsia="zh-CN"/>
              </w:rPr>
            </w:pPr>
            <w:r>
              <w:rPr>
                <w:rFonts w:hint="eastAsia" w:ascii="宋体" w:hAnsi="宋体"/>
                <w:color w:val="auto"/>
                <w:spacing w:val="-6"/>
                <w:kern w:val="0"/>
                <w:szCs w:val="21"/>
                <w:highlight w:val="none"/>
                <w:lang w:eastAsia="zh-CN"/>
              </w:rPr>
              <w:t>竞选文件</w:t>
            </w:r>
          </w:p>
          <w:p w14:paraId="4BC45AC3">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的密封</w:t>
            </w:r>
          </w:p>
        </w:tc>
        <w:tc>
          <w:tcPr>
            <w:tcW w:w="6490" w:type="dxa"/>
            <w:vAlign w:val="center"/>
          </w:tcPr>
          <w:p w14:paraId="526BE7C3">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竞选文件</w:t>
            </w:r>
            <w:r>
              <w:rPr>
                <w:rFonts w:ascii="宋体" w:hAnsi="宋体"/>
                <w:color w:val="auto"/>
                <w:szCs w:val="21"/>
                <w:highlight w:val="none"/>
              </w:rPr>
              <w:t>袋使用“投标函部分”袋、“技术部分”袋、“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竞选文件</w:t>
            </w:r>
            <w:r>
              <w:rPr>
                <w:rFonts w:ascii="宋体" w:hAnsi="宋体"/>
                <w:color w:val="auto"/>
                <w:szCs w:val="21"/>
                <w:highlight w:val="none"/>
              </w:rPr>
              <w:t>”大袋。</w:t>
            </w:r>
          </w:p>
          <w:p w14:paraId="1F42967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和电子版形式（U盘）</w:t>
            </w:r>
            <w:r>
              <w:rPr>
                <w:rFonts w:ascii="宋体" w:hAnsi="宋体"/>
                <w:color w:val="auto"/>
                <w:szCs w:val="21"/>
                <w:highlight w:val="none"/>
              </w:rPr>
              <w:t>装入“投标函部分”袋中，密封并在袋上加盖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714C77D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本次招标技术部分采用明标评审，技术部分装入</w:t>
            </w:r>
            <w:r>
              <w:rPr>
                <w:rFonts w:hint="eastAsia" w:ascii="宋体" w:hAnsi="宋体"/>
                <w:color w:val="auto"/>
                <w:szCs w:val="21"/>
                <w:highlight w:val="none"/>
              </w:rPr>
              <w:t>“技术部分”袋中，密封</w:t>
            </w:r>
            <w:r>
              <w:rPr>
                <w:rFonts w:ascii="宋体" w:hAnsi="宋体"/>
                <w:color w:val="auto"/>
                <w:szCs w:val="21"/>
                <w:highlight w:val="none"/>
              </w:rPr>
              <w:t>并加盖</w:t>
            </w:r>
            <w:r>
              <w:rPr>
                <w:rFonts w:hint="eastAsia" w:ascii="宋体" w:hAnsi="宋体"/>
                <w:color w:val="auto"/>
                <w:szCs w:val="21"/>
                <w:highlight w:val="none"/>
              </w:rPr>
              <w:t>竞标</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w:t>
            </w:r>
          </w:p>
          <w:p w14:paraId="290620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资格审查部分装入“资格审查部分”袋中，密封并在袋上加盖竞选人单位法人章。</w:t>
            </w:r>
          </w:p>
          <w:p w14:paraId="1919B86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竞选文件</w:t>
            </w:r>
            <w:r>
              <w:rPr>
                <w:rFonts w:ascii="宋体" w:hAnsi="宋体"/>
                <w:color w:val="auto"/>
                <w:szCs w:val="21"/>
                <w:highlight w:val="none"/>
              </w:rPr>
              <w:t>”大袋中，密封并在大袋上加盖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p w14:paraId="0C7E5DC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注：“投标函部分”袋、“技术部分”袋、、“资格审查部分”袋只为方便竞选文件分装，不作为判定密封合格与否的条件。但为了方便开标，请各竞选人主动配合，按要求分装。</w:t>
            </w:r>
          </w:p>
        </w:tc>
      </w:tr>
      <w:tr w14:paraId="2D91D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21843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063C1F9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封套上应载明的信息</w:t>
            </w:r>
          </w:p>
        </w:tc>
        <w:tc>
          <w:tcPr>
            <w:tcW w:w="6490" w:type="dxa"/>
            <w:vAlign w:val="center"/>
          </w:tcPr>
          <w:p w14:paraId="39232E8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竞选文件</w:t>
            </w:r>
            <w:r>
              <w:rPr>
                <w:rFonts w:ascii="宋体" w:hAnsi="宋体"/>
                <w:color w:val="auto"/>
                <w:kern w:val="0"/>
                <w:szCs w:val="21"/>
                <w:highlight w:val="none"/>
              </w:rPr>
              <w:t>”袋封套上写明如下内容：</w:t>
            </w:r>
          </w:p>
          <w:p w14:paraId="1397E878">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644BBD18">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45FB49EA">
            <w:pPr>
              <w:snapToGrid w:val="0"/>
              <w:spacing w:line="400" w:lineRule="exact"/>
              <w:ind w:firstLine="420" w:firstLineChars="200"/>
              <w:rPr>
                <w:rFonts w:hint="eastAsia" w:ascii="宋体" w:hAnsi="宋体" w:eastAsia="宋体"/>
                <w:color w:val="auto"/>
                <w:kern w:val="0"/>
                <w:szCs w:val="21"/>
                <w:highlight w:val="none"/>
                <w:lang w:eastAsia="zh-CN"/>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竞选文件</w:t>
            </w:r>
          </w:p>
          <w:p w14:paraId="1CD53C21">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480FE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20C7E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.2.1</w:t>
            </w:r>
          </w:p>
        </w:tc>
        <w:tc>
          <w:tcPr>
            <w:tcW w:w="1644" w:type="dxa"/>
            <w:vAlign w:val="center"/>
          </w:tcPr>
          <w:p w14:paraId="0E51200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49E8720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详见</w:t>
            </w:r>
            <w:r>
              <w:rPr>
                <w:rFonts w:hint="eastAsia" w:ascii="宋体" w:hAnsi="宋体"/>
                <w:color w:val="auto"/>
                <w:kern w:val="0"/>
                <w:szCs w:val="21"/>
                <w:highlight w:val="none"/>
                <w:lang w:eastAsia="zh-CN"/>
              </w:rPr>
              <w:t>比选公告</w:t>
            </w:r>
            <w:r>
              <w:rPr>
                <w:rFonts w:hint="eastAsia" w:ascii="宋体" w:hAnsi="宋体"/>
                <w:color w:val="auto"/>
                <w:kern w:val="0"/>
                <w:szCs w:val="21"/>
                <w:highlight w:val="none"/>
              </w:rPr>
              <w:t>中规定的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递交截止时间。</w:t>
            </w:r>
          </w:p>
        </w:tc>
      </w:tr>
      <w:tr w14:paraId="28870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411C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6A4234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竞选文件</w:t>
            </w:r>
            <w:r>
              <w:rPr>
                <w:rFonts w:ascii="宋体" w:hAnsi="宋体"/>
                <w:color w:val="auto"/>
                <w:kern w:val="0"/>
                <w:szCs w:val="21"/>
                <w:highlight w:val="none"/>
              </w:rPr>
              <w:t>地点</w:t>
            </w:r>
          </w:p>
        </w:tc>
        <w:tc>
          <w:tcPr>
            <w:tcW w:w="6490" w:type="dxa"/>
            <w:vAlign w:val="center"/>
          </w:tcPr>
          <w:p w14:paraId="44EE5960">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重庆市南岸区行政服务中心B区3号楼</w:t>
            </w:r>
            <w:r>
              <w:rPr>
                <w:rFonts w:hint="eastAsia" w:ascii="宋体" w:hAnsi="宋体"/>
                <w:bCs/>
                <w:color w:val="auto"/>
                <w:szCs w:val="21"/>
                <w:highlight w:val="none"/>
                <w:lang w:val="en-US" w:eastAsia="zh-CN"/>
              </w:rPr>
              <w:t>2012室</w:t>
            </w:r>
          </w:p>
        </w:tc>
      </w:tr>
      <w:tr w14:paraId="40673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51490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03CCD9A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ascii="宋体" w:hAnsi="宋体"/>
                <w:color w:val="auto"/>
                <w:kern w:val="0"/>
                <w:szCs w:val="21"/>
                <w:highlight w:val="none"/>
              </w:rPr>
              <w:t>是否退还</w:t>
            </w:r>
          </w:p>
        </w:tc>
        <w:tc>
          <w:tcPr>
            <w:tcW w:w="6490" w:type="dxa"/>
            <w:vAlign w:val="center"/>
          </w:tcPr>
          <w:p w14:paraId="4611706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5FBEA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9DE5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6F80CCD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29B126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2B73BCAC">
            <w:pPr>
              <w:snapToGrid w:val="0"/>
              <w:spacing w:line="400" w:lineRule="exact"/>
              <w:ind w:firstLine="420" w:firstLineChars="200"/>
              <w:rPr>
                <w:rFonts w:hint="eastAsia" w:ascii="宋体" w:hAnsi="宋体" w:eastAsia="宋体" w:cs="宋体"/>
                <w:color w:val="auto"/>
                <w:highlight w:val="none"/>
              </w:rPr>
            </w:pPr>
            <w:r>
              <w:rPr>
                <w:color w:val="auto"/>
                <w:highlight w:val="none"/>
              </w:rPr>
              <w:t>开标时</w:t>
            </w:r>
            <w:r>
              <w:rPr>
                <w:rFonts w:hint="eastAsia" w:ascii="宋体" w:hAnsi="宋体" w:eastAsia="宋体" w:cs="宋体"/>
                <w:color w:val="auto"/>
                <w:highlight w:val="none"/>
              </w:rPr>
              <w:t>间：</w:t>
            </w:r>
            <w:r>
              <w:rPr>
                <w:rFonts w:hint="eastAsia" w:ascii="宋体" w:hAnsi="宋体" w:eastAsia="宋体" w:cs="宋体"/>
                <w:color w:val="auto"/>
                <w:kern w:val="0"/>
                <w:szCs w:val="21"/>
                <w:highlight w:val="none"/>
              </w:rPr>
              <w:t>同竞选截止时间</w:t>
            </w:r>
          </w:p>
          <w:p w14:paraId="2E0286A8">
            <w:pPr>
              <w:snapToGrid w:val="0"/>
              <w:spacing w:line="400" w:lineRule="exact"/>
              <w:ind w:firstLine="420" w:firstLineChars="200"/>
              <w:rPr>
                <w:rFonts w:hint="default" w:eastAsia="宋体"/>
                <w:color w:val="auto"/>
                <w:highlight w:val="none"/>
                <w:lang w:val="en-US" w:eastAsia="zh-CN"/>
              </w:rPr>
            </w:pPr>
            <w:r>
              <w:rPr>
                <w:rFonts w:hint="eastAsia" w:ascii="宋体" w:hAnsi="宋体" w:eastAsia="宋体" w:cs="宋体"/>
                <w:color w:val="auto"/>
                <w:highlight w:val="none"/>
              </w:rPr>
              <w:t>开标地点：</w:t>
            </w:r>
            <w:r>
              <w:rPr>
                <w:rFonts w:hint="eastAsia" w:ascii="宋体" w:hAnsi="宋体" w:eastAsia="宋体" w:cs="宋体"/>
                <w:color w:val="auto"/>
                <w:szCs w:val="21"/>
                <w:highlight w:val="none"/>
              </w:rPr>
              <w:t>重庆市南岸区行政服务中心B区3号楼</w:t>
            </w:r>
            <w:r>
              <w:rPr>
                <w:rFonts w:hint="eastAsia" w:ascii="宋体" w:hAnsi="宋体" w:cs="宋体"/>
                <w:color w:val="auto"/>
                <w:szCs w:val="21"/>
                <w:highlight w:val="none"/>
                <w:lang w:val="en-US" w:eastAsia="zh-CN"/>
              </w:rPr>
              <w:t>2012室</w:t>
            </w:r>
          </w:p>
        </w:tc>
      </w:tr>
      <w:tr w14:paraId="675EE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13C7B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3FD5FC6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14:paraId="44E73B7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0ECA5A8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0DC18BD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40DA449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0BC92AF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3E12680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53DE703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核验投标保证金交纳情况。</w:t>
            </w:r>
          </w:p>
          <w:p w14:paraId="330FD92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508A6C7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713542CD">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518D8035">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4B681E1B">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4E6CD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EC22C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8B3FD9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15995A41">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00C0A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F71C7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.3.2</w:t>
            </w:r>
          </w:p>
        </w:tc>
        <w:tc>
          <w:tcPr>
            <w:tcW w:w="1644" w:type="dxa"/>
            <w:vAlign w:val="center"/>
          </w:tcPr>
          <w:p w14:paraId="50D684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评标委员会推荐中标候选人的人数</w:t>
            </w:r>
          </w:p>
        </w:tc>
        <w:tc>
          <w:tcPr>
            <w:tcW w:w="6490" w:type="dxa"/>
            <w:vAlign w:val="center"/>
          </w:tcPr>
          <w:p w14:paraId="46044742">
            <w:pPr>
              <w:autoSpaceDE w:val="0"/>
              <w:autoSpaceDN w:val="0"/>
              <w:adjustRightInd w:val="0"/>
              <w:snapToGrid w:val="0"/>
              <w:spacing w:line="400" w:lineRule="exact"/>
              <w:ind w:firstLine="420" w:firstLineChars="200"/>
              <w:rPr>
                <w:rFonts w:ascii="宋体" w:hAnsi="宋体"/>
                <w:color w:val="auto"/>
                <w:spacing w:val="4"/>
                <w:kern w:val="0"/>
                <w:szCs w:val="21"/>
                <w:highlight w:val="none"/>
              </w:rPr>
            </w:pPr>
            <w:r>
              <w:rPr>
                <w:rFonts w:ascii="宋体" w:hAnsi="宋体"/>
                <w:color w:val="auto"/>
                <w:kern w:val="0"/>
                <w:szCs w:val="21"/>
                <w:highlight w:val="none"/>
              </w:rPr>
              <w:t>推荐经评审综合得分由高到低排名</w:t>
            </w:r>
            <w:r>
              <w:rPr>
                <w:rFonts w:hint="eastAsia" w:ascii="宋体" w:hAnsi="宋体"/>
                <w:color w:val="auto"/>
                <w:kern w:val="0"/>
                <w:szCs w:val="21"/>
                <w:highlight w:val="none"/>
              </w:rPr>
              <w:t>前3</w:t>
            </w:r>
            <w:r>
              <w:rPr>
                <w:rFonts w:ascii="宋体" w:hAnsi="宋体"/>
                <w:color w:val="auto"/>
                <w:kern w:val="0"/>
                <w:szCs w:val="21"/>
                <w:highlight w:val="none"/>
              </w:rPr>
              <w:t>名为中标候选人。</w:t>
            </w:r>
          </w:p>
        </w:tc>
      </w:tr>
      <w:tr w14:paraId="7EF25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8964C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.1</w:t>
            </w:r>
          </w:p>
        </w:tc>
        <w:tc>
          <w:tcPr>
            <w:tcW w:w="1644" w:type="dxa"/>
            <w:vAlign w:val="center"/>
          </w:tcPr>
          <w:p w14:paraId="45620E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73D470FD">
            <w:pPr>
              <w:autoSpaceDE w:val="0"/>
              <w:autoSpaceDN w:val="0"/>
              <w:adjustRightInd w:val="0"/>
              <w:snapToGrid w:val="0"/>
              <w:spacing w:line="400" w:lineRule="exact"/>
              <w:ind w:firstLine="420" w:firstLineChars="200"/>
              <w:rPr>
                <w:rFonts w:ascii="宋体" w:hAnsi="宋体"/>
                <w:color w:val="auto"/>
                <w:spacing w:val="4"/>
                <w:kern w:val="0"/>
                <w:szCs w:val="21"/>
                <w:highlight w:val="none"/>
              </w:rPr>
            </w:pPr>
            <w:r>
              <w:rPr>
                <w:rFonts w:hint="eastAsia" w:ascii="宋体" w:hAnsi="宋体" w:cs="宋体"/>
                <w:color w:val="auto"/>
                <w:szCs w:val="21"/>
                <w:highlight w:val="none"/>
              </w:rPr>
              <w:t>评选结果在比选人确认评选结果后3日内，于“</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w:t>
            </w:r>
          </w:p>
        </w:tc>
      </w:tr>
      <w:tr w14:paraId="5B9DA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0FC3B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7.4</w:t>
            </w:r>
          </w:p>
        </w:tc>
        <w:tc>
          <w:tcPr>
            <w:tcW w:w="1644" w:type="dxa"/>
            <w:vAlign w:val="center"/>
          </w:tcPr>
          <w:p w14:paraId="74810E60">
            <w:pPr>
              <w:snapToGrid w:val="0"/>
              <w:spacing w:after="48"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3360975F">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w:t>
            </w:r>
          </w:p>
        </w:tc>
      </w:tr>
      <w:tr w14:paraId="4CEED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51F01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6</w:t>
            </w:r>
          </w:p>
        </w:tc>
        <w:tc>
          <w:tcPr>
            <w:tcW w:w="1644" w:type="dxa"/>
            <w:vAlign w:val="center"/>
          </w:tcPr>
          <w:p w14:paraId="52227C6F">
            <w:pPr>
              <w:snapToGrid w:val="0"/>
              <w:spacing w:after="48" w:afterLines="20" w:line="400" w:lineRule="exact"/>
              <w:jc w:val="center"/>
              <w:rPr>
                <w:rFonts w:ascii="宋体" w:hAnsi="宋体"/>
                <w:color w:val="auto"/>
                <w:kern w:val="0"/>
                <w:szCs w:val="21"/>
                <w:highlight w:val="none"/>
              </w:rPr>
            </w:pPr>
            <w:r>
              <w:rPr>
                <w:rFonts w:hint="eastAsia" w:ascii="宋体" w:hAnsi="宋体"/>
                <w:color w:val="auto"/>
                <w:kern w:val="0"/>
                <w:szCs w:val="21"/>
                <w:highlight w:val="none"/>
              </w:rPr>
              <w:t>技术成果经济补偿</w:t>
            </w:r>
          </w:p>
        </w:tc>
        <w:tc>
          <w:tcPr>
            <w:tcW w:w="6490" w:type="dxa"/>
            <w:vAlign w:val="center"/>
          </w:tcPr>
          <w:p w14:paraId="1936835A">
            <w:pPr>
              <w:snapToGrid w:val="0"/>
              <w:spacing w:line="400" w:lineRule="exact"/>
              <w:ind w:firstLine="420" w:firstLineChars="200"/>
              <w:rPr>
                <w:color w:val="auto"/>
                <w:highlight w:val="none"/>
              </w:rPr>
            </w:pPr>
            <w:r>
              <w:rPr>
                <w:rFonts w:hint="eastAsia"/>
                <w:color w:val="auto"/>
                <w:highlight w:val="none"/>
              </w:rPr>
              <w:t>不补偿</w:t>
            </w:r>
          </w:p>
        </w:tc>
      </w:tr>
      <w:tr w14:paraId="6A325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CA8E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7.7.1</w:t>
            </w:r>
          </w:p>
        </w:tc>
        <w:tc>
          <w:tcPr>
            <w:tcW w:w="1644" w:type="dxa"/>
            <w:vAlign w:val="center"/>
          </w:tcPr>
          <w:p w14:paraId="7010D53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履约保证金</w:t>
            </w:r>
          </w:p>
        </w:tc>
        <w:tc>
          <w:tcPr>
            <w:tcW w:w="6490" w:type="dxa"/>
            <w:vAlign w:val="center"/>
          </w:tcPr>
          <w:p w14:paraId="6A4A022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1、中标人是否提供履约保证金：</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342CACA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2、中标人提供履约保证金的形式、金额及期限：</w:t>
            </w:r>
          </w:p>
          <w:p w14:paraId="65A592EA">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w:t>
            </w:r>
            <w:r>
              <w:rPr>
                <w:rFonts w:hint="eastAsia" w:ascii="宋体" w:hAnsi="宋体"/>
                <w:color w:val="auto"/>
                <w:kern w:val="0"/>
                <w:szCs w:val="21"/>
                <w:highlight w:val="none"/>
              </w:rPr>
              <w:t>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ascii="宋体" w:hAnsi="宋体"/>
                <w:color w:val="auto"/>
                <w:kern w:val="0"/>
                <w:szCs w:val="21"/>
                <w:highlight w:val="none"/>
              </w:rPr>
              <w:t>。</w:t>
            </w:r>
          </w:p>
          <w:p w14:paraId="7B7DE3D1">
            <w:pPr>
              <w:snapToGrid w:val="0"/>
              <w:spacing w:line="400" w:lineRule="exact"/>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（2）履约保证金的金额：</w:t>
            </w:r>
            <w:r>
              <w:rPr>
                <w:rFonts w:ascii="宋体" w:hAnsi="宋体"/>
                <w:color w:val="auto"/>
                <w:kern w:val="0"/>
                <w:szCs w:val="21"/>
                <w:highlight w:val="none"/>
              </w:rPr>
              <w:t>为</w:t>
            </w:r>
            <w:r>
              <w:rPr>
                <w:rFonts w:hint="eastAsia" w:ascii="宋体" w:hAnsi="宋体"/>
                <w:color w:val="auto"/>
                <w:kern w:val="0"/>
                <w:szCs w:val="21"/>
                <w:highlight w:val="none"/>
              </w:rPr>
              <w:t>签约</w:t>
            </w:r>
            <w:r>
              <w:rPr>
                <w:rFonts w:ascii="宋体" w:hAnsi="宋体"/>
                <w:color w:val="auto"/>
                <w:kern w:val="0"/>
                <w:szCs w:val="21"/>
                <w:highlight w:val="none"/>
              </w:rPr>
              <w:t>合同价的</w:t>
            </w:r>
            <w:r>
              <w:rPr>
                <w:rFonts w:ascii="宋体" w:hAnsi="宋体"/>
                <w:color w:val="auto"/>
                <w:kern w:val="0"/>
                <w:szCs w:val="21"/>
                <w:highlight w:val="none"/>
                <w:u w:val="single"/>
              </w:rPr>
              <w:t xml:space="preserve"> 10 </w:t>
            </w:r>
            <w:r>
              <w:rPr>
                <w:rFonts w:ascii="宋体" w:hAnsi="宋体"/>
                <w:color w:val="auto"/>
                <w:kern w:val="0"/>
                <w:szCs w:val="21"/>
                <w:highlight w:val="none"/>
              </w:rPr>
              <w:t>%</w:t>
            </w:r>
            <w:r>
              <w:rPr>
                <w:rFonts w:hint="eastAsia" w:ascii="宋体" w:hAnsi="宋体"/>
                <w:color w:val="auto"/>
                <w:kern w:val="0"/>
                <w:szCs w:val="21"/>
                <w:highlight w:val="none"/>
              </w:rPr>
              <w:t>。</w:t>
            </w:r>
          </w:p>
          <w:p w14:paraId="7082773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（3）履约保证金的提交时间：见专用合同条款。</w:t>
            </w:r>
          </w:p>
          <w:p w14:paraId="453D477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（4）履约保证金的期限：见专用合同条款。</w:t>
            </w:r>
          </w:p>
          <w:p w14:paraId="0421E504">
            <w:pPr>
              <w:snapToGrid w:val="0"/>
              <w:spacing w:after="48"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（5）履约保证金的退还时间：见专用合同条款。</w:t>
            </w:r>
          </w:p>
        </w:tc>
      </w:tr>
      <w:tr w14:paraId="6726F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62D3C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8</w:t>
            </w:r>
            <w:r>
              <w:rPr>
                <w:rFonts w:hint="eastAsia" w:ascii="宋体" w:hAnsi="宋体"/>
                <w:color w:val="auto"/>
                <w:kern w:val="0"/>
                <w:szCs w:val="21"/>
                <w:highlight w:val="none"/>
              </w:rPr>
              <w:t>.1</w:t>
            </w:r>
          </w:p>
        </w:tc>
        <w:tc>
          <w:tcPr>
            <w:tcW w:w="1644" w:type="dxa"/>
            <w:vAlign w:val="center"/>
          </w:tcPr>
          <w:p w14:paraId="5E2632A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654162A1">
            <w:pPr>
              <w:snapToGrid w:val="0"/>
              <w:spacing w:after="48"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6B4C4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F9A6F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297A9F5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4942134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须知第8.1（1）执行；</w:t>
            </w:r>
          </w:p>
          <w:p w14:paraId="09D7EB4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须知第8.1（2）执行；</w:t>
            </w:r>
          </w:p>
          <w:p w14:paraId="28230990">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须知第8.1（3）执行；</w:t>
            </w:r>
          </w:p>
          <w:p w14:paraId="63034F8D">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074C2E3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6908B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A897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4527CF1F">
            <w:pPr>
              <w:snapToGrid w:val="0"/>
              <w:spacing w:line="400" w:lineRule="exact"/>
              <w:jc w:val="center"/>
              <w:rPr>
                <w:color w:val="auto"/>
                <w:highlight w:val="none"/>
              </w:rPr>
            </w:pPr>
            <w:bookmarkStart w:id="94" w:name="_Toc16930431"/>
            <w:bookmarkStart w:id="95" w:name="_Toc430530434"/>
            <w:bookmarkStart w:id="96" w:name="_Toc536628250"/>
            <w:bookmarkStart w:id="97" w:name="_Toc13210670"/>
            <w:bookmarkStart w:id="98" w:name="_Toc509218709"/>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4"/>
            <w:bookmarkEnd w:id="95"/>
            <w:bookmarkEnd w:id="96"/>
            <w:bookmarkEnd w:id="97"/>
            <w:bookmarkEnd w:id="98"/>
          </w:p>
        </w:tc>
        <w:tc>
          <w:tcPr>
            <w:tcW w:w="6490" w:type="dxa"/>
            <w:vAlign w:val="center"/>
          </w:tcPr>
          <w:p w14:paraId="1FF28F84">
            <w:pPr>
              <w:autoSpaceDE w:val="0"/>
              <w:autoSpaceDN w:val="0"/>
              <w:adjustRightInd w:val="0"/>
              <w:snapToGrid w:val="0"/>
              <w:spacing w:after="48"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3F38A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0DB08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8E4E1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18B9B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72440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rPr>
              <w:t>10.1</w:t>
            </w:r>
          </w:p>
        </w:tc>
        <w:tc>
          <w:tcPr>
            <w:tcW w:w="1644" w:type="dxa"/>
            <w:vAlign w:val="center"/>
          </w:tcPr>
          <w:p w14:paraId="7FF775B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低价风险担保</w:t>
            </w:r>
          </w:p>
        </w:tc>
        <w:tc>
          <w:tcPr>
            <w:tcW w:w="6490" w:type="dxa"/>
            <w:vAlign w:val="center"/>
          </w:tcPr>
          <w:p w14:paraId="1B9B25A0">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1、低价风险担保：中标价低于最高限价的85%时提供，如不按时足额提供，视为中标人放弃中标，招标人有权不退还其投标保证金，</w:t>
            </w:r>
            <w:r>
              <w:rPr>
                <w:rFonts w:hint="eastAsia" w:ascii="宋体" w:hAnsi="宋体" w:eastAsia="宋体" w:cs="宋体"/>
                <w:color w:val="auto"/>
                <w:sz w:val="21"/>
                <w:szCs w:val="21"/>
                <w:highlight w:val="none"/>
              </w:rPr>
              <w:t>并报招标投标行政监督部门按照信用管理办法的规定处理，对中标人的不良行为直接记12分，纳入重点关注名单。</w:t>
            </w:r>
          </w:p>
          <w:p w14:paraId="19E89481">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2、中标人提供低价风险担保的形式、金额及期限：</w:t>
            </w:r>
          </w:p>
          <w:p w14:paraId="6F72B095">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r>
              <w:rPr>
                <w:rFonts w:hint="eastAsia" w:ascii="宋体" w:hAnsi="宋体"/>
                <w:color w:val="auto"/>
                <w:kern w:val="0"/>
                <w:szCs w:val="21"/>
                <w:highlight w:val="none"/>
              </w:rPr>
              <w:t>现金或保函；采用保函形式的,保函的开立人应当是具有相应资格的且发包人认可的银行、保险机构、融资担保公司，其信用资质、履约能力、担保能力、赔付流程、安全保密等应符合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ascii="宋体" w:hAnsi="宋体"/>
                <w:color w:val="auto"/>
                <w:kern w:val="0"/>
                <w:szCs w:val="21"/>
                <w:highlight w:val="none"/>
              </w:rPr>
              <w:t>。</w:t>
            </w:r>
          </w:p>
          <w:p w14:paraId="003F096D">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i/>
                <w:iCs/>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（2）低价风险担保的金额：（最高限价×85%-中标价）×3</w:t>
            </w:r>
            <w:r>
              <w:rPr>
                <w:rStyle w:val="57"/>
                <w:rFonts w:hint="eastAsia" w:ascii="宋体" w:hAnsi="宋体" w:eastAsia="宋体" w:cs="宋体"/>
                <w:color w:val="auto"/>
                <w:sz w:val="21"/>
                <w:szCs w:val="21"/>
                <w:highlight w:val="none"/>
                <w:lang w:eastAsia="zh-CN"/>
              </w:rPr>
              <w:t>。</w:t>
            </w:r>
          </w:p>
          <w:p w14:paraId="465FB05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（3）低价风险担保的提交时间：合同签订前</w:t>
            </w:r>
            <w:r>
              <w:rPr>
                <w:rFonts w:hint="eastAsia" w:ascii="宋体" w:hAnsi="宋体" w:eastAsia="宋体" w:cs="宋体"/>
                <w:color w:val="auto"/>
                <w:kern w:val="0"/>
                <w:sz w:val="21"/>
                <w:szCs w:val="21"/>
                <w:highlight w:val="none"/>
                <w:lang w:eastAsia="zh-CN"/>
              </w:rPr>
              <w:t>。</w:t>
            </w:r>
          </w:p>
          <w:p w14:paraId="145D36A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（4）中标人因自身原因未按中标通知书规定的时限与招标人签订合同的，招标人有权扣除其低价风险担保并取消中标资格。</w:t>
            </w:r>
          </w:p>
          <w:p w14:paraId="51564EA4">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rPr>
              <w:t>（5）低价风险担保的期限：</w:t>
            </w:r>
            <w:r>
              <w:rPr>
                <w:rFonts w:hint="eastAsia" w:ascii="宋体" w:hAnsi="宋体" w:cs="宋体"/>
                <w:color w:val="auto"/>
                <w:kern w:val="0"/>
                <w:szCs w:val="21"/>
                <w:highlight w:val="none"/>
                <w:lang w:bidi="ar"/>
              </w:rPr>
              <w:t>自提交低价风险担保之日起至通过施工图审查合格之日止</w:t>
            </w:r>
            <w:r>
              <w:rPr>
                <w:rFonts w:hint="eastAsia" w:ascii="宋体" w:hAnsi="宋体" w:cs="宋体"/>
                <w:color w:val="auto"/>
                <w:kern w:val="0"/>
                <w:szCs w:val="21"/>
                <w:highlight w:val="none"/>
                <w:lang w:eastAsia="zh-CN" w:bidi="ar"/>
              </w:rPr>
              <w:t>。</w:t>
            </w:r>
          </w:p>
          <w:p w14:paraId="3E5CF9BC">
            <w:pPr>
              <w:keepNext w:val="0"/>
              <w:keepLines w:val="0"/>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color w:val="auto"/>
                <w:kern w:val="0"/>
                <w:szCs w:val="21"/>
                <w:highlight w:val="none"/>
              </w:rPr>
            </w:pPr>
            <w:r>
              <w:rPr>
                <w:rFonts w:hint="eastAsia" w:ascii="宋体" w:hAnsi="宋体" w:eastAsia="宋体" w:cs="宋体"/>
                <w:color w:val="auto"/>
                <w:kern w:val="0"/>
                <w:sz w:val="21"/>
                <w:szCs w:val="21"/>
                <w:highlight w:val="none"/>
              </w:rPr>
              <w:t>3、低价风险担保的退还时间：</w:t>
            </w:r>
            <w:r>
              <w:rPr>
                <w:rFonts w:hint="eastAsia" w:ascii="宋体" w:hAnsi="宋体" w:cs="宋体"/>
                <w:color w:val="auto"/>
                <w:kern w:val="0"/>
                <w:szCs w:val="21"/>
                <w:highlight w:val="none"/>
                <w:lang w:bidi="ar"/>
              </w:rPr>
              <w:t>采用现金担保的，通过施工图审查合格之日起28天内无息退还；采用银行保函的，工程竣工验收合格之日起28天后失效。</w:t>
            </w:r>
          </w:p>
          <w:p w14:paraId="029193DE">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695A873A">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备注：当中标人或拟中标人未按时提交低价风险担保，且属于可以延长低价风险担保提交期限的特殊情形时，经招标人同意，可适当延长低价风险担保的提交期限。</w:t>
            </w:r>
          </w:p>
          <w:p w14:paraId="6AE8BF1F">
            <w:pPr>
              <w:pStyle w:val="17"/>
              <w:keepNext w:val="0"/>
              <w:keepLines w:val="0"/>
              <w:pageBreakBefore w:val="0"/>
              <w:widowControl/>
              <w:kinsoku/>
              <w:wordWrap/>
              <w:overflowPunct/>
              <w:topLinePunct w:val="0"/>
              <w:bidi w:val="0"/>
              <w:spacing w:after="0"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5、投标总报价低于最高限价85%的，投标人应在编制投标文件时，在投标函部分中递交低价风险担保提交承诺书。承诺书格式详见第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章投标文件格式。</w:t>
            </w:r>
          </w:p>
        </w:tc>
      </w:tr>
      <w:tr w14:paraId="2C35A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C6E54B">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Align w:val="center"/>
          </w:tcPr>
          <w:p w14:paraId="27BB06D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及投标争议的解释</w:t>
            </w:r>
          </w:p>
        </w:tc>
        <w:tc>
          <w:tcPr>
            <w:tcW w:w="6490" w:type="dxa"/>
            <w:vAlign w:val="center"/>
          </w:tcPr>
          <w:p w14:paraId="1F367AE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的评标标准和方法，以及否决投标条款理解有争议的，应当作出不利于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的解释，但违背国家利益、社会公共利益的除外。</w:t>
            </w:r>
          </w:p>
          <w:p w14:paraId="388E671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理解有争议的，应当作出不利于提交该</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的解释。</w:t>
            </w:r>
          </w:p>
        </w:tc>
      </w:tr>
      <w:tr w14:paraId="58FDA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F967E2">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644" w:type="dxa"/>
            <w:vAlign w:val="center"/>
          </w:tcPr>
          <w:p w14:paraId="5612FFC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14:paraId="15F61E87">
            <w:pPr>
              <w:autoSpaceDE w:val="0"/>
              <w:autoSpaceDN w:val="0"/>
              <w:adjustRightInd w:val="0"/>
              <w:snapToGrid w:val="0"/>
              <w:spacing w:line="400" w:lineRule="exact"/>
              <w:ind w:firstLine="420"/>
              <w:rPr>
                <w:rFonts w:ascii="宋体" w:hAnsi="宋体"/>
                <w:i w:val="0"/>
                <w:iCs/>
                <w:color w:val="auto"/>
                <w:kern w:val="0"/>
                <w:szCs w:val="21"/>
                <w:highlight w:val="none"/>
              </w:rPr>
            </w:pPr>
            <w:r>
              <w:rPr>
                <w:rFonts w:hint="eastAsia" w:ascii="宋体" w:hAnsi="宋体" w:eastAsia="宋体" w:cs="Times New Roman"/>
                <w:i w:val="0"/>
                <w:iCs/>
                <w:color w:val="auto"/>
                <w:kern w:val="0"/>
                <w:szCs w:val="21"/>
                <w:highlight w:val="none"/>
              </w:rPr>
              <w:t>比选代理服务费：本工程比选代理服务费按照《招标代理服务收费管理暂行办法》（计价格[2002]1980号）收费标准</w:t>
            </w:r>
            <w:r>
              <w:rPr>
                <w:rFonts w:hint="eastAsia" w:ascii="宋体" w:hAnsi="宋体" w:cs="Times New Roman"/>
                <w:i w:val="0"/>
                <w:iCs/>
                <w:color w:val="auto"/>
                <w:kern w:val="0"/>
                <w:szCs w:val="21"/>
                <w:highlight w:val="none"/>
                <w:lang w:val="en-US" w:eastAsia="zh-CN"/>
              </w:rPr>
              <w:t>70%</w:t>
            </w:r>
            <w:r>
              <w:rPr>
                <w:rFonts w:hint="eastAsia" w:ascii="宋体" w:hAnsi="宋体" w:eastAsia="宋体" w:cs="Times New Roman"/>
                <w:i w:val="0"/>
                <w:iCs/>
                <w:color w:val="auto"/>
                <w:kern w:val="0"/>
                <w:szCs w:val="21"/>
                <w:highlight w:val="none"/>
              </w:rPr>
              <w:t>计算</w:t>
            </w:r>
            <w:r>
              <w:rPr>
                <w:rFonts w:hint="eastAsia" w:ascii="宋体" w:hAnsi="宋体" w:eastAsia="宋体" w:cs="Times New Roman"/>
                <w:i w:val="0"/>
                <w:iCs/>
                <w:color w:val="auto"/>
                <w:kern w:val="0"/>
                <w:szCs w:val="21"/>
                <w:highlight w:val="none"/>
                <w:lang w:eastAsia="zh-CN"/>
              </w:rPr>
              <w:t>，不足6</w:t>
            </w:r>
            <w:r>
              <w:rPr>
                <w:rFonts w:hint="eastAsia" w:ascii="宋体" w:hAnsi="宋体" w:cs="Times New Roman"/>
                <w:i w:val="0"/>
                <w:iCs/>
                <w:color w:val="auto"/>
                <w:kern w:val="0"/>
                <w:szCs w:val="21"/>
                <w:highlight w:val="none"/>
                <w:lang w:val="en-US" w:eastAsia="zh-CN"/>
              </w:rPr>
              <w:t>5</w:t>
            </w:r>
            <w:r>
              <w:rPr>
                <w:rFonts w:hint="eastAsia" w:ascii="宋体" w:hAnsi="宋体" w:eastAsia="宋体" w:cs="Times New Roman"/>
                <w:i w:val="0"/>
                <w:iCs/>
                <w:color w:val="auto"/>
                <w:kern w:val="0"/>
                <w:szCs w:val="21"/>
                <w:highlight w:val="none"/>
                <w:lang w:eastAsia="zh-CN"/>
              </w:rPr>
              <w:t>00.00元按固定收费金额6</w:t>
            </w:r>
            <w:r>
              <w:rPr>
                <w:rFonts w:hint="eastAsia" w:ascii="宋体" w:hAnsi="宋体" w:cs="Times New Roman"/>
                <w:i w:val="0"/>
                <w:iCs/>
                <w:color w:val="auto"/>
                <w:kern w:val="0"/>
                <w:szCs w:val="21"/>
                <w:highlight w:val="none"/>
                <w:lang w:val="en-US" w:eastAsia="zh-CN"/>
              </w:rPr>
              <w:t>5</w:t>
            </w:r>
            <w:r>
              <w:rPr>
                <w:rFonts w:hint="eastAsia" w:ascii="宋体" w:hAnsi="宋体" w:eastAsia="宋体" w:cs="Times New Roman"/>
                <w:i w:val="0"/>
                <w:iCs/>
                <w:color w:val="auto"/>
                <w:kern w:val="0"/>
                <w:szCs w:val="21"/>
                <w:highlight w:val="none"/>
                <w:lang w:eastAsia="zh-CN"/>
              </w:rPr>
              <w:t>00.00元计算</w:t>
            </w:r>
            <w:r>
              <w:rPr>
                <w:rFonts w:hint="eastAsia" w:ascii="宋体" w:hAnsi="宋体" w:eastAsia="宋体" w:cs="Times New Roman"/>
                <w:i w:val="0"/>
                <w:iCs/>
                <w:color w:val="auto"/>
                <w:kern w:val="0"/>
                <w:szCs w:val="21"/>
                <w:highlight w:val="none"/>
              </w:rPr>
              <w:t>。由中标人在领取中标通知书时一次性支付。</w:t>
            </w:r>
          </w:p>
        </w:tc>
      </w:tr>
      <w:tr w14:paraId="41A7F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DDA9C8">
            <w:pPr>
              <w:snapToGrid w:val="0"/>
              <w:spacing w:line="400" w:lineRule="exact"/>
              <w:jc w:val="center"/>
              <w:rPr>
                <w:rFonts w:hint="eastAsia" w:ascii="宋体" w:hAnsi="宋体" w:eastAsia="宋体" w:cs="宋体"/>
                <w:color w:val="auto"/>
                <w:kern w:val="0"/>
                <w:szCs w:val="21"/>
                <w:highlight w:val="none"/>
                <w:lang w:eastAsia="zh-CN"/>
              </w:rPr>
            </w:pPr>
            <w:bookmarkStart w:id="99" w:name="_Toc287620685"/>
            <w:bookmarkStart w:id="100" w:name="_Toc224103317"/>
            <w:bookmarkStart w:id="101" w:name="_Toc430530435"/>
            <w:bookmarkStart w:id="102" w:name="_Toc287607746"/>
            <w:bookmarkStart w:id="103" w:name="_Toc277082552"/>
            <w:bookmarkStart w:id="104" w:name="_Toc200513126"/>
            <w:r>
              <w:rPr>
                <w:rFonts w:hint="eastAsia" w:ascii="宋体" w:hAnsi="宋体" w:eastAsia="宋体" w:cs="宋体"/>
                <w:color w:val="auto"/>
                <w:kern w:val="0"/>
                <w:szCs w:val="21"/>
                <w:highlight w:val="none"/>
              </w:rPr>
              <w:t>10.</w:t>
            </w:r>
            <w:r>
              <w:rPr>
                <w:rFonts w:hint="eastAsia" w:ascii="宋体" w:hAnsi="宋体" w:cs="宋体"/>
                <w:color w:val="auto"/>
                <w:kern w:val="0"/>
                <w:szCs w:val="21"/>
                <w:highlight w:val="none"/>
                <w:lang w:val="en-US" w:eastAsia="zh-CN"/>
              </w:rPr>
              <w:t>4</w:t>
            </w:r>
          </w:p>
        </w:tc>
        <w:tc>
          <w:tcPr>
            <w:tcW w:w="1644" w:type="dxa"/>
            <w:vAlign w:val="center"/>
          </w:tcPr>
          <w:p w14:paraId="2D0B6023">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w:t>
            </w:r>
          </w:p>
        </w:tc>
        <w:tc>
          <w:tcPr>
            <w:tcW w:w="6490" w:type="dxa"/>
            <w:vAlign w:val="center"/>
          </w:tcPr>
          <w:p w14:paraId="4903E160">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项目非因</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人原因取消的</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人不补偿或赔偿</w:t>
            </w:r>
            <w:r>
              <w:rPr>
                <w:rFonts w:hint="eastAsia" w:ascii="宋体" w:hAnsi="宋体" w:eastAsia="宋体" w:cs="宋体"/>
                <w:color w:val="auto"/>
                <w:kern w:val="0"/>
                <w:szCs w:val="21"/>
                <w:highlight w:val="none"/>
                <w:lang w:val="en-US" w:eastAsia="zh-CN"/>
              </w:rPr>
              <w:t>竞选</w:t>
            </w:r>
            <w:r>
              <w:rPr>
                <w:rFonts w:hint="eastAsia" w:ascii="宋体" w:hAnsi="宋体" w:eastAsia="宋体" w:cs="宋体"/>
                <w:color w:val="auto"/>
                <w:kern w:val="0"/>
                <w:szCs w:val="21"/>
                <w:highlight w:val="none"/>
              </w:rPr>
              <w:t>人。</w:t>
            </w:r>
          </w:p>
          <w:p w14:paraId="51196554">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72BC9259">
      <w:pPr>
        <w:pStyle w:val="3"/>
        <w:spacing w:before="0" w:after="0" w:line="20" w:lineRule="exact"/>
        <w:rPr>
          <w:rFonts w:ascii="宋体" w:hAnsi="宋体"/>
          <w:b w:val="0"/>
          <w:snapToGrid w:val="0"/>
          <w:color w:val="auto"/>
          <w:highlight w:val="none"/>
        </w:rPr>
      </w:pPr>
    </w:p>
    <w:p w14:paraId="1A60522E">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609B831C">
      <w:pPr>
        <w:pStyle w:val="3"/>
        <w:spacing w:before="0" w:after="0" w:line="360" w:lineRule="auto"/>
        <w:rPr>
          <w:rFonts w:ascii="宋体" w:hAnsi="宋体"/>
          <w:b w:val="0"/>
          <w:snapToGrid w:val="0"/>
          <w:color w:val="auto"/>
          <w:highlight w:val="none"/>
        </w:rPr>
      </w:pPr>
      <w:bookmarkStart w:id="105" w:name="_Toc509218710"/>
      <w:bookmarkStart w:id="106" w:name="_Toc4438"/>
      <w:r>
        <w:rPr>
          <w:rFonts w:ascii="宋体" w:hAnsi="宋体"/>
          <w:b w:val="0"/>
          <w:snapToGrid w:val="0"/>
          <w:color w:val="auto"/>
          <w:highlight w:val="none"/>
        </w:rPr>
        <w:t>1.  总则</w:t>
      </w:r>
      <w:bookmarkEnd w:id="99"/>
      <w:bookmarkEnd w:id="100"/>
      <w:bookmarkEnd w:id="101"/>
      <w:bookmarkEnd w:id="102"/>
      <w:bookmarkEnd w:id="103"/>
      <w:bookmarkEnd w:id="104"/>
      <w:bookmarkEnd w:id="105"/>
      <w:bookmarkEnd w:id="106"/>
    </w:p>
    <w:p w14:paraId="50EEDDE2">
      <w:pPr>
        <w:pStyle w:val="4"/>
        <w:snapToGrid w:val="0"/>
        <w:spacing w:before="0" w:after="0" w:line="360" w:lineRule="auto"/>
        <w:rPr>
          <w:rFonts w:ascii="宋体" w:hAnsi="宋体"/>
          <w:b w:val="0"/>
          <w:snapToGrid w:val="0"/>
          <w:color w:val="auto"/>
          <w:sz w:val="24"/>
          <w:szCs w:val="24"/>
          <w:highlight w:val="none"/>
        </w:rPr>
      </w:pPr>
      <w:bookmarkStart w:id="107" w:name="_Toc287607747"/>
      <w:bookmarkStart w:id="108" w:name="_Toc11692"/>
      <w:bookmarkStart w:id="109" w:name="_Toc200513127"/>
      <w:bookmarkStart w:id="110" w:name="_Toc509218711"/>
      <w:bookmarkStart w:id="111" w:name="_Toc430530436"/>
      <w:bookmarkStart w:id="112" w:name="_Toc224103318"/>
      <w:bookmarkStart w:id="113" w:name="_Toc277082553"/>
      <w:bookmarkStart w:id="114" w:name="_Toc287620686"/>
      <w:r>
        <w:rPr>
          <w:rFonts w:ascii="宋体" w:hAnsi="宋体"/>
          <w:b w:val="0"/>
          <w:snapToGrid w:val="0"/>
          <w:color w:val="auto"/>
          <w:sz w:val="24"/>
          <w:szCs w:val="24"/>
          <w:highlight w:val="none"/>
        </w:rPr>
        <w:t>1.1  项目概况</w:t>
      </w:r>
      <w:bookmarkEnd w:id="107"/>
      <w:bookmarkEnd w:id="108"/>
      <w:bookmarkEnd w:id="109"/>
      <w:bookmarkEnd w:id="110"/>
      <w:bookmarkEnd w:id="111"/>
      <w:bookmarkEnd w:id="112"/>
      <w:bookmarkEnd w:id="113"/>
      <w:bookmarkEnd w:id="114"/>
    </w:p>
    <w:p w14:paraId="5EC143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根据《中华人民共和国招标投标法》、《中华人民共和国招标投标法实施条例》等有关法律、法规和规章的规定，本招标项目已具备招标条件，现对设计进行招标。</w:t>
      </w:r>
    </w:p>
    <w:p w14:paraId="35FC59A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415773B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2FDFFCD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招标项目名称：见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A297A0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项目建设地点：见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6A542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项目建设规模：见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B2F8DF5">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1.1.7  项目</w:t>
      </w:r>
      <w:r>
        <w:rPr>
          <w:rFonts w:hint="eastAsia" w:ascii="宋体" w:hAnsi="宋体"/>
          <w:snapToGrid w:val="0"/>
          <w:color w:val="auto"/>
          <w:kern w:val="0"/>
          <w:szCs w:val="21"/>
          <w:highlight w:val="none"/>
        </w:rPr>
        <w:t>估算金额</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52720200">
      <w:pPr>
        <w:pStyle w:val="4"/>
        <w:snapToGrid w:val="0"/>
        <w:spacing w:before="0" w:after="0" w:line="360" w:lineRule="auto"/>
        <w:rPr>
          <w:rFonts w:ascii="宋体" w:hAnsi="宋体"/>
          <w:b w:val="0"/>
          <w:snapToGrid w:val="0"/>
          <w:color w:val="auto"/>
          <w:sz w:val="24"/>
          <w:szCs w:val="24"/>
          <w:highlight w:val="none"/>
        </w:rPr>
      </w:pPr>
      <w:bookmarkStart w:id="115" w:name="_Toc200513128"/>
      <w:bookmarkStart w:id="116" w:name="_Toc509218712"/>
      <w:bookmarkStart w:id="117" w:name="_Toc287607748"/>
      <w:bookmarkStart w:id="118" w:name="_Toc277082554"/>
      <w:bookmarkStart w:id="119" w:name="_Toc287620687"/>
      <w:bookmarkStart w:id="120" w:name="_Toc430530437"/>
      <w:bookmarkStart w:id="121" w:name="_Toc17766"/>
      <w:bookmarkStart w:id="122" w:name="_Toc224103319"/>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rPr>
        <w:t>招标项目的</w:t>
      </w:r>
      <w:r>
        <w:rPr>
          <w:rFonts w:ascii="宋体" w:hAnsi="宋体"/>
          <w:b w:val="0"/>
          <w:snapToGrid w:val="0"/>
          <w:color w:val="auto"/>
          <w:sz w:val="24"/>
          <w:szCs w:val="24"/>
          <w:highlight w:val="none"/>
        </w:rPr>
        <w:t>资金来源和落实情况</w:t>
      </w:r>
      <w:bookmarkEnd w:id="115"/>
      <w:bookmarkEnd w:id="116"/>
      <w:bookmarkEnd w:id="117"/>
      <w:bookmarkEnd w:id="118"/>
      <w:bookmarkEnd w:id="119"/>
      <w:bookmarkEnd w:id="120"/>
      <w:bookmarkEnd w:id="121"/>
      <w:bookmarkEnd w:id="122"/>
    </w:p>
    <w:p w14:paraId="49065A4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DD71E6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6164B70">
      <w:pPr>
        <w:pStyle w:val="4"/>
        <w:snapToGrid w:val="0"/>
        <w:spacing w:before="0" w:after="0" w:line="360" w:lineRule="auto"/>
        <w:rPr>
          <w:rFonts w:ascii="宋体" w:hAnsi="宋体"/>
          <w:b w:val="0"/>
          <w:snapToGrid w:val="0"/>
          <w:color w:val="auto"/>
          <w:sz w:val="24"/>
          <w:szCs w:val="24"/>
          <w:highlight w:val="none"/>
        </w:rPr>
      </w:pPr>
      <w:bookmarkStart w:id="123" w:name="_Toc277082555"/>
      <w:bookmarkStart w:id="124" w:name="_Toc430530438"/>
      <w:bookmarkStart w:id="125" w:name="_Toc200513129"/>
      <w:bookmarkStart w:id="126" w:name="_Toc509218713"/>
      <w:bookmarkStart w:id="127" w:name="_Toc287607749"/>
      <w:bookmarkStart w:id="128" w:name="_Toc224103320"/>
      <w:bookmarkStart w:id="129" w:name="_Toc287620688"/>
      <w:bookmarkStart w:id="130" w:name="_Toc4215"/>
      <w:r>
        <w:rPr>
          <w:rFonts w:ascii="宋体" w:hAnsi="宋体"/>
          <w:b w:val="0"/>
          <w:snapToGrid w:val="0"/>
          <w:color w:val="auto"/>
          <w:sz w:val="24"/>
          <w:szCs w:val="24"/>
          <w:highlight w:val="none"/>
        </w:rPr>
        <w:t>1.3  招标范围、</w:t>
      </w:r>
      <w:r>
        <w:rPr>
          <w:rFonts w:hint="eastAsia" w:ascii="宋体" w:hAnsi="宋体"/>
          <w:b w:val="0"/>
          <w:snapToGrid w:val="0"/>
          <w:color w:val="auto"/>
          <w:sz w:val="24"/>
          <w:szCs w:val="24"/>
          <w:highlight w:val="none"/>
        </w:rPr>
        <w:t>设计服务期限</w:t>
      </w:r>
      <w:r>
        <w:rPr>
          <w:rFonts w:ascii="宋体" w:hAnsi="宋体"/>
          <w:b w:val="0"/>
          <w:snapToGrid w:val="0"/>
          <w:color w:val="auto"/>
          <w:sz w:val="24"/>
          <w:szCs w:val="24"/>
          <w:highlight w:val="none"/>
        </w:rPr>
        <w:t>和质量</w:t>
      </w:r>
      <w:bookmarkEnd w:id="123"/>
      <w:bookmarkEnd w:id="124"/>
      <w:bookmarkEnd w:id="125"/>
      <w:bookmarkEnd w:id="126"/>
      <w:bookmarkEnd w:id="127"/>
      <w:bookmarkEnd w:id="128"/>
      <w:bookmarkEnd w:id="129"/>
      <w:r>
        <w:rPr>
          <w:rFonts w:hint="eastAsia" w:ascii="宋体" w:hAnsi="宋体"/>
          <w:b w:val="0"/>
          <w:snapToGrid w:val="0"/>
          <w:color w:val="auto"/>
          <w:sz w:val="24"/>
          <w:szCs w:val="24"/>
          <w:highlight w:val="none"/>
        </w:rPr>
        <w:t>标准</w:t>
      </w:r>
      <w:bookmarkEnd w:id="130"/>
    </w:p>
    <w:p w14:paraId="51F67F4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28BE9AC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rPr>
        <w:t>设计服务期限</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BA10C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w:t>
      </w:r>
      <w:r>
        <w:rPr>
          <w:rFonts w:hint="eastAsia" w:ascii="宋体" w:hAnsi="宋体"/>
          <w:snapToGrid w:val="0"/>
          <w:color w:val="auto"/>
          <w:kern w:val="0"/>
          <w:szCs w:val="21"/>
          <w:highlight w:val="none"/>
        </w:rPr>
        <w:t>标准</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0456999">
      <w:pPr>
        <w:pStyle w:val="4"/>
        <w:snapToGrid w:val="0"/>
        <w:spacing w:before="0" w:after="0" w:line="360" w:lineRule="auto"/>
        <w:rPr>
          <w:rFonts w:ascii="宋体" w:hAnsi="宋体"/>
          <w:b w:val="0"/>
          <w:snapToGrid w:val="0"/>
          <w:color w:val="auto"/>
          <w:sz w:val="24"/>
          <w:szCs w:val="24"/>
          <w:highlight w:val="none"/>
        </w:rPr>
      </w:pPr>
      <w:bookmarkStart w:id="131" w:name="_Toc509218714"/>
      <w:bookmarkStart w:id="132" w:name="_Toc287607750"/>
      <w:bookmarkStart w:id="133" w:name="_Toc12091"/>
      <w:bookmarkStart w:id="134" w:name="_Toc287620689"/>
      <w:bookmarkStart w:id="135" w:name="_Toc430530439"/>
      <w:bookmarkStart w:id="136" w:name="_Toc200513130"/>
      <w:bookmarkStart w:id="137" w:name="_Toc277082556"/>
      <w:bookmarkStart w:id="138" w:name="_Toc224103321"/>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适用于已进行资格预审的</w:t>
      </w:r>
      <w:r>
        <w:rPr>
          <w:rFonts w:ascii="宋体" w:hAnsi="宋体"/>
          <w:b w:val="0"/>
          <w:snapToGrid w:val="0"/>
          <w:color w:val="auto"/>
          <w:sz w:val="24"/>
          <w:szCs w:val="24"/>
          <w:highlight w:val="none"/>
        </w:rPr>
        <w:t>）</w:t>
      </w:r>
      <w:bookmarkEnd w:id="131"/>
      <w:bookmarkEnd w:id="132"/>
      <w:bookmarkEnd w:id="133"/>
      <w:bookmarkEnd w:id="134"/>
      <w:bookmarkEnd w:id="135"/>
      <w:bookmarkEnd w:id="136"/>
      <w:bookmarkEnd w:id="137"/>
      <w:bookmarkEnd w:id="138"/>
    </w:p>
    <w:p w14:paraId="066E906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应是收到</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发出投标邀请书的单位。</w:t>
      </w:r>
    </w:p>
    <w:p w14:paraId="2DEB158E">
      <w:pPr>
        <w:pStyle w:val="4"/>
        <w:snapToGrid w:val="0"/>
        <w:spacing w:before="0" w:after="0" w:line="360" w:lineRule="auto"/>
        <w:rPr>
          <w:rFonts w:ascii="宋体" w:hAnsi="宋体"/>
          <w:b w:val="0"/>
          <w:snapToGrid w:val="0"/>
          <w:color w:val="auto"/>
          <w:sz w:val="24"/>
          <w:szCs w:val="24"/>
          <w:highlight w:val="none"/>
        </w:rPr>
      </w:pPr>
      <w:bookmarkStart w:id="139" w:name="_Toc277082557"/>
      <w:bookmarkStart w:id="140" w:name="_Toc287620690"/>
      <w:bookmarkStart w:id="141" w:name="_Toc430530440"/>
      <w:bookmarkStart w:id="142" w:name="_Toc224103322"/>
      <w:bookmarkStart w:id="143" w:name="_Toc200513131"/>
      <w:bookmarkStart w:id="144" w:name="_Toc509218715"/>
      <w:bookmarkStart w:id="145" w:name="_Toc287607751"/>
      <w:bookmarkStart w:id="146" w:name="_Toc28412"/>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39"/>
      <w:bookmarkEnd w:id="140"/>
      <w:bookmarkEnd w:id="141"/>
      <w:bookmarkEnd w:id="142"/>
      <w:bookmarkEnd w:id="143"/>
      <w:bookmarkEnd w:id="144"/>
      <w:bookmarkEnd w:id="145"/>
      <w:bookmarkEnd w:id="146"/>
    </w:p>
    <w:p w14:paraId="325F20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应具备承担</w:t>
      </w:r>
      <w:r>
        <w:rPr>
          <w:rFonts w:hint="eastAsia" w:ascii="宋体" w:hAnsi="宋体"/>
          <w:snapToGrid w:val="0"/>
          <w:color w:val="auto"/>
          <w:kern w:val="0"/>
          <w:szCs w:val="21"/>
          <w:highlight w:val="none"/>
        </w:rPr>
        <w:t>本招标项目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14:paraId="5927E18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w:t>
      </w:r>
      <w:r>
        <w:rPr>
          <w:rFonts w:hint="eastAsia" w:ascii="宋体" w:hAnsi="宋体"/>
          <w:color w:val="auto"/>
          <w:szCs w:val="21"/>
          <w:highlight w:val="none"/>
        </w:rPr>
        <w:t>要求及营业执照</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2391433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556C7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rPr>
        <w:t>负责人的</w:t>
      </w:r>
      <w:r>
        <w:rPr>
          <w:rFonts w:ascii="宋体" w:hAnsi="宋体"/>
          <w:snapToGrid w:val="0"/>
          <w:color w:val="auto"/>
          <w:kern w:val="0"/>
          <w:szCs w:val="21"/>
          <w:highlight w:val="none"/>
        </w:rPr>
        <w:t>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2AF8A24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）其他要求：见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92C9F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须知前附表规定接受联合体投标的，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须知前附表的要求外，还应遵守以下规定：</w:t>
      </w:r>
    </w:p>
    <w:p w14:paraId="3E17E8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提供的格式签订联合体协议书，明确联合体牵头人和各方权利义务，并承诺就中标项目向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承担连带责任；</w:t>
      </w:r>
    </w:p>
    <w:p w14:paraId="6A73CC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（2）由同一专业的单位组成的联合体，按照资质等级较低的单位确定资质等级；</w:t>
      </w:r>
    </w:p>
    <w:p w14:paraId="375C9E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本招标项目中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14:paraId="07152A2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不得存在下列情形之一：</w:t>
      </w:r>
    </w:p>
    <w:p w14:paraId="5473DD6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（1）为</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不具有独立法人资格的附属机构（单位）；</w:t>
      </w:r>
    </w:p>
    <w:p w14:paraId="481B76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存在利害关系且可能影响招标公正性</w:t>
      </w:r>
      <w:r>
        <w:rPr>
          <w:rFonts w:hint="eastAsia" w:ascii="宋体" w:hAnsi="宋体"/>
          <w:snapToGrid w:val="0"/>
          <w:color w:val="auto"/>
          <w:kern w:val="0"/>
          <w:szCs w:val="21"/>
          <w:highlight w:val="none"/>
        </w:rPr>
        <w:t>的法人、其他组织或者个人</w:t>
      </w:r>
      <w:r>
        <w:rPr>
          <w:rFonts w:ascii="宋体" w:hAnsi="宋体"/>
          <w:snapToGrid w:val="0"/>
          <w:color w:val="auto"/>
          <w:kern w:val="0"/>
          <w:szCs w:val="21"/>
          <w:highlight w:val="none"/>
        </w:rPr>
        <w:t>；</w:t>
      </w:r>
    </w:p>
    <w:p w14:paraId="0F49F3B8">
      <w:pPr>
        <w:autoSpaceDE w:val="0"/>
        <w:autoSpaceDN w:val="0"/>
        <w:adjustRightInd w:val="0"/>
        <w:snapToGrid w:val="0"/>
        <w:spacing w:line="360" w:lineRule="auto"/>
        <w:ind w:firstLine="420" w:firstLineChars="200"/>
        <w:rPr>
          <w:color w:val="auto"/>
          <w:highlight w:val="none"/>
        </w:rPr>
      </w:pPr>
      <w:r>
        <w:rPr>
          <w:rFonts w:hint="eastAsia"/>
          <w:color w:val="auto"/>
          <w:highlight w:val="none"/>
        </w:rPr>
        <w:t>（3）</w:t>
      </w:r>
      <w:r>
        <w:rPr>
          <w:color w:val="auto"/>
          <w:highlight w:val="none"/>
        </w:rPr>
        <w:t>与本招标项目的其他</w:t>
      </w:r>
      <w:r>
        <w:rPr>
          <w:rFonts w:hint="eastAsia"/>
          <w:color w:val="auto"/>
          <w:highlight w:val="none"/>
          <w:lang w:eastAsia="zh-CN"/>
        </w:rPr>
        <w:t>竞选人</w:t>
      </w:r>
      <w:r>
        <w:rPr>
          <w:color w:val="auto"/>
          <w:highlight w:val="none"/>
        </w:rPr>
        <w:t>为同一个单位负责人；</w:t>
      </w:r>
    </w:p>
    <w:p w14:paraId="4B80041E">
      <w:pPr>
        <w:autoSpaceDE w:val="0"/>
        <w:autoSpaceDN w:val="0"/>
        <w:adjustRightInd w:val="0"/>
        <w:snapToGrid w:val="0"/>
        <w:spacing w:line="360" w:lineRule="auto"/>
        <w:ind w:firstLine="420" w:firstLineChars="200"/>
        <w:rPr>
          <w:color w:val="auto"/>
          <w:highlight w:val="none"/>
        </w:rPr>
      </w:pPr>
      <w:r>
        <w:rPr>
          <w:rFonts w:hint="eastAsia"/>
          <w:color w:val="auto"/>
          <w:highlight w:val="none"/>
        </w:rPr>
        <w:t>（4）</w:t>
      </w:r>
      <w:r>
        <w:rPr>
          <w:color w:val="auto"/>
          <w:highlight w:val="none"/>
        </w:rPr>
        <w:t>与本招标项目的其他</w:t>
      </w:r>
      <w:r>
        <w:rPr>
          <w:rFonts w:hint="eastAsia"/>
          <w:color w:val="auto"/>
          <w:highlight w:val="none"/>
          <w:lang w:eastAsia="zh-CN"/>
        </w:rPr>
        <w:t>竞选人</w:t>
      </w:r>
      <w:r>
        <w:rPr>
          <w:color w:val="auto"/>
          <w:highlight w:val="none"/>
        </w:rPr>
        <w:t>存在控股、管理关系；</w:t>
      </w:r>
    </w:p>
    <w:p w14:paraId="4DD732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w:t>
      </w:r>
      <w:r>
        <w:rPr>
          <w:rFonts w:hint="eastAsia" w:ascii="宋体" w:hAnsi="宋体"/>
          <w:snapToGrid w:val="0"/>
          <w:color w:val="auto"/>
          <w:kern w:val="0"/>
          <w:szCs w:val="21"/>
          <w:highlight w:val="none"/>
        </w:rPr>
        <w:t>招标项目</w:t>
      </w:r>
      <w:r>
        <w:rPr>
          <w:rFonts w:ascii="宋体" w:hAnsi="宋体"/>
          <w:snapToGrid w:val="0"/>
          <w:color w:val="auto"/>
          <w:kern w:val="0"/>
          <w:szCs w:val="21"/>
          <w:highlight w:val="none"/>
        </w:rPr>
        <w:t>的代建人；</w:t>
      </w:r>
    </w:p>
    <w:p w14:paraId="0F411A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（6）为</w:t>
      </w:r>
      <w:r>
        <w:rPr>
          <w:rFonts w:hint="eastAsia" w:ascii="宋体" w:hAnsi="宋体"/>
          <w:snapToGrid w:val="0"/>
          <w:color w:val="auto"/>
          <w:kern w:val="0"/>
          <w:szCs w:val="21"/>
          <w:highlight w:val="none"/>
        </w:rPr>
        <w:t>本招标项目的</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p>
    <w:p w14:paraId="4160683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w:t>
      </w:r>
      <w:r>
        <w:rPr>
          <w:rFonts w:hint="eastAsia" w:ascii="宋体" w:hAnsi="宋体"/>
          <w:snapToGrid w:val="0"/>
          <w:color w:val="auto"/>
          <w:kern w:val="0"/>
          <w:szCs w:val="21"/>
          <w:highlight w:val="none"/>
        </w:rPr>
        <w:t>本招标项目的</w:t>
      </w:r>
      <w:r>
        <w:rPr>
          <w:rFonts w:ascii="宋体" w:hAnsi="宋体"/>
          <w:snapToGrid w:val="0"/>
          <w:color w:val="auto"/>
          <w:kern w:val="0"/>
          <w:szCs w:val="21"/>
          <w:highlight w:val="none"/>
        </w:rPr>
        <w:t>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w:t>
      </w:r>
    </w:p>
    <w:p w14:paraId="6D89814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（8）与本招标项目的代建人或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14:paraId="141136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被国家、重庆市（含市或任意区县）有关行政部门处以暂停投标资格行政处罚，且在处罚期限内的；</w:t>
      </w:r>
    </w:p>
    <w:p w14:paraId="6BD097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bookmarkStart w:id="147" w:name="_Hlk66280425"/>
      <w:r>
        <w:rPr>
          <w:rFonts w:ascii="宋体" w:hAnsi="宋体"/>
          <w:snapToGrid w:val="0"/>
          <w:color w:val="auto"/>
          <w:kern w:val="0"/>
          <w:szCs w:val="21"/>
          <w:highlight w:val="none"/>
        </w:rPr>
        <w:t>被责令停产停业、暂扣或者吊销许可证、暂扣或者吊销执照；</w:t>
      </w:r>
      <w:bookmarkEnd w:id="147"/>
    </w:p>
    <w:p w14:paraId="684B2F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bookmarkStart w:id="148" w:name="_Hlk66280433"/>
      <w:r>
        <w:rPr>
          <w:rFonts w:ascii="宋体" w:hAnsi="宋体"/>
          <w:snapToGrid w:val="0"/>
          <w:color w:val="auto"/>
          <w:kern w:val="0"/>
          <w:szCs w:val="21"/>
          <w:highlight w:val="none"/>
        </w:rPr>
        <w:t>进入清算程序，或被宣告破产，或其他丧失履约能力的情形；</w:t>
      </w:r>
      <w:bookmarkEnd w:id="148"/>
    </w:p>
    <w:p w14:paraId="792061A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（12）法律法规或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须知前附表规定的其他情形。</w:t>
      </w:r>
    </w:p>
    <w:p w14:paraId="13D8578D">
      <w:pPr>
        <w:pStyle w:val="4"/>
        <w:snapToGrid w:val="0"/>
        <w:spacing w:before="0" w:after="0" w:line="360" w:lineRule="auto"/>
        <w:rPr>
          <w:rFonts w:ascii="宋体" w:hAnsi="宋体"/>
          <w:b w:val="0"/>
          <w:snapToGrid w:val="0"/>
          <w:color w:val="auto"/>
          <w:sz w:val="24"/>
          <w:szCs w:val="24"/>
          <w:highlight w:val="none"/>
        </w:rPr>
      </w:pPr>
      <w:bookmarkStart w:id="149" w:name="_Toc287607752"/>
      <w:bookmarkStart w:id="150" w:name="_Toc287620691"/>
      <w:bookmarkStart w:id="151" w:name="_Toc277082558"/>
      <w:bookmarkStart w:id="152" w:name="_Toc18369"/>
      <w:bookmarkStart w:id="153" w:name="_Toc509218716"/>
      <w:bookmarkStart w:id="154" w:name="_Toc430530441"/>
      <w:bookmarkStart w:id="155" w:name="_Toc224103323"/>
      <w:bookmarkStart w:id="156" w:name="_Toc200513132"/>
      <w:r>
        <w:rPr>
          <w:rFonts w:ascii="宋体" w:hAnsi="宋体"/>
          <w:b w:val="0"/>
          <w:snapToGrid w:val="0"/>
          <w:color w:val="auto"/>
          <w:sz w:val="24"/>
          <w:szCs w:val="24"/>
          <w:highlight w:val="none"/>
        </w:rPr>
        <w:t>1.5  费用承担</w:t>
      </w:r>
      <w:bookmarkEnd w:id="149"/>
      <w:bookmarkEnd w:id="150"/>
      <w:bookmarkEnd w:id="151"/>
      <w:bookmarkEnd w:id="152"/>
      <w:bookmarkEnd w:id="153"/>
      <w:bookmarkEnd w:id="154"/>
      <w:bookmarkEnd w:id="155"/>
      <w:bookmarkEnd w:id="156"/>
    </w:p>
    <w:p w14:paraId="03041D1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准备和参加投标活动发生的费用自理。</w:t>
      </w:r>
    </w:p>
    <w:p w14:paraId="6E2B8E37">
      <w:pPr>
        <w:pStyle w:val="4"/>
        <w:snapToGrid w:val="0"/>
        <w:spacing w:before="0" w:after="0" w:line="360" w:lineRule="auto"/>
        <w:rPr>
          <w:rFonts w:ascii="宋体" w:hAnsi="宋体"/>
          <w:b w:val="0"/>
          <w:snapToGrid w:val="0"/>
          <w:color w:val="auto"/>
          <w:sz w:val="24"/>
          <w:szCs w:val="24"/>
          <w:highlight w:val="none"/>
        </w:rPr>
      </w:pPr>
      <w:bookmarkStart w:id="157" w:name="_Toc509218717"/>
      <w:bookmarkStart w:id="158" w:name="_Toc277082559"/>
      <w:bookmarkStart w:id="159" w:name="_Toc430530442"/>
      <w:bookmarkStart w:id="160" w:name="_Toc287620692"/>
      <w:bookmarkStart w:id="161" w:name="_Toc224103324"/>
      <w:bookmarkStart w:id="162" w:name="_Toc200513133"/>
      <w:bookmarkStart w:id="163" w:name="_Toc287607753"/>
      <w:bookmarkStart w:id="164" w:name="_Toc28872"/>
      <w:r>
        <w:rPr>
          <w:rFonts w:ascii="宋体" w:hAnsi="宋体"/>
          <w:b w:val="0"/>
          <w:snapToGrid w:val="0"/>
          <w:color w:val="auto"/>
          <w:sz w:val="24"/>
          <w:szCs w:val="24"/>
          <w:highlight w:val="none"/>
        </w:rPr>
        <w:t>1.6  保密</w:t>
      </w:r>
      <w:bookmarkEnd w:id="157"/>
      <w:bookmarkEnd w:id="158"/>
      <w:bookmarkEnd w:id="159"/>
      <w:bookmarkEnd w:id="160"/>
      <w:bookmarkEnd w:id="161"/>
      <w:bookmarkEnd w:id="162"/>
      <w:bookmarkEnd w:id="163"/>
      <w:bookmarkEnd w:id="164"/>
    </w:p>
    <w:p w14:paraId="6EA66AB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中的商业和技术等秘密保密，否则应承担相应的法律责任。</w:t>
      </w:r>
    </w:p>
    <w:p w14:paraId="346A7A54">
      <w:pPr>
        <w:pStyle w:val="4"/>
        <w:snapToGrid w:val="0"/>
        <w:spacing w:before="0" w:after="0" w:line="360" w:lineRule="auto"/>
        <w:rPr>
          <w:rFonts w:ascii="宋体" w:hAnsi="宋体"/>
          <w:b w:val="0"/>
          <w:snapToGrid w:val="0"/>
          <w:color w:val="auto"/>
          <w:sz w:val="24"/>
          <w:szCs w:val="24"/>
          <w:highlight w:val="none"/>
        </w:rPr>
      </w:pPr>
      <w:bookmarkStart w:id="165" w:name="_Toc287620693"/>
      <w:bookmarkStart w:id="166" w:name="_Toc287607754"/>
      <w:bookmarkStart w:id="167" w:name="_Toc509218718"/>
      <w:bookmarkStart w:id="168" w:name="_Toc277082560"/>
      <w:bookmarkStart w:id="169" w:name="_Toc430530443"/>
      <w:bookmarkStart w:id="170" w:name="_Toc200513134"/>
      <w:bookmarkStart w:id="171" w:name="_Toc10589"/>
      <w:bookmarkStart w:id="172" w:name="_Toc224103325"/>
      <w:r>
        <w:rPr>
          <w:rFonts w:ascii="宋体" w:hAnsi="宋体"/>
          <w:b w:val="0"/>
          <w:snapToGrid w:val="0"/>
          <w:color w:val="auto"/>
          <w:sz w:val="24"/>
          <w:szCs w:val="24"/>
          <w:highlight w:val="none"/>
        </w:rPr>
        <w:t>1.7  语言文字</w:t>
      </w:r>
      <w:bookmarkEnd w:id="165"/>
      <w:bookmarkEnd w:id="166"/>
      <w:bookmarkEnd w:id="167"/>
      <w:bookmarkEnd w:id="168"/>
      <w:bookmarkEnd w:id="169"/>
      <w:bookmarkEnd w:id="170"/>
      <w:bookmarkEnd w:id="171"/>
      <w:bookmarkEnd w:id="172"/>
    </w:p>
    <w:p w14:paraId="20371AE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使用的语言文字为中文。专用术语使用外文的，应附有中文注释。</w:t>
      </w:r>
    </w:p>
    <w:p w14:paraId="28ACBFA0">
      <w:pPr>
        <w:pStyle w:val="4"/>
        <w:snapToGrid w:val="0"/>
        <w:spacing w:before="0" w:after="0" w:line="360" w:lineRule="auto"/>
        <w:rPr>
          <w:rFonts w:ascii="宋体" w:hAnsi="宋体"/>
          <w:b w:val="0"/>
          <w:snapToGrid w:val="0"/>
          <w:color w:val="auto"/>
          <w:sz w:val="24"/>
          <w:szCs w:val="24"/>
          <w:highlight w:val="none"/>
        </w:rPr>
      </w:pPr>
      <w:bookmarkStart w:id="173" w:name="_Toc430530444"/>
      <w:bookmarkStart w:id="174" w:name="_Toc287607755"/>
      <w:bookmarkStart w:id="175" w:name="_Toc277082561"/>
      <w:bookmarkStart w:id="176" w:name="_Toc224103326"/>
      <w:bookmarkStart w:id="177" w:name="_Toc287620694"/>
      <w:bookmarkStart w:id="178" w:name="_Toc509218719"/>
      <w:bookmarkStart w:id="179" w:name="_Toc200513135"/>
      <w:bookmarkStart w:id="180" w:name="_Toc15250"/>
      <w:r>
        <w:rPr>
          <w:rFonts w:ascii="宋体" w:hAnsi="宋体"/>
          <w:b w:val="0"/>
          <w:snapToGrid w:val="0"/>
          <w:color w:val="auto"/>
          <w:sz w:val="24"/>
          <w:szCs w:val="24"/>
          <w:highlight w:val="none"/>
        </w:rPr>
        <w:t>1.8  计量单位</w:t>
      </w:r>
      <w:bookmarkEnd w:id="173"/>
      <w:bookmarkEnd w:id="174"/>
      <w:bookmarkEnd w:id="175"/>
      <w:bookmarkEnd w:id="176"/>
      <w:bookmarkEnd w:id="177"/>
      <w:bookmarkEnd w:id="178"/>
      <w:bookmarkEnd w:id="179"/>
      <w:bookmarkEnd w:id="180"/>
    </w:p>
    <w:p w14:paraId="55C279E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0A29C65">
      <w:pPr>
        <w:pStyle w:val="4"/>
        <w:snapToGrid w:val="0"/>
        <w:spacing w:before="0" w:after="0" w:line="360" w:lineRule="auto"/>
        <w:rPr>
          <w:rFonts w:ascii="宋体" w:hAnsi="宋体"/>
          <w:b w:val="0"/>
          <w:snapToGrid w:val="0"/>
          <w:color w:val="auto"/>
          <w:sz w:val="24"/>
          <w:szCs w:val="24"/>
          <w:highlight w:val="none"/>
        </w:rPr>
      </w:pPr>
      <w:bookmarkStart w:id="181" w:name="_Toc430530445"/>
      <w:bookmarkStart w:id="182" w:name="_Toc287620695"/>
      <w:bookmarkStart w:id="183" w:name="_Toc287607756"/>
      <w:bookmarkStart w:id="184" w:name="_Toc509218720"/>
      <w:bookmarkStart w:id="185" w:name="_Toc277082562"/>
      <w:bookmarkStart w:id="186" w:name="_Toc3141"/>
      <w:bookmarkStart w:id="187" w:name="_Toc224103327"/>
      <w:bookmarkStart w:id="188" w:name="_Toc200513136"/>
      <w:r>
        <w:rPr>
          <w:rFonts w:ascii="宋体" w:hAnsi="宋体"/>
          <w:b w:val="0"/>
          <w:snapToGrid w:val="0"/>
          <w:color w:val="auto"/>
          <w:sz w:val="24"/>
          <w:szCs w:val="24"/>
          <w:highlight w:val="none"/>
        </w:rPr>
        <w:t>1.9  踏勘现场</w:t>
      </w:r>
      <w:bookmarkEnd w:id="181"/>
      <w:bookmarkEnd w:id="182"/>
      <w:bookmarkEnd w:id="183"/>
      <w:bookmarkEnd w:id="184"/>
      <w:bookmarkEnd w:id="185"/>
      <w:bookmarkEnd w:id="186"/>
      <w:bookmarkEnd w:id="187"/>
      <w:bookmarkEnd w:id="188"/>
    </w:p>
    <w:p w14:paraId="70A5915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踏勘项目现场。部分</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未按时参加踏勘现场的，不影响踏勘现场的正常进行。</w:t>
      </w:r>
    </w:p>
    <w:p w14:paraId="7906A77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踏勘现场发生的费用自理。</w:t>
      </w:r>
    </w:p>
    <w:p w14:paraId="642E8D8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自行负责在踏勘现场中所发生的人员伤亡和财产损失。</w:t>
      </w:r>
    </w:p>
    <w:p w14:paraId="559395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据此做出的判断和决策负责。</w:t>
      </w:r>
    </w:p>
    <w:p w14:paraId="4ED0D041">
      <w:pPr>
        <w:pStyle w:val="4"/>
        <w:snapToGrid w:val="0"/>
        <w:spacing w:before="0" w:after="0" w:line="360" w:lineRule="auto"/>
        <w:rPr>
          <w:rFonts w:ascii="宋体" w:hAnsi="宋体"/>
          <w:b w:val="0"/>
          <w:snapToGrid w:val="0"/>
          <w:color w:val="auto"/>
          <w:sz w:val="24"/>
          <w:szCs w:val="24"/>
          <w:highlight w:val="none"/>
        </w:rPr>
      </w:pPr>
      <w:bookmarkStart w:id="189" w:name="_Toc4777"/>
      <w:bookmarkStart w:id="190" w:name="_Toc509218721"/>
      <w:bookmarkStart w:id="191" w:name="_Toc200513137"/>
      <w:bookmarkStart w:id="192" w:name="_Toc277082563"/>
      <w:bookmarkStart w:id="193" w:name="_Toc224103328"/>
      <w:bookmarkStart w:id="194" w:name="_Toc287607757"/>
      <w:bookmarkStart w:id="195" w:name="_Toc430530446"/>
      <w:bookmarkStart w:id="196" w:name="_Toc287620696"/>
      <w:r>
        <w:rPr>
          <w:rFonts w:ascii="宋体" w:hAnsi="宋体"/>
          <w:b w:val="0"/>
          <w:snapToGrid w:val="0"/>
          <w:color w:val="auto"/>
          <w:sz w:val="24"/>
          <w:szCs w:val="24"/>
          <w:highlight w:val="none"/>
        </w:rPr>
        <w:t>1.10  投标预备会</w:t>
      </w:r>
      <w:bookmarkEnd w:id="189"/>
      <w:bookmarkEnd w:id="190"/>
      <w:bookmarkEnd w:id="191"/>
      <w:bookmarkEnd w:id="192"/>
      <w:bookmarkEnd w:id="193"/>
      <w:bookmarkEnd w:id="194"/>
      <w:bookmarkEnd w:id="195"/>
      <w:bookmarkEnd w:id="196"/>
    </w:p>
    <w:p w14:paraId="5F79A93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提出的问题。</w:t>
      </w:r>
    </w:p>
    <w:p w14:paraId="4A264D1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在会议期间澄清</w:t>
      </w:r>
      <w:r>
        <w:rPr>
          <w:rFonts w:hint="eastAsia" w:ascii="宋体" w:hAnsi="宋体"/>
          <w:snapToGrid w:val="0"/>
          <w:color w:val="auto"/>
          <w:kern w:val="0"/>
          <w:szCs w:val="21"/>
          <w:highlight w:val="none"/>
        </w:rPr>
        <w:t>。</w:t>
      </w:r>
    </w:p>
    <w:p w14:paraId="1B766FE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投标预备会后，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所提问题的澄清，以</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须知前附表规定的形式通知所有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。该澄清内容为</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2AB627CE">
      <w:pPr>
        <w:pStyle w:val="4"/>
        <w:snapToGrid w:val="0"/>
        <w:spacing w:before="0" w:after="0" w:line="360" w:lineRule="auto"/>
        <w:rPr>
          <w:rFonts w:ascii="宋体" w:hAnsi="宋体"/>
          <w:b w:val="0"/>
          <w:snapToGrid w:val="0"/>
          <w:color w:val="auto"/>
          <w:sz w:val="24"/>
          <w:szCs w:val="24"/>
          <w:highlight w:val="none"/>
        </w:rPr>
      </w:pPr>
      <w:bookmarkStart w:id="197" w:name="_Toc224103329"/>
      <w:bookmarkStart w:id="198" w:name="_Toc430530447"/>
      <w:bookmarkStart w:id="199" w:name="_Toc509218722"/>
      <w:bookmarkStart w:id="200" w:name="_Toc10934"/>
      <w:bookmarkStart w:id="201" w:name="_Toc287620697"/>
      <w:bookmarkStart w:id="202" w:name="_Toc277082564"/>
      <w:bookmarkStart w:id="203" w:name="_Toc287607758"/>
      <w:bookmarkStart w:id="204" w:name="_Toc200513138"/>
      <w:r>
        <w:rPr>
          <w:rFonts w:ascii="宋体" w:hAnsi="宋体"/>
          <w:b w:val="0"/>
          <w:snapToGrid w:val="0"/>
          <w:color w:val="auto"/>
          <w:sz w:val="24"/>
          <w:szCs w:val="24"/>
          <w:highlight w:val="none"/>
        </w:rPr>
        <w:t>1.11  分包</w:t>
      </w:r>
      <w:bookmarkEnd w:id="197"/>
      <w:bookmarkEnd w:id="198"/>
      <w:bookmarkEnd w:id="199"/>
      <w:bookmarkEnd w:id="200"/>
      <w:bookmarkEnd w:id="201"/>
      <w:bookmarkEnd w:id="202"/>
      <w:bookmarkEnd w:id="203"/>
      <w:bookmarkEnd w:id="204"/>
    </w:p>
    <w:p w14:paraId="0967F86C">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拟在中标后将中标项目的非主体、非关键性</w:t>
      </w:r>
      <w:r>
        <w:rPr>
          <w:rFonts w:hint="eastAsia" w:ascii="宋体" w:hAnsi="宋体"/>
          <w:snapToGrid w:val="0"/>
          <w:color w:val="auto"/>
          <w:kern w:val="0"/>
          <w:szCs w:val="21"/>
          <w:highlight w:val="none"/>
        </w:rPr>
        <w:t>设计</w:t>
      </w:r>
      <w:r>
        <w:rPr>
          <w:rFonts w:ascii="宋体" w:hAnsi="宋体"/>
          <w:snapToGrid w:val="0"/>
          <w:color w:val="auto"/>
          <w:kern w:val="0"/>
          <w:szCs w:val="21"/>
          <w:highlight w:val="none"/>
        </w:rPr>
        <w:t>工作进行分包的，应符合</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须知前附表规定的分包内容、分包金额和资质要求等限制性条件，除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须知前附表规定的非主体、非关键性设计工作外，其他工作不得分包。</w:t>
      </w:r>
    </w:p>
    <w:p w14:paraId="39404CB2">
      <w:pPr>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color w:val="auto"/>
          <w:highlight w:val="none"/>
        </w:rPr>
        <w:t>中标人不得向他人转让中标项目，接受分包的人不得再次分包。中标人应当就分包项目向</w:t>
      </w:r>
      <w:r>
        <w:rPr>
          <w:rFonts w:hint="eastAsia"/>
          <w:color w:val="auto"/>
          <w:highlight w:val="none"/>
          <w:lang w:eastAsia="zh-CN"/>
        </w:rPr>
        <w:t>比选人</w:t>
      </w:r>
      <w:r>
        <w:rPr>
          <w:color w:val="auto"/>
          <w:highlight w:val="none"/>
        </w:rPr>
        <w:t>负责，接受分包的人就分包项目承担连带责任。</w:t>
      </w:r>
    </w:p>
    <w:p w14:paraId="0C9350B5">
      <w:pPr>
        <w:pStyle w:val="4"/>
        <w:snapToGrid w:val="0"/>
        <w:spacing w:before="0" w:after="0" w:line="360" w:lineRule="auto"/>
        <w:rPr>
          <w:rFonts w:ascii="宋体" w:hAnsi="宋体"/>
          <w:b w:val="0"/>
          <w:snapToGrid w:val="0"/>
          <w:color w:val="auto"/>
          <w:sz w:val="24"/>
          <w:szCs w:val="24"/>
          <w:highlight w:val="none"/>
        </w:rPr>
      </w:pPr>
      <w:bookmarkStart w:id="205" w:name="_Toc287620698"/>
      <w:bookmarkStart w:id="206" w:name="_Toc277082565"/>
      <w:bookmarkStart w:id="207" w:name="_Toc224103330"/>
      <w:bookmarkStart w:id="208" w:name="_Toc287607759"/>
      <w:bookmarkStart w:id="209" w:name="_Toc509218723"/>
      <w:bookmarkStart w:id="210" w:name="_Toc200513139"/>
      <w:bookmarkStart w:id="211" w:name="_Toc430530448"/>
      <w:bookmarkStart w:id="212" w:name="_Toc25303"/>
      <w:r>
        <w:rPr>
          <w:rFonts w:ascii="宋体" w:hAnsi="宋体"/>
          <w:b w:val="0"/>
          <w:snapToGrid w:val="0"/>
          <w:color w:val="auto"/>
          <w:sz w:val="24"/>
          <w:szCs w:val="24"/>
          <w:highlight w:val="none"/>
        </w:rPr>
        <w:t xml:space="preserve">1.12  </w:t>
      </w:r>
      <w:bookmarkEnd w:id="205"/>
      <w:bookmarkEnd w:id="206"/>
      <w:bookmarkEnd w:id="207"/>
      <w:bookmarkEnd w:id="208"/>
      <w:bookmarkEnd w:id="209"/>
      <w:bookmarkEnd w:id="210"/>
      <w:bookmarkEnd w:id="211"/>
      <w:r>
        <w:rPr>
          <w:rFonts w:hint="eastAsia" w:ascii="宋体" w:hAnsi="宋体"/>
          <w:b w:val="0"/>
          <w:snapToGrid w:val="0"/>
          <w:color w:val="auto"/>
          <w:sz w:val="24"/>
          <w:szCs w:val="24"/>
          <w:highlight w:val="none"/>
        </w:rPr>
        <w:t>响应和偏离</w:t>
      </w:r>
      <w:bookmarkEnd w:id="212"/>
    </w:p>
    <w:p w14:paraId="02F8C2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的实质性要求和条件作出满足性或更有利于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的响应，否则，</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的投标将被否决。</w:t>
      </w:r>
    </w:p>
    <w:p w14:paraId="7C293C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的要求提供投标设计方案等内容以对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作出响应。</w:t>
      </w:r>
    </w:p>
    <w:p w14:paraId="191B71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范围和幅度。</w:t>
      </w:r>
    </w:p>
    <w:p w14:paraId="39E3965E">
      <w:pPr>
        <w:pStyle w:val="3"/>
        <w:spacing w:before="0" w:after="0" w:line="360" w:lineRule="auto"/>
        <w:rPr>
          <w:rFonts w:hint="eastAsia" w:ascii="宋体" w:hAnsi="宋体" w:eastAsia="宋体"/>
          <w:b w:val="0"/>
          <w:snapToGrid w:val="0"/>
          <w:color w:val="auto"/>
          <w:highlight w:val="none"/>
          <w:lang w:eastAsia="zh-CN"/>
        </w:rPr>
      </w:pPr>
      <w:bookmarkStart w:id="213" w:name="_Toc287620699"/>
      <w:bookmarkStart w:id="214" w:name="_Toc224103331"/>
      <w:bookmarkStart w:id="215" w:name="_Toc29640"/>
      <w:bookmarkStart w:id="216" w:name="_Toc277082566"/>
      <w:bookmarkStart w:id="217" w:name="_Toc287607760"/>
      <w:bookmarkStart w:id="218" w:name="_Toc509218724"/>
      <w:bookmarkStart w:id="219" w:name="_Toc430530449"/>
      <w:bookmarkStart w:id="220" w:name="_Toc200513140"/>
      <w:r>
        <w:rPr>
          <w:rFonts w:ascii="宋体" w:hAnsi="宋体"/>
          <w:b w:val="0"/>
          <w:snapToGrid w:val="0"/>
          <w:color w:val="auto"/>
          <w:highlight w:val="none"/>
        </w:rPr>
        <w:t xml:space="preserve">2.  </w:t>
      </w:r>
      <w:bookmarkEnd w:id="213"/>
      <w:bookmarkEnd w:id="214"/>
      <w:bookmarkEnd w:id="215"/>
      <w:bookmarkEnd w:id="216"/>
      <w:bookmarkEnd w:id="217"/>
      <w:bookmarkEnd w:id="218"/>
      <w:bookmarkEnd w:id="219"/>
      <w:bookmarkEnd w:id="220"/>
      <w:r>
        <w:rPr>
          <w:rFonts w:hint="eastAsia" w:ascii="宋体" w:hAnsi="宋体"/>
          <w:b w:val="0"/>
          <w:snapToGrid w:val="0"/>
          <w:color w:val="auto"/>
          <w:highlight w:val="none"/>
          <w:lang w:eastAsia="zh-CN"/>
        </w:rPr>
        <w:t>比选文件</w:t>
      </w:r>
    </w:p>
    <w:p w14:paraId="356AFBEF">
      <w:pPr>
        <w:pStyle w:val="4"/>
        <w:snapToGrid w:val="0"/>
        <w:spacing w:before="0" w:after="0" w:line="360" w:lineRule="auto"/>
        <w:rPr>
          <w:rFonts w:ascii="宋体" w:hAnsi="宋体"/>
          <w:b w:val="0"/>
          <w:snapToGrid w:val="0"/>
          <w:color w:val="auto"/>
          <w:sz w:val="24"/>
          <w:szCs w:val="24"/>
          <w:highlight w:val="none"/>
        </w:rPr>
      </w:pPr>
      <w:bookmarkStart w:id="221" w:name="_Toc200513141"/>
      <w:bookmarkStart w:id="222" w:name="_Toc287607761"/>
      <w:bookmarkStart w:id="223" w:name="_Toc509218725"/>
      <w:bookmarkStart w:id="224" w:name="_Toc287620700"/>
      <w:bookmarkStart w:id="225" w:name="_Toc430530450"/>
      <w:bookmarkStart w:id="226" w:name="_Toc9830"/>
      <w:bookmarkStart w:id="227" w:name="_Toc277082567"/>
      <w:bookmarkStart w:id="228" w:name="_Toc224103332"/>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21"/>
      <w:bookmarkEnd w:id="222"/>
      <w:bookmarkEnd w:id="223"/>
      <w:bookmarkEnd w:id="224"/>
      <w:bookmarkEnd w:id="225"/>
      <w:bookmarkEnd w:id="226"/>
      <w:bookmarkEnd w:id="227"/>
      <w:bookmarkEnd w:id="228"/>
    </w:p>
    <w:p w14:paraId="5AB177E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710A998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（或投标邀请书）；</w:t>
      </w:r>
    </w:p>
    <w:p w14:paraId="56D13A9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w:t>
      </w:r>
    </w:p>
    <w:p w14:paraId="6B3B0F6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6E4B545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76CFDE0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p>
    <w:p w14:paraId="63EF2A7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w:t>
      </w:r>
    </w:p>
    <w:p w14:paraId="67EF47C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须知前附表规定的其他材料。</w:t>
      </w:r>
    </w:p>
    <w:p w14:paraId="44469E7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3F49C215">
      <w:pPr>
        <w:pStyle w:val="4"/>
        <w:snapToGrid w:val="0"/>
        <w:spacing w:before="0" w:after="0" w:line="360" w:lineRule="auto"/>
        <w:rPr>
          <w:rFonts w:ascii="宋体" w:hAnsi="宋体"/>
          <w:b w:val="0"/>
          <w:snapToGrid w:val="0"/>
          <w:color w:val="auto"/>
          <w:sz w:val="24"/>
          <w:szCs w:val="24"/>
          <w:highlight w:val="none"/>
        </w:rPr>
      </w:pPr>
      <w:bookmarkStart w:id="229" w:name="_Toc509218726"/>
      <w:bookmarkStart w:id="230" w:name="_Toc430530451"/>
      <w:bookmarkStart w:id="231" w:name="_Toc27118"/>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29"/>
      <w:bookmarkEnd w:id="230"/>
      <w:bookmarkEnd w:id="231"/>
    </w:p>
    <w:p w14:paraId="1A3BACA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须知前附表规定的时间和形式提出问题，要求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78CEAEA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，但不指明澄清问题的来源。</w:t>
      </w:r>
    </w:p>
    <w:p w14:paraId="3AF9E6E3">
      <w:pPr>
        <w:pStyle w:val="4"/>
        <w:snapToGrid w:val="0"/>
        <w:spacing w:before="0" w:after="0" w:line="360" w:lineRule="auto"/>
        <w:rPr>
          <w:rFonts w:ascii="宋体" w:hAnsi="宋体"/>
          <w:b w:val="0"/>
          <w:snapToGrid w:val="0"/>
          <w:color w:val="auto"/>
          <w:sz w:val="24"/>
          <w:szCs w:val="24"/>
          <w:highlight w:val="none"/>
        </w:rPr>
      </w:pPr>
      <w:bookmarkStart w:id="232" w:name="_Toc277082569"/>
      <w:bookmarkStart w:id="233" w:name="_Toc430530452"/>
      <w:bookmarkStart w:id="234" w:name="_Toc509218727"/>
      <w:bookmarkStart w:id="235" w:name="_Toc287607763"/>
      <w:bookmarkStart w:id="236" w:name="_Toc287620702"/>
      <w:bookmarkStart w:id="237" w:name="_Toc224103334"/>
      <w:bookmarkStart w:id="238" w:name="_Toc200513143"/>
      <w:bookmarkStart w:id="239" w:name="_Toc1078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32"/>
      <w:bookmarkEnd w:id="233"/>
      <w:bookmarkEnd w:id="234"/>
      <w:bookmarkEnd w:id="235"/>
      <w:bookmarkEnd w:id="236"/>
      <w:bookmarkEnd w:id="237"/>
      <w:bookmarkEnd w:id="238"/>
      <w:bookmarkEnd w:id="239"/>
    </w:p>
    <w:p w14:paraId="12822C5E">
      <w:pPr>
        <w:autoSpaceDE w:val="0"/>
        <w:autoSpaceDN w:val="0"/>
        <w:adjustRightInd w:val="0"/>
        <w:snapToGrid w:val="0"/>
        <w:spacing w:line="360" w:lineRule="auto"/>
        <w:ind w:firstLine="420"/>
        <w:rPr>
          <w:rFonts w:ascii="宋体" w:hAnsi="宋体"/>
          <w:snapToGrid w:val="0"/>
          <w:color w:val="auto"/>
          <w:highlight w:val="none"/>
        </w:rPr>
      </w:pPr>
      <w:bookmarkStart w:id="240" w:name="_Toc287607764"/>
      <w:bookmarkStart w:id="241" w:name="_Toc200513144"/>
      <w:bookmarkStart w:id="242" w:name="_Toc224103335"/>
      <w:bookmarkStart w:id="243" w:name="_Toc287620703"/>
      <w:bookmarkStart w:id="244" w:name="_Toc277082570"/>
      <w:r>
        <w:rPr>
          <w:rFonts w:hint="eastAsia" w:ascii="宋体" w:hAnsi="宋体"/>
          <w:snapToGrid w:val="0"/>
          <w:color w:val="auto"/>
          <w:highlight w:val="none"/>
        </w:rPr>
        <w:t>2</w:t>
      </w:r>
      <w:r>
        <w:rPr>
          <w:rFonts w:ascii="宋体" w:hAnsi="宋体"/>
          <w:snapToGrid w:val="0"/>
          <w:color w:val="auto"/>
          <w:highlight w:val="none"/>
        </w:rPr>
        <w:t xml:space="preserve">.3.1  </w:t>
      </w:r>
      <w:r>
        <w:rPr>
          <w:rFonts w:hint="eastAsia" w:ascii="宋体" w:hAnsi="宋体"/>
          <w:snapToGrid w:val="0"/>
          <w:color w:val="auto"/>
          <w:highlight w:val="none"/>
          <w:lang w:eastAsia="zh-CN"/>
        </w:rPr>
        <w:t>比选文件</w:t>
      </w:r>
      <w:r>
        <w:rPr>
          <w:rFonts w:ascii="宋体" w:hAnsi="宋体"/>
          <w:snapToGrid w:val="0"/>
          <w:color w:val="auto"/>
          <w:highlight w:val="none"/>
        </w:rPr>
        <w:t>的</w:t>
      </w:r>
      <w:r>
        <w:rPr>
          <w:rFonts w:hint="eastAsia" w:ascii="宋体" w:hAnsi="宋体"/>
          <w:snapToGrid w:val="0"/>
          <w:color w:val="auto"/>
          <w:highlight w:val="none"/>
        </w:rPr>
        <w:t>修改</w:t>
      </w:r>
      <w:r>
        <w:rPr>
          <w:rFonts w:ascii="宋体" w:hAnsi="宋体"/>
          <w:snapToGrid w:val="0"/>
          <w:color w:val="auto"/>
          <w:highlight w:val="none"/>
        </w:rPr>
        <w:t>按</w:t>
      </w:r>
      <w:r>
        <w:rPr>
          <w:rFonts w:hint="eastAsia" w:ascii="宋体" w:hAnsi="宋体"/>
          <w:snapToGrid w:val="0"/>
          <w:color w:val="auto"/>
          <w:highlight w:val="none"/>
          <w:lang w:eastAsia="zh-CN"/>
        </w:rPr>
        <w:t>竞选人</w:t>
      </w:r>
      <w:r>
        <w:rPr>
          <w:rFonts w:ascii="宋体" w:hAnsi="宋体"/>
          <w:snapToGrid w:val="0"/>
          <w:color w:val="auto"/>
          <w:highlight w:val="none"/>
        </w:rPr>
        <w:t>须知前附表规定的时间和形式发给所有潜在</w:t>
      </w:r>
      <w:r>
        <w:rPr>
          <w:rFonts w:hint="eastAsia" w:ascii="宋体" w:hAnsi="宋体"/>
          <w:snapToGrid w:val="0"/>
          <w:color w:val="auto"/>
          <w:highlight w:val="none"/>
          <w:lang w:eastAsia="zh-CN"/>
        </w:rPr>
        <w:t>竞选人</w:t>
      </w:r>
      <w:r>
        <w:rPr>
          <w:rFonts w:hint="eastAsia" w:ascii="宋体" w:hAnsi="宋体"/>
          <w:snapToGrid w:val="0"/>
          <w:color w:val="auto"/>
          <w:highlight w:val="none"/>
        </w:rPr>
        <w:t>。</w:t>
      </w:r>
      <w:r>
        <w:rPr>
          <w:rFonts w:ascii="宋体" w:hAnsi="宋体"/>
          <w:snapToGrid w:val="0"/>
          <w:color w:val="auto"/>
          <w:highlight w:val="none"/>
        </w:rPr>
        <w:t>修改</w:t>
      </w:r>
      <w:r>
        <w:rPr>
          <w:rFonts w:hint="eastAsia" w:ascii="宋体" w:hAnsi="宋体"/>
          <w:snapToGrid w:val="0"/>
          <w:color w:val="auto"/>
          <w:highlight w:val="none"/>
          <w:lang w:eastAsia="zh-CN"/>
        </w:rPr>
        <w:t>比选文件</w:t>
      </w:r>
      <w:r>
        <w:rPr>
          <w:rFonts w:ascii="宋体" w:hAnsi="宋体"/>
          <w:snapToGrid w:val="0"/>
          <w:color w:val="auto"/>
          <w:highlight w:val="none"/>
        </w:rPr>
        <w:t>的时间距本章第4.2.1项规定的投标截止时间不足1日的，并且修改内容可能影响</w:t>
      </w:r>
      <w:r>
        <w:rPr>
          <w:rFonts w:hint="eastAsia" w:ascii="宋体" w:hAnsi="宋体"/>
          <w:snapToGrid w:val="0"/>
          <w:color w:val="auto"/>
          <w:highlight w:val="none"/>
          <w:lang w:eastAsia="zh-CN"/>
        </w:rPr>
        <w:t>竞选文件</w:t>
      </w:r>
      <w:r>
        <w:rPr>
          <w:rFonts w:ascii="宋体" w:hAnsi="宋体"/>
          <w:snapToGrid w:val="0"/>
          <w:color w:val="auto"/>
          <w:highlight w:val="none"/>
        </w:rPr>
        <w:t>编制的，将相应延长投标截止时间。</w:t>
      </w:r>
    </w:p>
    <w:p w14:paraId="7B10E04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 xml:space="preserve">.3.2  </w:t>
      </w:r>
      <w:r>
        <w:rPr>
          <w:rFonts w:hint="eastAsia" w:ascii="宋体" w:hAnsi="宋体"/>
          <w:snapToGrid w:val="0"/>
          <w:color w:val="auto"/>
          <w:highlight w:val="none"/>
          <w:lang w:eastAsia="zh-CN"/>
        </w:rPr>
        <w:t>竞选人</w:t>
      </w:r>
      <w:r>
        <w:rPr>
          <w:rFonts w:ascii="宋体" w:hAnsi="宋体"/>
          <w:snapToGrid w:val="0"/>
          <w:color w:val="auto"/>
          <w:highlight w:val="none"/>
        </w:rPr>
        <w:t>在收到</w:t>
      </w:r>
      <w:r>
        <w:rPr>
          <w:rFonts w:hint="eastAsia" w:ascii="宋体" w:hAnsi="宋体"/>
          <w:snapToGrid w:val="0"/>
          <w:color w:val="auto"/>
          <w:highlight w:val="none"/>
        </w:rPr>
        <w:t>修改内容</w:t>
      </w:r>
      <w:r>
        <w:rPr>
          <w:rFonts w:ascii="宋体" w:hAnsi="宋体"/>
          <w:snapToGrid w:val="0"/>
          <w:color w:val="auto"/>
          <w:highlight w:val="none"/>
        </w:rPr>
        <w:t>后，应向</w:t>
      </w:r>
      <w:r>
        <w:rPr>
          <w:rFonts w:hint="eastAsia" w:ascii="宋体" w:hAnsi="宋体"/>
          <w:snapToGrid w:val="0"/>
          <w:color w:val="auto"/>
          <w:highlight w:val="none"/>
          <w:lang w:eastAsia="zh-CN"/>
        </w:rPr>
        <w:t>比选人</w:t>
      </w:r>
      <w:r>
        <w:rPr>
          <w:rFonts w:ascii="宋体" w:hAnsi="宋体"/>
          <w:snapToGrid w:val="0"/>
          <w:color w:val="auto"/>
          <w:highlight w:val="none"/>
        </w:rPr>
        <w:t>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lang w:eastAsia="zh-CN"/>
        </w:rPr>
        <w:t>比选人</w:t>
      </w:r>
      <w:r>
        <w:rPr>
          <w:rFonts w:hint="eastAsia" w:ascii="宋体" w:hAnsi="宋体"/>
          <w:snapToGrid w:val="0"/>
          <w:color w:val="auto"/>
          <w:highlight w:val="none"/>
        </w:rPr>
        <w:t>采用网络媒介公开发布修改内容的，无论</w:t>
      </w:r>
      <w:r>
        <w:rPr>
          <w:rFonts w:hint="eastAsia" w:ascii="宋体" w:hAnsi="宋体"/>
          <w:snapToGrid w:val="0"/>
          <w:color w:val="auto"/>
          <w:highlight w:val="none"/>
          <w:lang w:eastAsia="zh-CN"/>
        </w:rPr>
        <w:t>竞选人</w:t>
      </w:r>
      <w:r>
        <w:rPr>
          <w:rFonts w:hint="eastAsia" w:ascii="宋体" w:hAnsi="宋体"/>
          <w:snapToGrid w:val="0"/>
          <w:color w:val="auto"/>
          <w:highlight w:val="none"/>
        </w:rPr>
        <w:t>是否查看，均视为所有潜在</w:t>
      </w:r>
      <w:r>
        <w:rPr>
          <w:rFonts w:hint="eastAsia" w:ascii="宋体" w:hAnsi="宋体"/>
          <w:snapToGrid w:val="0"/>
          <w:color w:val="auto"/>
          <w:highlight w:val="none"/>
          <w:lang w:eastAsia="zh-CN"/>
        </w:rPr>
        <w:t>竞选人</w:t>
      </w:r>
      <w:r>
        <w:rPr>
          <w:rFonts w:hint="eastAsia" w:ascii="宋体" w:hAnsi="宋体"/>
          <w:snapToGrid w:val="0"/>
          <w:color w:val="auto"/>
          <w:highlight w:val="none"/>
        </w:rPr>
        <w:t>清楚知晓修改全部内容。</w:t>
      </w:r>
      <w:r>
        <w:rPr>
          <w:rFonts w:hint="eastAsia" w:ascii="宋体" w:hAnsi="宋体"/>
          <w:snapToGrid w:val="0"/>
          <w:color w:val="auto"/>
          <w:highlight w:val="none"/>
          <w:lang w:eastAsia="zh-CN"/>
        </w:rPr>
        <w:t>竞选人</w:t>
      </w:r>
      <w:r>
        <w:rPr>
          <w:rFonts w:hint="eastAsia" w:ascii="宋体" w:hAnsi="宋体"/>
          <w:snapToGrid w:val="0"/>
          <w:color w:val="auto"/>
          <w:highlight w:val="none"/>
        </w:rPr>
        <w:t>应在投标截止时间前密切关注修改发布媒介发出的相关内容。</w:t>
      </w:r>
    </w:p>
    <w:p w14:paraId="63C3189F">
      <w:pPr>
        <w:pStyle w:val="3"/>
        <w:spacing w:before="0" w:after="0" w:line="360" w:lineRule="auto"/>
        <w:rPr>
          <w:rFonts w:hint="eastAsia" w:ascii="宋体" w:hAnsi="宋体" w:eastAsia="宋体"/>
          <w:b w:val="0"/>
          <w:snapToGrid w:val="0"/>
          <w:color w:val="auto"/>
          <w:highlight w:val="none"/>
          <w:lang w:eastAsia="zh-CN"/>
        </w:rPr>
      </w:pPr>
      <w:bookmarkStart w:id="245" w:name="_Toc17279"/>
      <w:bookmarkStart w:id="246" w:name="_Toc509218728"/>
      <w:bookmarkStart w:id="247" w:name="_Toc430530453"/>
      <w:r>
        <w:rPr>
          <w:rFonts w:ascii="宋体" w:hAnsi="宋体"/>
          <w:b w:val="0"/>
          <w:snapToGrid w:val="0"/>
          <w:color w:val="auto"/>
          <w:highlight w:val="none"/>
        </w:rPr>
        <w:t xml:space="preserve">3.  </w:t>
      </w:r>
      <w:bookmarkEnd w:id="240"/>
      <w:bookmarkEnd w:id="241"/>
      <w:bookmarkEnd w:id="242"/>
      <w:bookmarkEnd w:id="243"/>
      <w:bookmarkEnd w:id="244"/>
      <w:bookmarkEnd w:id="245"/>
      <w:bookmarkEnd w:id="246"/>
      <w:bookmarkEnd w:id="247"/>
      <w:r>
        <w:rPr>
          <w:rFonts w:hint="eastAsia" w:ascii="宋体" w:hAnsi="宋体"/>
          <w:b w:val="0"/>
          <w:snapToGrid w:val="0"/>
          <w:color w:val="auto"/>
          <w:highlight w:val="none"/>
          <w:lang w:eastAsia="zh-CN"/>
        </w:rPr>
        <w:t>竞选文件</w:t>
      </w:r>
    </w:p>
    <w:p w14:paraId="3C1DDD89">
      <w:pPr>
        <w:pStyle w:val="4"/>
        <w:snapToGrid w:val="0"/>
        <w:spacing w:before="0" w:after="0" w:line="360" w:lineRule="auto"/>
        <w:rPr>
          <w:rFonts w:ascii="宋体" w:hAnsi="宋体"/>
          <w:b w:val="0"/>
          <w:snapToGrid w:val="0"/>
          <w:color w:val="auto"/>
          <w:sz w:val="24"/>
          <w:szCs w:val="24"/>
          <w:highlight w:val="none"/>
        </w:rPr>
      </w:pPr>
      <w:bookmarkStart w:id="248" w:name="_Toc509218729"/>
      <w:bookmarkStart w:id="249" w:name="_Toc224103336"/>
      <w:bookmarkStart w:id="250" w:name="_Toc17687"/>
      <w:bookmarkStart w:id="251" w:name="_Toc287620704"/>
      <w:bookmarkStart w:id="252" w:name="_Toc287607765"/>
      <w:bookmarkStart w:id="253" w:name="_Toc200513145"/>
      <w:bookmarkStart w:id="254" w:name="_Toc430530454"/>
      <w:bookmarkStart w:id="255" w:name="_Toc277082571"/>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的组成</w:t>
      </w:r>
      <w:bookmarkEnd w:id="248"/>
      <w:bookmarkEnd w:id="249"/>
      <w:bookmarkEnd w:id="250"/>
      <w:bookmarkEnd w:id="251"/>
      <w:bookmarkEnd w:id="252"/>
      <w:bookmarkEnd w:id="253"/>
      <w:bookmarkEnd w:id="254"/>
      <w:bookmarkEnd w:id="255"/>
    </w:p>
    <w:p w14:paraId="5B06CFEE">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 xml:space="preserve">3.1.1 </w:t>
      </w:r>
      <w:r>
        <w:rPr>
          <w:rFonts w:hint="eastAsia" w:ascii="宋体" w:hAnsi="宋体"/>
          <w:snapToGrid w:val="0"/>
          <w:color w:val="auto"/>
          <w:highlight w:val="none"/>
          <w:lang w:eastAsia="zh-CN"/>
        </w:rPr>
        <w:t>竞选文件</w:t>
      </w:r>
      <w:r>
        <w:rPr>
          <w:rFonts w:ascii="宋体" w:hAnsi="宋体"/>
          <w:snapToGrid w:val="0"/>
          <w:color w:val="auto"/>
          <w:highlight w:val="none"/>
        </w:rPr>
        <w:t>应包括下列内容：</w:t>
      </w:r>
    </w:p>
    <w:p w14:paraId="4BB1BBB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3.1.1.1投标函部分</w:t>
      </w:r>
    </w:p>
    <w:p w14:paraId="27D43A7D">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（1）投标函；</w:t>
      </w:r>
    </w:p>
    <w:p w14:paraId="5E899332">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（2）投标函附录；</w:t>
      </w:r>
    </w:p>
    <w:p w14:paraId="7AFCD039">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（3）法定代表人身份证明或附有法定代表人身份证明的授权委托书；</w:t>
      </w:r>
    </w:p>
    <w:p w14:paraId="744327F0">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（4）</w:t>
      </w:r>
      <w:r>
        <w:rPr>
          <w:rFonts w:ascii="宋体" w:hAnsi="宋体"/>
          <w:snapToGrid w:val="0"/>
          <w:color w:val="auto"/>
          <w:highlight w:val="none"/>
        </w:rPr>
        <w:t>设计费用清单</w:t>
      </w:r>
      <w:r>
        <w:rPr>
          <w:rFonts w:hint="eastAsia" w:ascii="宋体" w:hAnsi="宋体"/>
          <w:snapToGrid w:val="0"/>
          <w:color w:val="auto"/>
          <w:highlight w:val="none"/>
        </w:rPr>
        <w:t>（如有）</w:t>
      </w:r>
      <w:r>
        <w:rPr>
          <w:rFonts w:ascii="宋体" w:hAnsi="宋体"/>
          <w:snapToGrid w:val="0"/>
          <w:color w:val="auto"/>
          <w:highlight w:val="none"/>
        </w:rPr>
        <w:t>；</w:t>
      </w:r>
    </w:p>
    <w:p w14:paraId="1EA339BE">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hint="eastAsia" w:ascii="宋体" w:hAnsi="宋体"/>
          <w:snapToGrid w:val="0"/>
          <w:color w:val="auto"/>
          <w:highlight w:val="none"/>
          <w:lang w:val="en-US" w:eastAsia="zh-CN"/>
        </w:rPr>
        <w:t>2</w:t>
      </w:r>
      <w:r>
        <w:rPr>
          <w:rFonts w:hint="eastAsia" w:ascii="宋体" w:hAnsi="宋体"/>
          <w:snapToGrid w:val="0"/>
          <w:color w:val="auto"/>
          <w:highlight w:val="none"/>
        </w:rPr>
        <w:t>技术部分</w:t>
      </w:r>
    </w:p>
    <w:p w14:paraId="70F0DE76">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hint="eastAsia" w:ascii="宋体" w:hAnsi="宋体"/>
          <w:snapToGrid w:val="0"/>
          <w:color w:val="auto"/>
          <w:highlight w:val="none"/>
          <w:lang w:val="en-US" w:eastAsia="zh-CN"/>
        </w:rPr>
        <w:t>3</w:t>
      </w:r>
      <w:r>
        <w:rPr>
          <w:rFonts w:hint="eastAsia" w:ascii="宋体" w:hAnsi="宋体"/>
          <w:snapToGrid w:val="0"/>
          <w:color w:val="auto"/>
          <w:highlight w:val="none"/>
        </w:rPr>
        <w:t>资格审查部分</w:t>
      </w:r>
    </w:p>
    <w:p w14:paraId="6262D720">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（1）法定代表人身份证明或附有法定代表人身份证明的授权委托书</w:t>
      </w:r>
    </w:p>
    <w:p w14:paraId="38E193DA">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2</w:t>
      </w:r>
      <w:r>
        <w:rPr>
          <w:rFonts w:hint="eastAsia" w:ascii="宋体" w:hAnsi="宋体"/>
          <w:snapToGrid w:val="0"/>
          <w:color w:val="auto"/>
          <w:highlight w:val="none"/>
        </w:rPr>
        <w:t>）</w:t>
      </w:r>
      <w:r>
        <w:rPr>
          <w:rFonts w:hint="eastAsia" w:ascii="宋体" w:hAnsi="宋体"/>
          <w:snapToGrid w:val="0"/>
          <w:color w:val="auto"/>
          <w:highlight w:val="none"/>
          <w:lang w:eastAsia="zh-CN"/>
        </w:rPr>
        <w:t>竞选人</w:t>
      </w:r>
      <w:r>
        <w:rPr>
          <w:rFonts w:hint="eastAsia" w:ascii="宋体" w:hAnsi="宋体"/>
          <w:snapToGrid w:val="0"/>
          <w:color w:val="auto"/>
          <w:highlight w:val="none"/>
        </w:rPr>
        <w:t>基本情况表</w:t>
      </w:r>
    </w:p>
    <w:p w14:paraId="450953FD">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3</w:t>
      </w:r>
      <w:r>
        <w:rPr>
          <w:rFonts w:hint="eastAsia" w:ascii="宋体" w:hAnsi="宋体"/>
          <w:snapToGrid w:val="0"/>
          <w:color w:val="auto"/>
          <w:highlight w:val="none"/>
        </w:rPr>
        <w:t>）</w:t>
      </w:r>
      <w:r>
        <w:rPr>
          <w:rFonts w:ascii="宋体" w:hAnsi="宋体"/>
          <w:snapToGrid w:val="0"/>
          <w:color w:val="auto"/>
          <w:highlight w:val="none"/>
        </w:rPr>
        <w:t>主要人员汇总表</w:t>
      </w:r>
    </w:p>
    <w:p w14:paraId="7CB7CB1D">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4</w:t>
      </w:r>
      <w:r>
        <w:rPr>
          <w:rFonts w:hint="eastAsia" w:ascii="宋体" w:hAnsi="宋体"/>
          <w:snapToGrid w:val="0"/>
          <w:color w:val="auto"/>
          <w:highlight w:val="none"/>
        </w:rPr>
        <w:t>）</w:t>
      </w:r>
      <w:r>
        <w:rPr>
          <w:rFonts w:ascii="宋体" w:hAnsi="宋体"/>
          <w:snapToGrid w:val="0"/>
          <w:color w:val="auto"/>
          <w:highlight w:val="none"/>
        </w:rPr>
        <w:t>主要人员</w:t>
      </w:r>
      <w:r>
        <w:rPr>
          <w:rFonts w:hint="eastAsia" w:ascii="宋体" w:hAnsi="宋体"/>
          <w:snapToGrid w:val="0"/>
          <w:color w:val="auto"/>
          <w:highlight w:val="none"/>
        </w:rPr>
        <w:t>简历</w:t>
      </w:r>
      <w:r>
        <w:rPr>
          <w:rFonts w:ascii="宋体" w:hAnsi="宋体"/>
          <w:snapToGrid w:val="0"/>
          <w:color w:val="auto"/>
          <w:highlight w:val="none"/>
        </w:rPr>
        <w:t>表</w:t>
      </w:r>
    </w:p>
    <w:p w14:paraId="702FA576">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5</w:t>
      </w:r>
      <w:r>
        <w:rPr>
          <w:rFonts w:hint="eastAsia" w:ascii="宋体" w:hAnsi="宋体"/>
          <w:snapToGrid w:val="0"/>
          <w:color w:val="auto"/>
          <w:highlight w:val="none"/>
        </w:rPr>
        <w:t>）承诺</w:t>
      </w:r>
    </w:p>
    <w:p w14:paraId="73F175C9">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6</w:t>
      </w:r>
      <w:r>
        <w:rPr>
          <w:rFonts w:hint="eastAsia" w:ascii="宋体" w:hAnsi="宋体"/>
          <w:snapToGrid w:val="0"/>
          <w:color w:val="auto"/>
          <w:highlight w:val="none"/>
        </w:rPr>
        <w:t>）其他资料</w:t>
      </w:r>
    </w:p>
    <w:p w14:paraId="6643E30D">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lang w:eastAsia="zh-CN"/>
        </w:rPr>
        <w:t>竞选人</w:t>
      </w:r>
      <w:r>
        <w:rPr>
          <w:rFonts w:ascii="宋体" w:hAnsi="宋体"/>
          <w:snapToGrid w:val="0"/>
          <w:color w:val="auto"/>
          <w:highlight w:val="none"/>
        </w:rPr>
        <w:t>在评标过程中作出的符合法律法规和</w:t>
      </w:r>
      <w:r>
        <w:rPr>
          <w:rFonts w:hint="eastAsia" w:ascii="宋体" w:hAnsi="宋体"/>
          <w:snapToGrid w:val="0"/>
          <w:color w:val="auto"/>
          <w:highlight w:val="none"/>
          <w:lang w:eastAsia="zh-CN"/>
        </w:rPr>
        <w:t>比选文件</w:t>
      </w:r>
      <w:r>
        <w:rPr>
          <w:rFonts w:ascii="宋体" w:hAnsi="宋体"/>
          <w:snapToGrid w:val="0"/>
          <w:color w:val="auto"/>
          <w:highlight w:val="none"/>
        </w:rPr>
        <w:t>规定的澄清确认，构成</w:t>
      </w:r>
      <w:r>
        <w:rPr>
          <w:rFonts w:hint="eastAsia" w:ascii="宋体" w:hAnsi="宋体"/>
          <w:snapToGrid w:val="0"/>
          <w:color w:val="auto"/>
          <w:highlight w:val="none"/>
          <w:lang w:eastAsia="zh-CN"/>
        </w:rPr>
        <w:t>竞选文件</w:t>
      </w:r>
      <w:r>
        <w:rPr>
          <w:rFonts w:ascii="宋体" w:hAnsi="宋体"/>
          <w:snapToGrid w:val="0"/>
          <w:color w:val="auto"/>
          <w:highlight w:val="none"/>
        </w:rPr>
        <w:t>的组成部分。</w:t>
      </w:r>
    </w:p>
    <w:p w14:paraId="490A449C">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 xml:space="preserve">3.1.2  </w:t>
      </w:r>
      <w:r>
        <w:rPr>
          <w:rFonts w:hint="eastAsia" w:ascii="宋体" w:hAnsi="宋体"/>
          <w:snapToGrid w:val="0"/>
          <w:color w:val="auto"/>
          <w:highlight w:val="none"/>
          <w:lang w:eastAsia="zh-CN"/>
        </w:rPr>
        <w:t>竞选人</w:t>
      </w:r>
      <w:r>
        <w:rPr>
          <w:rFonts w:ascii="宋体" w:hAnsi="宋体"/>
          <w:snapToGrid w:val="0"/>
          <w:color w:val="auto"/>
          <w:highlight w:val="none"/>
        </w:rPr>
        <w:t>须知前附表规定不接受联合体投标的，或</w:t>
      </w:r>
      <w:r>
        <w:rPr>
          <w:rFonts w:hint="eastAsia" w:ascii="宋体" w:hAnsi="宋体"/>
          <w:snapToGrid w:val="0"/>
          <w:color w:val="auto"/>
          <w:highlight w:val="none"/>
          <w:lang w:eastAsia="zh-CN"/>
        </w:rPr>
        <w:t>竞选人</w:t>
      </w:r>
      <w:r>
        <w:rPr>
          <w:rFonts w:ascii="宋体" w:hAnsi="宋体"/>
          <w:snapToGrid w:val="0"/>
          <w:color w:val="auto"/>
          <w:highlight w:val="none"/>
        </w:rPr>
        <w:t>没有组成联合体的，</w:t>
      </w:r>
      <w:r>
        <w:rPr>
          <w:rFonts w:hint="eastAsia" w:ascii="宋体" w:hAnsi="宋体"/>
          <w:snapToGrid w:val="0"/>
          <w:color w:val="auto"/>
          <w:highlight w:val="none"/>
          <w:lang w:eastAsia="zh-CN"/>
        </w:rPr>
        <w:t>竞选文件</w:t>
      </w:r>
      <w:r>
        <w:rPr>
          <w:rFonts w:ascii="宋体" w:hAnsi="宋体"/>
          <w:snapToGrid w:val="0"/>
          <w:color w:val="auto"/>
          <w:highlight w:val="none"/>
        </w:rPr>
        <w:t>不包括联合体协议书。</w:t>
      </w:r>
    </w:p>
    <w:p w14:paraId="646742FF">
      <w:pPr>
        <w:pStyle w:val="4"/>
        <w:snapToGrid w:val="0"/>
        <w:spacing w:before="0" w:after="0" w:line="360" w:lineRule="auto"/>
        <w:rPr>
          <w:rFonts w:ascii="宋体" w:hAnsi="宋体"/>
          <w:b w:val="0"/>
          <w:snapToGrid w:val="0"/>
          <w:color w:val="auto"/>
          <w:sz w:val="24"/>
          <w:szCs w:val="24"/>
          <w:highlight w:val="none"/>
        </w:rPr>
      </w:pPr>
      <w:bookmarkStart w:id="256" w:name="_Toc224103337"/>
      <w:bookmarkStart w:id="257" w:name="_Toc430530455"/>
      <w:bookmarkStart w:id="258" w:name="_Toc509218730"/>
      <w:bookmarkStart w:id="259" w:name="_Toc287620705"/>
      <w:bookmarkStart w:id="260" w:name="_Toc277082572"/>
      <w:bookmarkStart w:id="261" w:name="_Toc18821"/>
      <w:bookmarkStart w:id="262" w:name="_Toc287607766"/>
      <w:bookmarkStart w:id="263" w:name="_Toc200513146"/>
      <w:r>
        <w:rPr>
          <w:rFonts w:ascii="宋体" w:hAnsi="宋体"/>
          <w:b w:val="0"/>
          <w:snapToGrid w:val="0"/>
          <w:color w:val="auto"/>
          <w:sz w:val="24"/>
          <w:szCs w:val="24"/>
          <w:highlight w:val="none"/>
        </w:rPr>
        <w:t>3.2  投标报价</w:t>
      </w:r>
      <w:bookmarkEnd w:id="256"/>
      <w:bookmarkEnd w:id="257"/>
      <w:bookmarkEnd w:id="258"/>
      <w:bookmarkEnd w:id="259"/>
      <w:bookmarkEnd w:id="260"/>
      <w:bookmarkEnd w:id="261"/>
      <w:bookmarkEnd w:id="262"/>
      <w:bookmarkEnd w:id="263"/>
    </w:p>
    <w:p w14:paraId="7EF96B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投标报价应包括国家规定的增值税税金，除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须知前附表另有规定外，增值税税金按一般计税方法计算。</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应按第六章“</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格式”的要求在投标函中进行报价并填写设计费用清单。</w:t>
      </w:r>
    </w:p>
    <w:p w14:paraId="202AF4A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应充分了解该项目的总体情况以及影响投标报价的其他要素。</w:t>
      </w:r>
    </w:p>
    <w:p w14:paraId="1AF82B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3.2.3  本项目的报价方式见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在投标截止时间前修改投标函中的投标报价总额，应同时修改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“设计费用清单”中的相应报价。此修改须符合本章第 4.3 款的有关要求。</w:t>
      </w:r>
    </w:p>
    <w:p w14:paraId="21893F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设有最高投标限价的，</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的投标报价不得超过最高投标限价，最高投标限价在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须知前附表中载明。</w:t>
      </w:r>
    </w:p>
    <w:p w14:paraId="3490D3F9">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3.2.5  投标报价的其他要求见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4DC78C0B">
      <w:pPr>
        <w:pStyle w:val="4"/>
        <w:snapToGrid w:val="0"/>
        <w:spacing w:before="0" w:after="0" w:line="360" w:lineRule="auto"/>
        <w:rPr>
          <w:rFonts w:ascii="宋体" w:hAnsi="宋体"/>
          <w:b w:val="0"/>
          <w:snapToGrid w:val="0"/>
          <w:color w:val="auto"/>
          <w:sz w:val="24"/>
          <w:szCs w:val="24"/>
          <w:highlight w:val="none"/>
        </w:rPr>
      </w:pPr>
      <w:bookmarkStart w:id="264" w:name="_Toc430530456"/>
      <w:bookmarkStart w:id="265" w:name="_Toc26829"/>
      <w:bookmarkStart w:id="266" w:name="_Toc509218731"/>
      <w:bookmarkStart w:id="267" w:name="_Toc200513147"/>
      <w:bookmarkStart w:id="268" w:name="_Toc287607767"/>
      <w:bookmarkStart w:id="269" w:name="_Toc277082573"/>
      <w:bookmarkStart w:id="270" w:name="_Toc224103338"/>
      <w:bookmarkStart w:id="271" w:name="_Toc287620706"/>
      <w:r>
        <w:rPr>
          <w:rFonts w:ascii="宋体" w:hAnsi="宋体"/>
          <w:b w:val="0"/>
          <w:snapToGrid w:val="0"/>
          <w:color w:val="auto"/>
          <w:sz w:val="24"/>
          <w:szCs w:val="24"/>
          <w:highlight w:val="none"/>
        </w:rPr>
        <w:t>3.3  投标有效期</w:t>
      </w:r>
      <w:bookmarkEnd w:id="264"/>
      <w:bookmarkEnd w:id="265"/>
      <w:bookmarkEnd w:id="266"/>
      <w:bookmarkEnd w:id="267"/>
      <w:bookmarkEnd w:id="268"/>
      <w:bookmarkEnd w:id="269"/>
      <w:bookmarkEnd w:id="270"/>
      <w:bookmarkEnd w:id="271"/>
    </w:p>
    <w:p w14:paraId="2C09E7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须知前附表另有规定外，投标有效期为 90 天。</w:t>
      </w:r>
    </w:p>
    <w:p w14:paraId="433762BB">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在投标有效期内，</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的，应承担</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和法律规定的责任。</w:t>
      </w:r>
    </w:p>
    <w:p w14:paraId="5C7AAAA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出现特殊情况需要延长投标有效期的，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延长投标有效期。</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同意延长的，应相应延长其投标保函的有效期，但不得要求或被允许修改或撤销其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拒绝延长的，其投标失效，但</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有权收回其投标保函。</w:t>
      </w:r>
      <w:r>
        <w:rPr>
          <w:rFonts w:hint="eastAsia" w:ascii="宋体" w:hAnsi="宋体"/>
          <w:snapToGrid w:val="0"/>
          <w:color w:val="auto"/>
          <w:kern w:val="0"/>
          <w:szCs w:val="21"/>
          <w:highlight w:val="none"/>
        </w:rPr>
        <w:t>（适用于投标保证金采用投标保函形式的）</w:t>
      </w:r>
    </w:p>
    <w:p w14:paraId="551DD935">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延长投标有效期。</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同意延长的，应相应延长其投标保证金的有效期，但不得要求或被允许修改或撤销其</w:t>
      </w:r>
      <w:r>
        <w:rPr>
          <w:rFonts w:hint="eastAsia" w:ascii="宋体" w:hAnsi="宋体" w:cs="MingLiU"/>
          <w:snapToGrid w:val="0"/>
          <w:color w:val="auto"/>
          <w:kern w:val="0"/>
          <w:szCs w:val="21"/>
          <w:highlight w:val="none"/>
          <w:lang w:eastAsia="zh-CN"/>
        </w:rPr>
        <w:t>竞选文件</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拒绝延长的，其投标失效，但</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有权收回其投标保证金。（适用于投标保证金采用银行转账形式的）</w:t>
      </w:r>
    </w:p>
    <w:p w14:paraId="62A06CBF">
      <w:pPr>
        <w:pStyle w:val="4"/>
        <w:keepNext w:val="0"/>
        <w:keepLines w:val="0"/>
        <w:snapToGrid w:val="0"/>
        <w:spacing w:before="0" w:after="0" w:line="360" w:lineRule="auto"/>
        <w:rPr>
          <w:rFonts w:ascii="宋体" w:hAnsi="宋体"/>
          <w:b w:val="0"/>
          <w:snapToGrid w:val="0"/>
          <w:color w:val="auto"/>
          <w:sz w:val="24"/>
          <w:szCs w:val="24"/>
          <w:highlight w:val="none"/>
        </w:rPr>
      </w:pPr>
      <w:bookmarkStart w:id="272" w:name="_Toc224103339"/>
      <w:bookmarkStart w:id="273" w:name="_Toc509218732"/>
      <w:bookmarkStart w:id="274" w:name="_Toc200513148"/>
      <w:bookmarkStart w:id="275" w:name="_Toc287607768"/>
      <w:bookmarkStart w:id="276" w:name="_Toc277082574"/>
      <w:bookmarkStart w:id="277" w:name="_Toc430530457"/>
      <w:bookmarkStart w:id="278" w:name="_Toc287620707"/>
      <w:bookmarkStart w:id="279" w:name="_Toc27820"/>
      <w:r>
        <w:rPr>
          <w:rFonts w:ascii="宋体" w:hAnsi="宋体"/>
          <w:b w:val="0"/>
          <w:snapToGrid w:val="0"/>
          <w:color w:val="auto"/>
          <w:sz w:val="24"/>
          <w:szCs w:val="24"/>
          <w:highlight w:val="none"/>
        </w:rPr>
        <w:t>3.4  投标</w:t>
      </w:r>
      <w:bookmarkEnd w:id="272"/>
      <w:bookmarkEnd w:id="273"/>
      <w:bookmarkEnd w:id="274"/>
      <w:bookmarkEnd w:id="275"/>
      <w:bookmarkEnd w:id="276"/>
      <w:bookmarkEnd w:id="277"/>
      <w:bookmarkEnd w:id="278"/>
      <w:r>
        <w:rPr>
          <w:rFonts w:hint="eastAsia" w:ascii="宋体" w:hAnsi="宋体"/>
          <w:b w:val="0"/>
          <w:snapToGrid w:val="0"/>
          <w:color w:val="auto"/>
          <w:sz w:val="24"/>
          <w:szCs w:val="24"/>
          <w:highlight w:val="none"/>
        </w:rPr>
        <w:t>保证金</w:t>
      </w:r>
      <w:bookmarkEnd w:id="279"/>
    </w:p>
    <w:p w14:paraId="73D8CDB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的组成部分。联合体投标的，其投标保证金由牵头人递交，并应符合</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w:t>
      </w:r>
    </w:p>
    <w:p w14:paraId="41DE0AE1">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不按本章第3.4.1项要求提交投标保证金的，其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作否决投标处理。</w:t>
      </w:r>
    </w:p>
    <w:p w14:paraId="74A5EF2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投标保证金（投标保函）退还：见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981F8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3FDE62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在规定的投标有效期内撤销其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7282FF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（2）中标人在收到中标通知书后，无正当理由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订立合同，</w:t>
      </w:r>
      <w:r>
        <w:rPr>
          <w:rFonts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提出附加条件，或者不按照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要求提交履约保证金；</w:t>
      </w:r>
    </w:p>
    <w:p w14:paraId="6B85BC7C">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拟中标人拒不提供或者不按时提供低价风险担保；（适用于经评审的最低投标价法）</w:t>
      </w:r>
    </w:p>
    <w:p w14:paraId="4D1E0C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）发生</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须知前附表规定的其他可以不予退还投标保证金的情形。</w:t>
      </w:r>
    </w:p>
    <w:p w14:paraId="20BF77F7">
      <w:pPr>
        <w:pStyle w:val="4"/>
        <w:keepNext w:val="0"/>
        <w:keepLines w:val="0"/>
        <w:snapToGrid w:val="0"/>
        <w:spacing w:before="0" w:after="0" w:line="360" w:lineRule="auto"/>
        <w:rPr>
          <w:rFonts w:ascii="宋体" w:hAnsi="宋体"/>
          <w:b w:val="0"/>
          <w:snapToGrid w:val="0"/>
          <w:color w:val="auto"/>
          <w:sz w:val="24"/>
          <w:szCs w:val="24"/>
          <w:highlight w:val="none"/>
        </w:rPr>
      </w:pPr>
      <w:bookmarkStart w:id="280" w:name="_Toc287620708"/>
      <w:bookmarkStart w:id="281" w:name="_Toc200513149"/>
      <w:bookmarkStart w:id="282" w:name="_Toc287607769"/>
      <w:bookmarkStart w:id="283" w:name="_Toc509218733"/>
      <w:bookmarkStart w:id="284" w:name="_Toc224103340"/>
      <w:bookmarkStart w:id="285" w:name="_Toc17818"/>
      <w:bookmarkStart w:id="286" w:name="_Toc430530458"/>
      <w:bookmarkStart w:id="287" w:name="_Toc277082575"/>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资格审查资料</w:t>
      </w:r>
      <w:bookmarkEnd w:id="280"/>
      <w:bookmarkEnd w:id="281"/>
      <w:bookmarkEnd w:id="282"/>
      <w:bookmarkEnd w:id="283"/>
      <w:bookmarkEnd w:id="284"/>
      <w:bookmarkEnd w:id="285"/>
      <w:bookmarkEnd w:id="286"/>
      <w:bookmarkEnd w:id="287"/>
    </w:p>
    <w:p w14:paraId="5D97F5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前，发生可能影响其投标资格的新情况的，应更新或补充其在申请资格预审时提供的资料，以证实其各项资格条件仍能继续满足资格预审文件的要求，且没有实质性降低。</w:t>
      </w:r>
    </w:p>
    <w:p w14:paraId="1D3552D3">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[提示：适用于已进行资格预审的。]</w:t>
      </w:r>
    </w:p>
    <w:p w14:paraId="510A6C81">
      <w:pPr>
        <w:pStyle w:val="4"/>
        <w:keepNext w:val="0"/>
        <w:keepLines w:val="0"/>
        <w:snapToGrid w:val="0"/>
        <w:spacing w:before="0" w:after="0" w:line="360" w:lineRule="auto"/>
        <w:rPr>
          <w:rFonts w:ascii="宋体" w:hAnsi="宋体"/>
          <w:b w:val="0"/>
          <w:snapToGrid w:val="0"/>
          <w:color w:val="auto"/>
          <w:sz w:val="24"/>
          <w:szCs w:val="24"/>
          <w:highlight w:val="none"/>
        </w:rPr>
      </w:pPr>
      <w:bookmarkStart w:id="288" w:name="_Toc509218734"/>
      <w:bookmarkStart w:id="289" w:name="_Toc12316"/>
      <w:bookmarkStart w:id="290" w:name="_Toc277082576"/>
      <w:bookmarkStart w:id="291" w:name="_Toc200513150"/>
      <w:bookmarkStart w:id="292" w:name="_Toc430530459"/>
      <w:bookmarkStart w:id="293" w:name="_Toc287620709"/>
      <w:bookmarkStart w:id="294" w:name="_Toc287607770"/>
      <w:bookmarkStart w:id="295" w:name="_Toc224103341"/>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288"/>
      <w:bookmarkEnd w:id="289"/>
      <w:bookmarkEnd w:id="290"/>
      <w:bookmarkEnd w:id="291"/>
      <w:bookmarkEnd w:id="292"/>
      <w:bookmarkEnd w:id="293"/>
      <w:bookmarkEnd w:id="294"/>
      <w:bookmarkEnd w:id="295"/>
    </w:p>
    <w:p w14:paraId="0B4457B5">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应附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5BADC8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须知前附表规定接受联合体投标的，详见</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须知前附表联合体投标相关内容。</w:t>
      </w:r>
    </w:p>
    <w:p w14:paraId="3F38A918">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[提示：适用于未进行资格预审的。]</w:t>
      </w:r>
    </w:p>
    <w:p w14:paraId="22DE5603">
      <w:pPr>
        <w:pStyle w:val="4"/>
        <w:snapToGrid w:val="0"/>
        <w:spacing w:before="0" w:after="0" w:line="360" w:lineRule="auto"/>
        <w:rPr>
          <w:rFonts w:ascii="宋体" w:hAnsi="宋体"/>
          <w:b w:val="0"/>
          <w:snapToGrid w:val="0"/>
          <w:color w:val="auto"/>
          <w:sz w:val="24"/>
          <w:szCs w:val="24"/>
          <w:highlight w:val="none"/>
        </w:rPr>
      </w:pPr>
      <w:bookmarkStart w:id="296" w:name="_Toc287620710"/>
      <w:bookmarkStart w:id="297" w:name="_Toc287607771"/>
      <w:bookmarkStart w:id="298" w:name="_Toc200513151"/>
      <w:bookmarkStart w:id="299" w:name="_Toc509218735"/>
      <w:bookmarkStart w:id="300" w:name="_Toc224103342"/>
      <w:bookmarkStart w:id="301" w:name="_Toc26593"/>
      <w:bookmarkStart w:id="302" w:name="_Toc430530460"/>
      <w:bookmarkStart w:id="303" w:name="_Toc277082577"/>
      <w:r>
        <w:rPr>
          <w:rFonts w:ascii="宋体" w:hAnsi="宋体"/>
          <w:b w:val="0"/>
          <w:snapToGrid w:val="0"/>
          <w:color w:val="auto"/>
          <w:sz w:val="24"/>
          <w:szCs w:val="24"/>
          <w:highlight w:val="none"/>
        </w:rPr>
        <w:t>3.6  备选投标方案</w:t>
      </w:r>
      <w:bookmarkEnd w:id="296"/>
      <w:bookmarkEnd w:id="297"/>
      <w:bookmarkEnd w:id="298"/>
      <w:bookmarkEnd w:id="299"/>
      <w:bookmarkEnd w:id="300"/>
      <w:bookmarkEnd w:id="301"/>
      <w:bookmarkEnd w:id="302"/>
      <w:bookmarkEnd w:id="303"/>
    </w:p>
    <w:p w14:paraId="662C56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须知前附表规定允许外，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不得递交备选投标方案，否则其投标将被否决。</w:t>
      </w:r>
    </w:p>
    <w:p w14:paraId="78D11D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递交备选投标方案的，只有中标人所递交的备选投标方案方可予以考虑。评标委员会认为中标人的备选投标方案优于其按照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7D8C7F5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 xml:space="preserve">.6.3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提供两个或两个以上投标报价，或者在</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中提供一个报价，但同时提供两个或两个以上设计方案的，视为提供备选方案。</w:t>
      </w:r>
    </w:p>
    <w:p w14:paraId="1ABCF1B7">
      <w:pPr>
        <w:pStyle w:val="4"/>
        <w:snapToGrid w:val="0"/>
        <w:spacing w:before="0" w:after="0" w:line="360" w:lineRule="auto"/>
        <w:rPr>
          <w:rFonts w:ascii="宋体" w:hAnsi="宋体"/>
          <w:b w:val="0"/>
          <w:snapToGrid w:val="0"/>
          <w:color w:val="auto"/>
          <w:sz w:val="24"/>
          <w:szCs w:val="24"/>
          <w:highlight w:val="none"/>
        </w:rPr>
      </w:pPr>
      <w:bookmarkStart w:id="304" w:name="_Toc277082578"/>
      <w:bookmarkStart w:id="305" w:name="_Toc224103343"/>
      <w:bookmarkStart w:id="306" w:name="_Toc509218736"/>
      <w:bookmarkStart w:id="307" w:name="_Toc5407"/>
      <w:bookmarkStart w:id="308" w:name="_Toc287620711"/>
      <w:bookmarkStart w:id="309" w:name="_Toc200513152"/>
      <w:bookmarkStart w:id="310" w:name="_Toc287607772"/>
      <w:bookmarkStart w:id="311" w:name="_Toc430530461"/>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的编制</w:t>
      </w:r>
      <w:bookmarkEnd w:id="304"/>
      <w:bookmarkEnd w:id="305"/>
      <w:bookmarkEnd w:id="306"/>
      <w:bookmarkEnd w:id="307"/>
      <w:bookmarkEnd w:id="308"/>
      <w:bookmarkEnd w:id="309"/>
      <w:bookmarkEnd w:id="310"/>
      <w:bookmarkEnd w:id="311"/>
    </w:p>
    <w:p w14:paraId="73726B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2F3BC04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w:t>
      </w:r>
      <w:r>
        <w:rPr>
          <w:rFonts w:hint="eastAsia" w:ascii="宋体" w:hAnsi="宋体"/>
          <w:snapToGrid w:val="0"/>
          <w:color w:val="auto"/>
          <w:kern w:val="0"/>
          <w:szCs w:val="21"/>
          <w:highlight w:val="none"/>
        </w:rPr>
        <w:t>设计服务期限</w:t>
      </w:r>
      <w:r>
        <w:rPr>
          <w:rFonts w:ascii="宋体" w:hAnsi="宋体"/>
          <w:snapToGrid w:val="0"/>
          <w:color w:val="auto"/>
          <w:kern w:val="0"/>
          <w:szCs w:val="21"/>
          <w:highlight w:val="none"/>
        </w:rPr>
        <w:t>、投标有效期、</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、招标范围等实质性内容做出响应。</w:t>
      </w:r>
    </w:p>
    <w:p w14:paraId="1557A9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竞选文件</w:t>
      </w:r>
      <w:r>
        <w:rPr>
          <w:rFonts w:hint="eastAsia" w:ascii="宋体" w:hAnsi="宋体"/>
          <w:snapToGrid w:val="0"/>
          <w:color w:val="auto"/>
          <w:kern w:val="0"/>
          <w:position w:val="-2"/>
          <w:szCs w:val="21"/>
          <w:highlight w:val="none"/>
        </w:rPr>
        <w:t>的签名盖章要求：按本章</w:t>
      </w:r>
      <w:r>
        <w:rPr>
          <w:rFonts w:hint="eastAsia" w:ascii="宋体" w:hAnsi="宋体"/>
          <w:snapToGrid w:val="0"/>
          <w:color w:val="auto"/>
          <w:kern w:val="0"/>
          <w:position w:val="-2"/>
          <w:szCs w:val="21"/>
          <w:highlight w:val="none"/>
          <w:lang w:eastAsia="zh-CN"/>
        </w:rPr>
        <w:t>竞选人</w:t>
      </w:r>
      <w:r>
        <w:rPr>
          <w:rFonts w:hint="eastAsia" w:ascii="宋体" w:hAnsi="宋体"/>
          <w:snapToGrid w:val="0"/>
          <w:color w:val="auto"/>
          <w:kern w:val="0"/>
          <w:position w:val="-2"/>
          <w:szCs w:val="21"/>
          <w:highlight w:val="none"/>
        </w:rPr>
        <w:t>须知前附表第3.7.3项执行。</w:t>
      </w:r>
    </w:p>
    <w:p w14:paraId="15F863F1">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竞选文件</w:t>
      </w:r>
      <w:r>
        <w:rPr>
          <w:rFonts w:hint="eastAsia" w:ascii="宋体" w:hAnsi="宋体"/>
          <w:snapToGrid w:val="0"/>
          <w:color w:val="auto"/>
          <w:kern w:val="0"/>
          <w:szCs w:val="21"/>
          <w:highlight w:val="none"/>
        </w:rPr>
        <w:t>的份数：</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val="en-US" w:eastAsia="zh-CN"/>
        </w:rPr>
        <w:t>设计</w:t>
      </w:r>
      <w:r>
        <w:rPr>
          <w:rFonts w:hint="eastAsia" w:ascii="宋体" w:hAnsi="宋体"/>
          <w:snapToGrid w:val="0"/>
          <w:color w:val="auto"/>
          <w:kern w:val="0"/>
          <w:szCs w:val="21"/>
          <w:highlight w:val="none"/>
        </w:rPr>
        <w:t>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r>
        <w:rPr>
          <w:rFonts w:ascii="宋体" w:hAnsi="宋体"/>
          <w:color w:val="auto"/>
          <w:kern w:val="0"/>
          <w:szCs w:val="21"/>
          <w:highlight w:val="none"/>
        </w:rPr>
        <w:t>。</w:t>
      </w:r>
    </w:p>
    <w:p w14:paraId="40087D7B">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竞选文件</w:t>
      </w:r>
      <w:r>
        <w:rPr>
          <w:rFonts w:hint="eastAsia" w:ascii="宋体" w:hAnsi="宋体"/>
          <w:snapToGrid w:val="0"/>
          <w:color w:val="auto"/>
          <w:kern w:val="0"/>
          <w:szCs w:val="21"/>
          <w:highlight w:val="none"/>
        </w:rPr>
        <w:t>应按规定格式排版</w:t>
      </w:r>
      <w:r>
        <w:rPr>
          <w:rFonts w:ascii="宋体" w:hAnsi="宋体"/>
          <w:snapToGrid w:val="0"/>
          <w:color w:val="auto"/>
          <w:kern w:val="0"/>
          <w:szCs w:val="21"/>
          <w:highlight w:val="none"/>
        </w:rPr>
        <w:t>，并编制目录，具体</w:t>
      </w:r>
      <w:r>
        <w:rPr>
          <w:rFonts w:hint="eastAsia" w:ascii="宋体" w:hAnsi="宋体"/>
          <w:snapToGrid w:val="0"/>
          <w:color w:val="auto"/>
          <w:kern w:val="0"/>
          <w:szCs w:val="21"/>
          <w:highlight w:val="none"/>
        </w:rPr>
        <w:t>编制</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r>
        <w:rPr>
          <w:rFonts w:hint="eastAsia" w:ascii="宋体" w:hAnsi="宋体"/>
          <w:snapToGrid w:val="0"/>
          <w:color w:val="auto"/>
          <w:kern w:val="0"/>
          <w:position w:val="-2"/>
          <w:szCs w:val="21"/>
          <w:highlight w:val="none"/>
        </w:rPr>
        <w:t>第3.7.</w:t>
      </w:r>
      <w:r>
        <w:rPr>
          <w:rFonts w:ascii="宋体" w:hAnsi="宋体"/>
          <w:snapToGrid w:val="0"/>
          <w:color w:val="auto"/>
          <w:kern w:val="0"/>
          <w:position w:val="-2"/>
          <w:szCs w:val="21"/>
          <w:highlight w:val="none"/>
        </w:rPr>
        <w:t>5</w:t>
      </w:r>
      <w:r>
        <w:rPr>
          <w:rFonts w:hint="eastAsia" w:ascii="宋体" w:hAnsi="宋体"/>
          <w:snapToGrid w:val="0"/>
          <w:color w:val="auto"/>
          <w:kern w:val="0"/>
          <w:position w:val="-2"/>
          <w:szCs w:val="21"/>
          <w:highlight w:val="none"/>
        </w:rPr>
        <w:t>项执行</w:t>
      </w:r>
      <w:r>
        <w:rPr>
          <w:rFonts w:ascii="宋体" w:hAnsi="宋体"/>
          <w:snapToGrid w:val="0"/>
          <w:color w:val="auto"/>
          <w:kern w:val="0"/>
          <w:szCs w:val="21"/>
          <w:highlight w:val="none"/>
        </w:rPr>
        <w:t>。</w:t>
      </w:r>
    </w:p>
    <w:p w14:paraId="7CE17F1B">
      <w:pPr>
        <w:pStyle w:val="3"/>
        <w:keepNext w:val="0"/>
        <w:keepLines w:val="0"/>
        <w:spacing w:before="0" w:after="0" w:line="360" w:lineRule="auto"/>
        <w:rPr>
          <w:rFonts w:ascii="宋体" w:hAnsi="宋体"/>
          <w:b w:val="0"/>
          <w:snapToGrid w:val="0"/>
          <w:color w:val="auto"/>
          <w:highlight w:val="none"/>
        </w:rPr>
      </w:pPr>
      <w:bookmarkStart w:id="312" w:name="_Toc8305"/>
      <w:bookmarkStart w:id="313" w:name="_Toc287620712"/>
      <w:bookmarkStart w:id="314" w:name="_Toc200513153"/>
      <w:bookmarkStart w:id="315" w:name="_Toc509218737"/>
      <w:bookmarkStart w:id="316" w:name="_Toc287607773"/>
      <w:bookmarkStart w:id="317" w:name="_Toc277082579"/>
      <w:bookmarkStart w:id="318" w:name="_Toc224103344"/>
      <w:bookmarkStart w:id="319" w:name="_Toc430530462"/>
      <w:r>
        <w:rPr>
          <w:rFonts w:ascii="宋体" w:hAnsi="宋体"/>
          <w:b w:val="0"/>
          <w:snapToGrid w:val="0"/>
          <w:color w:val="auto"/>
          <w:highlight w:val="none"/>
        </w:rPr>
        <w:t>4.  投标</w:t>
      </w:r>
      <w:bookmarkEnd w:id="312"/>
      <w:bookmarkEnd w:id="313"/>
      <w:bookmarkEnd w:id="314"/>
      <w:bookmarkEnd w:id="315"/>
      <w:bookmarkEnd w:id="316"/>
      <w:bookmarkEnd w:id="317"/>
      <w:bookmarkEnd w:id="318"/>
      <w:bookmarkEnd w:id="319"/>
    </w:p>
    <w:p w14:paraId="4F696354">
      <w:pPr>
        <w:pStyle w:val="4"/>
        <w:keepNext w:val="0"/>
        <w:keepLines w:val="0"/>
        <w:snapToGrid w:val="0"/>
        <w:spacing w:before="0" w:after="0" w:line="360" w:lineRule="auto"/>
        <w:rPr>
          <w:rFonts w:ascii="宋体" w:hAnsi="宋体"/>
          <w:b w:val="0"/>
          <w:snapToGrid w:val="0"/>
          <w:color w:val="auto"/>
          <w:sz w:val="24"/>
          <w:szCs w:val="24"/>
          <w:highlight w:val="none"/>
        </w:rPr>
      </w:pPr>
      <w:bookmarkStart w:id="320" w:name="_Toc509218738"/>
      <w:bookmarkStart w:id="321" w:name="_Toc430530463"/>
      <w:bookmarkStart w:id="322" w:name="_Toc200513154"/>
      <w:bookmarkStart w:id="323" w:name="_Toc21322"/>
      <w:bookmarkStart w:id="324" w:name="_Toc287607774"/>
      <w:bookmarkStart w:id="325" w:name="_Toc277082580"/>
      <w:bookmarkStart w:id="326" w:name="_Toc287620713"/>
      <w:bookmarkStart w:id="327" w:name="_Toc224103345"/>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的密封和标记</w:t>
      </w:r>
      <w:bookmarkEnd w:id="320"/>
      <w:bookmarkEnd w:id="321"/>
      <w:bookmarkEnd w:id="322"/>
      <w:bookmarkEnd w:id="323"/>
      <w:bookmarkEnd w:id="324"/>
      <w:bookmarkEnd w:id="325"/>
      <w:bookmarkEnd w:id="326"/>
      <w:bookmarkEnd w:id="327"/>
    </w:p>
    <w:p w14:paraId="193B3D1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8"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4B3B43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9C47667">
      <w:pPr>
        <w:pStyle w:val="4"/>
        <w:keepNext w:val="0"/>
        <w:keepLines w:val="0"/>
        <w:snapToGrid w:val="0"/>
        <w:spacing w:before="0" w:after="0" w:line="360" w:lineRule="auto"/>
        <w:rPr>
          <w:rFonts w:ascii="宋体" w:hAnsi="宋体"/>
          <w:b w:val="0"/>
          <w:snapToGrid w:val="0"/>
          <w:color w:val="auto"/>
          <w:sz w:val="24"/>
          <w:szCs w:val="24"/>
          <w:highlight w:val="none"/>
        </w:rPr>
      </w:pPr>
      <w:bookmarkStart w:id="329" w:name="_Toc277082581"/>
      <w:bookmarkStart w:id="330" w:name="_Toc430530464"/>
      <w:bookmarkStart w:id="331" w:name="_Toc287607775"/>
      <w:bookmarkStart w:id="332" w:name="_Toc224103346"/>
      <w:bookmarkStart w:id="333" w:name="_Toc509218739"/>
      <w:bookmarkStart w:id="334" w:name="_Toc287620714"/>
      <w:bookmarkStart w:id="335" w:name="_Toc21121"/>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的递交</w:t>
      </w:r>
      <w:bookmarkEnd w:id="328"/>
      <w:bookmarkEnd w:id="329"/>
      <w:bookmarkEnd w:id="330"/>
      <w:bookmarkEnd w:id="331"/>
      <w:bookmarkEnd w:id="332"/>
      <w:bookmarkEnd w:id="333"/>
      <w:bookmarkEnd w:id="334"/>
      <w:bookmarkEnd w:id="335"/>
    </w:p>
    <w:p w14:paraId="3C81EE1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须知前附表第4.2.1项规定的投标截止时间前递交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1363C38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1D82CDB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不予退还。</w:t>
      </w:r>
    </w:p>
    <w:p w14:paraId="5E18C49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581988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337933D3">
      <w:pPr>
        <w:pStyle w:val="4"/>
        <w:keepNext w:val="0"/>
        <w:keepLines w:val="0"/>
        <w:snapToGrid w:val="0"/>
        <w:spacing w:before="0" w:after="0" w:line="360" w:lineRule="auto"/>
        <w:rPr>
          <w:rFonts w:ascii="宋体" w:hAnsi="宋体"/>
          <w:b w:val="0"/>
          <w:snapToGrid w:val="0"/>
          <w:color w:val="auto"/>
          <w:sz w:val="24"/>
          <w:szCs w:val="24"/>
          <w:highlight w:val="none"/>
        </w:rPr>
      </w:pPr>
      <w:bookmarkStart w:id="336" w:name="_Toc200513156"/>
      <w:bookmarkStart w:id="337" w:name="_Toc287607776"/>
      <w:bookmarkStart w:id="338" w:name="_Toc224103347"/>
      <w:bookmarkStart w:id="339" w:name="_Toc430530465"/>
      <w:bookmarkStart w:id="340" w:name="_Toc2825"/>
      <w:bookmarkStart w:id="341" w:name="_Toc509218740"/>
      <w:bookmarkStart w:id="342" w:name="_Toc287620715"/>
      <w:bookmarkStart w:id="343" w:name="_Toc277082582"/>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的修改与撤回</w:t>
      </w:r>
      <w:bookmarkEnd w:id="336"/>
      <w:bookmarkEnd w:id="337"/>
      <w:bookmarkEnd w:id="338"/>
      <w:bookmarkEnd w:id="339"/>
      <w:bookmarkEnd w:id="340"/>
      <w:bookmarkEnd w:id="341"/>
      <w:bookmarkEnd w:id="342"/>
      <w:bookmarkEnd w:id="343"/>
    </w:p>
    <w:p w14:paraId="02A4FC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须知前附表第4.2.1项规定的投标截止时间前，</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642DC93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4.3.2  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7C9EE660">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4.3.</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修改的内容为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应按照本章第3条、第4条规定进行编制、密封、标记和递交，并标明“修改”字样。</w:t>
      </w:r>
    </w:p>
    <w:p w14:paraId="2287B05F">
      <w:pPr>
        <w:pStyle w:val="3"/>
        <w:keepNext w:val="0"/>
        <w:keepLines w:val="0"/>
        <w:spacing w:before="0" w:after="0" w:line="360" w:lineRule="auto"/>
        <w:rPr>
          <w:rFonts w:ascii="宋体" w:hAnsi="宋体"/>
          <w:b w:val="0"/>
          <w:snapToGrid w:val="0"/>
          <w:color w:val="auto"/>
          <w:highlight w:val="none"/>
        </w:rPr>
      </w:pPr>
      <w:bookmarkStart w:id="344" w:name="_Toc224103348"/>
      <w:bookmarkStart w:id="345" w:name="_Toc287607777"/>
      <w:bookmarkStart w:id="346" w:name="_Toc200513157"/>
      <w:bookmarkStart w:id="347" w:name="_Toc509218741"/>
      <w:bookmarkStart w:id="348" w:name="_Toc287620716"/>
      <w:bookmarkStart w:id="349" w:name="_Toc277082583"/>
      <w:bookmarkStart w:id="350" w:name="_Toc1687"/>
      <w:bookmarkStart w:id="351" w:name="_Toc430530466"/>
      <w:r>
        <w:rPr>
          <w:rFonts w:ascii="宋体" w:hAnsi="宋体"/>
          <w:b w:val="0"/>
          <w:snapToGrid w:val="0"/>
          <w:color w:val="auto"/>
          <w:highlight w:val="none"/>
        </w:rPr>
        <w:t>5.  开标</w:t>
      </w:r>
      <w:bookmarkEnd w:id="344"/>
      <w:bookmarkEnd w:id="345"/>
      <w:bookmarkEnd w:id="346"/>
      <w:bookmarkEnd w:id="347"/>
      <w:bookmarkEnd w:id="348"/>
      <w:bookmarkEnd w:id="349"/>
      <w:bookmarkEnd w:id="350"/>
      <w:bookmarkEnd w:id="351"/>
    </w:p>
    <w:p w14:paraId="5E166A65">
      <w:pPr>
        <w:pStyle w:val="4"/>
        <w:keepNext w:val="0"/>
        <w:keepLines w:val="0"/>
        <w:snapToGrid w:val="0"/>
        <w:spacing w:before="0" w:after="0" w:line="360" w:lineRule="auto"/>
        <w:rPr>
          <w:rFonts w:ascii="宋体" w:hAnsi="宋体"/>
          <w:b w:val="0"/>
          <w:snapToGrid w:val="0"/>
          <w:color w:val="auto"/>
          <w:sz w:val="24"/>
          <w:szCs w:val="24"/>
          <w:highlight w:val="none"/>
        </w:rPr>
      </w:pPr>
      <w:bookmarkStart w:id="352" w:name="_Toc3436"/>
      <w:bookmarkStart w:id="353" w:name="_Toc430530467"/>
      <w:bookmarkStart w:id="354" w:name="_Toc200513158"/>
      <w:bookmarkStart w:id="355" w:name="_Toc224103349"/>
      <w:bookmarkStart w:id="356" w:name="_Toc287607778"/>
      <w:bookmarkStart w:id="357" w:name="_Toc509218742"/>
      <w:bookmarkStart w:id="358" w:name="_Toc277082584"/>
      <w:bookmarkStart w:id="359" w:name="_Toc287620717"/>
      <w:r>
        <w:rPr>
          <w:rFonts w:ascii="宋体" w:hAnsi="宋体"/>
          <w:b w:val="0"/>
          <w:snapToGrid w:val="0"/>
          <w:color w:val="auto"/>
          <w:sz w:val="24"/>
          <w:szCs w:val="24"/>
          <w:highlight w:val="none"/>
        </w:rPr>
        <w:t>5.1  开标时间和地点</w:t>
      </w:r>
      <w:bookmarkEnd w:id="352"/>
      <w:bookmarkEnd w:id="353"/>
      <w:bookmarkEnd w:id="354"/>
      <w:bookmarkEnd w:id="355"/>
      <w:bookmarkEnd w:id="356"/>
      <w:bookmarkEnd w:id="357"/>
      <w:bookmarkEnd w:id="358"/>
      <w:bookmarkEnd w:id="359"/>
    </w:p>
    <w:p w14:paraId="014AE07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须知前附表第4.2.1项规定的投标截止时间（开标时间）和</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的法定代表人或其委托代理人准时参加。</w:t>
      </w:r>
    </w:p>
    <w:p w14:paraId="68B7827F">
      <w:pPr>
        <w:pStyle w:val="4"/>
        <w:keepNext w:val="0"/>
        <w:keepLines w:val="0"/>
        <w:snapToGrid w:val="0"/>
        <w:spacing w:before="0" w:after="0" w:line="360" w:lineRule="auto"/>
        <w:rPr>
          <w:rFonts w:ascii="宋体" w:hAnsi="宋体"/>
          <w:b w:val="0"/>
          <w:snapToGrid w:val="0"/>
          <w:color w:val="auto"/>
          <w:sz w:val="24"/>
          <w:szCs w:val="24"/>
          <w:highlight w:val="none"/>
        </w:rPr>
      </w:pPr>
      <w:bookmarkStart w:id="360" w:name="_Toc277082585"/>
      <w:bookmarkStart w:id="361" w:name="_Toc430530468"/>
      <w:bookmarkStart w:id="362" w:name="_Toc4512"/>
      <w:bookmarkStart w:id="363" w:name="_Toc224103350"/>
      <w:bookmarkStart w:id="364" w:name="_Toc287607779"/>
      <w:bookmarkStart w:id="365" w:name="_Toc287620718"/>
      <w:bookmarkStart w:id="366" w:name="_Toc200513159"/>
      <w:bookmarkStart w:id="367" w:name="_Toc509218743"/>
      <w:r>
        <w:rPr>
          <w:rFonts w:ascii="宋体" w:hAnsi="宋体"/>
          <w:b w:val="0"/>
          <w:snapToGrid w:val="0"/>
          <w:color w:val="auto"/>
          <w:sz w:val="24"/>
          <w:szCs w:val="24"/>
          <w:highlight w:val="none"/>
        </w:rPr>
        <w:t>5.2  开标程序</w:t>
      </w:r>
      <w:bookmarkEnd w:id="360"/>
      <w:bookmarkEnd w:id="361"/>
      <w:bookmarkEnd w:id="362"/>
      <w:bookmarkEnd w:id="363"/>
      <w:bookmarkEnd w:id="364"/>
      <w:bookmarkEnd w:id="365"/>
      <w:bookmarkEnd w:id="366"/>
      <w:bookmarkEnd w:id="367"/>
    </w:p>
    <w:p w14:paraId="1103B0E2">
      <w:pPr>
        <w:autoSpaceDE w:val="0"/>
        <w:autoSpaceDN w:val="0"/>
        <w:adjustRightInd w:val="0"/>
        <w:snapToGrid w:val="0"/>
        <w:spacing w:line="360" w:lineRule="auto"/>
        <w:ind w:firstLine="420" w:firstLineChars="200"/>
        <w:rPr>
          <w:rFonts w:ascii="宋体" w:hAnsi="宋体"/>
          <w:color w:val="auto"/>
          <w:szCs w:val="21"/>
          <w:highlight w:val="none"/>
        </w:rPr>
      </w:pPr>
      <w:bookmarkStart w:id="368" w:name="_Toc287607780"/>
      <w:bookmarkStart w:id="369" w:name="_Toc224103351"/>
      <w:bookmarkStart w:id="370" w:name="_Toc200513160"/>
      <w:bookmarkStart w:id="371" w:name="_Toc287620719"/>
      <w:bookmarkStart w:id="372" w:name="_Toc277082586"/>
      <w:r>
        <w:rPr>
          <w:rFonts w:ascii="宋体" w:hAnsi="宋体"/>
          <w:color w:val="auto"/>
          <w:szCs w:val="21"/>
          <w:highlight w:val="none"/>
        </w:rPr>
        <w:t>详见</w:t>
      </w:r>
      <w:r>
        <w:rPr>
          <w:rFonts w:hint="eastAsia" w:ascii="宋体" w:hAnsi="宋体"/>
          <w:color w:val="auto"/>
          <w:szCs w:val="21"/>
          <w:highlight w:val="none"/>
          <w:lang w:eastAsia="zh-CN"/>
        </w:rPr>
        <w:t>竞选人</w:t>
      </w:r>
      <w:r>
        <w:rPr>
          <w:rFonts w:ascii="宋体" w:hAnsi="宋体"/>
          <w:color w:val="auto"/>
          <w:szCs w:val="21"/>
          <w:highlight w:val="none"/>
        </w:rPr>
        <w:t>须知前附表第5.2款开标程序。</w:t>
      </w:r>
    </w:p>
    <w:p w14:paraId="39836C4C">
      <w:pPr>
        <w:pStyle w:val="4"/>
        <w:keepNext w:val="0"/>
        <w:keepLines w:val="0"/>
        <w:snapToGrid w:val="0"/>
        <w:spacing w:before="0" w:after="0" w:line="360" w:lineRule="auto"/>
        <w:rPr>
          <w:rFonts w:ascii="宋体" w:hAnsi="宋体"/>
          <w:b w:val="0"/>
          <w:snapToGrid w:val="0"/>
          <w:color w:val="auto"/>
          <w:sz w:val="24"/>
          <w:szCs w:val="24"/>
          <w:highlight w:val="none"/>
        </w:rPr>
      </w:pPr>
      <w:bookmarkStart w:id="373" w:name="_Toc27487"/>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73"/>
    </w:p>
    <w:p w14:paraId="2365D395">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auto"/>
          <w:szCs w:val="21"/>
          <w:highlight w:val="none"/>
        </w:rPr>
        <w:t>。</w:t>
      </w:r>
    </w:p>
    <w:p w14:paraId="2F3B9B79">
      <w:pPr>
        <w:pStyle w:val="3"/>
        <w:keepNext w:val="0"/>
        <w:keepLines w:val="0"/>
        <w:spacing w:before="0" w:after="0" w:line="360" w:lineRule="auto"/>
        <w:rPr>
          <w:rFonts w:ascii="宋体" w:hAnsi="宋体"/>
          <w:b w:val="0"/>
          <w:snapToGrid w:val="0"/>
          <w:color w:val="auto"/>
          <w:highlight w:val="none"/>
        </w:rPr>
      </w:pPr>
      <w:bookmarkStart w:id="374" w:name="_Toc509218744"/>
      <w:bookmarkStart w:id="375" w:name="_Toc22973"/>
      <w:bookmarkStart w:id="376" w:name="_Toc430530469"/>
      <w:r>
        <w:rPr>
          <w:rFonts w:ascii="宋体" w:hAnsi="宋体"/>
          <w:b w:val="0"/>
          <w:snapToGrid w:val="0"/>
          <w:color w:val="auto"/>
          <w:highlight w:val="none"/>
        </w:rPr>
        <w:t>6.  评标</w:t>
      </w:r>
      <w:bookmarkEnd w:id="368"/>
      <w:bookmarkEnd w:id="369"/>
      <w:bookmarkEnd w:id="370"/>
      <w:bookmarkEnd w:id="371"/>
      <w:bookmarkEnd w:id="372"/>
      <w:bookmarkEnd w:id="374"/>
      <w:bookmarkEnd w:id="375"/>
      <w:bookmarkEnd w:id="376"/>
    </w:p>
    <w:p w14:paraId="6C3E1C5E">
      <w:pPr>
        <w:pStyle w:val="4"/>
        <w:keepNext w:val="0"/>
        <w:keepLines w:val="0"/>
        <w:snapToGrid w:val="0"/>
        <w:spacing w:before="0" w:after="0" w:line="360" w:lineRule="auto"/>
        <w:rPr>
          <w:rFonts w:ascii="宋体" w:hAnsi="宋体"/>
          <w:b w:val="0"/>
          <w:snapToGrid w:val="0"/>
          <w:color w:val="auto"/>
          <w:sz w:val="24"/>
          <w:szCs w:val="24"/>
          <w:highlight w:val="none"/>
        </w:rPr>
      </w:pPr>
      <w:bookmarkStart w:id="377" w:name="_Toc287607781"/>
      <w:bookmarkStart w:id="378" w:name="_Toc224103352"/>
      <w:bookmarkStart w:id="379" w:name="_Toc20414"/>
      <w:bookmarkStart w:id="380" w:name="_Toc200513161"/>
      <w:bookmarkStart w:id="381" w:name="_Toc509218745"/>
      <w:bookmarkStart w:id="382" w:name="_Toc287620720"/>
      <w:bookmarkStart w:id="383" w:name="_Toc277082587"/>
      <w:bookmarkStart w:id="384" w:name="_Toc430530470"/>
      <w:r>
        <w:rPr>
          <w:rFonts w:ascii="宋体" w:hAnsi="宋体"/>
          <w:b w:val="0"/>
          <w:snapToGrid w:val="0"/>
          <w:color w:val="auto"/>
          <w:sz w:val="24"/>
          <w:szCs w:val="24"/>
          <w:highlight w:val="none"/>
        </w:rPr>
        <w:t>6.1  评标委员会</w:t>
      </w:r>
      <w:bookmarkEnd w:id="377"/>
      <w:bookmarkEnd w:id="378"/>
      <w:bookmarkEnd w:id="379"/>
      <w:bookmarkEnd w:id="380"/>
      <w:bookmarkEnd w:id="381"/>
      <w:bookmarkEnd w:id="382"/>
      <w:bookmarkEnd w:id="383"/>
      <w:bookmarkEnd w:id="384"/>
    </w:p>
    <w:p w14:paraId="02F7F218">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7AA258B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1B0B5E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主要负责人的近亲属；</w:t>
      </w:r>
    </w:p>
    <w:p w14:paraId="47701E2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233128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关系，可能影响对投标公正评审的；</w:t>
      </w:r>
    </w:p>
    <w:p w14:paraId="4ECE0A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01C7F2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14:paraId="736D5C00">
      <w:pPr>
        <w:pStyle w:val="129"/>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4669D54F">
      <w:pPr>
        <w:pStyle w:val="4"/>
        <w:snapToGrid w:val="0"/>
        <w:spacing w:before="0" w:after="0" w:line="360" w:lineRule="auto"/>
        <w:rPr>
          <w:rFonts w:ascii="宋体" w:hAnsi="宋体"/>
          <w:b w:val="0"/>
          <w:snapToGrid w:val="0"/>
          <w:color w:val="auto"/>
          <w:sz w:val="24"/>
          <w:szCs w:val="24"/>
          <w:highlight w:val="none"/>
        </w:rPr>
      </w:pPr>
      <w:bookmarkStart w:id="385" w:name="_Toc200513162"/>
      <w:bookmarkStart w:id="386" w:name="_Toc277082588"/>
      <w:bookmarkStart w:id="387" w:name="_Toc224103353"/>
      <w:bookmarkStart w:id="388" w:name="_Toc509218746"/>
      <w:bookmarkStart w:id="389" w:name="_Toc20121"/>
      <w:bookmarkStart w:id="390" w:name="_Toc287620721"/>
      <w:bookmarkStart w:id="391" w:name="_Toc287607782"/>
      <w:bookmarkStart w:id="392" w:name="_Toc430530471"/>
      <w:r>
        <w:rPr>
          <w:rFonts w:ascii="宋体" w:hAnsi="宋体"/>
          <w:b w:val="0"/>
          <w:snapToGrid w:val="0"/>
          <w:color w:val="auto"/>
          <w:sz w:val="24"/>
          <w:szCs w:val="24"/>
          <w:highlight w:val="none"/>
        </w:rPr>
        <w:t>6.2  评标原则</w:t>
      </w:r>
      <w:bookmarkEnd w:id="385"/>
      <w:bookmarkEnd w:id="386"/>
      <w:bookmarkEnd w:id="387"/>
      <w:bookmarkEnd w:id="388"/>
      <w:bookmarkEnd w:id="389"/>
      <w:bookmarkEnd w:id="390"/>
      <w:bookmarkEnd w:id="391"/>
      <w:bookmarkEnd w:id="392"/>
    </w:p>
    <w:p w14:paraId="32B1AF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7C91C42A">
      <w:pPr>
        <w:pStyle w:val="4"/>
        <w:snapToGrid w:val="0"/>
        <w:spacing w:before="0" w:after="0" w:line="360" w:lineRule="auto"/>
        <w:rPr>
          <w:rFonts w:ascii="宋体" w:hAnsi="宋体"/>
          <w:b w:val="0"/>
          <w:snapToGrid w:val="0"/>
          <w:color w:val="auto"/>
          <w:sz w:val="24"/>
          <w:szCs w:val="24"/>
          <w:highlight w:val="none"/>
        </w:rPr>
      </w:pPr>
      <w:bookmarkStart w:id="393" w:name="_Toc287620722"/>
      <w:bookmarkStart w:id="394" w:name="_Toc287607783"/>
      <w:bookmarkStart w:id="395" w:name="_Toc277082589"/>
      <w:bookmarkStart w:id="396" w:name="_Toc224103354"/>
      <w:bookmarkStart w:id="397" w:name="_Toc734"/>
      <w:bookmarkStart w:id="398" w:name="_Toc509218747"/>
      <w:bookmarkStart w:id="399" w:name="_Toc200513163"/>
      <w:bookmarkStart w:id="400" w:name="_Toc430530472"/>
      <w:r>
        <w:rPr>
          <w:rFonts w:ascii="宋体" w:hAnsi="宋体"/>
          <w:b w:val="0"/>
          <w:snapToGrid w:val="0"/>
          <w:color w:val="auto"/>
          <w:sz w:val="24"/>
          <w:szCs w:val="24"/>
          <w:highlight w:val="none"/>
        </w:rPr>
        <w:t>6.3  评标</w:t>
      </w:r>
      <w:bookmarkEnd w:id="393"/>
      <w:bookmarkEnd w:id="394"/>
      <w:bookmarkEnd w:id="395"/>
      <w:bookmarkEnd w:id="396"/>
      <w:bookmarkEnd w:id="397"/>
      <w:bookmarkEnd w:id="398"/>
      <w:bookmarkEnd w:id="399"/>
      <w:bookmarkEnd w:id="400"/>
    </w:p>
    <w:p w14:paraId="422C724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进行评审。第三章“评标办法”没有规定的方法、评审因素和标准，不得作为评标依据。</w:t>
      </w:r>
    </w:p>
    <w:p w14:paraId="2855B411">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w:t>
      </w:r>
      <w:r>
        <w:rPr>
          <w:rFonts w:hint="eastAsia"/>
          <w:color w:val="auto"/>
          <w:highlight w:val="none"/>
          <w:lang w:eastAsia="zh-CN"/>
        </w:rPr>
        <w:t>比选人</w:t>
      </w:r>
      <w:r>
        <w:rPr>
          <w:color w:val="auto"/>
          <w:highlight w:val="none"/>
        </w:rPr>
        <w:t>提交书面评标报告和中标候选人名单。评标委员会推荐中标候选人的</w:t>
      </w:r>
      <w:r>
        <w:rPr>
          <w:rFonts w:hint="eastAsia"/>
          <w:color w:val="auto"/>
          <w:highlight w:val="none"/>
        </w:rPr>
        <w:t>数量</w:t>
      </w:r>
      <w:r>
        <w:rPr>
          <w:color w:val="auto"/>
          <w:highlight w:val="none"/>
        </w:rPr>
        <w:t>见</w:t>
      </w:r>
      <w:r>
        <w:rPr>
          <w:rFonts w:hint="eastAsia"/>
          <w:color w:val="auto"/>
          <w:highlight w:val="none"/>
          <w:lang w:eastAsia="zh-CN"/>
        </w:rPr>
        <w:t>竞选人</w:t>
      </w:r>
      <w:r>
        <w:rPr>
          <w:color w:val="auto"/>
          <w:highlight w:val="none"/>
        </w:rPr>
        <w:t>须知前附表。</w:t>
      </w:r>
    </w:p>
    <w:p w14:paraId="4541D036">
      <w:pPr>
        <w:pStyle w:val="3"/>
        <w:spacing w:before="0" w:after="0" w:line="360" w:lineRule="auto"/>
        <w:rPr>
          <w:rFonts w:ascii="宋体" w:hAnsi="宋体"/>
          <w:b w:val="0"/>
          <w:snapToGrid w:val="0"/>
          <w:color w:val="auto"/>
          <w:highlight w:val="none"/>
        </w:rPr>
      </w:pPr>
      <w:bookmarkStart w:id="401" w:name="_Toc224103355"/>
      <w:bookmarkStart w:id="402" w:name="_Toc287620723"/>
      <w:bookmarkStart w:id="403" w:name="_Toc277082590"/>
      <w:bookmarkStart w:id="404" w:name="_Toc509218748"/>
      <w:bookmarkStart w:id="405" w:name="_Toc287607784"/>
      <w:bookmarkStart w:id="406" w:name="_Toc430530473"/>
      <w:bookmarkStart w:id="407" w:name="_Toc200513164"/>
      <w:bookmarkStart w:id="408" w:name="_Toc6463"/>
      <w:r>
        <w:rPr>
          <w:rFonts w:ascii="宋体" w:hAnsi="宋体"/>
          <w:b w:val="0"/>
          <w:snapToGrid w:val="0"/>
          <w:color w:val="auto"/>
          <w:highlight w:val="none"/>
        </w:rPr>
        <w:t>7.  合同授予</w:t>
      </w:r>
      <w:bookmarkEnd w:id="401"/>
      <w:bookmarkEnd w:id="402"/>
      <w:bookmarkEnd w:id="403"/>
      <w:bookmarkEnd w:id="404"/>
      <w:bookmarkEnd w:id="405"/>
      <w:bookmarkEnd w:id="406"/>
      <w:bookmarkEnd w:id="407"/>
      <w:bookmarkEnd w:id="408"/>
    </w:p>
    <w:p w14:paraId="03ABDD4E">
      <w:pPr>
        <w:pStyle w:val="4"/>
        <w:snapToGrid w:val="0"/>
        <w:spacing w:before="0" w:after="0" w:line="360" w:lineRule="auto"/>
        <w:rPr>
          <w:rFonts w:ascii="宋体" w:hAnsi="宋体"/>
          <w:b w:val="0"/>
          <w:snapToGrid w:val="0"/>
          <w:color w:val="auto"/>
          <w:sz w:val="24"/>
          <w:szCs w:val="24"/>
          <w:highlight w:val="none"/>
        </w:rPr>
      </w:pPr>
      <w:bookmarkStart w:id="409" w:name="_Toc277082591"/>
      <w:bookmarkStart w:id="410" w:name="_Toc287620724"/>
      <w:bookmarkStart w:id="411" w:name="_Toc224103356"/>
      <w:bookmarkStart w:id="412" w:name="_Toc287607785"/>
      <w:bookmarkStart w:id="413" w:name="_Toc430530474"/>
      <w:bookmarkStart w:id="414" w:name="_Toc509218749"/>
      <w:bookmarkStart w:id="415" w:name="_Toc200513165"/>
      <w:bookmarkStart w:id="416" w:name="_Toc11135"/>
      <w:r>
        <w:rPr>
          <w:rFonts w:ascii="宋体" w:hAnsi="宋体"/>
          <w:b w:val="0"/>
          <w:snapToGrid w:val="0"/>
          <w:color w:val="auto"/>
          <w:sz w:val="24"/>
          <w:szCs w:val="24"/>
          <w:highlight w:val="none"/>
        </w:rPr>
        <w:t xml:space="preserve">7.1  </w:t>
      </w:r>
      <w:bookmarkEnd w:id="409"/>
      <w:bookmarkEnd w:id="410"/>
      <w:bookmarkEnd w:id="411"/>
      <w:bookmarkEnd w:id="412"/>
      <w:bookmarkEnd w:id="413"/>
      <w:bookmarkEnd w:id="414"/>
      <w:bookmarkEnd w:id="415"/>
      <w:r>
        <w:rPr>
          <w:rFonts w:hint="eastAsia" w:ascii="宋体" w:hAnsi="宋体"/>
          <w:b w:val="0"/>
          <w:snapToGrid w:val="0"/>
          <w:color w:val="auto"/>
          <w:sz w:val="24"/>
          <w:szCs w:val="24"/>
          <w:highlight w:val="none"/>
        </w:rPr>
        <w:t>中标候选人公示</w:t>
      </w:r>
      <w:bookmarkEnd w:id="416"/>
    </w:p>
    <w:p w14:paraId="215BB398">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在收到评标报告之日起3日内，按照</w:t>
      </w:r>
      <w:r>
        <w:rPr>
          <w:rFonts w:hint="eastAsia" w:ascii="宋体" w:hAnsi="宋体"/>
          <w:color w:val="auto"/>
          <w:szCs w:val="21"/>
          <w:highlight w:val="none"/>
          <w:lang w:eastAsia="zh-CN"/>
        </w:rPr>
        <w:t>竞选人</w:t>
      </w:r>
      <w:r>
        <w:rPr>
          <w:rFonts w:ascii="宋体" w:hAnsi="宋体"/>
          <w:color w:val="auto"/>
          <w:szCs w:val="21"/>
          <w:highlight w:val="none"/>
        </w:rPr>
        <w:t>须知前附表规定的公示媒介和期限公示中标候选人，公示期不得少于</w:t>
      </w:r>
      <w:r>
        <w:rPr>
          <w:rFonts w:hint="eastAsia" w:ascii="宋体" w:hAnsi="宋体"/>
          <w:color w:val="auto"/>
          <w:szCs w:val="21"/>
          <w:highlight w:val="none"/>
          <w:lang w:val="en-US" w:eastAsia="zh-CN"/>
        </w:rPr>
        <w:t>1</w:t>
      </w:r>
      <w:r>
        <w:rPr>
          <w:rFonts w:ascii="宋体" w:hAnsi="宋体"/>
          <w:color w:val="auto"/>
          <w:szCs w:val="21"/>
          <w:highlight w:val="none"/>
        </w:rPr>
        <w:t>天。</w:t>
      </w:r>
    </w:p>
    <w:p w14:paraId="0C915F9C">
      <w:pPr>
        <w:pStyle w:val="4"/>
        <w:snapToGrid w:val="0"/>
        <w:spacing w:before="0" w:after="0" w:line="360" w:lineRule="auto"/>
        <w:rPr>
          <w:rFonts w:ascii="宋体" w:hAnsi="宋体"/>
          <w:b w:val="0"/>
          <w:snapToGrid w:val="0"/>
          <w:color w:val="auto"/>
          <w:sz w:val="24"/>
          <w:szCs w:val="24"/>
          <w:highlight w:val="none"/>
        </w:rPr>
      </w:pPr>
      <w:bookmarkStart w:id="417" w:name="_Toc26566"/>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17"/>
    </w:p>
    <w:p w14:paraId="608776F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或者其他利害关系人对评标结果有异议的，应当在中标候选人公示期间提出。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将在收到异议之日起 3 日内作出答复；作出答复前，将暂停招标投标活动。</w:t>
      </w:r>
    </w:p>
    <w:p w14:paraId="3FE21D4D">
      <w:pPr>
        <w:pStyle w:val="4"/>
        <w:snapToGrid w:val="0"/>
        <w:spacing w:before="0" w:after="0" w:line="360" w:lineRule="auto"/>
        <w:rPr>
          <w:rFonts w:ascii="宋体" w:hAnsi="宋体"/>
          <w:b w:val="0"/>
          <w:snapToGrid w:val="0"/>
          <w:color w:val="auto"/>
          <w:sz w:val="24"/>
          <w:szCs w:val="24"/>
          <w:highlight w:val="none"/>
        </w:rPr>
      </w:pPr>
      <w:bookmarkStart w:id="418" w:name="_Toc16461"/>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418"/>
    </w:p>
    <w:p w14:paraId="6711437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认为可能影响其履约能力的，将在发出中标通知书前提请原评标委员会按照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规定的标准和方法进行审查确认。</w:t>
      </w:r>
    </w:p>
    <w:p w14:paraId="20917D8F">
      <w:pPr>
        <w:pStyle w:val="4"/>
        <w:snapToGrid w:val="0"/>
        <w:spacing w:before="0" w:after="0" w:line="360" w:lineRule="auto"/>
        <w:rPr>
          <w:rFonts w:ascii="宋体" w:hAnsi="宋体"/>
          <w:b w:val="0"/>
          <w:snapToGrid w:val="0"/>
          <w:color w:val="auto"/>
          <w:sz w:val="24"/>
          <w:szCs w:val="24"/>
          <w:highlight w:val="none"/>
        </w:rPr>
      </w:pPr>
      <w:bookmarkStart w:id="419" w:name="_Toc6998"/>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19"/>
    </w:p>
    <w:p w14:paraId="67BE3B6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授权的评标委员会依法确定中标人。</w:t>
      </w:r>
    </w:p>
    <w:p w14:paraId="0AA504E7">
      <w:pPr>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国有资金占控股或者主导地位的依法必须进行招标的项目，</w:t>
      </w:r>
      <w:r>
        <w:rPr>
          <w:rFonts w:hint="eastAsia"/>
          <w:color w:val="auto"/>
          <w:highlight w:val="none"/>
          <w:lang w:eastAsia="zh-CN"/>
        </w:rPr>
        <w:t>比选人</w:t>
      </w:r>
      <w:r>
        <w:rPr>
          <w:color w:val="auto"/>
          <w:highlight w:val="none"/>
        </w:rPr>
        <w:t>应当确定排名第一的中标候选人为中标人。排名第一的中标候选人放弃中标、因不可抗力不能履行合同、不按照</w:t>
      </w:r>
      <w:r>
        <w:rPr>
          <w:rFonts w:hint="eastAsia"/>
          <w:color w:val="auto"/>
          <w:highlight w:val="none"/>
          <w:lang w:eastAsia="zh-CN"/>
        </w:rPr>
        <w:t>比选文件</w:t>
      </w:r>
      <w:r>
        <w:rPr>
          <w:color w:val="auto"/>
          <w:highlight w:val="none"/>
        </w:rPr>
        <w:t>要求提交履约保证金，或者被查实存在影响中标结果的违法行为等情形，不符合中标条件的，</w:t>
      </w:r>
      <w:r>
        <w:rPr>
          <w:rFonts w:hint="eastAsia"/>
          <w:color w:val="auto"/>
          <w:highlight w:val="none"/>
          <w:lang w:eastAsia="zh-CN"/>
        </w:rPr>
        <w:t>比选人</w:t>
      </w:r>
      <w:r>
        <w:rPr>
          <w:color w:val="auto"/>
          <w:highlight w:val="none"/>
        </w:rPr>
        <w:t>可以按照评标委员会提出的中标候选人名单排序依次确定其他中标候选人为中标人，也可以重新招标。</w:t>
      </w:r>
    </w:p>
    <w:p w14:paraId="67D0F47D">
      <w:pPr>
        <w:pStyle w:val="4"/>
        <w:snapToGrid w:val="0"/>
        <w:spacing w:before="0" w:after="0" w:line="360" w:lineRule="auto"/>
        <w:rPr>
          <w:rFonts w:ascii="宋体" w:hAnsi="宋体"/>
          <w:b w:val="0"/>
          <w:snapToGrid w:val="0"/>
          <w:color w:val="auto"/>
          <w:sz w:val="24"/>
          <w:szCs w:val="24"/>
          <w:highlight w:val="none"/>
        </w:rPr>
      </w:pPr>
      <w:bookmarkStart w:id="420" w:name="_Toc509218750"/>
      <w:bookmarkStart w:id="421" w:name="_Toc30288"/>
      <w:bookmarkStart w:id="422" w:name="_Toc430530475"/>
      <w:r>
        <w:rPr>
          <w:rFonts w:ascii="宋体" w:hAnsi="宋体"/>
          <w:b w:val="0"/>
          <w:snapToGrid w:val="0"/>
          <w:color w:val="auto"/>
          <w:sz w:val="24"/>
          <w:szCs w:val="24"/>
          <w:highlight w:val="none"/>
        </w:rPr>
        <w:t>7.5  中标通知</w:t>
      </w:r>
      <w:bookmarkEnd w:id="420"/>
      <w:bookmarkEnd w:id="421"/>
      <w:bookmarkEnd w:id="422"/>
    </w:p>
    <w:p w14:paraId="44D57D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在本章第3.3款规定的投标有效期内，且未有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p>
    <w:p w14:paraId="5C86260D">
      <w:pPr>
        <w:pStyle w:val="4"/>
        <w:snapToGrid w:val="0"/>
        <w:spacing w:before="0" w:after="0" w:line="360" w:lineRule="auto"/>
        <w:rPr>
          <w:rFonts w:ascii="宋体" w:hAnsi="宋体"/>
          <w:b w:val="0"/>
          <w:snapToGrid w:val="0"/>
          <w:color w:val="auto"/>
          <w:sz w:val="24"/>
          <w:szCs w:val="24"/>
          <w:highlight w:val="none"/>
        </w:rPr>
      </w:pPr>
      <w:bookmarkStart w:id="423" w:name="_Toc4942"/>
      <w:r>
        <w:rPr>
          <w:rFonts w:ascii="宋体" w:hAnsi="宋体"/>
          <w:b w:val="0"/>
          <w:snapToGrid w:val="0"/>
          <w:color w:val="auto"/>
          <w:sz w:val="24"/>
          <w:szCs w:val="24"/>
          <w:highlight w:val="none"/>
        </w:rPr>
        <w:t xml:space="preserve">7.6  </w:t>
      </w:r>
      <w:r>
        <w:rPr>
          <w:rFonts w:hint="eastAsia" w:ascii="宋体" w:hAnsi="宋体"/>
          <w:b w:val="0"/>
          <w:snapToGrid w:val="0"/>
          <w:color w:val="auto"/>
          <w:sz w:val="24"/>
          <w:szCs w:val="24"/>
          <w:highlight w:val="none"/>
        </w:rPr>
        <w:t>技术成果经济补偿</w:t>
      </w:r>
      <w:bookmarkEnd w:id="423"/>
    </w:p>
    <w:p w14:paraId="3BC3643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规定的未中标人的技术成果进行补偿的，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须知前附表规定的标准给予经济补偿，未中标人在</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中声明放弃技术成果经济补偿费的除外。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将于中标通知书发出后 30 日内向未中标人支付技术成果经济补偿费。</w:t>
      </w:r>
    </w:p>
    <w:p w14:paraId="5384F120">
      <w:pPr>
        <w:pStyle w:val="4"/>
        <w:snapToGrid w:val="0"/>
        <w:spacing w:before="0" w:after="0" w:line="360" w:lineRule="auto"/>
        <w:rPr>
          <w:rFonts w:ascii="宋体" w:hAnsi="宋体"/>
          <w:b w:val="0"/>
          <w:snapToGrid w:val="0"/>
          <w:color w:val="auto"/>
          <w:sz w:val="24"/>
          <w:szCs w:val="24"/>
          <w:highlight w:val="none"/>
        </w:rPr>
      </w:pPr>
      <w:bookmarkStart w:id="424" w:name="_Toc200513167"/>
      <w:bookmarkStart w:id="425" w:name="_Toc287607787"/>
      <w:bookmarkStart w:id="426" w:name="_Toc224103358"/>
      <w:bookmarkStart w:id="427" w:name="_Toc509218751"/>
      <w:bookmarkStart w:id="428" w:name="_Toc277082593"/>
      <w:bookmarkStart w:id="429" w:name="_Toc287620726"/>
      <w:bookmarkStart w:id="430" w:name="_Toc430530476"/>
      <w:bookmarkStart w:id="431" w:name="_Toc7170"/>
      <w:r>
        <w:rPr>
          <w:rFonts w:ascii="宋体" w:hAnsi="宋体"/>
          <w:b w:val="0"/>
          <w:snapToGrid w:val="0"/>
          <w:color w:val="auto"/>
          <w:sz w:val="24"/>
          <w:szCs w:val="24"/>
          <w:highlight w:val="none"/>
        </w:rPr>
        <w:t>7.7  履约担保</w:t>
      </w:r>
      <w:bookmarkEnd w:id="424"/>
      <w:bookmarkEnd w:id="425"/>
      <w:bookmarkEnd w:id="426"/>
      <w:bookmarkEnd w:id="427"/>
      <w:bookmarkEnd w:id="428"/>
      <w:bookmarkEnd w:id="429"/>
      <w:bookmarkEnd w:id="430"/>
      <w:bookmarkEnd w:id="431"/>
    </w:p>
    <w:p w14:paraId="704234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7.7.1  在签订合同前，中标人应按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形式、金额</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第四章“合同条款及格式”规定的或者事先经过</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认可的履约担保格式向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须知前附表另有规定外，履约</w:t>
      </w:r>
      <w:r>
        <w:rPr>
          <w:rFonts w:hint="eastAsia" w:ascii="宋体" w:hAnsi="宋体"/>
          <w:snapToGrid w:val="0"/>
          <w:color w:val="auto"/>
          <w:kern w:val="0"/>
          <w:szCs w:val="21"/>
          <w:highlight w:val="none"/>
        </w:rPr>
        <w:t>担保金额</w:t>
      </w:r>
      <w:r>
        <w:rPr>
          <w:rFonts w:ascii="宋体" w:hAnsi="宋体"/>
          <w:snapToGrid w:val="0"/>
          <w:color w:val="auto"/>
          <w:kern w:val="0"/>
          <w:szCs w:val="21"/>
          <w:highlight w:val="none"/>
        </w:rPr>
        <w:t>为中标合同金额的10%。</w:t>
      </w:r>
    </w:p>
    <w:p w14:paraId="05604DD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7.7.2  中标人不能按本章第7.7.1项要求提交履约担保的，视为放弃中标，其投标保证金不予退还，给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721186D3">
      <w:pPr>
        <w:pStyle w:val="4"/>
        <w:snapToGrid w:val="0"/>
        <w:spacing w:before="0" w:after="0" w:line="360" w:lineRule="auto"/>
        <w:rPr>
          <w:rFonts w:ascii="宋体" w:hAnsi="宋体"/>
          <w:b w:val="0"/>
          <w:snapToGrid w:val="0"/>
          <w:color w:val="auto"/>
          <w:sz w:val="24"/>
          <w:szCs w:val="24"/>
          <w:highlight w:val="none"/>
        </w:rPr>
      </w:pPr>
      <w:bookmarkStart w:id="432" w:name="_Toc277082594"/>
      <w:bookmarkStart w:id="433" w:name="_Toc287607788"/>
      <w:bookmarkStart w:id="434" w:name="_Toc287620727"/>
      <w:bookmarkStart w:id="435" w:name="_Toc430530477"/>
      <w:bookmarkStart w:id="436" w:name="_Toc200513168"/>
      <w:bookmarkStart w:id="437" w:name="_Toc26255"/>
      <w:bookmarkStart w:id="438" w:name="_Toc509218752"/>
      <w:bookmarkStart w:id="439" w:name="_Toc224103359"/>
      <w:r>
        <w:rPr>
          <w:rFonts w:ascii="宋体" w:hAnsi="宋体"/>
          <w:b w:val="0"/>
          <w:snapToGrid w:val="0"/>
          <w:color w:val="auto"/>
          <w:sz w:val="24"/>
          <w:szCs w:val="24"/>
          <w:highlight w:val="none"/>
        </w:rPr>
        <w:t>7.8  签订合同</w:t>
      </w:r>
      <w:bookmarkEnd w:id="432"/>
      <w:bookmarkEnd w:id="433"/>
      <w:bookmarkEnd w:id="434"/>
      <w:bookmarkEnd w:id="435"/>
      <w:bookmarkEnd w:id="436"/>
      <w:bookmarkEnd w:id="437"/>
      <w:bookmarkEnd w:id="438"/>
      <w:bookmarkEnd w:id="439"/>
    </w:p>
    <w:p w14:paraId="50DDD08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7.8.1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要求提交履约担保的，</w:t>
      </w:r>
      <w:r>
        <w:rPr>
          <w:rFonts w:hint="eastAsia" w:ascii="宋体" w:hAnsi="宋体"/>
          <w:snapToGrid w:val="0"/>
          <w:color w:val="auto"/>
          <w:kern w:val="0"/>
          <w:szCs w:val="21"/>
          <w:highlight w:val="none"/>
          <w:lang w:eastAsia="zh-CN"/>
        </w:rPr>
        <w:t>比选人</w:t>
      </w:r>
      <w:r>
        <w:rPr>
          <w:color w:val="auto"/>
          <w:spacing w:val="-3"/>
          <w:highlight w:val="none"/>
        </w:rPr>
        <w:t>有权</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4EB5BA8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14:paraId="239361F5">
      <w:pPr>
        <w:pStyle w:val="3"/>
        <w:spacing w:before="0" w:after="0" w:line="360" w:lineRule="auto"/>
        <w:rPr>
          <w:rFonts w:ascii="宋体" w:hAnsi="宋体"/>
          <w:b w:val="0"/>
          <w:snapToGrid w:val="0"/>
          <w:color w:val="auto"/>
          <w:highlight w:val="none"/>
        </w:rPr>
      </w:pPr>
      <w:bookmarkStart w:id="440" w:name="_Toc224103360"/>
      <w:bookmarkStart w:id="441" w:name="_Toc509218753"/>
      <w:bookmarkStart w:id="442" w:name="_Toc277082595"/>
      <w:bookmarkStart w:id="443" w:name="_Toc200513169"/>
      <w:bookmarkStart w:id="444" w:name="_Toc287620728"/>
      <w:bookmarkStart w:id="445" w:name="_Toc3550"/>
      <w:bookmarkStart w:id="446" w:name="_Toc287607789"/>
      <w:bookmarkStart w:id="447" w:name="_Toc430530478"/>
      <w:r>
        <w:rPr>
          <w:rFonts w:ascii="宋体" w:hAnsi="宋体"/>
          <w:b w:val="0"/>
          <w:snapToGrid w:val="0"/>
          <w:color w:val="auto"/>
          <w:highlight w:val="none"/>
        </w:rPr>
        <w:t>8.  重新招标和不再招标</w:t>
      </w:r>
      <w:bookmarkEnd w:id="440"/>
      <w:bookmarkEnd w:id="441"/>
      <w:bookmarkEnd w:id="442"/>
      <w:bookmarkEnd w:id="443"/>
      <w:bookmarkEnd w:id="444"/>
      <w:bookmarkEnd w:id="445"/>
      <w:bookmarkEnd w:id="446"/>
      <w:bookmarkEnd w:id="447"/>
    </w:p>
    <w:p w14:paraId="4B6AEC29">
      <w:pPr>
        <w:pStyle w:val="4"/>
        <w:snapToGrid w:val="0"/>
        <w:spacing w:before="0" w:after="0" w:line="360" w:lineRule="auto"/>
        <w:rPr>
          <w:rFonts w:ascii="宋体" w:hAnsi="宋体"/>
          <w:b w:val="0"/>
          <w:snapToGrid w:val="0"/>
          <w:color w:val="auto"/>
          <w:sz w:val="24"/>
          <w:szCs w:val="24"/>
          <w:highlight w:val="none"/>
        </w:rPr>
      </w:pPr>
      <w:bookmarkStart w:id="448" w:name="_Toc287620729"/>
      <w:bookmarkStart w:id="449" w:name="_Toc509218754"/>
      <w:bookmarkStart w:id="450" w:name="_Toc287607790"/>
      <w:bookmarkStart w:id="451" w:name="_Toc277082596"/>
      <w:bookmarkStart w:id="452" w:name="_Toc224103361"/>
      <w:bookmarkStart w:id="453" w:name="_Toc200513170"/>
      <w:bookmarkStart w:id="454" w:name="_Toc430530479"/>
      <w:bookmarkStart w:id="455" w:name="_Toc9278"/>
      <w:r>
        <w:rPr>
          <w:rFonts w:ascii="宋体" w:hAnsi="宋体"/>
          <w:b w:val="0"/>
          <w:snapToGrid w:val="0"/>
          <w:color w:val="auto"/>
          <w:sz w:val="24"/>
          <w:szCs w:val="24"/>
          <w:highlight w:val="none"/>
        </w:rPr>
        <w:t>8.1  重新招标</w:t>
      </w:r>
      <w:bookmarkEnd w:id="448"/>
      <w:bookmarkEnd w:id="449"/>
      <w:bookmarkEnd w:id="450"/>
      <w:bookmarkEnd w:id="451"/>
      <w:bookmarkEnd w:id="452"/>
      <w:bookmarkEnd w:id="453"/>
      <w:bookmarkEnd w:id="454"/>
      <w:r>
        <w:rPr>
          <w:rFonts w:hint="eastAsia" w:ascii="宋体" w:hAnsi="宋体"/>
          <w:b w:val="0"/>
          <w:snapToGrid w:val="0"/>
          <w:color w:val="auto"/>
          <w:sz w:val="24"/>
          <w:szCs w:val="24"/>
          <w:highlight w:val="none"/>
        </w:rPr>
        <w:t>的情形</w:t>
      </w:r>
      <w:bookmarkEnd w:id="455"/>
    </w:p>
    <w:p w14:paraId="6C2056A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14:paraId="7310761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少于 3 个的；</w:t>
      </w:r>
    </w:p>
    <w:p w14:paraId="1F2F75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0255720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不足三个的，评标委员会应当否决所有投标。但是有效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r>
        <w:rPr>
          <w:rFonts w:ascii="宋体" w:hAnsi="宋体"/>
          <w:snapToGrid w:val="0"/>
          <w:color w:val="auto"/>
          <w:kern w:val="0"/>
          <w:szCs w:val="21"/>
          <w:highlight w:val="none"/>
        </w:rPr>
        <w:t>；</w:t>
      </w:r>
    </w:p>
    <w:p w14:paraId="7D826B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1CC8F5FB">
      <w:pPr>
        <w:pStyle w:val="4"/>
        <w:snapToGrid w:val="0"/>
        <w:spacing w:before="0" w:after="0" w:line="360" w:lineRule="auto"/>
        <w:rPr>
          <w:rFonts w:ascii="宋体" w:hAnsi="宋体"/>
          <w:b w:val="0"/>
          <w:snapToGrid w:val="0"/>
          <w:color w:val="auto"/>
          <w:sz w:val="24"/>
          <w:szCs w:val="24"/>
          <w:highlight w:val="none"/>
        </w:rPr>
      </w:pPr>
      <w:bookmarkStart w:id="456" w:name="_Toc287607791"/>
      <w:bookmarkStart w:id="457" w:name="_Toc430530480"/>
      <w:bookmarkStart w:id="458" w:name="_Toc287620730"/>
      <w:bookmarkStart w:id="459" w:name="_Toc277082597"/>
      <w:bookmarkStart w:id="460" w:name="_Toc6311"/>
      <w:bookmarkStart w:id="461" w:name="_Toc224103362"/>
      <w:bookmarkStart w:id="462" w:name="_Toc200513171"/>
      <w:bookmarkStart w:id="463" w:name="_Toc509218755"/>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56"/>
      <w:bookmarkEnd w:id="457"/>
      <w:bookmarkEnd w:id="458"/>
      <w:bookmarkEnd w:id="459"/>
      <w:bookmarkEnd w:id="460"/>
      <w:bookmarkEnd w:id="461"/>
      <w:bookmarkEnd w:id="462"/>
      <w:bookmarkEnd w:id="463"/>
    </w:p>
    <w:p w14:paraId="45DE8D2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091BDF8B">
      <w:pPr>
        <w:pStyle w:val="3"/>
        <w:spacing w:before="0" w:after="0" w:line="360" w:lineRule="auto"/>
        <w:rPr>
          <w:rFonts w:ascii="宋体" w:hAnsi="宋体"/>
          <w:b w:val="0"/>
          <w:snapToGrid w:val="0"/>
          <w:color w:val="auto"/>
          <w:highlight w:val="none"/>
        </w:rPr>
      </w:pPr>
      <w:bookmarkStart w:id="464" w:name="_Toc277082598"/>
      <w:bookmarkStart w:id="465" w:name="_Toc16252"/>
      <w:bookmarkStart w:id="466" w:name="_Toc509218756"/>
      <w:bookmarkStart w:id="467" w:name="_Toc287607792"/>
      <w:bookmarkStart w:id="468" w:name="_Toc200513172"/>
      <w:bookmarkStart w:id="469" w:name="_Toc224103363"/>
      <w:bookmarkStart w:id="470" w:name="_Toc287620731"/>
      <w:bookmarkStart w:id="471" w:name="_Toc430530481"/>
      <w:r>
        <w:rPr>
          <w:rFonts w:ascii="宋体" w:hAnsi="宋体"/>
          <w:b w:val="0"/>
          <w:snapToGrid w:val="0"/>
          <w:color w:val="auto"/>
          <w:highlight w:val="none"/>
        </w:rPr>
        <w:t>9.  纪律和监督</w:t>
      </w:r>
      <w:bookmarkEnd w:id="464"/>
      <w:bookmarkEnd w:id="465"/>
      <w:bookmarkEnd w:id="466"/>
      <w:bookmarkEnd w:id="467"/>
      <w:bookmarkEnd w:id="468"/>
      <w:bookmarkEnd w:id="469"/>
      <w:bookmarkEnd w:id="470"/>
      <w:bookmarkEnd w:id="471"/>
    </w:p>
    <w:p w14:paraId="14584F3A">
      <w:pPr>
        <w:pStyle w:val="4"/>
        <w:snapToGrid w:val="0"/>
        <w:spacing w:before="0" w:after="0" w:line="360" w:lineRule="auto"/>
        <w:rPr>
          <w:rFonts w:ascii="宋体" w:hAnsi="宋体"/>
          <w:b w:val="0"/>
          <w:snapToGrid w:val="0"/>
          <w:color w:val="auto"/>
          <w:sz w:val="24"/>
          <w:szCs w:val="24"/>
          <w:highlight w:val="none"/>
        </w:rPr>
      </w:pPr>
      <w:bookmarkStart w:id="472" w:name="_Toc224103364"/>
      <w:bookmarkStart w:id="473" w:name="_Toc200513173"/>
      <w:bookmarkStart w:id="474" w:name="_Toc277082599"/>
      <w:bookmarkStart w:id="475" w:name="_Toc287620732"/>
      <w:bookmarkStart w:id="476" w:name="_Toc32448"/>
      <w:bookmarkStart w:id="477" w:name="_Toc509218757"/>
      <w:bookmarkStart w:id="478" w:name="_Toc287607793"/>
      <w:bookmarkStart w:id="479" w:name="_Toc430530482"/>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72"/>
      <w:bookmarkEnd w:id="473"/>
      <w:bookmarkEnd w:id="474"/>
      <w:bookmarkEnd w:id="475"/>
      <w:bookmarkEnd w:id="476"/>
      <w:bookmarkEnd w:id="477"/>
      <w:bookmarkEnd w:id="478"/>
      <w:bookmarkEnd w:id="479"/>
    </w:p>
    <w:p w14:paraId="0890365A">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不得泄露招标投标活动中应当保密的情况和资料，不得与</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w:t>
      </w:r>
      <w:r>
        <w:rPr>
          <w:rFonts w:ascii="宋体" w:hAnsi="宋体"/>
          <w:color w:val="auto"/>
          <w:highlight w:val="none"/>
        </w:rPr>
        <w:t>串通投标。</w:t>
      </w:r>
    </w:p>
    <w:p w14:paraId="6D5058A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w:t>
      </w:r>
      <w:r>
        <w:rPr>
          <w:rFonts w:ascii="宋体" w:hAnsi="宋体"/>
          <w:color w:val="auto"/>
          <w:highlight w:val="none"/>
        </w:rPr>
        <w:t>串通投标：</w:t>
      </w:r>
    </w:p>
    <w:p w14:paraId="3AFCCB5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w:t>
      </w:r>
      <w:r>
        <w:rPr>
          <w:rFonts w:hint="eastAsia" w:ascii="宋体" w:hAnsi="宋体"/>
          <w:color w:val="auto"/>
          <w:highlight w:val="none"/>
          <w:lang w:eastAsia="zh-CN"/>
        </w:rPr>
        <w:t>竞选文件</w:t>
      </w:r>
      <w:r>
        <w:rPr>
          <w:rFonts w:ascii="宋体" w:hAnsi="宋体"/>
          <w:color w:val="auto"/>
          <w:highlight w:val="none"/>
        </w:rPr>
        <w:t>并将有关信息泄露给其他</w:t>
      </w:r>
      <w:r>
        <w:rPr>
          <w:rFonts w:hint="eastAsia" w:ascii="宋体" w:hAnsi="宋体"/>
          <w:color w:val="auto"/>
          <w:highlight w:val="none"/>
          <w:lang w:eastAsia="zh-CN"/>
        </w:rPr>
        <w:t>竞选人</w:t>
      </w:r>
      <w:r>
        <w:rPr>
          <w:rFonts w:hint="eastAsia" w:ascii="宋体" w:hAnsi="宋体"/>
          <w:color w:val="auto"/>
          <w:highlight w:val="none"/>
        </w:rPr>
        <w:t>；</w:t>
      </w:r>
    </w:p>
    <w:p w14:paraId="594AF70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w:t>
      </w:r>
      <w:r>
        <w:rPr>
          <w:rFonts w:hint="eastAsia" w:ascii="宋体" w:hAnsi="宋体"/>
          <w:color w:val="auto"/>
          <w:highlight w:val="none"/>
          <w:lang w:eastAsia="zh-CN"/>
        </w:rPr>
        <w:t>竞选人</w:t>
      </w:r>
      <w:r>
        <w:rPr>
          <w:rFonts w:ascii="宋体" w:hAnsi="宋体"/>
          <w:color w:val="auto"/>
          <w:highlight w:val="none"/>
        </w:rPr>
        <w:t>泄露标底、评标委员会成员等信息；</w:t>
      </w:r>
    </w:p>
    <w:p w14:paraId="19514DC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竞选人</w:t>
      </w:r>
      <w:r>
        <w:rPr>
          <w:rFonts w:ascii="宋体" w:hAnsi="宋体"/>
          <w:color w:val="auto"/>
          <w:highlight w:val="none"/>
        </w:rPr>
        <w:t>压低或者抬高投标报价；</w:t>
      </w:r>
    </w:p>
    <w:p w14:paraId="4D80ED11">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w:t>
      </w:r>
      <w:r>
        <w:rPr>
          <w:rFonts w:hint="eastAsia" w:ascii="宋体" w:hAnsi="宋体"/>
          <w:color w:val="auto"/>
          <w:highlight w:val="none"/>
          <w:lang w:eastAsia="zh-CN"/>
        </w:rPr>
        <w:t>竞选人</w:t>
      </w:r>
      <w:r>
        <w:rPr>
          <w:rFonts w:ascii="宋体" w:hAnsi="宋体"/>
          <w:color w:val="auto"/>
          <w:highlight w:val="none"/>
        </w:rPr>
        <w:t>撤换、修改</w:t>
      </w:r>
      <w:r>
        <w:rPr>
          <w:rFonts w:hint="eastAsia" w:ascii="宋体" w:hAnsi="宋体"/>
          <w:color w:val="auto"/>
          <w:highlight w:val="none"/>
          <w:lang w:eastAsia="zh-CN"/>
        </w:rPr>
        <w:t>竞选文件</w:t>
      </w:r>
      <w:r>
        <w:rPr>
          <w:rFonts w:ascii="宋体" w:hAnsi="宋体"/>
          <w:color w:val="auto"/>
          <w:highlight w:val="none"/>
        </w:rPr>
        <w:t>；</w:t>
      </w:r>
    </w:p>
    <w:p w14:paraId="31000CC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竞选人</w:t>
      </w:r>
      <w:r>
        <w:rPr>
          <w:rFonts w:ascii="宋体" w:hAnsi="宋体"/>
          <w:color w:val="auto"/>
          <w:highlight w:val="none"/>
        </w:rPr>
        <w:t>为特定</w:t>
      </w:r>
      <w:r>
        <w:rPr>
          <w:rFonts w:hint="eastAsia" w:ascii="宋体" w:hAnsi="宋体"/>
          <w:color w:val="auto"/>
          <w:highlight w:val="none"/>
          <w:lang w:eastAsia="zh-CN"/>
        </w:rPr>
        <w:t>竞选人</w:t>
      </w:r>
      <w:r>
        <w:rPr>
          <w:rFonts w:ascii="宋体" w:hAnsi="宋体"/>
          <w:color w:val="auto"/>
          <w:highlight w:val="none"/>
        </w:rPr>
        <w:t>中标提供方便；</w:t>
      </w:r>
    </w:p>
    <w:p w14:paraId="5800FA7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w:t>
      </w:r>
      <w:r>
        <w:rPr>
          <w:rFonts w:ascii="宋体" w:hAnsi="宋体"/>
          <w:color w:val="auto"/>
          <w:highlight w:val="none"/>
        </w:rPr>
        <w:t>为谋求特定</w:t>
      </w:r>
      <w:r>
        <w:rPr>
          <w:rFonts w:hint="eastAsia" w:ascii="宋体" w:hAnsi="宋体"/>
          <w:color w:val="auto"/>
          <w:highlight w:val="none"/>
          <w:lang w:eastAsia="zh-CN"/>
        </w:rPr>
        <w:t>竞选人</w:t>
      </w:r>
      <w:r>
        <w:rPr>
          <w:rFonts w:ascii="宋体" w:hAnsi="宋体"/>
          <w:color w:val="auto"/>
          <w:highlight w:val="none"/>
        </w:rPr>
        <w:t>中标而采取的其他串通行为。</w:t>
      </w:r>
    </w:p>
    <w:p w14:paraId="3F87F1C2">
      <w:pPr>
        <w:pStyle w:val="4"/>
        <w:snapToGrid w:val="0"/>
        <w:spacing w:before="0" w:after="0" w:line="360" w:lineRule="auto"/>
        <w:ind w:firstLine="480" w:firstLineChars="200"/>
        <w:rPr>
          <w:rFonts w:ascii="宋体" w:hAnsi="宋体"/>
          <w:b w:val="0"/>
          <w:snapToGrid w:val="0"/>
          <w:color w:val="auto"/>
          <w:sz w:val="24"/>
          <w:szCs w:val="24"/>
          <w:highlight w:val="none"/>
        </w:rPr>
      </w:pPr>
      <w:bookmarkStart w:id="480" w:name="_Toc509218758"/>
      <w:bookmarkStart w:id="481" w:name="_Toc224103365"/>
      <w:bookmarkStart w:id="482" w:name="_Toc9692"/>
      <w:bookmarkStart w:id="483" w:name="_Toc200513174"/>
      <w:bookmarkStart w:id="484" w:name="_Toc287620733"/>
      <w:bookmarkStart w:id="485" w:name="_Toc430530483"/>
      <w:bookmarkStart w:id="486" w:name="_Toc287607794"/>
      <w:bookmarkStart w:id="487" w:name="_Toc277082600"/>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的纪律要求</w:t>
      </w:r>
      <w:bookmarkEnd w:id="480"/>
      <w:bookmarkEnd w:id="481"/>
      <w:bookmarkEnd w:id="482"/>
      <w:bookmarkEnd w:id="483"/>
      <w:bookmarkEnd w:id="484"/>
      <w:bookmarkEnd w:id="485"/>
      <w:bookmarkEnd w:id="486"/>
      <w:bookmarkEnd w:id="487"/>
    </w:p>
    <w:p w14:paraId="5DD41C2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不得以任何方式干扰、影响评标工作。</w:t>
      </w:r>
    </w:p>
    <w:p w14:paraId="59F3D2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竞选人</w:t>
      </w:r>
      <w:r>
        <w:rPr>
          <w:rFonts w:ascii="宋体" w:hAnsi="宋体"/>
          <w:color w:val="auto"/>
          <w:highlight w:val="none"/>
        </w:rPr>
        <w:t>相互串通投标：</w:t>
      </w:r>
    </w:p>
    <w:p w14:paraId="1A7E436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竞选人</w:t>
      </w:r>
      <w:r>
        <w:rPr>
          <w:rFonts w:ascii="宋体" w:hAnsi="宋体"/>
          <w:color w:val="auto"/>
          <w:highlight w:val="none"/>
        </w:rPr>
        <w:t>之间协商投标报价等</w:t>
      </w:r>
      <w:r>
        <w:rPr>
          <w:rFonts w:hint="eastAsia" w:ascii="宋体" w:hAnsi="宋体"/>
          <w:color w:val="auto"/>
          <w:highlight w:val="none"/>
          <w:lang w:eastAsia="zh-CN"/>
        </w:rPr>
        <w:t>竞选文件</w:t>
      </w:r>
      <w:r>
        <w:rPr>
          <w:rFonts w:ascii="宋体" w:hAnsi="宋体"/>
          <w:color w:val="auto"/>
          <w:highlight w:val="none"/>
        </w:rPr>
        <w:t>的实质性内容；</w:t>
      </w:r>
    </w:p>
    <w:p w14:paraId="177C455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竞选人</w:t>
      </w:r>
      <w:r>
        <w:rPr>
          <w:rFonts w:ascii="宋体" w:hAnsi="宋体"/>
          <w:color w:val="auto"/>
          <w:highlight w:val="none"/>
        </w:rPr>
        <w:t>之间约定中标人；</w:t>
      </w:r>
    </w:p>
    <w:p w14:paraId="63E3414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竞选人</w:t>
      </w:r>
      <w:r>
        <w:rPr>
          <w:rFonts w:ascii="宋体" w:hAnsi="宋体"/>
          <w:color w:val="auto"/>
          <w:highlight w:val="none"/>
        </w:rPr>
        <w:t>之间约定部分</w:t>
      </w:r>
      <w:r>
        <w:rPr>
          <w:rFonts w:hint="eastAsia" w:ascii="宋体" w:hAnsi="宋体"/>
          <w:color w:val="auto"/>
          <w:highlight w:val="none"/>
          <w:lang w:eastAsia="zh-CN"/>
        </w:rPr>
        <w:t>竞选人</w:t>
      </w:r>
      <w:r>
        <w:rPr>
          <w:rFonts w:ascii="宋体" w:hAnsi="宋体"/>
          <w:color w:val="auto"/>
          <w:highlight w:val="none"/>
        </w:rPr>
        <w:t>放弃投标或者中标；</w:t>
      </w:r>
    </w:p>
    <w:p w14:paraId="58FF7E8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竞选人</w:t>
      </w:r>
      <w:r>
        <w:rPr>
          <w:rFonts w:ascii="宋体" w:hAnsi="宋体"/>
          <w:color w:val="auto"/>
          <w:highlight w:val="none"/>
        </w:rPr>
        <w:t>按照该组织要求协同投标；</w:t>
      </w:r>
    </w:p>
    <w:p w14:paraId="5EA6362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竞选人</w:t>
      </w:r>
      <w:r>
        <w:rPr>
          <w:rFonts w:ascii="宋体" w:hAnsi="宋体"/>
          <w:color w:val="auto"/>
          <w:highlight w:val="none"/>
        </w:rPr>
        <w:t>之间为谋取中标或者排斥特定</w:t>
      </w:r>
      <w:r>
        <w:rPr>
          <w:rFonts w:hint="eastAsia" w:ascii="宋体" w:hAnsi="宋体"/>
          <w:color w:val="auto"/>
          <w:highlight w:val="none"/>
          <w:lang w:eastAsia="zh-CN"/>
        </w:rPr>
        <w:t>竞选人</w:t>
      </w:r>
      <w:r>
        <w:rPr>
          <w:rFonts w:ascii="宋体" w:hAnsi="宋体"/>
          <w:color w:val="auto"/>
          <w:highlight w:val="none"/>
        </w:rPr>
        <w:t>而采取的其他联合行动。</w:t>
      </w:r>
    </w:p>
    <w:p w14:paraId="54FFD34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竞选人</w:t>
      </w:r>
      <w:r>
        <w:rPr>
          <w:rFonts w:ascii="宋体" w:hAnsi="宋体"/>
          <w:color w:val="auto"/>
          <w:highlight w:val="none"/>
        </w:rPr>
        <w:t>相互串通投标：</w:t>
      </w:r>
    </w:p>
    <w:p w14:paraId="6BE56ED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由同一单位或者个人编制；</w:t>
      </w:r>
    </w:p>
    <w:p w14:paraId="63971C3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竞选人</w:t>
      </w:r>
      <w:r>
        <w:rPr>
          <w:rFonts w:ascii="宋体" w:hAnsi="宋体"/>
          <w:color w:val="auto"/>
          <w:highlight w:val="none"/>
        </w:rPr>
        <w:t>委托同一单位或者个人办理投标事宜；</w:t>
      </w:r>
    </w:p>
    <w:p w14:paraId="537ECB8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载明的项目管理成员为同一人；</w:t>
      </w:r>
    </w:p>
    <w:p w14:paraId="09E0965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异常一致或者投标报价呈规律性差异；</w:t>
      </w:r>
    </w:p>
    <w:p w14:paraId="7CC2748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相互混装；</w:t>
      </w:r>
    </w:p>
    <w:p w14:paraId="02269BE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竞选人</w:t>
      </w:r>
      <w:r>
        <w:rPr>
          <w:rFonts w:ascii="宋体" w:hAnsi="宋体"/>
          <w:color w:val="auto"/>
          <w:highlight w:val="none"/>
        </w:rPr>
        <w:t>的投标保证金从同一单位或者个人的账户转出</w:t>
      </w:r>
      <w:r>
        <w:rPr>
          <w:rFonts w:hint="eastAsia" w:ascii="宋体" w:hAnsi="宋体"/>
          <w:color w:val="auto"/>
          <w:highlight w:val="none"/>
        </w:rPr>
        <w:t>；</w:t>
      </w:r>
    </w:p>
    <w:p w14:paraId="6ED8D32C">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（7）不同</w:t>
      </w:r>
      <w:r>
        <w:rPr>
          <w:rFonts w:hint="eastAsia" w:ascii="宋体" w:hAnsi="宋体"/>
          <w:color w:val="auto"/>
          <w:highlight w:val="none"/>
          <w:lang w:eastAsia="zh-CN"/>
        </w:rPr>
        <w:t>竞选人</w:t>
      </w:r>
      <w:r>
        <w:rPr>
          <w:rFonts w:hint="eastAsia" w:ascii="宋体" w:hAnsi="宋体"/>
          <w:color w:val="auto"/>
          <w:highlight w:val="none"/>
        </w:rPr>
        <w:t>的电子</w:t>
      </w:r>
      <w:r>
        <w:rPr>
          <w:rFonts w:hint="eastAsia" w:ascii="宋体" w:hAnsi="宋体"/>
          <w:color w:val="auto"/>
          <w:highlight w:val="none"/>
          <w:lang w:eastAsia="zh-CN"/>
        </w:rPr>
        <w:t>竞选文件</w:t>
      </w:r>
      <w:r>
        <w:rPr>
          <w:rFonts w:hint="eastAsia" w:ascii="宋体" w:hAnsi="宋体"/>
          <w:color w:val="auto"/>
          <w:highlight w:val="none"/>
        </w:rPr>
        <w:t>MAC地址相同。</w:t>
      </w:r>
    </w:p>
    <w:p w14:paraId="18EFF59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10B9A28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竞选人</w:t>
      </w:r>
      <w:r>
        <w:rPr>
          <w:rFonts w:ascii="宋体" w:hAnsi="宋体"/>
          <w:color w:val="auto"/>
          <w:highlight w:val="none"/>
        </w:rPr>
        <w:t>有下列情形之一的，属于以其他方式弄虚作假的行为：</w:t>
      </w:r>
    </w:p>
    <w:p w14:paraId="2344C3C9">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5518582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0C2A5A7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5CA1F95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4D0F530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4182986B">
      <w:pPr>
        <w:pStyle w:val="4"/>
        <w:snapToGrid w:val="0"/>
        <w:spacing w:before="0" w:after="0" w:line="360" w:lineRule="auto"/>
        <w:rPr>
          <w:rFonts w:ascii="宋体" w:hAnsi="宋体"/>
          <w:b w:val="0"/>
          <w:snapToGrid w:val="0"/>
          <w:color w:val="auto"/>
          <w:sz w:val="24"/>
          <w:szCs w:val="24"/>
          <w:highlight w:val="none"/>
        </w:rPr>
      </w:pPr>
      <w:bookmarkStart w:id="488" w:name="_Toc509218759"/>
      <w:bookmarkStart w:id="489" w:name="_Toc430530484"/>
      <w:bookmarkStart w:id="490" w:name="_Toc287607795"/>
      <w:bookmarkStart w:id="491" w:name="_Toc287620734"/>
      <w:bookmarkStart w:id="492" w:name="_Toc277082601"/>
      <w:bookmarkStart w:id="493" w:name="_Toc224103366"/>
      <w:bookmarkStart w:id="494" w:name="_Toc200513175"/>
      <w:bookmarkStart w:id="495" w:name="_Toc16702"/>
      <w:r>
        <w:rPr>
          <w:rFonts w:ascii="宋体" w:hAnsi="宋体"/>
          <w:b w:val="0"/>
          <w:snapToGrid w:val="0"/>
          <w:color w:val="auto"/>
          <w:sz w:val="24"/>
          <w:szCs w:val="24"/>
          <w:highlight w:val="none"/>
        </w:rPr>
        <w:t>9.3  对评标委员会成员的纪律要求</w:t>
      </w:r>
      <w:bookmarkEnd w:id="488"/>
      <w:bookmarkEnd w:id="489"/>
      <w:bookmarkEnd w:id="490"/>
      <w:bookmarkEnd w:id="491"/>
      <w:bookmarkEnd w:id="492"/>
      <w:bookmarkEnd w:id="493"/>
      <w:bookmarkEnd w:id="494"/>
      <w:bookmarkEnd w:id="495"/>
    </w:p>
    <w:p w14:paraId="6162B4E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p>
    <w:p w14:paraId="038DFE36">
      <w:pPr>
        <w:pStyle w:val="4"/>
        <w:snapToGrid w:val="0"/>
        <w:spacing w:before="0" w:after="0" w:line="360" w:lineRule="auto"/>
        <w:rPr>
          <w:rFonts w:ascii="宋体" w:hAnsi="宋体"/>
          <w:b w:val="0"/>
          <w:snapToGrid w:val="0"/>
          <w:color w:val="auto"/>
          <w:sz w:val="24"/>
          <w:szCs w:val="24"/>
          <w:highlight w:val="none"/>
        </w:rPr>
      </w:pPr>
      <w:bookmarkStart w:id="496" w:name="_Toc509218760"/>
      <w:bookmarkStart w:id="497" w:name="_Toc287620735"/>
      <w:bookmarkStart w:id="498" w:name="_Toc16041"/>
      <w:bookmarkStart w:id="499" w:name="_Toc224103367"/>
      <w:bookmarkStart w:id="500" w:name="_Toc200513176"/>
      <w:bookmarkStart w:id="501" w:name="_Toc277082602"/>
      <w:bookmarkStart w:id="502" w:name="_Toc430530485"/>
      <w:bookmarkStart w:id="503" w:name="_Toc287607796"/>
      <w:r>
        <w:rPr>
          <w:rFonts w:ascii="宋体" w:hAnsi="宋体"/>
          <w:b w:val="0"/>
          <w:snapToGrid w:val="0"/>
          <w:color w:val="auto"/>
          <w:sz w:val="24"/>
          <w:szCs w:val="24"/>
          <w:highlight w:val="none"/>
        </w:rPr>
        <w:t>9.4  对与评标活动有关的工作人员的纪律要求</w:t>
      </w:r>
      <w:bookmarkEnd w:id="496"/>
      <w:bookmarkEnd w:id="497"/>
      <w:bookmarkEnd w:id="498"/>
      <w:bookmarkEnd w:id="499"/>
      <w:bookmarkEnd w:id="500"/>
      <w:bookmarkEnd w:id="501"/>
      <w:bookmarkEnd w:id="502"/>
      <w:bookmarkEnd w:id="503"/>
    </w:p>
    <w:p w14:paraId="1DE690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56EDBE23">
      <w:pPr>
        <w:pStyle w:val="4"/>
        <w:snapToGrid w:val="0"/>
        <w:spacing w:before="0" w:after="0" w:line="360" w:lineRule="auto"/>
        <w:rPr>
          <w:rFonts w:ascii="宋体" w:hAnsi="宋体"/>
          <w:b w:val="0"/>
          <w:snapToGrid w:val="0"/>
          <w:color w:val="auto"/>
          <w:sz w:val="24"/>
          <w:szCs w:val="24"/>
          <w:highlight w:val="none"/>
        </w:rPr>
      </w:pPr>
      <w:bookmarkStart w:id="504" w:name="_Toc430530486"/>
      <w:bookmarkStart w:id="505" w:name="_Toc287620736"/>
      <w:bookmarkStart w:id="506" w:name="_Toc277082603"/>
      <w:bookmarkStart w:id="507" w:name="_Toc509218761"/>
      <w:bookmarkStart w:id="508" w:name="_Toc4771"/>
      <w:bookmarkStart w:id="509" w:name="_Toc200513177"/>
      <w:bookmarkStart w:id="510" w:name="_Toc224103368"/>
      <w:bookmarkStart w:id="511" w:name="_Toc287607797"/>
      <w:r>
        <w:rPr>
          <w:rFonts w:ascii="宋体" w:hAnsi="宋体"/>
          <w:b w:val="0"/>
          <w:snapToGrid w:val="0"/>
          <w:color w:val="auto"/>
          <w:sz w:val="24"/>
          <w:szCs w:val="24"/>
          <w:highlight w:val="none"/>
        </w:rPr>
        <w:t>9.5  投诉</w:t>
      </w:r>
      <w:bookmarkEnd w:id="504"/>
      <w:bookmarkEnd w:id="505"/>
      <w:bookmarkEnd w:id="506"/>
      <w:bookmarkEnd w:id="507"/>
      <w:bookmarkEnd w:id="508"/>
      <w:bookmarkEnd w:id="509"/>
      <w:bookmarkEnd w:id="510"/>
      <w:bookmarkEnd w:id="511"/>
    </w:p>
    <w:p w14:paraId="7A04BA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563BA1DD">
      <w:pPr>
        <w:pStyle w:val="3"/>
        <w:spacing w:before="0" w:after="0" w:line="360" w:lineRule="auto"/>
        <w:rPr>
          <w:rFonts w:ascii="宋体" w:hAnsi="宋体"/>
          <w:b w:val="0"/>
          <w:snapToGrid w:val="0"/>
          <w:color w:val="auto"/>
          <w:highlight w:val="none"/>
        </w:rPr>
      </w:pPr>
      <w:bookmarkStart w:id="512" w:name="_Toc430530487"/>
      <w:bookmarkStart w:id="513" w:name="_Toc277082604"/>
      <w:bookmarkStart w:id="514" w:name="_Toc200513178"/>
      <w:bookmarkStart w:id="515" w:name="_Toc224103369"/>
      <w:bookmarkStart w:id="516" w:name="_Toc287620737"/>
      <w:bookmarkStart w:id="517" w:name="_Toc16696"/>
      <w:bookmarkStart w:id="518" w:name="_Toc287607798"/>
      <w:bookmarkStart w:id="519" w:name="_Toc509218762"/>
      <w:r>
        <w:rPr>
          <w:rFonts w:ascii="宋体" w:hAnsi="宋体"/>
          <w:b w:val="0"/>
          <w:snapToGrid w:val="0"/>
          <w:color w:val="auto"/>
          <w:highlight w:val="none"/>
        </w:rPr>
        <w:t>10. 需要补充的其他内容</w:t>
      </w:r>
      <w:bookmarkEnd w:id="512"/>
      <w:bookmarkEnd w:id="513"/>
      <w:bookmarkEnd w:id="514"/>
      <w:bookmarkEnd w:id="515"/>
      <w:bookmarkEnd w:id="516"/>
      <w:bookmarkEnd w:id="517"/>
      <w:bookmarkEnd w:id="518"/>
      <w:bookmarkEnd w:id="519"/>
    </w:p>
    <w:p w14:paraId="1536378A">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44C264D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075C7D6E">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1FBC134D">
      <w:pPr>
        <w:autoSpaceDE w:val="0"/>
        <w:autoSpaceDN w:val="0"/>
        <w:adjustRightInd w:val="0"/>
        <w:snapToGrid w:val="0"/>
        <w:spacing w:line="360" w:lineRule="auto"/>
        <w:jc w:val="left"/>
        <w:rPr>
          <w:rFonts w:ascii="宋体" w:hAnsi="宋体"/>
          <w:b/>
          <w:snapToGrid w:val="0"/>
          <w:color w:val="auto"/>
          <w:kern w:val="0"/>
          <w:highlight w:val="none"/>
        </w:rPr>
      </w:pPr>
    </w:p>
    <w:p w14:paraId="5463FD8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14:paraId="47DCA579">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684"/>
        <w:gridCol w:w="2126"/>
        <w:gridCol w:w="1577"/>
        <w:gridCol w:w="1285"/>
        <w:gridCol w:w="947"/>
        <w:gridCol w:w="1311"/>
      </w:tblGrid>
      <w:tr w14:paraId="2BCD8C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38E7ED84">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14:paraId="5AD0C520">
            <w:pPr>
              <w:autoSpaceDE w:val="0"/>
              <w:autoSpaceDN w:val="0"/>
              <w:adjustRightInd w:val="0"/>
              <w:snapToGrid w:val="0"/>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竞选人</w:t>
            </w:r>
          </w:p>
        </w:tc>
        <w:tc>
          <w:tcPr>
            <w:tcW w:w="1134" w:type="dxa"/>
            <w:vAlign w:val="center"/>
          </w:tcPr>
          <w:p w14:paraId="763CD434">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解密情况</w:t>
            </w:r>
          </w:p>
        </w:tc>
        <w:tc>
          <w:tcPr>
            <w:tcW w:w="1684" w:type="dxa"/>
            <w:tcBorders>
              <w:right w:val="single" w:color="auto" w:sz="4" w:space="0"/>
            </w:tcBorders>
            <w:vAlign w:val="center"/>
          </w:tcPr>
          <w:p w14:paraId="62E3465D">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投标总报价</w:t>
            </w:r>
            <w:r>
              <w:rPr>
                <w:rFonts w:hint="eastAsia" w:ascii="宋体" w:hAnsi="宋体"/>
                <w:snapToGrid w:val="0"/>
                <w:color w:val="auto"/>
                <w:kern w:val="0"/>
                <w:szCs w:val="21"/>
                <w:highlight w:val="none"/>
              </w:rPr>
              <w:t>/暂定设计费总报价</w:t>
            </w:r>
          </w:p>
        </w:tc>
        <w:tc>
          <w:tcPr>
            <w:tcW w:w="2126" w:type="dxa"/>
            <w:tcBorders>
              <w:left w:val="single" w:color="auto" w:sz="4" w:space="0"/>
            </w:tcBorders>
            <w:vAlign w:val="center"/>
          </w:tcPr>
          <w:p w14:paraId="715CF72B">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□固定费率/固定单价</w:t>
            </w:r>
          </w:p>
        </w:tc>
        <w:tc>
          <w:tcPr>
            <w:tcW w:w="1577" w:type="dxa"/>
            <w:vAlign w:val="center"/>
          </w:tcPr>
          <w:p w14:paraId="5BB92DEE">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设计服务期限</w:t>
            </w:r>
          </w:p>
        </w:tc>
        <w:tc>
          <w:tcPr>
            <w:tcW w:w="1285" w:type="dxa"/>
            <w:vAlign w:val="center"/>
          </w:tcPr>
          <w:p w14:paraId="4CA89576">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项目负责人</w:t>
            </w:r>
          </w:p>
        </w:tc>
        <w:tc>
          <w:tcPr>
            <w:tcW w:w="947" w:type="dxa"/>
            <w:vAlign w:val="center"/>
          </w:tcPr>
          <w:p w14:paraId="77DA5D96">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14:paraId="5E799970">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代表签名</w:t>
            </w:r>
          </w:p>
        </w:tc>
      </w:tr>
      <w:tr w14:paraId="4ADBC5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391FEE7">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72B4C99A">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EA3BE18">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1E9DB75C">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2286790D">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403E6244">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713D49D3">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2B5A75C8">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766B4A41">
            <w:pPr>
              <w:autoSpaceDE w:val="0"/>
              <w:autoSpaceDN w:val="0"/>
              <w:adjustRightInd w:val="0"/>
              <w:snapToGrid w:val="0"/>
              <w:jc w:val="left"/>
              <w:rPr>
                <w:rFonts w:ascii="宋体" w:hAnsi="宋体"/>
                <w:snapToGrid w:val="0"/>
                <w:color w:val="auto"/>
                <w:kern w:val="0"/>
                <w:sz w:val="28"/>
                <w:szCs w:val="28"/>
                <w:highlight w:val="none"/>
              </w:rPr>
            </w:pPr>
          </w:p>
        </w:tc>
      </w:tr>
      <w:tr w14:paraId="5F87E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7455E40F">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5296B2C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3F643D8">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73901366">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2664784D">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1B11DBBE">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31EB48C2">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72907E40">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040A17C7">
            <w:pPr>
              <w:autoSpaceDE w:val="0"/>
              <w:autoSpaceDN w:val="0"/>
              <w:adjustRightInd w:val="0"/>
              <w:snapToGrid w:val="0"/>
              <w:jc w:val="left"/>
              <w:rPr>
                <w:rFonts w:ascii="宋体" w:hAnsi="宋体"/>
                <w:snapToGrid w:val="0"/>
                <w:color w:val="auto"/>
                <w:kern w:val="0"/>
                <w:sz w:val="28"/>
                <w:szCs w:val="28"/>
                <w:highlight w:val="none"/>
              </w:rPr>
            </w:pPr>
          </w:p>
        </w:tc>
      </w:tr>
      <w:tr w14:paraId="3E7D5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4D62FA1">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24CBBB30">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11449B30">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298FE9F2">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447BCFDE">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07D24A6A">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7685B127">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51077D82">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64318EB0">
            <w:pPr>
              <w:autoSpaceDE w:val="0"/>
              <w:autoSpaceDN w:val="0"/>
              <w:adjustRightInd w:val="0"/>
              <w:snapToGrid w:val="0"/>
              <w:jc w:val="left"/>
              <w:rPr>
                <w:rFonts w:ascii="宋体" w:hAnsi="宋体"/>
                <w:snapToGrid w:val="0"/>
                <w:color w:val="auto"/>
                <w:kern w:val="0"/>
                <w:sz w:val="28"/>
                <w:szCs w:val="28"/>
                <w:highlight w:val="none"/>
              </w:rPr>
            </w:pPr>
          </w:p>
        </w:tc>
      </w:tr>
      <w:tr w14:paraId="71ACB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64DCFB9">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DA9A46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45198D25">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5BD26F19">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487555D2">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105D97FD">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43DD48A1">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5864F735">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48B44935">
            <w:pPr>
              <w:autoSpaceDE w:val="0"/>
              <w:autoSpaceDN w:val="0"/>
              <w:adjustRightInd w:val="0"/>
              <w:snapToGrid w:val="0"/>
              <w:jc w:val="left"/>
              <w:rPr>
                <w:rFonts w:ascii="宋体" w:hAnsi="宋体"/>
                <w:snapToGrid w:val="0"/>
                <w:color w:val="auto"/>
                <w:kern w:val="0"/>
                <w:sz w:val="28"/>
                <w:szCs w:val="28"/>
                <w:highlight w:val="none"/>
              </w:rPr>
            </w:pPr>
          </w:p>
        </w:tc>
      </w:tr>
      <w:tr w14:paraId="331935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3BB256D">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73BD795B">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6572BA5E">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4C1518CD">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09F5EC11">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30147704">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59A60F59">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798AF4B9">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39100418">
            <w:pPr>
              <w:autoSpaceDE w:val="0"/>
              <w:autoSpaceDN w:val="0"/>
              <w:adjustRightInd w:val="0"/>
              <w:snapToGrid w:val="0"/>
              <w:jc w:val="left"/>
              <w:rPr>
                <w:rFonts w:ascii="宋体" w:hAnsi="宋体"/>
                <w:snapToGrid w:val="0"/>
                <w:color w:val="auto"/>
                <w:kern w:val="0"/>
                <w:sz w:val="28"/>
                <w:szCs w:val="28"/>
                <w:highlight w:val="none"/>
              </w:rPr>
            </w:pPr>
          </w:p>
        </w:tc>
      </w:tr>
      <w:tr w14:paraId="7B5340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B8E4733">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31B268AF">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474F2209">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09CCFF25">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673D62BC">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6E69BD7A">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6BBE51CB">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666AD5A6">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20003F75">
            <w:pPr>
              <w:autoSpaceDE w:val="0"/>
              <w:autoSpaceDN w:val="0"/>
              <w:adjustRightInd w:val="0"/>
              <w:snapToGrid w:val="0"/>
              <w:jc w:val="left"/>
              <w:rPr>
                <w:rFonts w:ascii="宋体" w:hAnsi="宋体"/>
                <w:snapToGrid w:val="0"/>
                <w:color w:val="auto"/>
                <w:kern w:val="0"/>
                <w:sz w:val="28"/>
                <w:szCs w:val="28"/>
                <w:highlight w:val="none"/>
              </w:rPr>
            </w:pPr>
          </w:p>
        </w:tc>
      </w:tr>
      <w:tr w14:paraId="1A8B86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1A281AE3">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7"/>
            <w:tcBorders>
              <w:bottom w:val="single" w:color="auto" w:sz="4" w:space="0"/>
            </w:tcBorders>
            <w:vAlign w:val="center"/>
          </w:tcPr>
          <w:p w14:paraId="51ABFECB">
            <w:pPr>
              <w:autoSpaceDE w:val="0"/>
              <w:autoSpaceDN w:val="0"/>
              <w:adjustRightInd w:val="0"/>
              <w:snapToGrid w:val="0"/>
              <w:jc w:val="left"/>
              <w:rPr>
                <w:rFonts w:ascii="宋体" w:hAnsi="宋体"/>
                <w:snapToGrid w:val="0"/>
                <w:color w:val="auto"/>
                <w:kern w:val="0"/>
                <w:szCs w:val="21"/>
                <w:highlight w:val="none"/>
              </w:rPr>
            </w:pPr>
          </w:p>
        </w:tc>
      </w:tr>
      <w:tr w14:paraId="2FCE0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left w:val="single" w:color="000000" w:sz="8" w:space="0"/>
              <w:bottom w:val="single" w:color="auto" w:sz="4" w:space="0"/>
              <w:right w:val="single" w:color="000000" w:sz="4" w:space="0"/>
            </w:tcBorders>
            <w:vAlign w:val="center"/>
          </w:tcPr>
          <w:p w14:paraId="3B349596">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w:t>
            </w:r>
            <w:r>
              <w:rPr>
                <w:color w:val="auto"/>
                <w:szCs w:val="21"/>
                <w:highlight w:val="none"/>
              </w:rPr>
              <w:t>85%</w:t>
            </w:r>
          </w:p>
        </w:tc>
        <w:tc>
          <w:tcPr>
            <w:tcW w:w="10064" w:type="dxa"/>
            <w:gridSpan w:val="7"/>
            <w:tcBorders>
              <w:top w:val="single" w:color="auto" w:sz="4" w:space="0"/>
              <w:left w:val="single" w:color="000000" w:sz="4" w:space="0"/>
              <w:bottom w:val="single" w:color="auto" w:sz="4" w:space="0"/>
              <w:right w:val="single" w:color="000000" w:sz="8" w:space="0"/>
            </w:tcBorders>
            <w:vAlign w:val="center"/>
          </w:tcPr>
          <w:p w14:paraId="1E00DC6B">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r w14:paraId="0A0B09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16D02615">
            <w:pPr>
              <w:autoSpaceDE w:val="0"/>
              <w:autoSpaceDN w:val="0"/>
              <w:adjustRightInd w:val="0"/>
              <w:snapToGrid w:val="0"/>
              <w:jc w:val="center"/>
              <w:rPr>
                <w:color w:val="auto"/>
                <w:szCs w:val="21"/>
                <w:highlight w:val="none"/>
              </w:rPr>
            </w:pPr>
            <w:r>
              <w:rPr>
                <w:rFonts w:hint="eastAsia"/>
                <w:color w:val="auto"/>
                <w:szCs w:val="21"/>
                <w:highlight w:val="none"/>
              </w:rPr>
              <w:t>异常情况</w:t>
            </w:r>
          </w:p>
        </w:tc>
        <w:tc>
          <w:tcPr>
            <w:tcW w:w="10064" w:type="dxa"/>
            <w:gridSpan w:val="7"/>
            <w:tcBorders>
              <w:top w:val="single" w:color="auto" w:sz="4" w:space="0"/>
            </w:tcBorders>
            <w:vAlign w:val="center"/>
          </w:tcPr>
          <w:p w14:paraId="6378D7B7">
            <w:pPr>
              <w:autoSpaceDE w:val="0"/>
              <w:autoSpaceDN w:val="0"/>
              <w:adjustRightInd w:val="0"/>
              <w:snapToGrid w:val="0"/>
              <w:jc w:val="left"/>
              <w:rPr>
                <w:rFonts w:ascii="宋体" w:hAnsi="宋体"/>
                <w:i/>
                <w:color w:val="auto"/>
                <w:kern w:val="0"/>
                <w:szCs w:val="21"/>
                <w:highlight w:val="none"/>
              </w:rPr>
            </w:pPr>
          </w:p>
        </w:tc>
      </w:tr>
    </w:tbl>
    <w:p w14:paraId="41C0571C">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14:paraId="49A4CA44">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4DC4AB07">
      <w:pPr>
        <w:autoSpaceDE w:val="0"/>
        <w:autoSpaceDN w:val="0"/>
        <w:adjustRightInd w:val="0"/>
        <w:snapToGrid w:val="0"/>
        <w:spacing w:before="48" w:beforeLines="20" w:line="360" w:lineRule="auto"/>
        <w:jc w:val="right"/>
        <w:rPr>
          <w:color w:val="auto"/>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1A24FDDE">
      <w:pPr>
        <w:autoSpaceDE w:val="0"/>
        <w:autoSpaceDN w:val="0"/>
        <w:adjustRightInd w:val="0"/>
        <w:snapToGrid w:val="0"/>
        <w:spacing w:before="48" w:beforeLines="20" w:line="360" w:lineRule="auto"/>
        <w:rPr>
          <w:rFonts w:ascii="宋体" w:hAnsi="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p>
    <w:p w14:paraId="13F70C44">
      <w:pPr>
        <w:autoSpaceDE w:val="0"/>
        <w:autoSpaceDN w:val="0"/>
        <w:adjustRightInd w:val="0"/>
        <w:snapToGrid w:val="0"/>
        <w:spacing w:before="48" w:beforeLines="20" w:line="360" w:lineRule="auto"/>
        <w:jc w:val="right"/>
        <w:rPr>
          <w:rFonts w:ascii="宋体" w:hAnsi="宋体"/>
          <w:snapToGrid w:val="0"/>
          <w:color w:val="auto"/>
          <w:kern w:val="0"/>
          <w:sz w:val="24"/>
          <w:highlight w:val="none"/>
        </w:rPr>
      </w:pPr>
    </w:p>
    <w:p w14:paraId="6D63B39F">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二</w:t>
      </w:r>
      <w:r>
        <w:rPr>
          <w:rFonts w:ascii="宋体" w:hAnsi="宋体"/>
          <w:b/>
          <w:snapToGrid w:val="0"/>
          <w:color w:val="auto"/>
          <w:kern w:val="0"/>
          <w:highlight w:val="none"/>
        </w:rPr>
        <w:t>：问题澄清通知</w:t>
      </w:r>
    </w:p>
    <w:p w14:paraId="6DBBF3F2">
      <w:pPr>
        <w:autoSpaceDE w:val="0"/>
        <w:autoSpaceDN w:val="0"/>
        <w:adjustRightInd w:val="0"/>
        <w:snapToGrid w:val="0"/>
        <w:spacing w:line="360" w:lineRule="auto"/>
        <w:jc w:val="left"/>
        <w:rPr>
          <w:rFonts w:ascii="宋体" w:hAnsi="宋体"/>
          <w:b/>
          <w:snapToGrid w:val="0"/>
          <w:color w:val="auto"/>
          <w:kern w:val="0"/>
          <w:sz w:val="24"/>
          <w:highlight w:val="none"/>
        </w:rPr>
      </w:pPr>
    </w:p>
    <w:p w14:paraId="7C1EEBF3">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73C2505B">
      <w:pPr>
        <w:autoSpaceDE w:val="0"/>
        <w:autoSpaceDN w:val="0"/>
        <w:adjustRightInd w:val="0"/>
        <w:snapToGrid w:val="0"/>
        <w:spacing w:line="360" w:lineRule="auto"/>
        <w:jc w:val="left"/>
        <w:rPr>
          <w:rFonts w:ascii="宋体" w:hAnsi="宋体"/>
          <w:b/>
          <w:snapToGrid w:val="0"/>
          <w:color w:val="auto"/>
          <w:kern w:val="0"/>
          <w:sz w:val="24"/>
          <w:highlight w:val="none"/>
        </w:rPr>
      </w:pPr>
    </w:p>
    <w:p w14:paraId="77B3222C">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097E2983">
      <w:pPr>
        <w:autoSpaceDE w:val="0"/>
        <w:autoSpaceDN w:val="0"/>
        <w:adjustRightInd w:val="0"/>
        <w:snapToGrid w:val="0"/>
        <w:spacing w:line="360" w:lineRule="auto"/>
        <w:jc w:val="left"/>
        <w:rPr>
          <w:rFonts w:ascii="宋体" w:hAnsi="宋体"/>
          <w:b/>
          <w:snapToGrid w:val="0"/>
          <w:color w:val="auto"/>
          <w:kern w:val="0"/>
          <w:sz w:val="24"/>
          <w:highlight w:val="none"/>
        </w:rPr>
      </w:pPr>
    </w:p>
    <w:p w14:paraId="36AD69FF">
      <w:pPr>
        <w:autoSpaceDE w:val="0"/>
        <w:autoSpaceDN w:val="0"/>
        <w:adjustRightInd w:val="0"/>
        <w:snapToGrid w:val="0"/>
        <w:spacing w:line="360" w:lineRule="auto"/>
        <w:rPr>
          <w:rFonts w:ascii="宋体" w:hAnsi="宋体"/>
          <w:snapToGrid w:val="0"/>
          <w:color w:val="auto"/>
          <w:kern w:val="0"/>
          <w:sz w:val="28"/>
          <w:szCs w:val="28"/>
          <w:highlight w:val="none"/>
        </w:rPr>
      </w:pPr>
    </w:p>
    <w:p w14:paraId="4A20241F">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竞选人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49746213">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进行了仔细的审查，现需你方对下列问题予以澄清：</w:t>
      </w:r>
    </w:p>
    <w:p w14:paraId="0AB88EBC">
      <w:pPr>
        <w:autoSpaceDE w:val="0"/>
        <w:autoSpaceDN w:val="0"/>
        <w:adjustRightInd w:val="0"/>
        <w:snapToGrid w:val="0"/>
        <w:spacing w:line="360" w:lineRule="auto"/>
        <w:jc w:val="left"/>
        <w:rPr>
          <w:rFonts w:ascii="宋体" w:hAnsi="宋体"/>
          <w:snapToGrid w:val="0"/>
          <w:color w:val="auto"/>
          <w:kern w:val="0"/>
          <w:sz w:val="24"/>
          <w:highlight w:val="none"/>
        </w:rPr>
      </w:pPr>
    </w:p>
    <w:p w14:paraId="757722F7">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0501503C">
      <w:pPr>
        <w:autoSpaceDE w:val="0"/>
        <w:autoSpaceDN w:val="0"/>
        <w:adjustRightInd w:val="0"/>
        <w:snapToGrid w:val="0"/>
        <w:spacing w:line="360" w:lineRule="auto"/>
        <w:jc w:val="left"/>
        <w:rPr>
          <w:rFonts w:ascii="宋体" w:hAnsi="宋体"/>
          <w:snapToGrid w:val="0"/>
          <w:color w:val="auto"/>
          <w:kern w:val="0"/>
          <w:szCs w:val="21"/>
          <w:highlight w:val="none"/>
        </w:rPr>
      </w:pPr>
    </w:p>
    <w:p w14:paraId="0E424188">
      <w:pPr>
        <w:autoSpaceDE w:val="0"/>
        <w:autoSpaceDN w:val="0"/>
        <w:adjustRightInd w:val="0"/>
        <w:snapToGrid w:val="0"/>
        <w:spacing w:line="360" w:lineRule="auto"/>
        <w:jc w:val="left"/>
        <w:rPr>
          <w:rFonts w:ascii="宋体" w:hAnsi="宋体"/>
          <w:snapToGrid w:val="0"/>
          <w:color w:val="auto"/>
          <w:kern w:val="0"/>
          <w:szCs w:val="21"/>
          <w:highlight w:val="none"/>
        </w:rPr>
      </w:pPr>
    </w:p>
    <w:p w14:paraId="3D9B2703">
      <w:pPr>
        <w:autoSpaceDE w:val="0"/>
        <w:autoSpaceDN w:val="0"/>
        <w:adjustRightInd w:val="0"/>
        <w:snapToGrid w:val="0"/>
        <w:spacing w:line="360" w:lineRule="auto"/>
        <w:jc w:val="left"/>
        <w:rPr>
          <w:rFonts w:ascii="宋体" w:hAnsi="宋体"/>
          <w:snapToGrid w:val="0"/>
          <w:color w:val="auto"/>
          <w:kern w:val="0"/>
          <w:szCs w:val="21"/>
          <w:highlight w:val="none"/>
        </w:rPr>
      </w:pPr>
    </w:p>
    <w:p w14:paraId="14E97CB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4D1DFA1D">
      <w:pPr>
        <w:autoSpaceDE w:val="0"/>
        <w:autoSpaceDN w:val="0"/>
        <w:adjustRightInd w:val="0"/>
        <w:snapToGrid w:val="0"/>
        <w:spacing w:line="360" w:lineRule="auto"/>
        <w:jc w:val="left"/>
        <w:rPr>
          <w:rFonts w:ascii="宋体" w:hAnsi="宋体"/>
          <w:snapToGrid w:val="0"/>
          <w:color w:val="auto"/>
          <w:kern w:val="0"/>
          <w:szCs w:val="21"/>
          <w:highlight w:val="none"/>
        </w:rPr>
      </w:pPr>
    </w:p>
    <w:p w14:paraId="2E8DC1C4">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ABCE29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B5B3BD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6EAE0366">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4F490313">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C92E24C">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提交</w:t>
      </w:r>
      <w:r>
        <w:rPr>
          <w:rFonts w:ascii="宋体" w:hAnsi="宋体"/>
          <w:snapToGrid w:val="0"/>
          <w:color w:val="auto"/>
          <w:kern w:val="0"/>
          <w:szCs w:val="21"/>
          <w:highlight w:val="none"/>
        </w:rPr>
        <w:t>。</w:t>
      </w:r>
    </w:p>
    <w:p w14:paraId="0C74C38C">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5767BA30">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4E4D3653">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14:paraId="063E7EF1">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7FB043F6">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4DA4813F">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三</w:t>
      </w:r>
      <w:r>
        <w:rPr>
          <w:rFonts w:ascii="宋体" w:hAnsi="宋体"/>
          <w:b/>
          <w:snapToGrid w:val="0"/>
          <w:color w:val="auto"/>
          <w:kern w:val="0"/>
          <w:highlight w:val="none"/>
        </w:rPr>
        <w:t>：问题的澄清</w:t>
      </w:r>
    </w:p>
    <w:p w14:paraId="25FDA8AE">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4D501972">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260E9053">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31EF2792">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30111F1C">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7ECBC854">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0AF46D52">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14:paraId="751320A4">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24C6713D">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1EC77CD9">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4C59BE20">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55D2DE70">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1CD5D69">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0C0A1A6">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0D2FA0B">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F0FF64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DA14F56">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15CA2DD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000330E">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7A0B778">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655FD69">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4BFD0AA4">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0E299A1">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89F5DD8">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的实质性内容，构成我方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w:t>
      </w:r>
    </w:p>
    <w:p w14:paraId="5FE52916">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0152BEE">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4A93A54">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117542F7">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485524B6">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145FDD91">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0932A79D">
      <w:pPr>
        <w:autoSpaceDE w:val="0"/>
        <w:autoSpaceDN w:val="0"/>
        <w:adjustRightInd w:val="0"/>
        <w:snapToGrid w:val="0"/>
        <w:spacing w:line="360" w:lineRule="auto"/>
        <w:jc w:val="left"/>
        <w:rPr>
          <w:rFonts w:ascii="宋体" w:hAnsi="宋体"/>
          <w:b/>
          <w:snapToGrid w:val="0"/>
          <w:color w:val="auto"/>
          <w:kern w:val="0"/>
          <w:sz w:val="24"/>
          <w:highlight w:val="none"/>
        </w:rPr>
      </w:pPr>
    </w:p>
    <w:p w14:paraId="0087FE1D">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四</w:t>
      </w:r>
      <w:r>
        <w:rPr>
          <w:rFonts w:ascii="宋体" w:hAnsi="宋体"/>
          <w:b/>
          <w:snapToGrid w:val="0"/>
          <w:color w:val="auto"/>
          <w:kern w:val="0"/>
          <w:highlight w:val="none"/>
        </w:rPr>
        <w:t>：中标通知书</w:t>
      </w:r>
    </w:p>
    <w:p w14:paraId="45C73053">
      <w:pPr>
        <w:autoSpaceDE w:val="0"/>
        <w:autoSpaceDN w:val="0"/>
        <w:adjustRightInd w:val="0"/>
        <w:spacing w:line="360" w:lineRule="auto"/>
        <w:jc w:val="left"/>
        <w:rPr>
          <w:rFonts w:ascii="宋体" w:hAnsi="宋体"/>
          <w:snapToGrid w:val="0"/>
          <w:color w:val="auto"/>
          <w:kern w:val="0"/>
          <w:sz w:val="20"/>
          <w:szCs w:val="20"/>
          <w:highlight w:val="none"/>
        </w:rPr>
      </w:pPr>
    </w:p>
    <w:p w14:paraId="65C7C49E">
      <w:pPr>
        <w:autoSpaceDE w:val="0"/>
        <w:autoSpaceDN w:val="0"/>
        <w:adjustRightInd w:val="0"/>
        <w:spacing w:line="360" w:lineRule="auto"/>
        <w:jc w:val="left"/>
        <w:rPr>
          <w:rFonts w:ascii="宋体" w:hAnsi="宋体"/>
          <w:snapToGrid w:val="0"/>
          <w:color w:val="auto"/>
          <w:kern w:val="0"/>
          <w:sz w:val="20"/>
          <w:szCs w:val="20"/>
          <w:highlight w:val="none"/>
        </w:rPr>
      </w:pPr>
    </w:p>
    <w:p w14:paraId="1615D00F">
      <w:pPr>
        <w:autoSpaceDE w:val="0"/>
        <w:autoSpaceDN w:val="0"/>
        <w:adjustRightInd w:val="0"/>
        <w:spacing w:line="360" w:lineRule="auto"/>
        <w:jc w:val="left"/>
        <w:rPr>
          <w:rFonts w:ascii="宋体" w:hAnsi="宋体"/>
          <w:snapToGrid w:val="0"/>
          <w:color w:val="auto"/>
          <w:kern w:val="0"/>
          <w:sz w:val="20"/>
          <w:szCs w:val="20"/>
          <w:highlight w:val="none"/>
        </w:rPr>
      </w:pPr>
    </w:p>
    <w:p w14:paraId="31BDB111">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中标通知书</w:t>
      </w:r>
    </w:p>
    <w:p w14:paraId="11E83129">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6D054B40">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日（投标日期）所递交的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招标的</w:t>
      </w:r>
      <w:r>
        <w:rPr>
          <w:rFonts w:hint="eastAsia" w:ascii="宋体" w:hAnsi="宋体"/>
          <w:color w:val="auto"/>
          <w:kern w:val="0"/>
          <w:szCs w:val="21"/>
          <w:highlight w:val="none"/>
          <w:lang w:eastAsia="zh-CN"/>
        </w:rPr>
        <w:t>竞选文件</w:t>
      </w:r>
      <w:r>
        <w:rPr>
          <w:rFonts w:ascii="宋体" w:hAnsi="宋体"/>
          <w:color w:val="auto"/>
          <w:kern w:val="0"/>
          <w:szCs w:val="21"/>
          <w:highlight w:val="none"/>
        </w:rPr>
        <w:t>已被我方接受，经评标委员会评定，被确定为中标人。</w:t>
      </w:r>
    </w:p>
    <w:p w14:paraId="3EB5D097">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；固定费率</w:t>
      </w:r>
      <w:r>
        <w:rPr>
          <w:rFonts w:ascii="宋体" w:hAnsi="宋体"/>
          <w:color w:val="auto"/>
          <w:kern w:val="0"/>
          <w:szCs w:val="21"/>
          <w:highlight w:val="none"/>
        </w:rPr>
        <w:t>/</w:t>
      </w:r>
      <w:r>
        <w:rPr>
          <w:rFonts w:hint="eastAsia" w:ascii="宋体" w:hAnsi="宋体"/>
          <w:color w:val="auto"/>
          <w:kern w:val="0"/>
          <w:szCs w:val="21"/>
          <w:highlight w:val="none"/>
        </w:rPr>
        <w:t>固定单价（如有）为</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E9063E2">
      <w:pPr>
        <w:spacing w:line="360" w:lineRule="auto"/>
        <w:ind w:firstLine="420" w:firstLineChars="200"/>
        <w:rPr>
          <w:color w:val="auto"/>
          <w:highlight w:val="none"/>
        </w:rPr>
      </w:pPr>
      <w:r>
        <w:rPr>
          <w:color w:val="auto"/>
          <w:highlight w:val="none"/>
        </w:rPr>
        <w:t>设计服务期限：</w:t>
      </w:r>
      <w:r>
        <w:rPr>
          <w:color w:val="auto"/>
          <w:highlight w:val="none"/>
          <w:u w:val="single"/>
        </w:rPr>
        <w:t xml:space="preserve">   </w:t>
      </w:r>
      <w:r>
        <w:rPr>
          <w:color w:val="auto"/>
          <w:highlight w:val="none"/>
          <w:u w:val="single"/>
        </w:rPr>
        <w:tab/>
      </w:r>
      <w:r>
        <w:rPr>
          <w:color w:val="auto"/>
          <w:highlight w:val="none"/>
        </w:rPr>
        <w:t>日历天。</w:t>
      </w:r>
    </w:p>
    <w:p w14:paraId="35DFA20D">
      <w:pPr>
        <w:spacing w:line="360" w:lineRule="auto"/>
        <w:ind w:firstLine="420" w:firstLineChars="200"/>
        <w:rPr>
          <w:color w:val="auto"/>
          <w:highlight w:val="none"/>
        </w:rPr>
      </w:pPr>
      <w:r>
        <w:rPr>
          <w:color w:val="auto"/>
          <w:highlight w:val="none"/>
        </w:rPr>
        <w:t>项目负责人：</w:t>
      </w:r>
      <w:r>
        <w:rPr>
          <w:color w:val="auto"/>
          <w:highlight w:val="none"/>
          <w:u w:val="single"/>
        </w:rPr>
        <w:t xml:space="preserve"> </w:t>
      </w:r>
      <w:r>
        <w:rPr>
          <w:color w:val="auto"/>
          <w:highlight w:val="none"/>
          <w:u w:val="single"/>
        </w:rPr>
        <w:tab/>
      </w:r>
      <w:r>
        <w:rPr>
          <w:rFonts w:hint="eastAsia"/>
          <w:color w:val="auto"/>
          <w:highlight w:val="none"/>
          <w:u w:val="single"/>
        </w:rPr>
        <w:t xml:space="preserve"> </w:t>
      </w:r>
      <w:r>
        <w:rPr>
          <w:color w:val="auto"/>
          <w:highlight w:val="none"/>
          <w:u w:val="single"/>
        </w:rPr>
        <w:t xml:space="preserve">      </w:t>
      </w:r>
      <w:r>
        <w:rPr>
          <w:color w:val="auto"/>
          <w:highlight w:val="none"/>
        </w:rPr>
        <w:t>。</w:t>
      </w:r>
    </w:p>
    <w:p w14:paraId="1059B60B">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w:t>
      </w:r>
      <w:r>
        <w:rPr>
          <w:rFonts w:hint="eastAsia" w:ascii="宋体" w:hAnsi="宋体"/>
          <w:color w:val="auto"/>
          <w:kern w:val="0"/>
          <w:szCs w:val="21"/>
          <w:highlight w:val="none"/>
        </w:rPr>
        <w:t>设计</w:t>
      </w:r>
      <w:r>
        <w:rPr>
          <w:rFonts w:ascii="宋体" w:hAnsi="宋体"/>
          <w:color w:val="auto"/>
          <w:kern w:val="0"/>
          <w:szCs w:val="21"/>
          <w:highlight w:val="none"/>
        </w:rPr>
        <w:t>合同。</w:t>
      </w:r>
      <w:r>
        <w:rPr>
          <w:color w:val="auto"/>
          <w:szCs w:val="21"/>
          <w:highlight w:val="none"/>
        </w:rPr>
        <w:t>在此之前按</w:t>
      </w:r>
      <w:r>
        <w:rPr>
          <w:rFonts w:hint="eastAsia"/>
          <w:color w:val="auto"/>
          <w:szCs w:val="21"/>
          <w:highlight w:val="none"/>
          <w:lang w:eastAsia="zh-CN"/>
        </w:rPr>
        <w:t>比选文件</w:t>
      </w:r>
      <w:r>
        <w:rPr>
          <w:color w:val="auto"/>
          <w:szCs w:val="21"/>
          <w:highlight w:val="none"/>
        </w:rPr>
        <w:t>第二章</w:t>
      </w:r>
      <w:r>
        <w:rPr>
          <w:rFonts w:hint="eastAsia"/>
          <w:color w:val="auto"/>
          <w:szCs w:val="21"/>
          <w:highlight w:val="none"/>
        </w:rPr>
        <w:t>“</w:t>
      </w:r>
      <w:r>
        <w:rPr>
          <w:rFonts w:hint="eastAsia"/>
          <w:color w:val="auto"/>
          <w:szCs w:val="21"/>
          <w:highlight w:val="none"/>
          <w:lang w:eastAsia="zh-CN"/>
        </w:rPr>
        <w:t>竞选人</w:t>
      </w:r>
      <w:r>
        <w:rPr>
          <w:color w:val="auto"/>
          <w:szCs w:val="21"/>
          <w:highlight w:val="none"/>
        </w:rPr>
        <w:t>须知</w:t>
      </w:r>
      <w:r>
        <w:rPr>
          <w:rFonts w:hint="eastAsia"/>
          <w:color w:val="auto"/>
          <w:szCs w:val="21"/>
          <w:highlight w:val="none"/>
        </w:rPr>
        <w:t>”</w:t>
      </w:r>
      <w:r>
        <w:rPr>
          <w:color w:val="auto"/>
          <w:szCs w:val="21"/>
          <w:highlight w:val="none"/>
        </w:rPr>
        <w:t>第7.7款规定向我方提交履约担保。</w:t>
      </w:r>
    </w:p>
    <w:p w14:paraId="0193A4A4">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1017B792">
      <w:pPr>
        <w:spacing w:line="480" w:lineRule="auto"/>
        <w:rPr>
          <w:rFonts w:ascii="宋体" w:hAnsi="宋体"/>
          <w:color w:val="auto"/>
          <w:kern w:val="0"/>
          <w:sz w:val="24"/>
          <w:highlight w:val="none"/>
        </w:rPr>
      </w:pPr>
    </w:p>
    <w:p w14:paraId="24E4BCFC">
      <w:pPr>
        <w:spacing w:line="480" w:lineRule="auto"/>
        <w:rPr>
          <w:rFonts w:ascii="宋体" w:hAnsi="宋体"/>
          <w:color w:val="auto"/>
          <w:kern w:val="0"/>
          <w:sz w:val="24"/>
          <w:highlight w:val="none"/>
        </w:rPr>
      </w:pPr>
    </w:p>
    <w:p w14:paraId="0EA3646F">
      <w:pPr>
        <w:spacing w:line="480" w:lineRule="auto"/>
        <w:rPr>
          <w:rFonts w:ascii="宋体" w:hAnsi="宋体"/>
          <w:color w:val="auto"/>
          <w:kern w:val="0"/>
          <w:sz w:val="24"/>
          <w:highlight w:val="none"/>
        </w:rPr>
      </w:pPr>
    </w:p>
    <w:p w14:paraId="452C04AD">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lang w:eastAsia="zh-CN"/>
        </w:rPr>
        <w:t>比选人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2B4E6F7A">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BE76688">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1EEFCBDF">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0CC4087F">
      <w:pPr>
        <w:spacing w:line="480" w:lineRule="auto"/>
        <w:jc w:val="right"/>
        <w:rPr>
          <w:rFonts w:ascii="宋体" w:hAnsi="宋体"/>
          <w:color w:val="auto"/>
          <w:kern w:val="0"/>
          <w:szCs w:val="21"/>
          <w:highlight w:val="none"/>
        </w:rPr>
      </w:pPr>
    </w:p>
    <w:p w14:paraId="41DBEB75">
      <w:pPr>
        <w:spacing w:line="480" w:lineRule="auto"/>
        <w:jc w:val="right"/>
        <w:rPr>
          <w:rFonts w:ascii="宋体" w:hAnsi="宋体"/>
          <w:color w:val="auto"/>
          <w:kern w:val="0"/>
          <w:szCs w:val="21"/>
          <w:highlight w:val="none"/>
        </w:rPr>
      </w:pPr>
    </w:p>
    <w:p w14:paraId="28B1B386">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575B0BA">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20" w:name="招标文件03章02评标办法综合评估法00"/>
      <w:bookmarkEnd w:id="520"/>
      <w:bookmarkStart w:id="521" w:name="招标文件03章02评标办法综合评估法"/>
      <w:bookmarkEnd w:id="521"/>
      <w:bookmarkStart w:id="522" w:name="_Toc224103384"/>
      <w:bookmarkStart w:id="523" w:name="_Toc277082618"/>
      <w:bookmarkStart w:id="524" w:name="_Toc287607812"/>
      <w:bookmarkStart w:id="525" w:name="_Toc430530500"/>
      <w:bookmarkStart w:id="526" w:name="_Toc287620751"/>
      <w:bookmarkStart w:id="527" w:name="_Toc200513198"/>
    </w:p>
    <w:p w14:paraId="7DA67F0D">
      <w:pPr>
        <w:pStyle w:val="2"/>
        <w:spacing w:line="360" w:lineRule="auto"/>
        <w:ind w:firstLine="883" w:firstLineChars="200"/>
        <w:jc w:val="center"/>
        <w:rPr>
          <w:rFonts w:ascii="宋体" w:hAnsi="宋体"/>
          <w:color w:val="auto"/>
          <w:highlight w:val="none"/>
        </w:rPr>
      </w:pPr>
      <w:bookmarkStart w:id="528" w:name="_Toc18531"/>
      <w:bookmarkStart w:id="529" w:name="_Toc509218774"/>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28"/>
      <w:bookmarkEnd w:id="529"/>
      <w:bookmarkStart w:id="530" w:name="_Toc430530499"/>
      <w:bookmarkStart w:id="531" w:name="_Toc277082617"/>
      <w:bookmarkStart w:id="532" w:name="_Toc287607811"/>
      <w:bookmarkStart w:id="533" w:name="_Toc287620750"/>
      <w:bookmarkStart w:id="534" w:name="_Toc224103383"/>
    </w:p>
    <w:p w14:paraId="50D2FC0B">
      <w:pPr>
        <w:pStyle w:val="3"/>
        <w:spacing w:before="100" w:after="100" w:line="360" w:lineRule="auto"/>
        <w:rPr>
          <w:rFonts w:ascii="宋体" w:hAnsi="宋体"/>
          <w:color w:val="auto"/>
          <w:highlight w:val="none"/>
        </w:rPr>
      </w:pPr>
      <w:bookmarkStart w:id="535" w:name="_Toc721"/>
      <w:bookmarkStart w:id="536" w:name="_Toc509218775"/>
      <w:r>
        <w:rPr>
          <w:rFonts w:hint="eastAsia" w:ascii="宋体" w:hAnsi="宋体"/>
          <w:color w:val="auto"/>
          <w:highlight w:val="none"/>
        </w:rPr>
        <w:t>评标办法前附表</w:t>
      </w:r>
      <w:bookmarkEnd w:id="535"/>
      <w:bookmarkEnd w:id="536"/>
    </w:p>
    <w:p w14:paraId="2C62E365">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lang w:eastAsia="zh-CN"/>
        </w:rPr>
        <w:t>竞选人</w:t>
      </w:r>
      <w:r>
        <w:rPr>
          <w:color w:val="auto"/>
          <w:szCs w:val="21"/>
          <w:highlight w:val="none"/>
        </w:rPr>
        <w:t>须知中的对应内容一致，若</w:t>
      </w:r>
      <w:r>
        <w:rPr>
          <w:rFonts w:hint="eastAsia"/>
          <w:color w:val="auto"/>
          <w:szCs w:val="21"/>
          <w:highlight w:val="none"/>
          <w:lang w:eastAsia="zh-CN"/>
        </w:rPr>
        <w:t>竞选人</w:t>
      </w:r>
      <w:r>
        <w:rPr>
          <w:color w:val="auto"/>
          <w:szCs w:val="21"/>
          <w:highlight w:val="none"/>
        </w:rPr>
        <w:t>须知中未作要求的内容，不得列入评标办法作为评定依据。</w:t>
      </w:r>
    </w:p>
    <w:tbl>
      <w:tblPr>
        <w:tblStyle w:val="45"/>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740"/>
        <w:gridCol w:w="1752"/>
        <w:gridCol w:w="5728"/>
      </w:tblGrid>
      <w:tr w14:paraId="07F41E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014F4479">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gridSpan w:val="2"/>
            <w:vAlign w:val="center"/>
          </w:tcPr>
          <w:p w14:paraId="0ECE1987">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728" w:type="dxa"/>
            <w:vAlign w:val="center"/>
          </w:tcPr>
          <w:p w14:paraId="068E3A9F">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1CA13B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88" w:hRule="atLeast"/>
          <w:jc w:val="center"/>
        </w:trPr>
        <w:tc>
          <w:tcPr>
            <w:tcW w:w="808" w:type="dxa"/>
            <w:tcBorders>
              <w:right w:val="single" w:color="auto" w:sz="4" w:space="0"/>
            </w:tcBorders>
            <w:vAlign w:val="center"/>
          </w:tcPr>
          <w:p w14:paraId="650E8D8B">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852" w:type="dxa"/>
            <w:tcBorders>
              <w:left w:val="single" w:color="auto" w:sz="4" w:space="0"/>
            </w:tcBorders>
            <w:vAlign w:val="center"/>
          </w:tcPr>
          <w:p w14:paraId="4594F2DF">
            <w:pPr>
              <w:spacing w:line="400" w:lineRule="exact"/>
              <w:jc w:val="center"/>
              <w:rPr>
                <w:rFonts w:ascii="宋体" w:hAnsi="宋体"/>
                <w:color w:val="auto"/>
                <w:kern w:val="0"/>
                <w:highlight w:val="none"/>
              </w:rPr>
            </w:pPr>
            <w:r>
              <w:rPr>
                <w:rFonts w:hint="eastAsia" w:ascii="宋体" w:hAnsi="宋体"/>
                <w:color w:val="auto"/>
                <w:kern w:val="0"/>
                <w:highlight w:val="none"/>
              </w:rPr>
              <w:t>评标办法</w:t>
            </w:r>
          </w:p>
        </w:tc>
        <w:tc>
          <w:tcPr>
            <w:tcW w:w="2492" w:type="dxa"/>
            <w:gridSpan w:val="2"/>
            <w:vAlign w:val="center"/>
          </w:tcPr>
          <w:p w14:paraId="174CE57E">
            <w:pPr>
              <w:spacing w:line="400" w:lineRule="exact"/>
              <w:jc w:val="center"/>
              <w:rPr>
                <w:rFonts w:ascii="宋体" w:hAnsi="宋体"/>
                <w:color w:val="auto"/>
                <w:kern w:val="0"/>
                <w:highlight w:val="none"/>
              </w:rPr>
            </w:pPr>
            <w:r>
              <w:rPr>
                <w:rFonts w:hint="eastAsia" w:ascii="宋体" w:hAnsi="宋体"/>
                <w:color w:val="auto"/>
                <w:kern w:val="0"/>
                <w:highlight w:val="none"/>
              </w:rPr>
              <w:t>中标候选人排序方法</w:t>
            </w:r>
          </w:p>
        </w:tc>
        <w:tc>
          <w:tcPr>
            <w:tcW w:w="5728" w:type="dxa"/>
            <w:vAlign w:val="center"/>
          </w:tcPr>
          <w:p w14:paraId="0D3DEFE6">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本次评标采用综合评估法，评标委员会按照本章第 2.2 款规定的评分标准进行</w:t>
            </w:r>
            <w:r>
              <w:rPr>
                <w:rFonts w:hint="eastAsia" w:ascii="宋体" w:hAnsi="宋体"/>
                <w:color w:val="auto"/>
                <w:kern w:val="0"/>
                <w:highlight w:val="none"/>
                <w:lang w:eastAsia="zh-CN"/>
              </w:rPr>
              <w:t>评分</w:t>
            </w:r>
            <w:r>
              <w:rPr>
                <w:rFonts w:hint="eastAsia" w:ascii="宋体" w:hAnsi="宋体"/>
                <w:color w:val="auto"/>
                <w:kern w:val="0"/>
                <w:highlight w:val="none"/>
              </w:rPr>
              <w:t>，按得分由高到低顺序推荐中标候选人，或根据</w:t>
            </w:r>
            <w:r>
              <w:rPr>
                <w:rFonts w:hint="eastAsia" w:ascii="宋体" w:hAnsi="宋体"/>
                <w:color w:val="auto"/>
                <w:kern w:val="0"/>
                <w:highlight w:val="none"/>
                <w:lang w:eastAsia="zh-CN"/>
              </w:rPr>
              <w:t>比选人</w:t>
            </w:r>
            <w:r>
              <w:rPr>
                <w:rFonts w:hint="eastAsia" w:ascii="宋体" w:hAnsi="宋体"/>
                <w:color w:val="auto"/>
                <w:kern w:val="0"/>
                <w:highlight w:val="none"/>
              </w:rPr>
              <w:t>授权直接确定中标人。综合评分相等时，</w:t>
            </w:r>
            <w:r>
              <w:rPr>
                <w:rFonts w:hint="eastAsia" w:ascii="宋体" w:hAnsi="宋体"/>
                <w:color w:val="auto"/>
                <w:kern w:val="0"/>
                <w:highlight w:val="none"/>
                <w:lang w:val="en-US" w:eastAsia="zh-CN"/>
              </w:rPr>
              <w:t>以报价低的优先；报价相等的，</w:t>
            </w:r>
            <w:r>
              <w:rPr>
                <w:rFonts w:hint="eastAsia" w:ascii="宋体" w:hAnsi="宋体"/>
                <w:color w:val="auto"/>
                <w:kern w:val="0"/>
                <w:highlight w:val="none"/>
              </w:rPr>
              <w:t>以技术部分得分高的优先；技术部分得分相等的，由评标委员会按照</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随机抽选</w:t>
            </w:r>
            <w:r>
              <w:rPr>
                <w:rFonts w:hint="eastAsia" w:ascii="宋体" w:hAnsi="宋体"/>
                <w:color w:val="auto"/>
                <w:kern w:val="0"/>
                <w:highlight w:val="none"/>
                <w:u w:val="single"/>
              </w:rPr>
              <w:t xml:space="preserve">  </w:t>
            </w:r>
            <w:r>
              <w:rPr>
                <w:rFonts w:hint="eastAsia" w:ascii="宋体" w:hAnsi="宋体"/>
                <w:color w:val="auto"/>
                <w:kern w:val="0"/>
                <w:highlight w:val="none"/>
              </w:rPr>
              <w:t>原则排序。</w:t>
            </w:r>
          </w:p>
        </w:tc>
      </w:tr>
      <w:tr w14:paraId="241E6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14:paraId="24D2D8E1">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852" w:type="dxa"/>
            <w:vMerge w:val="restart"/>
            <w:tcBorders>
              <w:right w:val="single" w:color="auto" w:sz="4" w:space="0"/>
            </w:tcBorders>
            <w:vAlign w:val="center"/>
          </w:tcPr>
          <w:p w14:paraId="5A92BC0E">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492" w:type="dxa"/>
            <w:gridSpan w:val="2"/>
            <w:tcBorders>
              <w:left w:val="single" w:color="auto" w:sz="4" w:space="0"/>
            </w:tcBorders>
            <w:vAlign w:val="center"/>
          </w:tcPr>
          <w:p w14:paraId="768F5817">
            <w:pPr>
              <w:spacing w:line="400" w:lineRule="exact"/>
              <w:jc w:val="left"/>
              <w:rPr>
                <w:rFonts w:ascii="宋体" w:hAnsi="宋体"/>
                <w:color w:val="auto"/>
                <w:kern w:val="0"/>
                <w:highlight w:val="none"/>
              </w:rPr>
            </w:pPr>
            <w:r>
              <w:rPr>
                <w:rFonts w:hint="eastAsia" w:ascii="宋体" w:hAnsi="宋体"/>
                <w:color w:val="auto"/>
                <w:kern w:val="0"/>
                <w:highlight w:val="none"/>
              </w:rPr>
              <w:t>资质要求</w:t>
            </w:r>
          </w:p>
        </w:tc>
        <w:tc>
          <w:tcPr>
            <w:tcW w:w="5728" w:type="dxa"/>
            <w:vAlign w:val="center"/>
          </w:tcPr>
          <w:p w14:paraId="0F75175D">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须知”第1.4.1项规定</w:t>
            </w:r>
          </w:p>
        </w:tc>
      </w:tr>
      <w:tr w14:paraId="13BA74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ED336D9">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7BF14157">
            <w:pPr>
              <w:spacing w:line="400" w:lineRule="exact"/>
              <w:jc w:val="center"/>
              <w:rPr>
                <w:rFonts w:ascii="宋体" w:hAnsi="宋体"/>
                <w:color w:val="auto"/>
                <w:kern w:val="0"/>
                <w:highlight w:val="none"/>
              </w:rPr>
            </w:pPr>
          </w:p>
        </w:tc>
        <w:tc>
          <w:tcPr>
            <w:tcW w:w="2492" w:type="dxa"/>
            <w:gridSpan w:val="2"/>
            <w:tcBorders>
              <w:left w:val="single" w:color="auto" w:sz="4" w:space="0"/>
            </w:tcBorders>
          </w:tcPr>
          <w:p w14:paraId="78CB6F27">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728" w:type="dxa"/>
            <w:vAlign w:val="center"/>
          </w:tcPr>
          <w:p w14:paraId="50EBD394">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须知”第1.4.1项规定</w:t>
            </w:r>
          </w:p>
        </w:tc>
      </w:tr>
      <w:tr w14:paraId="65C8C8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2168D95">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068B1695">
            <w:pPr>
              <w:spacing w:line="400" w:lineRule="exact"/>
              <w:jc w:val="center"/>
              <w:rPr>
                <w:rFonts w:ascii="宋体" w:hAnsi="宋体"/>
                <w:color w:val="auto"/>
                <w:kern w:val="0"/>
                <w:highlight w:val="none"/>
              </w:rPr>
            </w:pPr>
          </w:p>
        </w:tc>
        <w:tc>
          <w:tcPr>
            <w:tcW w:w="2492" w:type="dxa"/>
            <w:gridSpan w:val="2"/>
            <w:tcBorders>
              <w:left w:val="single" w:color="auto" w:sz="4" w:space="0"/>
            </w:tcBorders>
          </w:tcPr>
          <w:p w14:paraId="07795E19">
            <w:pPr>
              <w:spacing w:line="400" w:lineRule="exact"/>
              <w:jc w:val="left"/>
              <w:rPr>
                <w:rFonts w:ascii="宋体" w:hAnsi="宋体"/>
                <w:color w:val="auto"/>
                <w:kern w:val="0"/>
                <w:highlight w:val="none"/>
              </w:rPr>
            </w:pPr>
            <w:r>
              <w:rPr>
                <w:rFonts w:ascii="宋体" w:hAnsi="宋体"/>
                <w:color w:val="auto"/>
                <w:szCs w:val="21"/>
                <w:highlight w:val="none"/>
              </w:rPr>
              <w:t>投标截止日投标资格情况</w:t>
            </w:r>
          </w:p>
        </w:tc>
        <w:tc>
          <w:tcPr>
            <w:tcW w:w="5728" w:type="dxa"/>
            <w:vAlign w:val="center"/>
          </w:tcPr>
          <w:p w14:paraId="10E3DEAA">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须知”第1.4.1项规定</w:t>
            </w:r>
          </w:p>
        </w:tc>
      </w:tr>
      <w:tr w14:paraId="44EED4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72DFF7CB">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35BD323E">
            <w:pPr>
              <w:spacing w:line="400" w:lineRule="exact"/>
              <w:jc w:val="center"/>
              <w:rPr>
                <w:rFonts w:ascii="宋体" w:hAnsi="宋体"/>
                <w:color w:val="auto"/>
                <w:kern w:val="0"/>
                <w:highlight w:val="none"/>
              </w:rPr>
            </w:pPr>
          </w:p>
        </w:tc>
        <w:tc>
          <w:tcPr>
            <w:tcW w:w="2492" w:type="dxa"/>
            <w:gridSpan w:val="2"/>
            <w:tcBorders>
              <w:left w:val="single" w:color="auto" w:sz="4" w:space="0"/>
            </w:tcBorders>
          </w:tcPr>
          <w:p w14:paraId="7ADCD3D1">
            <w:pPr>
              <w:spacing w:line="400" w:lineRule="exact"/>
              <w:jc w:val="left"/>
              <w:rPr>
                <w:rFonts w:ascii="宋体" w:hAnsi="宋体"/>
                <w:color w:val="auto"/>
                <w:kern w:val="0"/>
                <w:highlight w:val="none"/>
              </w:rPr>
            </w:pPr>
            <w:r>
              <w:rPr>
                <w:rFonts w:ascii="宋体" w:hAnsi="宋体"/>
                <w:color w:val="auto"/>
                <w:kern w:val="0"/>
                <w:highlight w:val="none"/>
              </w:rPr>
              <w:t>项目</w:t>
            </w:r>
            <w:r>
              <w:rPr>
                <w:rFonts w:hint="eastAsia" w:ascii="宋体" w:hAnsi="宋体"/>
                <w:color w:val="auto"/>
                <w:kern w:val="0"/>
                <w:highlight w:val="none"/>
              </w:rPr>
              <w:t>负责人的</w:t>
            </w:r>
            <w:r>
              <w:rPr>
                <w:rFonts w:ascii="宋体" w:hAnsi="宋体"/>
                <w:color w:val="auto"/>
                <w:kern w:val="0"/>
                <w:highlight w:val="none"/>
              </w:rPr>
              <w:t>资格</w:t>
            </w:r>
            <w:r>
              <w:rPr>
                <w:rFonts w:hint="eastAsia" w:ascii="宋体" w:hAnsi="宋体"/>
                <w:color w:val="auto"/>
                <w:kern w:val="0"/>
                <w:highlight w:val="none"/>
              </w:rPr>
              <w:t>要求</w:t>
            </w:r>
          </w:p>
        </w:tc>
        <w:tc>
          <w:tcPr>
            <w:tcW w:w="5728" w:type="dxa"/>
            <w:vAlign w:val="center"/>
          </w:tcPr>
          <w:p w14:paraId="5A8233D4">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须知”第1.4.1项规定</w:t>
            </w:r>
          </w:p>
        </w:tc>
      </w:tr>
      <w:tr w14:paraId="4C04C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9C971C2">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4E43AC32">
            <w:pPr>
              <w:spacing w:line="400" w:lineRule="exact"/>
              <w:jc w:val="center"/>
              <w:rPr>
                <w:rFonts w:ascii="宋体" w:hAnsi="宋体"/>
                <w:color w:val="auto"/>
                <w:kern w:val="0"/>
                <w:highlight w:val="none"/>
              </w:rPr>
            </w:pPr>
          </w:p>
        </w:tc>
        <w:tc>
          <w:tcPr>
            <w:tcW w:w="2492" w:type="dxa"/>
            <w:gridSpan w:val="2"/>
            <w:tcBorders>
              <w:left w:val="single" w:color="auto" w:sz="4" w:space="0"/>
            </w:tcBorders>
          </w:tcPr>
          <w:p w14:paraId="5D283A69">
            <w:pPr>
              <w:spacing w:line="400" w:lineRule="exact"/>
              <w:jc w:val="left"/>
              <w:rPr>
                <w:rFonts w:ascii="宋体" w:hAnsi="宋体"/>
                <w:color w:val="auto"/>
                <w:kern w:val="0"/>
                <w:highlight w:val="none"/>
              </w:rPr>
            </w:pPr>
            <w:r>
              <w:rPr>
                <w:rFonts w:ascii="宋体" w:hAnsi="宋体"/>
                <w:color w:val="auto"/>
                <w:kern w:val="0"/>
                <w:highlight w:val="none"/>
              </w:rPr>
              <w:t>其他要求</w:t>
            </w:r>
          </w:p>
        </w:tc>
        <w:tc>
          <w:tcPr>
            <w:tcW w:w="5728" w:type="dxa"/>
            <w:vAlign w:val="center"/>
          </w:tcPr>
          <w:p w14:paraId="3EB4C6B6">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须知”第1.4.1项规定</w:t>
            </w:r>
          </w:p>
        </w:tc>
      </w:tr>
      <w:tr w14:paraId="0E517C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3D29EB00">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225266C6">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center"/>
          </w:tcPr>
          <w:p w14:paraId="5D0A5A3F">
            <w:pPr>
              <w:spacing w:line="400" w:lineRule="exact"/>
              <w:rPr>
                <w:rFonts w:ascii="宋体" w:hAnsi="宋体" w:cs="宋体"/>
                <w:color w:val="auto"/>
                <w:kern w:val="0"/>
                <w:highlight w:val="none"/>
              </w:rPr>
            </w:pPr>
            <w:r>
              <w:rPr>
                <w:color w:val="auto"/>
                <w:highlight w:val="none"/>
              </w:rPr>
              <w:t>不存在禁止投标的情形</w:t>
            </w:r>
          </w:p>
        </w:tc>
        <w:tc>
          <w:tcPr>
            <w:tcW w:w="5728" w:type="dxa"/>
            <w:vAlign w:val="center"/>
          </w:tcPr>
          <w:p w14:paraId="63991487">
            <w:pPr>
              <w:spacing w:line="400" w:lineRule="exact"/>
              <w:ind w:firstLine="420" w:firstLineChars="200"/>
              <w:jc w:val="left"/>
              <w:rPr>
                <w:rFonts w:ascii="宋体" w:hAnsi="宋体"/>
                <w:color w:val="auto"/>
                <w:kern w:val="0"/>
                <w:highlight w:val="none"/>
              </w:rPr>
            </w:pPr>
            <w:r>
              <w:rPr>
                <w:rFonts w:ascii="宋体" w:hAnsi="宋体" w:cs="宋体"/>
                <w:color w:val="auto"/>
                <w:kern w:val="0"/>
                <w:szCs w:val="22"/>
                <w:highlight w:val="none"/>
              </w:rPr>
              <w:t>不存在第二章“</w:t>
            </w:r>
            <w:r>
              <w:rPr>
                <w:rFonts w:hint="eastAsia" w:ascii="宋体" w:hAnsi="宋体" w:cs="宋体"/>
                <w:color w:val="auto"/>
                <w:kern w:val="0"/>
                <w:szCs w:val="22"/>
                <w:highlight w:val="none"/>
                <w:lang w:eastAsia="zh-CN"/>
              </w:rPr>
              <w:t>竞选人</w:t>
            </w:r>
            <w:r>
              <w:rPr>
                <w:rFonts w:ascii="宋体" w:hAnsi="宋体" w:cs="宋体"/>
                <w:color w:val="auto"/>
                <w:kern w:val="0"/>
                <w:szCs w:val="22"/>
                <w:highlight w:val="none"/>
              </w:rPr>
              <w:t>须知”第 1.4.3 项规定的任何一种情形</w:t>
            </w:r>
          </w:p>
        </w:tc>
      </w:tr>
      <w:tr w14:paraId="1E045A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6DD74C9D">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2</w:t>
            </w:r>
          </w:p>
        </w:tc>
        <w:tc>
          <w:tcPr>
            <w:tcW w:w="852" w:type="dxa"/>
            <w:vMerge w:val="restart"/>
            <w:tcBorders>
              <w:right w:val="single" w:color="auto" w:sz="4" w:space="0"/>
            </w:tcBorders>
            <w:vAlign w:val="center"/>
          </w:tcPr>
          <w:p w14:paraId="63B891F5">
            <w:pPr>
              <w:spacing w:line="400" w:lineRule="exact"/>
              <w:jc w:val="center"/>
              <w:rPr>
                <w:rFonts w:ascii="宋体" w:hAnsi="宋体"/>
                <w:color w:val="auto"/>
                <w:kern w:val="0"/>
                <w:highlight w:val="none"/>
              </w:rPr>
            </w:pPr>
            <w:r>
              <w:rPr>
                <w:rFonts w:ascii="宋体" w:hAnsi="宋体"/>
                <w:color w:val="auto"/>
                <w:kern w:val="0"/>
                <w:highlight w:val="none"/>
              </w:rPr>
              <w:t>形式评审标准</w:t>
            </w:r>
          </w:p>
        </w:tc>
        <w:tc>
          <w:tcPr>
            <w:tcW w:w="2492" w:type="dxa"/>
            <w:gridSpan w:val="2"/>
            <w:tcBorders>
              <w:left w:val="single" w:color="auto" w:sz="4" w:space="0"/>
            </w:tcBorders>
            <w:vAlign w:val="center"/>
          </w:tcPr>
          <w:p w14:paraId="1B7876CF">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竞选人</w:t>
            </w:r>
            <w:r>
              <w:rPr>
                <w:rFonts w:ascii="宋体" w:hAnsi="宋体"/>
                <w:color w:val="auto"/>
                <w:kern w:val="0"/>
                <w:highlight w:val="none"/>
              </w:rPr>
              <w:t>名称</w:t>
            </w:r>
          </w:p>
        </w:tc>
        <w:tc>
          <w:tcPr>
            <w:tcW w:w="5728" w:type="dxa"/>
            <w:vAlign w:val="center"/>
          </w:tcPr>
          <w:p w14:paraId="68143F1E">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5A65D0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1CECF160">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5D12C2E5">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center"/>
          </w:tcPr>
          <w:p w14:paraId="457494FA">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竞选文件</w:t>
            </w:r>
            <w:r>
              <w:rPr>
                <w:rFonts w:ascii="宋体" w:hAnsi="宋体"/>
                <w:color w:val="auto"/>
                <w:kern w:val="0"/>
                <w:highlight w:val="none"/>
              </w:rPr>
              <w:t>格式</w:t>
            </w:r>
          </w:p>
        </w:tc>
        <w:tc>
          <w:tcPr>
            <w:tcW w:w="5728" w:type="dxa"/>
            <w:vAlign w:val="center"/>
          </w:tcPr>
          <w:p w14:paraId="13C61481">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w:t>
            </w:r>
            <w:r>
              <w:rPr>
                <w:rFonts w:hint="eastAsia" w:ascii="宋体" w:hAnsi="宋体"/>
                <w:color w:val="auto"/>
                <w:kern w:val="0"/>
                <w:highlight w:val="none"/>
              </w:rPr>
              <w:t>二</w:t>
            </w:r>
            <w:r>
              <w:rPr>
                <w:rFonts w:ascii="宋体" w:hAnsi="宋体"/>
                <w:color w:val="auto"/>
                <w:kern w:val="0"/>
                <w:highlight w:val="none"/>
              </w:rPr>
              <w:t>章“</w:t>
            </w:r>
            <w:r>
              <w:rPr>
                <w:rFonts w:hint="eastAsia" w:ascii="宋体" w:hAnsi="宋体"/>
                <w:color w:val="auto"/>
                <w:kern w:val="0"/>
                <w:highlight w:val="none"/>
                <w:lang w:eastAsia="zh-CN"/>
              </w:rPr>
              <w:t>竞选人</w:t>
            </w:r>
            <w:r>
              <w:rPr>
                <w:rFonts w:hint="eastAsia" w:ascii="宋体" w:hAnsi="宋体"/>
                <w:color w:val="auto"/>
                <w:kern w:val="0"/>
                <w:highlight w:val="none"/>
              </w:rPr>
              <w:t>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43B85D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39" w:hRule="atLeast"/>
          <w:jc w:val="center"/>
        </w:trPr>
        <w:tc>
          <w:tcPr>
            <w:tcW w:w="808" w:type="dxa"/>
            <w:vMerge w:val="continue"/>
            <w:tcBorders>
              <w:right w:val="single" w:color="auto" w:sz="4" w:space="0"/>
            </w:tcBorders>
          </w:tcPr>
          <w:p w14:paraId="7DBAA328">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5DCB21CD">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center"/>
          </w:tcPr>
          <w:p w14:paraId="458E6DC0">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竞选文件</w:t>
            </w:r>
            <w:r>
              <w:rPr>
                <w:rFonts w:ascii="宋体" w:hAnsi="宋体"/>
                <w:color w:val="auto"/>
                <w:kern w:val="0"/>
                <w:highlight w:val="none"/>
              </w:rPr>
              <w:t>的签署</w:t>
            </w:r>
          </w:p>
        </w:tc>
        <w:tc>
          <w:tcPr>
            <w:tcW w:w="5728" w:type="dxa"/>
            <w:vAlign w:val="center"/>
          </w:tcPr>
          <w:p w14:paraId="52194627">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第六章 竞选文件格式要求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p w14:paraId="1942A79A">
            <w:pPr>
              <w:autoSpaceDE w:val="0"/>
              <w:autoSpaceDN w:val="0"/>
              <w:adjustRightInd w:val="0"/>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 xml:space="preserve">第六章 </w:t>
            </w:r>
            <w:r>
              <w:rPr>
                <w:rFonts w:hint="eastAsia" w:ascii="宋体" w:hAnsi="宋体"/>
                <w:color w:val="auto"/>
                <w:kern w:val="0"/>
                <w:highlight w:val="none"/>
                <w:lang w:eastAsia="zh-CN"/>
              </w:rPr>
              <w:t>竞选文件</w:t>
            </w:r>
            <w:r>
              <w:rPr>
                <w:rFonts w:hint="eastAsia" w:ascii="宋体" w:hAnsi="宋体"/>
                <w:color w:val="auto"/>
                <w:kern w:val="0"/>
                <w:highlight w:val="none"/>
              </w:rPr>
              <w:t>格式要求加盖单位法人章的，</w:t>
            </w:r>
            <w:r>
              <w:rPr>
                <w:rFonts w:ascii="宋体" w:hAnsi="宋体"/>
                <w:color w:val="auto"/>
                <w:kern w:val="0"/>
                <w:highlight w:val="none"/>
              </w:rPr>
              <w:t>盖章</w:t>
            </w:r>
            <w:r>
              <w:rPr>
                <w:rFonts w:hint="eastAsia" w:ascii="宋体" w:hAnsi="宋体"/>
                <w:color w:val="auto"/>
                <w:kern w:val="0"/>
                <w:highlight w:val="none"/>
              </w:rPr>
              <w:t>须</w:t>
            </w:r>
            <w:r>
              <w:rPr>
                <w:rFonts w:ascii="宋体" w:hAnsi="宋体"/>
                <w:color w:val="auto"/>
                <w:kern w:val="0"/>
                <w:highlight w:val="none"/>
              </w:rPr>
              <w:t>齐全</w:t>
            </w:r>
            <w:r>
              <w:rPr>
                <w:rFonts w:hint="eastAsia" w:ascii="宋体" w:hAnsi="宋体"/>
                <w:color w:val="auto"/>
                <w:kern w:val="0"/>
                <w:highlight w:val="none"/>
              </w:rPr>
              <w:t>。</w:t>
            </w:r>
          </w:p>
        </w:tc>
      </w:tr>
      <w:tr w14:paraId="188DF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361D8744">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738557C2">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center"/>
          </w:tcPr>
          <w:p w14:paraId="41C4DA87">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728" w:type="dxa"/>
            <w:vAlign w:val="center"/>
          </w:tcPr>
          <w:p w14:paraId="777DD8B4">
            <w:pPr>
              <w:spacing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竞选人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w:t>
            </w:r>
            <w:r>
              <w:rPr>
                <w:rFonts w:hint="eastAsia" w:ascii="宋体" w:hAnsi="宋体"/>
                <w:color w:val="auto"/>
                <w:kern w:val="0"/>
                <w:highlight w:val="none"/>
                <w:lang w:eastAsia="zh-CN"/>
              </w:rPr>
              <w:t>竞选人</w:t>
            </w:r>
            <w:r>
              <w:rPr>
                <w:rFonts w:hint="eastAsia" w:ascii="宋体" w:hAnsi="宋体"/>
                <w:color w:val="auto"/>
                <w:kern w:val="0"/>
                <w:highlight w:val="none"/>
              </w:rPr>
              <w:t>为其缴纳的养老保险。</w:t>
            </w:r>
          </w:p>
        </w:tc>
      </w:tr>
      <w:tr w14:paraId="4065C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07E21074">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59918D4B">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center"/>
          </w:tcPr>
          <w:p w14:paraId="7DD27DA3">
            <w:pPr>
              <w:spacing w:line="400" w:lineRule="exact"/>
              <w:jc w:val="left"/>
              <w:rPr>
                <w:rFonts w:ascii="宋体" w:hAnsi="宋体"/>
                <w:color w:val="auto"/>
                <w:kern w:val="0"/>
                <w:highlight w:val="none"/>
              </w:rPr>
            </w:pPr>
            <w:r>
              <w:rPr>
                <w:color w:val="auto"/>
                <w:highlight w:val="none"/>
              </w:rPr>
              <w:t>备选投标方案</w:t>
            </w:r>
          </w:p>
        </w:tc>
        <w:tc>
          <w:tcPr>
            <w:tcW w:w="5728" w:type="dxa"/>
            <w:vAlign w:val="center"/>
          </w:tcPr>
          <w:p w14:paraId="56CBB6D9">
            <w:pPr>
              <w:spacing w:line="400" w:lineRule="exact"/>
              <w:ind w:firstLine="420" w:firstLineChars="200"/>
              <w:rPr>
                <w:rFonts w:ascii="宋体" w:hAnsi="宋体"/>
                <w:color w:val="auto"/>
                <w:kern w:val="0"/>
                <w:highlight w:val="none"/>
              </w:rPr>
            </w:pPr>
            <w:r>
              <w:rPr>
                <w:rFonts w:ascii="宋体" w:hAnsi="宋体"/>
                <w:color w:val="auto"/>
                <w:kern w:val="0"/>
                <w:highlight w:val="none"/>
              </w:rPr>
              <w:t>除</w:t>
            </w:r>
            <w:r>
              <w:rPr>
                <w:rFonts w:hint="eastAsia" w:ascii="宋体" w:hAnsi="宋体"/>
                <w:color w:val="auto"/>
                <w:kern w:val="0"/>
                <w:highlight w:val="none"/>
                <w:lang w:eastAsia="zh-CN"/>
              </w:rPr>
              <w:t>比选文件</w:t>
            </w:r>
            <w:r>
              <w:rPr>
                <w:rFonts w:ascii="宋体" w:hAnsi="宋体"/>
                <w:color w:val="auto"/>
                <w:kern w:val="0"/>
                <w:highlight w:val="none"/>
              </w:rPr>
              <w:t>明确允许提交备选投标方案外，</w:t>
            </w:r>
            <w:r>
              <w:rPr>
                <w:rFonts w:hint="eastAsia" w:ascii="宋体" w:hAnsi="宋体"/>
                <w:color w:val="auto"/>
                <w:kern w:val="0"/>
                <w:highlight w:val="none"/>
                <w:lang w:eastAsia="zh-CN"/>
              </w:rPr>
              <w:t>竞选人</w:t>
            </w:r>
            <w:r>
              <w:rPr>
                <w:rFonts w:ascii="宋体" w:hAnsi="宋体"/>
                <w:color w:val="auto"/>
                <w:kern w:val="0"/>
                <w:highlight w:val="none"/>
              </w:rPr>
              <w:t>不得提交备选投标方案</w:t>
            </w:r>
          </w:p>
        </w:tc>
      </w:tr>
      <w:tr w14:paraId="1D1809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125B5CD6">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3</w:t>
            </w:r>
          </w:p>
        </w:tc>
        <w:tc>
          <w:tcPr>
            <w:tcW w:w="852" w:type="dxa"/>
            <w:vMerge w:val="restart"/>
            <w:vAlign w:val="center"/>
          </w:tcPr>
          <w:p w14:paraId="555124CF">
            <w:pPr>
              <w:spacing w:line="400" w:lineRule="exact"/>
              <w:jc w:val="center"/>
              <w:rPr>
                <w:rFonts w:ascii="宋体" w:hAnsi="宋体"/>
                <w:color w:val="auto"/>
                <w:kern w:val="0"/>
                <w:highlight w:val="none"/>
              </w:rPr>
            </w:pPr>
            <w:r>
              <w:rPr>
                <w:rFonts w:hint="eastAsia" w:ascii="宋体" w:hAnsi="宋体"/>
                <w:color w:val="auto"/>
                <w:kern w:val="0"/>
                <w:highlight w:val="none"/>
              </w:rPr>
              <w:t>响应性</w:t>
            </w:r>
            <w:r>
              <w:rPr>
                <w:rFonts w:ascii="宋体" w:hAnsi="宋体"/>
                <w:color w:val="auto"/>
                <w:kern w:val="0"/>
                <w:highlight w:val="none"/>
              </w:rPr>
              <w:t>评审标准</w:t>
            </w:r>
          </w:p>
        </w:tc>
        <w:tc>
          <w:tcPr>
            <w:tcW w:w="2492" w:type="dxa"/>
            <w:gridSpan w:val="2"/>
            <w:vAlign w:val="center"/>
          </w:tcPr>
          <w:p w14:paraId="7C1D6D01">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728" w:type="dxa"/>
            <w:vAlign w:val="center"/>
          </w:tcPr>
          <w:p w14:paraId="7360E39D">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须知”第1.3.1项规定</w:t>
            </w:r>
          </w:p>
        </w:tc>
      </w:tr>
      <w:tr w14:paraId="63DFEB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1DADFA8D">
            <w:pPr>
              <w:spacing w:line="400" w:lineRule="exact"/>
              <w:jc w:val="center"/>
              <w:rPr>
                <w:rFonts w:ascii="宋体" w:hAnsi="宋体"/>
                <w:color w:val="auto"/>
                <w:kern w:val="0"/>
                <w:highlight w:val="none"/>
              </w:rPr>
            </w:pPr>
          </w:p>
        </w:tc>
        <w:tc>
          <w:tcPr>
            <w:tcW w:w="852" w:type="dxa"/>
            <w:vMerge w:val="continue"/>
            <w:textDirection w:val="tbRlV"/>
            <w:vAlign w:val="center"/>
          </w:tcPr>
          <w:p w14:paraId="24A6B153">
            <w:pPr>
              <w:spacing w:line="400" w:lineRule="exact"/>
              <w:jc w:val="center"/>
              <w:rPr>
                <w:rFonts w:ascii="宋体" w:hAnsi="宋体"/>
                <w:color w:val="auto"/>
                <w:kern w:val="0"/>
                <w:highlight w:val="none"/>
              </w:rPr>
            </w:pPr>
          </w:p>
        </w:tc>
        <w:tc>
          <w:tcPr>
            <w:tcW w:w="2492" w:type="dxa"/>
            <w:gridSpan w:val="2"/>
            <w:tcBorders>
              <w:top w:val="single" w:color="auto" w:sz="4" w:space="0"/>
            </w:tcBorders>
            <w:vAlign w:val="center"/>
          </w:tcPr>
          <w:p w14:paraId="2F678B13">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728" w:type="dxa"/>
            <w:vAlign w:val="center"/>
          </w:tcPr>
          <w:p w14:paraId="2615FFF9">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w:t>
            </w:r>
            <w:r>
              <w:rPr>
                <w:rFonts w:ascii="宋体" w:hAnsi="宋体"/>
                <w:color w:val="auto"/>
                <w:kern w:val="0"/>
                <w:szCs w:val="21"/>
                <w:highlight w:val="none"/>
              </w:rPr>
              <w:t>第3.4</w:t>
            </w:r>
            <w:r>
              <w:rPr>
                <w:rFonts w:hint="eastAsia" w:ascii="宋体" w:hAnsi="宋体"/>
                <w:color w:val="auto"/>
                <w:kern w:val="0"/>
                <w:szCs w:val="21"/>
                <w:highlight w:val="none"/>
              </w:rPr>
              <w:t>.1项</w:t>
            </w:r>
            <w:r>
              <w:rPr>
                <w:rFonts w:ascii="宋体" w:hAnsi="宋体"/>
                <w:color w:val="auto"/>
                <w:kern w:val="0"/>
                <w:highlight w:val="none"/>
              </w:rPr>
              <w:t>规定</w:t>
            </w:r>
          </w:p>
        </w:tc>
      </w:tr>
      <w:tr w14:paraId="03784A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950" w:hRule="atLeast"/>
          <w:jc w:val="center"/>
        </w:trPr>
        <w:tc>
          <w:tcPr>
            <w:tcW w:w="808" w:type="dxa"/>
            <w:vMerge w:val="continue"/>
          </w:tcPr>
          <w:p w14:paraId="30F13FFE">
            <w:pPr>
              <w:spacing w:line="400" w:lineRule="exact"/>
              <w:jc w:val="center"/>
              <w:rPr>
                <w:rFonts w:ascii="宋体" w:hAnsi="宋体"/>
                <w:color w:val="auto"/>
                <w:highlight w:val="none"/>
              </w:rPr>
            </w:pPr>
          </w:p>
        </w:tc>
        <w:tc>
          <w:tcPr>
            <w:tcW w:w="852" w:type="dxa"/>
            <w:vMerge w:val="continue"/>
          </w:tcPr>
          <w:p w14:paraId="504E8400">
            <w:pPr>
              <w:spacing w:line="400" w:lineRule="exact"/>
              <w:jc w:val="center"/>
              <w:rPr>
                <w:rFonts w:ascii="宋体" w:hAnsi="宋体"/>
                <w:color w:val="auto"/>
                <w:highlight w:val="none"/>
              </w:rPr>
            </w:pPr>
          </w:p>
        </w:tc>
        <w:tc>
          <w:tcPr>
            <w:tcW w:w="2492" w:type="dxa"/>
            <w:gridSpan w:val="2"/>
            <w:vAlign w:val="center"/>
          </w:tcPr>
          <w:p w14:paraId="233ACFFC">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728" w:type="dxa"/>
            <w:vAlign w:val="center"/>
          </w:tcPr>
          <w:p w14:paraId="44F3E6E9">
            <w:pPr>
              <w:spacing w:after="48" w:afterLines="20"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须知”第1.12.1项规定和第四章“合同条款及格式”中的实质性要求和条件，</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不应附有</w:t>
            </w:r>
            <w:r>
              <w:rPr>
                <w:rFonts w:hint="eastAsia" w:ascii="宋体" w:hAnsi="宋体"/>
                <w:color w:val="auto"/>
                <w:kern w:val="0"/>
                <w:szCs w:val="21"/>
                <w:highlight w:val="none"/>
                <w:lang w:eastAsia="zh-CN"/>
              </w:rPr>
              <w:t>比选人</w:t>
            </w:r>
            <w:r>
              <w:rPr>
                <w:rFonts w:ascii="宋体" w:hAnsi="宋体"/>
                <w:color w:val="auto"/>
                <w:kern w:val="0"/>
                <w:szCs w:val="21"/>
                <w:highlight w:val="none"/>
              </w:rPr>
              <w:t>不能接受的条件。</w:t>
            </w:r>
            <w:r>
              <w:rPr>
                <w:rFonts w:hint="eastAsia" w:ascii="宋体" w:hAnsi="宋体"/>
                <w:color w:val="auto"/>
                <w:kern w:val="0"/>
                <w:szCs w:val="21"/>
                <w:highlight w:val="none"/>
              </w:rPr>
              <w:t>（由</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承诺，承诺书格式详见第六章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w:t>
            </w:r>
          </w:p>
        </w:tc>
      </w:tr>
      <w:tr w14:paraId="307C95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14:paraId="0908B095">
            <w:pPr>
              <w:spacing w:line="400" w:lineRule="exact"/>
              <w:rPr>
                <w:rFonts w:ascii="宋体" w:hAnsi="宋体"/>
                <w:color w:val="auto"/>
                <w:highlight w:val="none"/>
              </w:rPr>
            </w:pPr>
          </w:p>
        </w:tc>
        <w:tc>
          <w:tcPr>
            <w:tcW w:w="852" w:type="dxa"/>
            <w:vMerge w:val="continue"/>
          </w:tcPr>
          <w:p w14:paraId="41462912">
            <w:pPr>
              <w:spacing w:line="400" w:lineRule="exact"/>
              <w:rPr>
                <w:rFonts w:ascii="宋体" w:hAnsi="宋体"/>
                <w:color w:val="auto"/>
                <w:highlight w:val="none"/>
              </w:rPr>
            </w:pPr>
          </w:p>
        </w:tc>
        <w:tc>
          <w:tcPr>
            <w:tcW w:w="2492" w:type="dxa"/>
            <w:gridSpan w:val="2"/>
            <w:vAlign w:val="center"/>
          </w:tcPr>
          <w:p w14:paraId="25CA0E00">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728" w:type="dxa"/>
            <w:vAlign w:val="center"/>
          </w:tcPr>
          <w:p w14:paraId="6EF7DF9B">
            <w:pPr>
              <w:spacing w:after="48"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符合第五章“发包人要求”中的实质性要求和条件</w:t>
            </w:r>
            <w:r>
              <w:rPr>
                <w:rFonts w:hint="eastAsia" w:ascii="宋体" w:hAnsi="宋体"/>
                <w:color w:val="auto"/>
                <w:kern w:val="0"/>
                <w:szCs w:val="21"/>
                <w:highlight w:val="none"/>
              </w:rPr>
              <w:t>（由</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承诺，承诺书格式详见第六章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w:t>
            </w:r>
          </w:p>
          <w:p w14:paraId="0F6AA720">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195278BA">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按评标委员会要求澄清、说明或补正。</w:t>
            </w:r>
          </w:p>
        </w:tc>
      </w:tr>
      <w:tr w14:paraId="723335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14:paraId="55F8B4A6">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gridSpan w:val="2"/>
            <w:vAlign w:val="center"/>
          </w:tcPr>
          <w:p w14:paraId="6F92CF84">
            <w:pPr>
              <w:spacing w:line="400" w:lineRule="exact"/>
              <w:jc w:val="center"/>
              <w:rPr>
                <w:rFonts w:ascii="宋体" w:hAnsi="宋体"/>
                <w:b/>
                <w:color w:val="auto"/>
                <w:kern w:val="0"/>
                <w:highlight w:val="none"/>
              </w:rPr>
            </w:pPr>
            <w:r>
              <w:rPr>
                <w:rFonts w:hint="eastAsia" w:ascii="宋体" w:hAnsi="宋体"/>
                <w:b/>
                <w:color w:val="auto"/>
                <w:kern w:val="0"/>
                <w:highlight w:val="none"/>
              </w:rPr>
              <w:t>条款内容</w:t>
            </w:r>
          </w:p>
        </w:tc>
        <w:tc>
          <w:tcPr>
            <w:tcW w:w="5728" w:type="dxa"/>
            <w:vAlign w:val="center"/>
          </w:tcPr>
          <w:p w14:paraId="0DDF5409">
            <w:pPr>
              <w:spacing w:line="400" w:lineRule="exact"/>
              <w:jc w:val="center"/>
              <w:rPr>
                <w:rFonts w:ascii="宋体" w:hAnsi="宋体"/>
                <w:b/>
                <w:color w:val="auto"/>
                <w:kern w:val="0"/>
                <w:highlight w:val="none"/>
              </w:rPr>
            </w:pPr>
            <w:r>
              <w:rPr>
                <w:rFonts w:hint="eastAsia" w:ascii="宋体" w:hAnsi="宋体"/>
                <w:b/>
                <w:color w:val="auto"/>
                <w:kern w:val="0"/>
                <w:highlight w:val="none"/>
              </w:rPr>
              <w:t>编列内容</w:t>
            </w:r>
          </w:p>
        </w:tc>
      </w:tr>
      <w:bookmarkEnd w:id="530"/>
      <w:bookmarkEnd w:id="531"/>
      <w:bookmarkEnd w:id="532"/>
      <w:bookmarkEnd w:id="533"/>
      <w:bookmarkEnd w:id="534"/>
      <w:tr w14:paraId="2A60C6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660" w:type="dxa"/>
            <w:gridSpan w:val="2"/>
            <w:vAlign w:val="center"/>
          </w:tcPr>
          <w:p w14:paraId="35DAA6F5">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492" w:type="dxa"/>
            <w:gridSpan w:val="2"/>
            <w:vAlign w:val="center"/>
          </w:tcPr>
          <w:p w14:paraId="52E1CD2A">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w:t>
            </w:r>
          </w:p>
          <w:p w14:paraId="42B4FE70">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 xml:space="preserve"> （总分1</w:t>
            </w:r>
            <w:r>
              <w:rPr>
                <w:rFonts w:hint="eastAsia" w:ascii="宋体" w:hAnsi="宋体"/>
                <w:color w:val="auto"/>
                <w:kern w:val="0"/>
                <w:highlight w:val="none"/>
              </w:rPr>
              <w:t>00</w:t>
            </w:r>
            <w:r>
              <w:rPr>
                <w:rFonts w:ascii="宋体" w:hAnsi="宋体"/>
                <w:color w:val="auto"/>
                <w:kern w:val="0"/>
                <w:highlight w:val="none"/>
              </w:rPr>
              <w:t>分）</w:t>
            </w:r>
          </w:p>
        </w:tc>
        <w:tc>
          <w:tcPr>
            <w:tcW w:w="5728" w:type="dxa"/>
            <w:vAlign w:val="center"/>
          </w:tcPr>
          <w:p w14:paraId="294D9FE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技术部分</w:t>
            </w:r>
            <w:r>
              <w:rPr>
                <w:rFonts w:ascii="宋体" w:hAnsi="宋体"/>
                <w:color w:val="auto"/>
                <w:kern w:val="0"/>
                <w:highlight w:val="none"/>
                <w:u w:val="single"/>
              </w:rPr>
              <w:t>　</w:t>
            </w:r>
            <w:r>
              <w:rPr>
                <w:rFonts w:hint="eastAsia" w:ascii="宋体" w:hAnsi="宋体"/>
                <w:color w:val="auto"/>
                <w:kern w:val="0"/>
                <w:highlight w:val="none"/>
                <w:u w:val="single"/>
                <w:lang w:val="en-US" w:eastAsia="zh-CN"/>
              </w:rPr>
              <w:t>70</w:t>
            </w:r>
            <w:r>
              <w:rPr>
                <w:rFonts w:ascii="宋体" w:hAnsi="宋体"/>
                <w:color w:val="auto"/>
                <w:kern w:val="0"/>
                <w:highlight w:val="none"/>
                <w:u w:val="single"/>
              </w:rPr>
              <w:t>　</w:t>
            </w:r>
            <w:r>
              <w:rPr>
                <w:rFonts w:ascii="宋体" w:hAnsi="宋体"/>
                <w:color w:val="auto"/>
                <w:kern w:val="0"/>
                <w:highlight w:val="none"/>
              </w:rPr>
              <w:t>分</w:t>
            </w:r>
            <w:r>
              <w:rPr>
                <w:rFonts w:hint="eastAsia" w:ascii="宋体" w:hAnsi="宋体"/>
                <w:color w:val="auto"/>
                <w:kern w:val="0"/>
                <w:highlight w:val="none"/>
              </w:rPr>
              <w:t>；</w:t>
            </w:r>
          </w:p>
          <w:p w14:paraId="6C530C66">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color w:val="auto"/>
                <w:kern w:val="0"/>
                <w:highlight w:val="none"/>
              </w:rPr>
            </w:pPr>
            <w:r>
              <w:rPr>
                <w:rFonts w:hint="eastAsia" w:ascii="宋体" w:hAnsi="宋体"/>
                <w:color w:val="auto"/>
                <w:kern w:val="0"/>
                <w:highlight w:val="none"/>
              </w:rPr>
              <w:t>设计方案</w:t>
            </w:r>
            <w:r>
              <w:rPr>
                <w:rFonts w:hint="eastAsia" w:ascii="宋体" w:hAnsi="宋体"/>
                <w:color w:val="auto"/>
                <w:kern w:val="0"/>
                <w:highlight w:val="none"/>
                <w:u w:val="single"/>
                <w:lang w:val="en-US" w:eastAsia="zh-CN"/>
              </w:rPr>
              <w:t>70</w:t>
            </w:r>
            <w:r>
              <w:rPr>
                <w:rFonts w:hint="eastAsia" w:ascii="宋体" w:hAnsi="宋体"/>
                <w:color w:val="auto"/>
                <w:kern w:val="0"/>
                <w:highlight w:val="none"/>
                <w:u w:val="single"/>
              </w:rPr>
              <w:t xml:space="preserve"> </w:t>
            </w:r>
            <w:r>
              <w:rPr>
                <w:rFonts w:ascii="宋体" w:hAnsi="宋体"/>
                <w:color w:val="auto"/>
                <w:kern w:val="0"/>
                <w:highlight w:val="none"/>
              </w:rPr>
              <w:t>分</w:t>
            </w:r>
            <w:r>
              <w:rPr>
                <w:rFonts w:hint="eastAsia" w:ascii="宋体" w:hAnsi="宋体"/>
                <w:color w:val="auto"/>
                <w:kern w:val="0"/>
                <w:highlight w:val="none"/>
              </w:rPr>
              <w:t>；</w:t>
            </w:r>
          </w:p>
          <w:p w14:paraId="7E3FD65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i/>
                <w:color w:val="auto"/>
                <w:kern w:val="0"/>
                <w:highlight w:val="none"/>
              </w:rPr>
            </w:pPr>
            <w:r>
              <w:rPr>
                <w:rFonts w:hint="eastAsia"/>
                <w:color w:val="auto"/>
                <w:highlight w:val="none"/>
              </w:rPr>
              <w:t>2</w:t>
            </w:r>
            <w:r>
              <w:rPr>
                <w:color w:val="auto"/>
                <w:highlight w:val="none"/>
              </w:rPr>
              <w:t>.</w:t>
            </w:r>
            <w:r>
              <w:rPr>
                <w:rFonts w:hint="eastAsia" w:ascii="宋体" w:hAnsi="宋体"/>
                <w:color w:val="auto"/>
                <w:kern w:val="0"/>
                <w:highlight w:val="none"/>
              </w:rPr>
              <w:t>投标报价</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30</w:t>
            </w:r>
            <w:r>
              <w:rPr>
                <w:rFonts w:hint="eastAsia" w:ascii="宋体" w:hAnsi="宋体"/>
                <w:color w:val="auto"/>
                <w:kern w:val="0"/>
                <w:highlight w:val="none"/>
                <w:u w:val="single"/>
              </w:rPr>
              <w:t xml:space="preserve"> </w:t>
            </w:r>
            <w:r>
              <w:rPr>
                <w:rFonts w:hint="eastAsia" w:ascii="宋体" w:hAnsi="宋体"/>
                <w:color w:val="auto"/>
                <w:kern w:val="0"/>
                <w:highlight w:val="none"/>
              </w:rPr>
              <w:t>分。</w:t>
            </w:r>
          </w:p>
        </w:tc>
      </w:tr>
      <w:tr w14:paraId="53F391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1660" w:type="dxa"/>
            <w:gridSpan w:val="2"/>
            <w:vAlign w:val="center"/>
          </w:tcPr>
          <w:p w14:paraId="380E12D6">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2</w:t>
            </w:r>
          </w:p>
        </w:tc>
        <w:tc>
          <w:tcPr>
            <w:tcW w:w="2492" w:type="dxa"/>
            <w:gridSpan w:val="2"/>
            <w:vAlign w:val="center"/>
          </w:tcPr>
          <w:p w14:paraId="1A1BF92D">
            <w:pPr>
              <w:tabs>
                <w:tab w:val="left" w:pos="1875"/>
              </w:tabs>
              <w:spacing w:line="400" w:lineRule="exact"/>
              <w:jc w:val="center"/>
              <w:rPr>
                <w:rFonts w:ascii="宋体" w:hAnsi="宋体"/>
                <w:color w:val="auto"/>
                <w:kern w:val="0"/>
                <w:highlight w:val="none"/>
              </w:rPr>
            </w:pPr>
            <w:r>
              <w:rPr>
                <w:color w:val="auto"/>
                <w:highlight w:val="none"/>
              </w:rPr>
              <w:t>评标基准价计算方法</w:t>
            </w:r>
          </w:p>
        </w:tc>
        <w:tc>
          <w:tcPr>
            <w:tcW w:w="5728" w:type="dxa"/>
            <w:vAlign w:val="center"/>
          </w:tcPr>
          <w:p w14:paraId="642AD747">
            <w:pPr>
              <w:snapToGrid w:val="0"/>
              <w:spacing w:line="400" w:lineRule="exact"/>
              <w:ind w:firstLine="420" w:firstLineChars="200"/>
              <w:jc w:val="left"/>
              <w:rPr>
                <w:color w:val="auto"/>
                <w:highlight w:val="none"/>
              </w:rPr>
            </w:pPr>
            <w:r>
              <w:rPr>
                <w:color w:val="auto"/>
                <w:highlight w:val="none"/>
              </w:rPr>
              <w:t>所有通过初步评审</w:t>
            </w:r>
            <w:r>
              <w:rPr>
                <w:rFonts w:hint="eastAsia"/>
                <w:color w:val="auto"/>
                <w:highlight w:val="none"/>
              </w:rPr>
              <w:t>和本章第2.2.</w:t>
            </w:r>
            <w:r>
              <w:rPr>
                <w:color w:val="auto"/>
                <w:highlight w:val="none"/>
              </w:rPr>
              <w:t>4</w:t>
            </w:r>
            <w:r>
              <w:rPr>
                <w:rFonts w:hint="eastAsia"/>
                <w:color w:val="auto"/>
                <w:highlight w:val="none"/>
              </w:rPr>
              <w:t>（</w:t>
            </w:r>
            <w:r>
              <w:rPr>
                <w:color w:val="auto"/>
                <w:highlight w:val="none"/>
              </w:rPr>
              <w:t>3</w:t>
            </w:r>
            <w:r>
              <w:rPr>
                <w:rFonts w:hint="eastAsia"/>
                <w:color w:val="auto"/>
                <w:highlight w:val="none"/>
              </w:rPr>
              <w:t>）目评审</w:t>
            </w:r>
            <w:r>
              <w:rPr>
                <w:color w:val="auto"/>
                <w:highlight w:val="none"/>
              </w:rPr>
              <w:t>合格的</w:t>
            </w:r>
            <w:r>
              <w:rPr>
                <w:rFonts w:hint="eastAsia"/>
                <w:color w:val="auto"/>
                <w:highlight w:val="none"/>
                <w:lang w:eastAsia="zh-CN"/>
              </w:rPr>
              <w:t>竞选人</w:t>
            </w:r>
            <w:r>
              <w:rPr>
                <w:color w:val="auto"/>
                <w:highlight w:val="none"/>
              </w:rPr>
              <w:t>的投标总报价</w:t>
            </w:r>
            <w:r>
              <w:rPr>
                <w:rFonts w:hint="eastAsia"/>
                <w:color w:val="auto"/>
                <w:highlight w:val="none"/>
              </w:rPr>
              <w:t>（或暂定设计费报价）</w:t>
            </w:r>
            <w:r>
              <w:rPr>
                <w:color w:val="auto"/>
                <w:highlight w:val="none"/>
              </w:rPr>
              <w:t>中去掉六分之一（不能整除的按小数点前整数取整，不足六家报价则不去掉）</w:t>
            </w:r>
            <w:r>
              <w:rPr>
                <w:rFonts w:ascii="宋体" w:hAnsi="宋体"/>
                <w:color w:val="auto"/>
                <w:kern w:val="0"/>
                <w:szCs w:val="21"/>
                <w:highlight w:val="none"/>
              </w:rPr>
              <w:t>的</w:t>
            </w:r>
            <w:r>
              <w:rPr>
                <w:rFonts w:hint="eastAsia" w:ascii="宋体" w:hAnsi="宋体"/>
                <w:color w:val="auto"/>
                <w:kern w:val="0"/>
                <w:szCs w:val="21"/>
                <w:highlight w:val="none"/>
              </w:rPr>
              <w:t>最低价和相同家数的最高价后的算术平均值与本项目</w:t>
            </w:r>
            <w:r>
              <w:rPr>
                <w:rFonts w:hint="eastAsia" w:ascii="宋体" w:hAnsi="宋体"/>
                <w:color w:val="auto"/>
                <w:kern w:val="0"/>
                <w:szCs w:val="21"/>
                <w:highlight w:val="none"/>
                <w:lang w:val="en-US" w:eastAsia="zh-CN"/>
              </w:rPr>
              <w:t>总报价</w:t>
            </w:r>
            <w:r>
              <w:rPr>
                <w:rFonts w:hint="eastAsia" w:ascii="宋体" w:hAnsi="宋体"/>
                <w:color w:val="auto"/>
                <w:kern w:val="0"/>
                <w:szCs w:val="21"/>
                <w:highlight w:val="none"/>
              </w:rPr>
              <w:t>最高限价再取平均值</w:t>
            </w:r>
            <w:r>
              <w:rPr>
                <w:rFonts w:hint="eastAsia"/>
                <w:color w:val="auto"/>
                <w:highlight w:val="none"/>
              </w:rPr>
              <w:t>，</w:t>
            </w:r>
            <w:r>
              <w:rPr>
                <w:color w:val="auto"/>
                <w:highlight w:val="none"/>
              </w:rPr>
              <w:t>即为本项目投标总报价的评标基准价</w:t>
            </w:r>
            <w:r>
              <w:rPr>
                <w:rFonts w:hint="eastAsia"/>
                <w:color w:val="auto"/>
                <w:highlight w:val="none"/>
              </w:rPr>
              <w:t>。</w:t>
            </w:r>
          </w:p>
          <w:p w14:paraId="60019000">
            <w:pPr>
              <w:snapToGrid w:val="0"/>
              <w:spacing w:line="400" w:lineRule="exact"/>
              <w:ind w:firstLine="420" w:firstLineChars="200"/>
              <w:jc w:val="left"/>
              <w:rPr>
                <w:rFonts w:hint="default" w:eastAsia="宋体"/>
                <w:color w:val="auto"/>
                <w:highlight w:val="none"/>
                <w:lang w:val="en-US" w:eastAsia="zh-CN"/>
              </w:rPr>
            </w:pPr>
            <w:r>
              <w:rPr>
                <w:rFonts w:hint="eastAsia"/>
                <w:color w:val="auto"/>
                <w:highlight w:val="none"/>
              </w:rPr>
              <w:t>评标基准价计算的最终</w:t>
            </w:r>
            <w:r>
              <w:rPr>
                <w:color w:val="auto"/>
                <w:highlight w:val="none"/>
              </w:rPr>
              <w:t>结果取小数点后两位，第三位四舍五入。在评标基准价计算完成后（除计算错误外），在后续的评审中不得再对其做出调整。</w:t>
            </w:r>
          </w:p>
        </w:tc>
      </w:tr>
      <w:tr w14:paraId="75E74D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14:paraId="7B64671A">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3</w:t>
            </w:r>
          </w:p>
        </w:tc>
        <w:tc>
          <w:tcPr>
            <w:tcW w:w="2492" w:type="dxa"/>
            <w:gridSpan w:val="2"/>
            <w:vAlign w:val="center"/>
          </w:tcPr>
          <w:p w14:paraId="74076996">
            <w:pPr>
              <w:tabs>
                <w:tab w:val="left" w:pos="1875"/>
              </w:tabs>
              <w:spacing w:line="400" w:lineRule="exact"/>
              <w:jc w:val="center"/>
              <w:rPr>
                <w:color w:val="auto"/>
                <w:highlight w:val="none"/>
              </w:rPr>
            </w:pPr>
            <w:r>
              <w:rPr>
                <w:color w:val="auto"/>
                <w:highlight w:val="none"/>
              </w:rPr>
              <w:t>投标报价的偏差率计算公式</w:t>
            </w:r>
          </w:p>
        </w:tc>
        <w:tc>
          <w:tcPr>
            <w:tcW w:w="5728" w:type="dxa"/>
            <w:vAlign w:val="center"/>
          </w:tcPr>
          <w:p w14:paraId="52A035F1">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lang w:eastAsia="zh-CN"/>
              </w:rPr>
              <w:t>竞选人</w:t>
            </w:r>
            <w:r>
              <w:rPr>
                <w:rFonts w:ascii="宋体" w:hAnsi="宋体"/>
                <w:color w:val="auto"/>
                <w:kern w:val="0"/>
                <w:highlight w:val="none"/>
              </w:rPr>
              <w:t>报价一评标基准价）／评标基准价</w:t>
            </w:r>
          </w:p>
          <w:p w14:paraId="6024C5E9">
            <w:pPr>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5A614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14:paraId="5E13BA6F">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gridSpan w:val="2"/>
            <w:vAlign w:val="center"/>
          </w:tcPr>
          <w:p w14:paraId="01A5CFA4">
            <w:pPr>
              <w:spacing w:line="400" w:lineRule="exact"/>
              <w:jc w:val="center"/>
              <w:rPr>
                <w:rFonts w:ascii="宋体" w:hAnsi="宋体"/>
                <w:b/>
                <w:color w:val="auto"/>
                <w:kern w:val="0"/>
                <w:highlight w:val="none"/>
              </w:rPr>
            </w:pPr>
            <w:r>
              <w:rPr>
                <w:rFonts w:hint="eastAsia" w:ascii="宋体" w:hAnsi="宋体"/>
                <w:b/>
                <w:color w:val="auto"/>
                <w:kern w:val="0"/>
                <w:highlight w:val="none"/>
              </w:rPr>
              <w:t>评分因素</w:t>
            </w:r>
          </w:p>
        </w:tc>
        <w:tc>
          <w:tcPr>
            <w:tcW w:w="5728" w:type="dxa"/>
            <w:vAlign w:val="center"/>
          </w:tcPr>
          <w:p w14:paraId="798BA4C5">
            <w:pPr>
              <w:spacing w:line="400" w:lineRule="exact"/>
              <w:jc w:val="center"/>
              <w:rPr>
                <w:rFonts w:ascii="宋体" w:hAnsi="宋体"/>
                <w:b/>
                <w:color w:val="auto"/>
                <w:kern w:val="0"/>
                <w:highlight w:val="none"/>
              </w:rPr>
            </w:pPr>
            <w:r>
              <w:rPr>
                <w:rFonts w:hint="eastAsia" w:ascii="宋体" w:hAnsi="宋体"/>
                <w:b/>
                <w:color w:val="auto"/>
                <w:kern w:val="0"/>
                <w:highlight w:val="none"/>
              </w:rPr>
              <w:t>评分标准</w:t>
            </w:r>
          </w:p>
        </w:tc>
      </w:tr>
      <w:tr w14:paraId="07B7A3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049699EA">
            <w:pPr>
              <w:spacing w:line="400" w:lineRule="exact"/>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（1）</w:t>
            </w:r>
          </w:p>
        </w:tc>
        <w:tc>
          <w:tcPr>
            <w:tcW w:w="852" w:type="dxa"/>
            <w:vMerge w:val="restart"/>
            <w:tcBorders>
              <w:left w:val="single" w:color="auto" w:sz="4" w:space="0"/>
            </w:tcBorders>
            <w:vAlign w:val="center"/>
          </w:tcPr>
          <w:p w14:paraId="14B5B290">
            <w:pPr>
              <w:pStyle w:val="17"/>
              <w:jc w:val="center"/>
              <w:rPr>
                <w:rFonts w:ascii="宋体" w:hAnsi="宋体"/>
                <w:color w:val="auto"/>
                <w:kern w:val="0"/>
                <w:highlight w:val="none"/>
              </w:rPr>
            </w:pPr>
            <w:r>
              <w:rPr>
                <w:rFonts w:hint="eastAsia" w:ascii="宋体" w:hAnsi="宋体"/>
                <w:color w:val="auto"/>
                <w:kern w:val="0"/>
                <w:highlight w:val="none"/>
              </w:rPr>
              <w:t>技术部分评分（</w:t>
            </w:r>
            <w:r>
              <w:rPr>
                <w:color w:val="auto"/>
                <w:kern w:val="0"/>
                <w:highlight w:val="none"/>
              </w:rPr>
              <w:t>A</w:t>
            </w:r>
            <w:r>
              <w:rPr>
                <w:rFonts w:hint="eastAsia" w:ascii="宋体" w:hAnsi="宋体"/>
                <w:color w:val="auto"/>
                <w:kern w:val="0"/>
                <w:highlight w:val="none"/>
              </w:rPr>
              <w:t>）标准</w:t>
            </w:r>
          </w:p>
          <w:p w14:paraId="2199A43B">
            <w:pPr>
              <w:pStyle w:val="17"/>
              <w:jc w:val="center"/>
              <w:rPr>
                <w:rFonts w:ascii="宋体" w:hAnsi="宋体"/>
                <w:color w:val="auto"/>
                <w:kern w:val="0"/>
                <w:highlight w:val="none"/>
              </w:rPr>
            </w:pPr>
          </w:p>
        </w:tc>
        <w:tc>
          <w:tcPr>
            <w:tcW w:w="2492" w:type="dxa"/>
            <w:gridSpan w:val="2"/>
            <w:tcBorders>
              <w:bottom w:val="single" w:color="auto" w:sz="4" w:space="0"/>
            </w:tcBorders>
            <w:vAlign w:val="center"/>
          </w:tcPr>
          <w:p w14:paraId="478E93C9">
            <w:pPr>
              <w:tabs>
                <w:tab w:val="left" w:pos="1875"/>
              </w:tabs>
              <w:spacing w:line="400" w:lineRule="exact"/>
              <w:jc w:val="center"/>
              <w:rPr>
                <w:rFonts w:ascii="宋体" w:hAnsi="宋体"/>
                <w:color w:val="auto"/>
                <w:kern w:val="0"/>
                <w:highlight w:val="none"/>
              </w:rPr>
            </w:pPr>
            <w:r>
              <w:rPr>
                <w:rFonts w:hint="eastAsia" w:ascii="宋体" w:hAnsi="宋体"/>
                <w:color w:val="auto"/>
                <w:kern w:val="0"/>
                <w:highlight w:val="none"/>
              </w:rPr>
              <w:t>设计方案总体评审标准</w:t>
            </w:r>
          </w:p>
        </w:tc>
        <w:tc>
          <w:tcPr>
            <w:tcW w:w="5728" w:type="dxa"/>
            <w:vAlign w:val="center"/>
          </w:tcPr>
          <w:p w14:paraId="1ACA49D4">
            <w:pPr>
              <w:autoSpaceDE w:val="0"/>
              <w:autoSpaceDN w:val="0"/>
              <w:adjustRightInd w:val="0"/>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采用暗标评审的，设计方案不符合第二章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须知前附表第3.7.5项要求的，</w:t>
            </w:r>
            <w:r>
              <w:rPr>
                <w:rFonts w:hint="eastAsia" w:ascii="宋体" w:hAnsi="宋体"/>
                <w:color w:val="auto"/>
                <w:szCs w:val="21"/>
                <w:highlight w:val="none"/>
                <w:lang w:val="en-US" w:eastAsia="zh-CN"/>
              </w:rPr>
              <w:t>其设计方案</w:t>
            </w:r>
            <w:r>
              <w:rPr>
                <w:rFonts w:hint="eastAsia" w:ascii="宋体" w:hAnsi="宋体"/>
                <w:color w:val="auto"/>
                <w:szCs w:val="21"/>
                <w:highlight w:val="none"/>
              </w:rPr>
              <w:t>部分得0分</w:t>
            </w:r>
            <w:r>
              <w:rPr>
                <w:rFonts w:hint="eastAsia" w:ascii="宋体" w:hAnsi="宋体"/>
                <w:color w:val="auto"/>
                <w:highlight w:val="none"/>
                <w:u w:val="none"/>
                <w:lang w:eastAsia="zh-CN"/>
              </w:rPr>
              <w:t>。</w:t>
            </w:r>
          </w:p>
          <w:p w14:paraId="4A31DE76">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取算术平均值为该</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设计</w:t>
            </w:r>
            <w:r>
              <w:rPr>
                <w:rFonts w:ascii="宋体" w:hAnsi="宋体"/>
                <w:snapToGrid w:val="0"/>
                <w:color w:val="auto"/>
                <w:kern w:val="0"/>
                <w:szCs w:val="21"/>
                <w:highlight w:val="none"/>
              </w:rPr>
              <w:t>方案得分。</w:t>
            </w:r>
          </w:p>
          <w:p w14:paraId="469A69FF">
            <w:pPr>
              <w:snapToGrid w:val="0"/>
              <w:spacing w:line="400" w:lineRule="exact"/>
              <w:ind w:firstLine="420" w:firstLineChars="200"/>
              <w:rPr>
                <w:rFonts w:ascii="宋体" w:hAnsi="宋体"/>
                <w:color w:val="auto"/>
                <w:highlight w:val="none"/>
                <w:u w:val="single"/>
              </w:rPr>
            </w:pPr>
            <w:r>
              <w:rPr>
                <w:rFonts w:hint="eastAsia" w:ascii="宋体" w:hAnsi="宋体"/>
                <w:color w:val="auto"/>
                <w:kern w:val="0"/>
                <w:szCs w:val="21"/>
                <w:highlight w:val="none"/>
              </w:rPr>
              <w:t>设计</w:t>
            </w:r>
            <w:r>
              <w:rPr>
                <w:rFonts w:ascii="宋体" w:hAnsi="宋体"/>
                <w:color w:val="auto"/>
                <w:kern w:val="0"/>
                <w:szCs w:val="21"/>
                <w:highlight w:val="none"/>
              </w:rPr>
              <w:t>方案得分的最终结果取小数点后两位，第三位四舍五入。</w:t>
            </w:r>
          </w:p>
        </w:tc>
      </w:tr>
      <w:tr w14:paraId="726911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3FB4A020">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1B8BB2FE">
            <w:pPr>
              <w:spacing w:line="400" w:lineRule="exact"/>
              <w:ind w:firstLine="210" w:firstLineChars="100"/>
              <w:jc w:val="center"/>
              <w:rPr>
                <w:rFonts w:ascii="宋体" w:hAnsi="宋体"/>
                <w:color w:val="auto"/>
                <w:kern w:val="0"/>
                <w:highlight w:val="none"/>
              </w:rPr>
            </w:pPr>
          </w:p>
        </w:tc>
        <w:tc>
          <w:tcPr>
            <w:tcW w:w="740" w:type="dxa"/>
            <w:vMerge w:val="restart"/>
            <w:tcBorders>
              <w:right w:val="single" w:color="auto" w:sz="4" w:space="0"/>
            </w:tcBorders>
          </w:tcPr>
          <w:p w14:paraId="1DB0E86D">
            <w:pPr>
              <w:tabs>
                <w:tab w:val="left" w:pos="1875"/>
              </w:tabs>
              <w:spacing w:line="400" w:lineRule="exact"/>
              <w:jc w:val="left"/>
              <w:rPr>
                <w:rFonts w:ascii="宋体" w:hAnsi="宋体"/>
                <w:color w:val="auto"/>
                <w:kern w:val="0"/>
                <w:highlight w:val="none"/>
              </w:rPr>
            </w:pPr>
          </w:p>
          <w:p w14:paraId="39F2BE35">
            <w:pPr>
              <w:tabs>
                <w:tab w:val="left" w:pos="1875"/>
              </w:tabs>
              <w:spacing w:line="400" w:lineRule="exact"/>
              <w:jc w:val="left"/>
              <w:rPr>
                <w:rFonts w:ascii="宋体" w:hAnsi="宋体"/>
                <w:color w:val="auto"/>
                <w:kern w:val="0"/>
                <w:highlight w:val="none"/>
              </w:rPr>
            </w:pPr>
          </w:p>
          <w:p w14:paraId="4E62CEB6">
            <w:pPr>
              <w:tabs>
                <w:tab w:val="left" w:pos="1875"/>
              </w:tabs>
              <w:spacing w:line="400" w:lineRule="exact"/>
              <w:jc w:val="left"/>
              <w:rPr>
                <w:rFonts w:ascii="宋体" w:hAnsi="宋体"/>
                <w:color w:val="auto"/>
                <w:kern w:val="0"/>
                <w:highlight w:val="none"/>
              </w:rPr>
            </w:pPr>
          </w:p>
          <w:p w14:paraId="6BFFB4BA">
            <w:pPr>
              <w:tabs>
                <w:tab w:val="left" w:pos="1875"/>
              </w:tabs>
              <w:spacing w:line="400" w:lineRule="exact"/>
              <w:jc w:val="left"/>
              <w:rPr>
                <w:rFonts w:ascii="宋体" w:hAnsi="宋体"/>
                <w:color w:val="auto"/>
                <w:kern w:val="0"/>
                <w:highlight w:val="none"/>
              </w:rPr>
            </w:pPr>
          </w:p>
          <w:p w14:paraId="098BB076">
            <w:pPr>
              <w:tabs>
                <w:tab w:val="left" w:pos="1875"/>
              </w:tabs>
              <w:spacing w:line="400" w:lineRule="exact"/>
              <w:jc w:val="left"/>
              <w:rPr>
                <w:rFonts w:ascii="宋体" w:hAnsi="宋体"/>
                <w:color w:val="auto"/>
                <w:kern w:val="0"/>
                <w:highlight w:val="none"/>
              </w:rPr>
            </w:pPr>
          </w:p>
          <w:p w14:paraId="08485060">
            <w:pPr>
              <w:tabs>
                <w:tab w:val="left" w:pos="1875"/>
              </w:tabs>
              <w:spacing w:line="400" w:lineRule="exact"/>
              <w:jc w:val="left"/>
              <w:rPr>
                <w:rFonts w:ascii="宋体" w:hAnsi="宋体"/>
                <w:color w:val="auto"/>
                <w:kern w:val="0"/>
                <w:highlight w:val="none"/>
              </w:rPr>
            </w:pPr>
            <w:r>
              <w:rPr>
                <w:rFonts w:hint="eastAsia" w:ascii="宋体" w:hAnsi="宋体"/>
                <w:color w:val="auto"/>
                <w:kern w:val="0"/>
                <w:highlight w:val="none"/>
              </w:rPr>
              <w:t>设计</w:t>
            </w:r>
            <w:r>
              <w:rPr>
                <w:rFonts w:ascii="宋体" w:hAnsi="宋体"/>
                <w:color w:val="auto"/>
                <w:kern w:val="0"/>
                <w:highlight w:val="none"/>
              </w:rPr>
              <w:t>方案评审因素</w:t>
            </w:r>
          </w:p>
        </w:tc>
        <w:tc>
          <w:tcPr>
            <w:tcW w:w="1752" w:type="dxa"/>
            <w:tcBorders>
              <w:left w:val="single" w:color="auto" w:sz="4" w:space="0"/>
            </w:tcBorders>
            <w:vAlign w:val="center"/>
          </w:tcPr>
          <w:p w14:paraId="054B1773">
            <w:pPr>
              <w:tabs>
                <w:tab w:val="left" w:pos="1875"/>
              </w:tabs>
              <w:spacing w:line="400" w:lineRule="exact"/>
              <w:rPr>
                <w:rFonts w:ascii="宋体" w:hAnsi="宋体" w:cs="宋体"/>
                <w:color w:val="auto"/>
                <w:kern w:val="0"/>
                <w:highlight w:val="none"/>
              </w:rPr>
            </w:pPr>
            <w:r>
              <w:rPr>
                <w:rFonts w:hint="eastAsia"/>
                <w:color w:val="auto"/>
                <w:highlight w:val="none"/>
              </w:rPr>
              <w:t>设计方案完整性、合规性</w:t>
            </w:r>
          </w:p>
        </w:tc>
        <w:tc>
          <w:tcPr>
            <w:tcW w:w="5728" w:type="dxa"/>
            <w:vAlign w:val="center"/>
          </w:tcPr>
          <w:p w14:paraId="479032A0">
            <w:pPr>
              <w:snapToGrid w:val="0"/>
              <w:spacing w:line="400" w:lineRule="exact"/>
              <w:ind w:firstLine="420" w:firstLineChars="2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hint="eastAsia" w:ascii="宋体" w:hAnsi="宋体"/>
                <w:color w:val="auto"/>
                <w:highlight w:val="none"/>
                <w:u w:val="single"/>
              </w:rPr>
              <w:t xml:space="preserve"> </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设计文件是否完整（提交资料和图纸内容），设计原则和各专业说明是否符合国家规范和标准；优得</w:t>
            </w:r>
            <w:r>
              <w:rPr>
                <w:rFonts w:hint="eastAsia" w:ascii="宋体" w:hAnsi="宋体"/>
                <w:color w:val="auto"/>
                <w:highlight w:val="none"/>
                <w:u w:val="single"/>
                <w:lang w:val="en-US" w:eastAsia="zh-CN"/>
              </w:rPr>
              <w:t>10</w:t>
            </w:r>
            <w:r>
              <w:rPr>
                <w:rFonts w:hint="eastAsia" w:ascii="宋体" w:hAnsi="宋体"/>
                <w:color w:val="auto"/>
                <w:highlight w:val="none"/>
                <w:u w:val="single"/>
              </w:rPr>
              <w:t>分-</w:t>
            </w:r>
            <w:r>
              <w:rPr>
                <w:rFonts w:hint="eastAsia" w:ascii="宋体" w:hAnsi="宋体"/>
                <w:color w:val="auto"/>
                <w:highlight w:val="none"/>
                <w:u w:val="single"/>
                <w:lang w:val="en-US" w:eastAsia="zh-CN"/>
              </w:rPr>
              <w:t>8</w:t>
            </w:r>
            <w:r>
              <w:rPr>
                <w:rFonts w:hint="eastAsia" w:ascii="宋体" w:hAnsi="宋体"/>
                <w:color w:val="auto"/>
                <w:highlight w:val="none"/>
                <w:u w:val="single"/>
              </w:rPr>
              <w:t>分，良得</w:t>
            </w:r>
            <w:r>
              <w:rPr>
                <w:rFonts w:hint="eastAsia" w:ascii="宋体" w:hAnsi="宋体"/>
                <w:color w:val="auto"/>
                <w:highlight w:val="none"/>
                <w:u w:val="single"/>
                <w:lang w:val="en-US" w:eastAsia="zh-CN"/>
              </w:rPr>
              <w:t>8</w:t>
            </w:r>
            <w:r>
              <w:rPr>
                <w:rFonts w:hint="eastAsia" w:ascii="宋体" w:hAnsi="宋体"/>
                <w:color w:val="auto"/>
                <w:highlight w:val="none"/>
                <w:u w:val="single"/>
              </w:rPr>
              <w:t>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rPr>
              <w:t>-</w:t>
            </w:r>
            <w:r>
              <w:rPr>
                <w:rFonts w:hint="eastAsia" w:ascii="宋体" w:hAnsi="宋体"/>
                <w:color w:val="auto"/>
                <w:highlight w:val="none"/>
                <w:u w:val="single"/>
                <w:lang w:val="en-US" w:eastAsia="zh-CN"/>
              </w:rPr>
              <w:t>6</w:t>
            </w:r>
            <w:r>
              <w:rPr>
                <w:rFonts w:hint="eastAsia" w:ascii="宋体" w:hAnsi="宋体"/>
                <w:color w:val="auto"/>
                <w:highlight w:val="none"/>
                <w:u w:val="single"/>
              </w:rPr>
              <w:t>分，一般得</w:t>
            </w:r>
            <w:r>
              <w:rPr>
                <w:rFonts w:hint="eastAsia" w:ascii="宋体" w:hAnsi="宋体"/>
                <w:color w:val="auto"/>
                <w:highlight w:val="none"/>
                <w:u w:val="single"/>
                <w:lang w:val="en-US" w:eastAsia="zh-CN"/>
              </w:rPr>
              <w:t>6分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-2</w:t>
            </w:r>
            <w:r>
              <w:rPr>
                <w:rFonts w:hint="eastAsia" w:ascii="宋体" w:hAnsi="宋体"/>
                <w:color w:val="auto"/>
                <w:highlight w:val="none"/>
                <w:u w:val="single"/>
              </w:rPr>
              <w:t>分，差得</w:t>
            </w:r>
            <w:r>
              <w:rPr>
                <w:rFonts w:hint="eastAsia" w:ascii="宋体" w:hAnsi="宋体"/>
                <w:color w:val="auto"/>
                <w:szCs w:val="21"/>
                <w:highlight w:val="none"/>
                <w:u w:val="single"/>
                <w:lang w:val="en-US" w:eastAsia="zh-CN"/>
              </w:rPr>
              <w:t>2分（不含）-</w:t>
            </w:r>
            <w:r>
              <w:rPr>
                <w:rFonts w:hint="eastAsia" w:ascii="宋体" w:hAnsi="宋体"/>
                <w:color w:val="auto"/>
                <w:szCs w:val="21"/>
                <w:highlight w:val="none"/>
                <w:u w:val="single"/>
              </w:rPr>
              <w:t>1分</w:t>
            </w:r>
            <w:r>
              <w:rPr>
                <w:rFonts w:hint="eastAsia" w:ascii="宋体" w:hAnsi="宋体"/>
                <w:color w:val="auto"/>
                <w:highlight w:val="none"/>
                <w:u w:val="single"/>
              </w:rPr>
              <w:t>。</w:t>
            </w:r>
            <w:r>
              <w:rPr>
                <w:rFonts w:hint="eastAsia" w:ascii="宋体" w:hAnsi="宋体"/>
                <w:color w:val="auto"/>
                <w:szCs w:val="21"/>
                <w:highlight w:val="none"/>
                <w:u w:val="single"/>
              </w:rPr>
              <w:t>未提供的不得分。</w:t>
            </w:r>
          </w:p>
        </w:tc>
      </w:tr>
      <w:tr w14:paraId="447C5E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6042A008">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48A517F8">
            <w:pPr>
              <w:spacing w:line="400" w:lineRule="exact"/>
              <w:ind w:firstLine="210" w:firstLineChars="100"/>
              <w:jc w:val="center"/>
              <w:rPr>
                <w:rFonts w:ascii="宋体" w:hAnsi="宋体"/>
                <w:color w:val="auto"/>
                <w:kern w:val="0"/>
                <w:highlight w:val="none"/>
              </w:rPr>
            </w:pPr>
          </w:p>
        </w:tc>
        <w:tc>
          <w:tcPr>
            <w:tcW w:w="740" w:type="dxa"/>
            <w:vMerge w:val="continue"/>
            <w:tcBorders>
              <w:right w:val="single" w:color="auto" w:sz="4" w:space="0"/>
            </w:tcBorders>
          </w:tcPr>
          <w:p w14:paraId="77F404BB">
            <w:pPr>
              <w:tabs>
                <w:tab w:val="left" w:pos="1875"/>
              </w:tabs>
              <w:spacing w:line="400" w:lineRule="exact"/>
              <w:jc w:val="left"/>
              <w:rPr>
                <w:rFonts w:ascii="宋体" w:hAnsi="宋体"/>
                <w:color w:val="auto"/>
                <w:kern w:val="0"/>
                <w:highlight w:val="none"/>
              </w:rPr>
            </w:pPr>
          </w:p>
        </w:tc>
        <w:tc>
          <w:tcPr>
            <w:tcW w:w="1752" w:type="dxa"/>
            <w:tcBorders>
              <w:left w:val="single" w:color="auto" w:sz="4" w:space="0"/>
            </w:tcBorders>
            <w:vAlign w:val="center"/>
          </w:tcPr>
          <w:p w14:paraId="6606DCD0">
            <w:pPr>
              <w:tabs>
                <w:tab w:val="left" w:pos="1875"/>
              </w:tabs>
              <w:spacing w:line="400" w:lineRule="exact"/>
              <w:rPr>
                <w:rFonts w:ascii="宋体" w:hAnsi="宋体" w:cs="宋体"/>
                <w:color w:val="auto"/>
                <w:kern w:val="0"/>
                <w:highlight w:val="none"/>
              </w:rPr>
            </w:pPr>
            <w:r>
              <w:rPr>
                <w:rFonts w:hint="eastAsia"/>
                <w:color w:val="auto"/>
                <w:highlight w:val="none"/>
              </w:rPr>
              <w:t>总体设计思路</w:t>
            </w:r>
          </w:p>
        </w:tc>
        <w:tc>
          <w:tcPr>
            <w:tcW w:w="5728" w:type="dxa"/>
            <w:vAlign w:val="center"/>
          </w:tcPr>
          <w:p w14:paraId="4C07D9E3">
            <w:pPr>
              <w:snapToGrid w:val="0"/>
              <w:spacing w:line="400" w:lineRule="exact"/>
              <w:ind w:firstLine="420" w:firstLineChars="2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w:t>
            </w:r>
            <w:r>
              <w:rPr>
                <w:rFonts w:hint="eastAsia" w:ascii="宋体" w:hAnsi="宋体"/>
                <w:color w:val="auto"/>
                <w:highlight w:val="none"/>
                <w:u w:val="single"/>
              </w:rPr>
              <w:t xml:space="preserve">5 </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对招标项目的理解和总体设计思路是否清晰，正确理解并执行规划要求，与周边路网、管网是否协调、区域内路网的交通组织是否完善等；优得</w:t>
            </w:r>
            <w:r>
              <w:rPr>
                <w:rFonts w:hint="eastAsia" w:ascii="宋体" w:hAnsi="宋体"/>
                <w:color w:val="auto"/>
                <w:highlight w:val="none"/>
                <w:u w:val="single"/>
                <w:lang w:val="en-US" w:eastAsia="zh-CN"/>
              </w:rPr>
              <w:t>15</w:t>
            </w:r>
            <w:r>
              <w:rPr>
                <w:rFonts w:hint="eastAsia" w:ascii="宋体" w:hAnsi="宋体"/>
                <w:color w:val="auto"/>
                <w:highlight w:val="none"/>
                <w:u w:val="single"/>
              </w:rPr>
              <w:t>分-</w:t>
            </w:r>
            <w:r>
              <w:rPr>
                <w:rFonts w:hint="eastAsia" w:ascii="宋体" w:hAnsi="宋体"/>
                <w:color w:val="auto"/>
                <w:highlight w:val="none"/>
                <w:u w:val="single"/>
                <w:lang w:val="en-US" w:eastAsia="zh-CN"/>
              </w:rPr>
              <w:t>11</w:t>
            </w:r>
            <w:r>
              <w:rPr>
                <w:rFonts w:hint="eastAsia" w:ascii="宋体" w:hAnsi="宋体"/>
                <w:color w:val="auto"/>
                <w:highlight w:val="none"/>
                <w:u w:val="single"/>
              </w:rPr>
              <w:t>分，良得</w:t>
            </w:r>
            <w:r>
              <w:rPr>
                <w:rFonts w:hint="eastAsia" w:ascii="宋体" w:hAnsi="宋体"/>
                <w:color w:val="auto"/>
                <w:highlight w:val="none"/>
                <w:u w:val="single"/>
                <w:lang w:val="en-US" w:eastAsia="zh-CN"/>
              </w:rPr>
              <w:t>11</w:t>
            </w:r>
            <w:r>
              <w:rPr>
                <w:rFonts w:hint="eastAsia" w:ascii="宋体" w:hAnsi="宋体"/>
                <w:color w:val="auto"/>
                <w:highlight w:val="none"/>
                <w:u w:val="single"/>
              </w:rPr>
              <w:t>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rPr>
              <w:t>-</w:t>
            </w:r>
            <w:r>
              <w:rPr>
                <w:rFonts w:hint="eastAsia" w:ascii="宋体" w:hAnsi="宋体"/>
                <w:color w:val="auto"/>
                <w:highlight w:val="none"/>
                <w:u w:val="single"/>
                <w:lang w:val="en-US" w:eastAsia="zh-CN"/>
              </w:rPr>
              <w:t>7</w:t>
            </w:r>
            <w:r>
              <w:rPr>
                <w:rFonts w:hint="eastAsia" w:ascii="宋体" w:hAnsi="宋体"/>
                <w:color w:val="auto"/>
                <w:highlight w:val="none"/>
                <w:u w:val="single"/>
              </w:rPr>
              <w:t>分，一般得</w:t>
            </w:r>
            <w:r>
              <w:rPr>
                <w:rFonts w:hint="eastAsia" w:ascii="宋体" w:hAnsi="宋体"/>
                <w:color w:val="auto"/>
                <w:highlight w:val="none"/>
                <w:u w:val="single"/>
                <w:lang w:val="en-US" w:eastAsia="zh-CN"/>
              </w:rPr>
              <w:t>7分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-2</w:t>
            </w:r>
            <w:r>
              <w:rPr>
                <w:rFonts w:hint="eastAsia" w:ascii="宋体" w:hAnsi="宋体"/>
                <w:color w:val="auto"/>
                <w:highlight w:val="none"/>
                <w:u w:val="single"/>
              </w:rPr>
              <w:t>分，差得</w:t>
            </w:r>
            <w:r>
              <w:rPr>
                <w:rFonts w:hint="eastAsia" w:ascii="宋体" w:hAnsi="宋体"/>
                <w:color w:val="auto"/>
                <w:szCs w:val="21"/>
                <w:highlight w:val="none"/>
                <w:u w:val="single"/>
                <w:lang w:val="en-US" w:eastAsia="zh-CN"/>
              </w:rPr>
              <w:t>2分（不含）-</w:t>
            </w:r>
            <w:r>
              <w:rPr>
                <w:rFonts w:hint="eastAsia" w:ascii="宋体" w:hAnsi="宋体"/>
                <w:color w:val="auto"/>
                <w:szCs w:val="21"/>
                <w:highlight w:val="none"/>
                <w:u w:val="single"/>
              </w:rPr>
              <w:t>1分</w:t>
            </w:r>
            <w:r>
              <w:rPr>
                <w:rFonts w:hint="eastAsia" w:ascii="宋体" w:hAnsi="宋体"/>
                <w:color w:val="auto"/>
                <w:highlight w:val="none"/>
                <w:u w:val="single"/>
              </w:rPr>
              <w:t>。</w:t>
            </w:r>
            <w:r>
              <w:rPr>
                <w:rFonts w:hint="eastAsia" w:ascii="宋体" w:hAnsi="宋体"/>
                <w:color w:val="auto"/>
                <w:szCs w:val="21"/>
                <w:highlight w:val="none"/>
                <w:u w:val="single"/>
              </w:rPr>
              <w:t>未提供的不得分。</w:t>
            </w:r>
          </w:p>
        </w:tc>
      </w:tr>
      <w:tr w14:paraId="6E7ABC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280338E8">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1F412A3E">
            <w:pPr>
              <w:spacing w:line="400" w:lineRule="exact"/>
              <w:ind w:firstLine="210" w:firstLineChars="100"/>
              <w:jc w:val="center"/>
              <w:rPr>
                <w:rFonts w:ascii="宋体" w:hAnsi="宋体"/>
                <w:color w:val="auto"/>
                <w:kern w:val="0"/>
                <w:highlight w:val="none"/>
              </w:rPr>
            </w:pPr>
          </w:p>
        </w:tc>
        <w:tc>
          <w:tcPr>
            <w:tcW w:w="740" w:type="dxa"/>
            <w:vMerge w:val="continue"/>
            <w:tcBorders>
              <w:right w:val="single" w:color="auto" w:sz="4" w:space="0"/>
            </w:tcBorders>
          </w:tcPr>
          <w:p w14:paraId="2E789801">
            <w:pPr>
              <w:tabs>
                <w:tab w:val="left" w:pos="1875"/>
              </w:tabs>
              <w:spacing w:line="400" w:lineRule="exact"/>
              <w:jc w:val="left"/>
              <w:rPr>
                <w:rFonts w:ascii="宋体" w:hAnsi="宋体"/>
                <w:color w:val="auto"/>
                <w:kern w:val="0"/>
                <w:highlight w:val="none"/>
              </w:rPr>
            </w:pPr>
          </w:p>
        </w:tc>
        <w:tc>
          <w:tcPr>
            <w:tcW w:w="1752" w:type="dxa"/>
            <w:tcBorders>
              <w:left w:val="single" w:color="auto" w:sz="4" w:space="0"/>
            </w:tcBorders>
            <w:vAlign w:val="center"/>
          </w:tcPr>
          <w:p w14:paraId="0E2D32A7">
            <w:pPr>
              <w:tabs>
                <w:tab w:val="left" w:pos="1875"/>
              </w:tabs>
              <w:spacing w:line="400" w:lineRule="exact"/>
              <w:rPr>
                <w:rFonts w:ascii="宋体" w:hAnsi="宋体" w:cs="宋体"/>
                <w:color w:val="auto"/>
                <w:kern w:val="0"/>
                <w:highlight w:val="none"/>
              </w:rPr>
            </w:pPr>
            <w:r>
              <w:rPr>
                <w:rFonts w:hint="eastAsia"/>
                <w:color w:val="auto"/>
                <w:highlight w:val="none"/>
              </w:rPr>
              <w:t>设计管理工作</w:t>
            </w:r>
          </w:p>
        </w:tc>
        <w:tc>
          <w:tcPr>
            <w:tcW w:w="5728" w:type="dxa"/>
            <w:vAlign w:val="center"/>
          </w:tcPr>
          <w:p w14:paraId="3FD46560">
            <w:pPr>
              <w:snapToGrid w:val="0"/>
              <w:spacing w:line="400" w:lineRule="exact"/>
              <w:ind w:firstLine="420" w:firstLineChars="200"/>
              <w:rPr>
                <w:rFonts w:ascii="宋体" w:hAnsi="宋体"/>
                <w:color w:val="auto"/>
                <w:highlight w:val="none"/>
                <w:u w:val="singl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xml:space="preserve"> </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color w:val="auto"/>
                <w:highlight w:val="none"/>
                <w:u w:val="single"/>
              </w:rPr>
              <w:t>设计质量、安全、进度、保密等保证措施及伴随服务措施</w:t>
            </w:r>
            <w:r>
              <w:rPr>
                <w:rFonts w:hint="eastAsia" w:ascii="宋体" w:hAnsi="宋体"/>
                <w:color w:val="auto"/>
                <w:szCs w:val="21"/>
                <w:highlight w:val="none"/>
                <w:u w:val="single"/>
              </w:rPr>
              <w:t>是否符合竞争性比选规定要求；</w:t>
            </w:r>
            <w:r>
              <w:rPr>
                <w:rFonts w:hint="eastAsia" w:ascii="宋体" w:hAnsi="宋体"/>
                <w:color w:val="auto"/>
                <w:highlight w:val="none"/>
                <w:u w:val="single"/>
              </w:rPr>
              <w:t>优得</w:t>
            </w:r>
            <w:r>
              <w:rPr>
                <w:rFonts w:hint="eastAsia" w:ascii="宋体" w:hAnsi="宋体"/>
                <w:color w:val="auto"/>
                <w:highlight w:val="none"/>
                <w:u w:val="single"/>
                <w:lang w:val="en-US" w:eastAsia="zh-CN"/>
              </w:rPr>
              <w:t>10</w:t>
            </w:r>
            <w:r>
              <w:rPr>
                <w:rFonts w:hint="eastAsia" w:ascii="宋体" w:hAnsi="宋体"/>
                <w:color w:val="auto"/>
                <w:highlight w:val="none"/>
                <w:u w:val="single"/>
              </w:rPr>
              <w:t>分-</w:t>
            </w:r>
            <w:r>
              <w:rPr>
                <w:rFonts w:hint="eastAsia" w:ascii="宋体" w:hAnsi="宋体"/>
                <w:color w:val="auto"/>
                <w:highlight w:val="none"/>
                <w:u w:val="single"/>
                <w:lang w:val="en-US" w:eastAsia="zh-CN"/>
              </w:rPr>
              <w:t>8</w:t>
            </w:r>
            <w:r>
              <w:rPr>
                <w:rFonts w:hint="eastAsia" w:ascii="宋体" w:hAnsi="宋体"/>
                <w:color w:val="auto"/>
                <w:highlight w:val="none"/>
                <w:u w:val="single"/>
              </w:rPr>
              <w:t>分，良得</w:t>
            </w:r>
            <w:r>
              <w:rPr>
                <w:rFonts w:hint="eastAsia" w:ascii="宋体" w:hAnsi="宋体"/>
                <w:color w:val="auto"/>
                <w:highlight w:val="none"/>
                <w:u w:val="single"/>
                <w:lang w:val="en-US" w:eastAsia="zh-CN"/>
              </w:rPr>
              <w:t>8</w:t>
            </w:r>
            <w:r>
              <w:rPr>
                <w:rFonts w:hint="eastAsia" w:ascii="宋体" w:hAnsi="宋体"/>
                <w:color w:val="auto"/>
                <w:highlight w:val="none"/>
                <w:u w:val="single"/>
              </w:rPr>
              <w:t>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rPr>
              <w:t>-</w:t>
            </w:r>
            <w:r>
              <w:rPr>
                <w:rFonts w:hint="eastAsia" w:ascii="宋体" w:hAnsi="宋体"/>
                <w:color w:val="auto"/>
                <w:highlight w:val="none"/>
                <w:u w:val="single"/>
                <w:lang w:val="en-US" w:eastAsia="zh-CN"/>
              </w:rPr>
              <w:t>6</w:t>
            </w:r>
            <w:r>
              <w:rPr>
                <w:rFonts w:hint="eastAsia" w:ascii="宋体" w:hAnsi="宋体"/>
                <w:color w:val="auto"/>
                <w:highlight w:val="none"/>
                <w:u w:val="single"/>
              </w:rPr>
              <w:t>分，一般得</w:t>
            </w:r>
            <w:r>
              <w:rPr>
                <w:rFonts w:hint="eastAsia" w:ascii="宋体" w:hAnsi="宋体"/>
                <w:color w:val="auto"/>
                <w:highlight w:val="none"/>
                <w:u w:val="single"/>
                <w:lang w:val="en-US" w:eastAsia="zh-CN"/>
              </w:rPr>
              <w:t>6分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-2</w:t>
            </w:r>
            <w:r>
              <w:rPr>
                <w:rFonts w:hint="eastAsia" w:ascii="宋体" w:hAnsi="宋体"/>
                <w:color w:val="auto"/>
                <w:highlight w:val="none"/>
                <w:u w:val="single"/>
              </w:rPr>
              <w:t>分，差得</w:t>
            </w:r>
            <w:r>
              <w:rPr>
                <w:rFonts w:hint="eastAsia" w:ascii="宋体" w:hAnsi="宋体"/>
                <w:color w:val="auto"/>
                <w:szCs w:val="21"/>
                <w:highlight w:val="none"/>
                <w:u w:val="single"/>
                <w:lang w:val="en-US" w:eastAsia="zh-CN"/>
              </w:rPr>
              <w:t>2分（不含）-</w:t>
            </w:r>
            <w:r>
              <w:rPr>
                <w:rFonts w:hint="eastAsia" w:ascii="宋体" w:hAnsi="宋体"/>
                <w:color w:val="auto"/>
                <w:szCs w:val="21"/>
                <w:highlight w:val="none"/>
                <w:u w:val="single"/>
              </w:rPr>
              <w:t>1分</w:t>
            </w:r>
            <w:r>
              <w:rPr>
                <w:rFonts w:hint="eastAsia" w:ascii="宋体" w:hAnsi="宋体"/>
                <w:color w:val="auto"/>
                <w:highlight w:val="none"/>
                <w:u w:val="single"/>
              </w:rPr>
              <w:t>。</w:t>
            </w:r>
            <w:r>
              <w:rPr>
                <w:rFonts w:hint="eastAsia" w:ascii="宋体" w:hAnsi="宋体"/>
                <w:color w:val="auto"/>
                <w:szCs w:val="21"/>
                <w:highlight w:val="none"/>
                <w:u w:val="single"/>
              </w:rPr>
              <w:t>未提供的不得分。</w:t>
            </w:r>
          </w:p>
        </w:tc>
      </w:tr>
      <w:tr w14:paraId="283066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5DFE89D">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1130713C">
            <w:pPr>
              <w:spacing w:line="400" w:lineRule="exact"/>
              <w:ind w:firstLine="210" w:firstLineChars="100"/>
              <w:jc w:val="center"/>
              <w:rPr>
                <w:rFonts w:ascii="宋体" w:hAnsi="宋体"/>
                <w:color w:val="auto"/>
                <w:kern w:val="0"/>
                <w:highlight w:val="none"/>
              </w:rPr>
            </w:pPr>
          </w:p>
        </w:tc>
        <w:tc>
          <w:tcPr>
            <w:tcW w:w="740" w:type="dxa"/>
            <w:vMerge w:val="continue"/>
            <w:tcBorders>
              <w:right w:val="single" w:color="auto" w:sz="4" w:space="0"/>
            </w:tcBorders>
          </w:tcPr>
          <w:p w14:paraId="3C530794">
            <w:pPr>
              <w:tabs>
                <w:tab w:val="left" w:pos="1875"/>
              </w:tabs>
              <w:spacing w:line="400" w:lineRule="exact"/>
              <w:jc w:val="left"/>
              <w:rPr>
                <w:rFonts w:ascii="宋体" w:hAnsi="宋体"/>
                <w:color w:val="auto"/>
                <w:kern w:val="0"/>
                <w:highlight w:val="none"/>
              </w:rPr>
            </w:pPr>
          </w:p>
        </w:tc>
        <w:tc>
          <w:tcPr>
            <w:tcW w:w="1752" w:type="dxa"/>
            <w:tcBorders>
              <w:left w:val="single" w:color="auto" w:sz="4" w:space="0"/>
            </w:tcBorders>
            <w:vAlign w:val="center"/>
          </w:tcPr>
          <w:p w14:paraId="5E4A0E4D">
            <w:pPr>
              <w:tabs>
                <w:tab w:val="left" w:pos="1875"/>
              </w:tabs>
              <w:spacing w:line="400" w:lineRule="exact"/>
              <w:rPr>
                <w:rFonts w:ascii="宋体" w:hAnsi="宋体" w:cs="宋体"/>
                <w:color w:val="auto"/>
                <w:kern w:val="0"/>
                <w:highlight w:val="none"/>
              </w:rPr>
            </w:pPr>
            <w:r>
              <w:rPr>
                <w:color w:val="auto"/>
                <w:highlight w:val="none"/>
              </w:rPr>
              <w:t>重难点分析</w:t>
            </w:r>
            <w:r>
              <w:rPr>
                <w:rFonts w:hint="eastAsia"/>
                <w:color w:val="auto"/>
                <w:highlight w:val="none"/>
              </w:rPr>
              <w:t>及合理化建议</w:t>
            </w:r>
          </w:p>
        </w:tc>
        <w:tc>
          <w:tcPr>
            <w:tcW w:w="5728" w:type="dxa"/>
            <w:vAlign w:val="center"/>
          </w:tcPr>
          <w:p w14:paraId="2E01DEFD">
            <w:pPr>
              <w:snapToGrid w:val="0"/>
              <w:spacing w:line="400" w:lineRule="exact"/>
              <w:ind w:firstLine="420" w:firstLineChars="2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w:t>
            </w:r>
            <w:r>
              <w:rPr>
                <w:rFonts w:hint="eastAsia" w:ascii="宋体" w:hAnsi="宋体"/>
                <w:color w:val="auto"/>
                <w:highlight w:val="none"/>
                <w:u w:val="single"/>
              </w:rPr>
              <w:t>5</w:t>
            </w:r>
            <w:r>
              <w:rPr>
                <w:rFonts w:ascii="宋体" w:hAnsi="宋体"/>
                <w:color w:val="auto"/>
                <w:highlight w:val="none"/>
                <w:u w:val="single"/>
              </w:rPr>
              <w:t xml:space="preserve"> </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对招标项目重难点描述是否准确，关键技术问题解决方案是否完整、切实可行；是否提出针对性的合理化建议；优得</w:t>
            </w:r>
            <w:r>
              <w:rPr>
                <w:rFonts w:hint="eastAsia" w:ascii="宋体" w:hAnsi="宋体"/>
                <w:color w:val="auto"/>
                <w:highlight w:val="none"/>
                <w:u w:val="single"/>
                <w:lang w:val="en-US" w:eastAsia="zh-CN"/>
              </w:rPr>
              <w:t>15</w:t>
            </w:r>
            <w:r>
              <w:rPr>
                <w:rFonts w:hint="eastAsia" w:ascii="宋体" w:hAnsi="宋体"/>
                <w:color w:val="auto"/>
                <w:highlight w:val="none"/>
                <w:u w:val="single"/>
              </w:rPr>
              <w:t>分-</w:t>
            </w:r>
            <w:r>
              <w:rPr>
                <w:rFonts w:hint="eastAsia" w:ascii="宋体" w:hAnsi="宋体"/>
                <w:color w:val="auto"/>
                <w:highlight w:val="none"/>
                <w:u w:val="single"/>
                <w:lang w:val="en-US" w:eastAsia="zh-CN"/>
              </w:rPr>
              <w:t>11</w:t>
            </w:r>
            <w:r>
              <w:rPr>
                <w:rFonts w:hint="eastAsia" w:ascii="宋体" w:hAnsi="宋体"/>
                <w:color w:val="auto"/>
                <w:highlight w:val="none"/>
                <w:u w:val="single"/>
              </w:rPr>
              <w:t>分，良得</w:t>
            </w:r>
            <w:r>
              <w:rPr>
                <w:rFonts w:hint="eastAsia" w:ascii="宋体" w:hAnsi="宋体"/>
                <w:color w:val="auto"/>
                <w:highlight w:val="none"/>
                <w:u w:val="single"/>
                <w:lang w:val="en-US" w:eastAsia="zh-CN"/>
              </w:rPr>
              <w:t>11</w:t>
            </w:r>
            <w:r>
              <w:rPr>
                <w:rFonts w:hint="eastAsia" w:ascii="宋体" w:hAnsi="宋体"/>
                <w:color w:val="auto"/>
                <w:highlight w:val="none"/>
                <w:u w:val="single"/>
              </w:rPr>
              <w:t>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rPr>
              <w:t>-</w:t>
            </w:r>
            <w:r>
              <w:rPr>
                <w:rFonts w:hint="eastAsia" w:ascii="宋体" w:hAnsi="宋体"/>
                <w:color w:val="auto"/>
                <w:highlight w:val="none"/>
                <w:u w:val="single"/>
                <w:lang w:val="en-US" w:eastAsia="zh-CN"/>
              </w:rPr>
              <w:t>7</w:t>
            </w:r>
            <w:r>
              <w:rPr>
                <w:rFonts w:hint="eastAsia" w:ascii="宋体" w:hAnsi="宋体"/>
                <w:color w:val="auto"/>
                <w:highlight w:val="none"/>
                <w:u w:val="single"/>
              </w:rPr>
              <w:t>分，一般得</w:t>
            </w:r>
            <w:r>
              <w:rPr>
                <w:rFonts w:hint="eastAsia" w:ascii="宋体" w:hAnsi="宋体"/>
                <w:color w:val="auto"/>
                <w:highlight w:val="none"/>
                <w:u w:val="single"/>
                <w:lang w:val="en-US" w:eastAsia="zh-CN"/>
              </w:rPr>
              <w:t>7分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-2</w:t>
            </w:r>
            <w:r>
              <w:rPr>
                <w:rFonts w:hint="eastAsia" w:ascii="宋体" w:hAnsi="宋体"/>
                <w:color w:val="auto"/>
                <w:highlight w:val="none"/>
                <w:u w:val="single"/>
              </w:rPr>
              <w:t>分，差得</w:t>
            </w:r>
            <w:r>
              <w:rPr>
                <w:rFonts w:hint="eastAsia" w:ascii="宋体" w:hAnsi="宋体"/>
                <w:color w:val="auto"/>
                <w:szCs w:val="21"/>
                <w:highlight w:val="none"/>
                <w:u w:val="single"/>
                <w:lang w:val="en-US" w:eastAsia="zh-CN"/>
              </w:rPr>
              <w:t>2分（不含）-</w:t>
            </w:r>
            <w:r>
              <w:rPr>
                <w:rFonts w:hint="eastAsia" w:ascii="宋体" w:hAnsi="宋体"/>
                <w:color w:val="auto"/>
                <w:szCs w:val="21"/>
                <w:highlight w:val="none"/>
                <w:u w:val="single"/>
              </w:rPr>
              <w:t>1分</w:t>
            </w:r>
            <w:r>
              <w:rPr>
                <w:rFonts w:hint="eastAsia" w:ascii="宋体" w:hAnsi="宋体"/>
                <w:color w:val="auto"/>
                <w:highlight w:val="none"/>
                <w:u w:val="single"/>
              </w:rPr>
              <w:t>。</w:t>
            </w:r>
            <w:r>
              <w:rPr>
                <w:rFonts w:hint="eastAsia" w:ascii="宋体" w:hAnsi="宋体"/>
                <w:color w:val="auto"/>
                <w:szCs w:val="21"/>
                <w:highlight w:val="none"/>
                <w:u w:val="single"/>
              </w:rPr>
              <w:t>未提供的不得分。</w:t>
            </w:r>
          </w:p>
        </w:tc>
      </w:tr>
      <w:tr w14:paraId="735EE5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AF646BB">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6173B94A">
            <w:pPr>
              <w:spacing w:line="400" w:lineRule="exact"/>
              <w:ind w:firstLine="210" w:firstLineChars="100"/>
              <w:jc w:val="center"/>
              <w:rPr>
                <w:rFonts w:ascii="宋体" w:hAnsi="宋体"/>
                <w:color w:val="auto"/>
                <w:kern w:val="0"/>
                <w:highlight w:val="none"/>
              </w:rPr>
            </w:pPr>
          </w:p>
        </w:tc>
        <w:tc>
          <w:tcPr>
            <w:tcW w:w="740" w:type="dxa"/>
            <w:vMerge w:val="continue"/>
            <w:tcBorders>
              <w:right w:val="single" w:color="auto" w:sz="4" w:space="0"/>
            </w:tcBorders>
          </w:tcPr>
          <w:p w14:paraId="4B1E73DF">
            <w:pPr>
              <w:tabs>
                <w:tab w:val="left" w:pos="1875"/>
              </w:tabs>
              <w:spacing w:line="400" w:lineRule="exact"/>
              <w:jc w:val="left"/>
              <w:rPr>
                <w:rFonts w:ascii="宋体" w:hAnsi="宋体"/>
                <w:color w:val="auto"/>
                <w:kern w:val="0"/>
                <w:highlight w:val="none"/>
              </w:rPr>
            </w:pPr>
          </w:p>
        </w:tc>
        <w:tc>
          <w:tcPr>
            <w:tcW w:w="1752" w:type="dxa"/>
            <w:tcBorders>
              <w:left w:val="single" w:color="auto" w:sz="4" w:space="0"/>
            </w:tcBorders>
            <w:vAlign w:val="center"/>
          </w:tcPr>
          <w:p w14:paraId="61568216">
            <w:pPr>
              <w:tabs>
                <w:tab w:val="left" w:pos="1875"/>
              </w:tabs>
              <w:spacing w:line="400" w:lineRule="exact"/>
              <w:rPr>
                <w:rFonts w:ascii="宋体" w:hAnsi="宋体" w:cs="宋体"/>
                <w:color w:val="auto"/>
                <w:kern w:val="0"/>
                <w:highlight w:val="none"/>
              </w:rPr>
            </w:pPr>
            <w:r>
              <w:rPr>
                <w:rFonts w:hint="eastAsia" w:ascii="宋体" w:hAnsi="宋体" w:cs="宋体"/>
                <w:color w:val="auto"/>
                <w:kern w:val="0"/>
                <w:highlight w:val="none"/>
              </w:rPr>
              <w:t>危大工程专项方案及措施</w:t>
            </w:r>
          </w:p>
        </w:tc>
        <w:tc>
          <w:tcPr>
            <w:tcW w:w="5728" w:type="dxa"/>
            <w:vAlign w:val="center"/>
          </w:tcPr>
          <w:p w14:paraId="27E77234">
            <w:pPr>
              <w:snapToGrid w:val="0"/>
              <w:spacing w:line="400" w:lineRule="exact"/>
              <w:ind w:firstLine="420" w:firstLineChars="2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hint="eastAsia" w:ascii="宋体" w:hAnsi="宋体"/>
                <w:color w:val="auto"/>
                <w:highlight w:val="none"/>
                <w:u w:val="single"/>
              </w:rPr>
              <w:t xml:space="preserve"> </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对招标项目的危大工程判定是否准确，对危大工程的专项设计方案是否经济合理，满足工程功能和安全要求；优得</w:t>
            </w:r>
            <w:r>
              <w:rPr>
                <w:rFonts w:hint="eastAsia" w:ascii="宋体" w:hAnsi="宋体"/>
                <w:color w:val="auto"/>
                <w:highlight w:val="none"/>
                <w:u w:val="single"/>
                <w:lang w:val="en-US" w:eastAsia="zh-CN"/>
              </w:rPr>
              <w:t>10</w:t>
            </w:r>
            <w:r>
              <w:rPr>
                <w:rFonts w:hint="eastAsia" w:ascii="宋体" w:hAnsi="宋体"/>
                <w:color w:val="auto"/>
                <w:highlight w:val="none"/>
                <w:u w:val="single"/>
              </w:rPr>
              <w:t>分-</w:t>
            </w:r>
            <w:r>
              <w:rPr>
                <w:rFonts w:hint="eastAsia" w:ascii="宋体" w:hAnsi="宋体"/>
                <w:color w:val="auto"/>
                <w:highlight w:val="none"/>
                <w:u w:val="single"/>
                <w:lang w:val="en-US" w:eastAsia="zh-CN"/>
              </w:rPr>
              <w:t>8</w:t>
            </w:r>
            <w:r>
              <w:rPr>
                <w:rFonts w:hint="eastAsia" w:ascii="宋体" w:hAnsi="宋体"/>
                <w:color w:val="auto"/>
                <w:highlight w:val="none"/>
                <w:u w:val="single"/>
              </w:rPr>
              <w:t>分，良得</w:t>
            </w:r>
            <w:r>
              <w:rPr>
                <w:rFonts w:hint="eastAsia" w:ascii="宋体" w:hAnsi="宋体"/>
                <w:color w:val="auto"/>
                <w:highlight w:val="none"/>
                <w:u w:val="single"/>
                <w:lang w:val="en-US" w:eastAsia="zh-CN"/>
              </w:rPr>
              <w:t>8</w:t>
            </w:r>
            <w:r>
              <w:rPr>
                <w:rFonts w:hint="eastAsia" w:ascii="宋体" w:hAnsi="宋体"/>
                <w:color w:val="auto"/>
                <w:highlight w:val="none"/>
                <w:u w:val="single"/>
              </w:rPr>
              <w:t>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rPr>
              <w:t>-</w:t>
            </w:r>
            <w:r>
              <w:rPr>
                <w:rFonts w:hint="eastAsia" w:ascii="宋体" w:hAnsi="宋体"/>
                <w:color w:val="auto"/>
                <w:highlight w:val="none"/>
                <w:u w:val="single"/>
                <w:lang w:val="en-US" w:eastAsia="zh-CN"/>
              </w:rPr>
              <w:t>6</w:t>
            </w:r>
            <w:r>
              <w:rPr>
                <w:rFonts w:hint="eastAsia" w:ascii="宋体" w:hAnsi="宋体"/>
                <w:color w:val="auto"/>
                <w:highlight w:val="none"/>
                <w:u w:val="single"/>
              </w:rPr>
              <w:t>分，一般得</w:t>
            </w:r>
            <w:r>
              <w:rPr>
                <w:rFonts w:hint="eastAsia" w:ascii="宋体" w:hAnsi="宋体"/>
                <w:color w:val="auto"/>
                <w:highlight w:val="none"/>
                <w:u w:val="single"/>
                <w:lang w:val="en-US" w:eastAsia="zh-CN"/>
              </w:rPr>
              <w:t>6分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-2</w:t>
            </w:r>
            <w:r>
              <w:rPr>
                <w:rFonts w:hint="eastAsia" w:ascii="宋体" w:hAnsi="宋体"/>
                <w:color w:val="auto"/>
                <w:highlight w:val="none"/>
                <w:u w:val="single"/>
              </w:rPr>
              <w:t>分，差得</w:t>
            </w:r>
            <w:r>
              <w:rPr>
                <w:rFonts w:hint="eastAsia" w:ascii="宋体" w:hAnsi="宋体"/>
                <w:color w:val="auto"/>
                <w:szCs w:val="21"/>
                <w:highlight w:val="none"/>
                <w:u w:val="single"/>
                <w:lang w:val="en-US" w:eastAsia="zh-CN"/>
              </w:rPr>
              <w:t>2分（不含）-</w:t>
            </w:r>
            <w:r>
              <w:rPr>
                <w:rFonts w:hint="eastAsia" w:ascii="宋体" w:hAnsi="宋体"/>
                <w:color w:val="auto"/>
                <w:szCs w:val="21"/>
                <w:highlight w:val="none"/>
                <w:u w:val="single"/>
              </w:rPr>
              <w:t>1分</w:t>
            </w:r>
            <w:r>
              <w:rPr>
                <w:rFonts w:hint="eastAsia" w:ascii="宋体" w:hAnsi="宋体"/>
                <w:color w:val="auto"/>
                <w:highlight w:val="none"/>
                <w:u w:val="single"/>
              </w:rPr>
              <w:t>。</w:t>
            </w:r>
            <w:r>
              <w:rPr>
                <w:rFonts w:hint="eastAsia" w:ascii="宋体" w:hAnsi="宋体"/>
                <w:color w:val="auto"/>
                <w:szCs w:val="21"/>
                <w:highlight w:val="none"/>
                <w:u w:val="single"/>
              </w:rPr>
              <w:t>未提供的不得分。</w:t>
            </w:r>
          </w:p>
        </w:tc>
      </w:tr>
      <w:tr w14:paraId="4E5487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F2AFD00">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0FFB4215">
            <w:pPr>
              <w:spacing w:line="400" w:lineRule="exact"/>
              <w:ind w:firstLine="210" w:firstLineChars="100"/>
              <w:jc w:val="center"/>
              <w:rPr>
                <w:rFonts w:ascii="宋体" w:hAnsi="宋体"/>
                <w:color w:val="auto"/>
                <w:kern w:val="0"/>
                <w:highlight w:val="none"/>
              </w:rPr>
            </w:pPr>
          </w:p>
        </w:tc>
        <w:tc>
          <w:tcPr>
            <w:tcW w:w="740" w:type="dxa"/>
            <w:vMerge w:val="continue"/>
            <w:tcBorders>
              <w:right w:val="single" w:color="auto" w:sz="4" w:space="0"/>
            </w:tcBorders>
          </w:tcPr>
          <w:p w14:paraId="3EB05145">
            <w:pPr>
              <w:tabs>
                <w:tab w:val="left" w:pos="1875"/>
              </w:tabs>
              <w:spacing w:line="400" w:lineRule="exact"/>
              <w:jc w:val="left"/>
              <w:rPr>
                <w:rFonts w:ascii="宋体" w:hAnsi="宋体"/>
                <w:color w:val="auto"/>
                <w:kern w:val="0"/>
                <w:highlight w:val="none"/>
              </w:rPr>
            </w:pPr>
          </w:p>
        </w:tc>
        <w:tc>
          <w:tcPr>
            <w:tcW w:w="1752" w:type="dxa"/>
            <w:tcBorders>
              <w:left w:val="single" w:color="auto" w:sz="4" w:space="0"/>
            </w:tcBorders>
            <w:vAlign w:val="center"/>
          </w:tcPr>
          <w:p w14:paraId="5D459D5D">
            <w:pPr>
              <w:tabs>
                <w:tab w:val="left" w:pos="1875"/>
              </w:tabs>
              <w:spacing w:line="400" w:lineRule="exact"/>
              <w:rPr>
                <w:rFonts w:ascii="宋体" w:hAnsi="宋体" w:cs="宋体"/>
                <w:color w:val="auto"/>
                <w:kern w:val="0"/>
                <w:highlight w:val="none"/>
              </w:rPr>
            </w:pPr>
            <w:r>
              <w:rPr>
                <w:rFonts w:hint="eastAsia" w:ascii="宋体" w:hAnsi="宋体"/>
                <w:color w:val="auto"/>
                <w:szCs w:val="21"/>
                <w:highlight w:val="none"/>
              </w:rPr>
              <w:t>进度安排方案</w:t>
            </w:r>
          </w:p>
        </w:tc>
        <w:tc>
          <w:tcPr>
            <w:tcW w:w="5728" w:type="dxa"/>
            <w:vAlign w:val="center"/>
          </w:tcPr>
          <w:p w14:paraId="4E81B93E">
            <w:pPr>
              <w:snapToGrid w:val="0"/>
              <w:spacing w:line="380" w:lineRule="exact"/>
              <w:ind w:firstLine="420" w:firstLineChars="200"/>
              <w:jc w:val="left"/>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szCs w:val="21"/>
                <w:highlight w:val="none"/>
                <w:u w:val="single"/>
              </w:rPr>
              <w:t>进度安排内容需包含各阶段工作任务、时间节点及各阶段工作量。优（各阶段工作分配合理、时间节点准确、各阶段工作量阐述清楚）得</w:t>
            </w:r>
            <w:r>
              <w:rPr>
                <w:rFonts w:hint="eastAsia" w:ascii="宋体" w:hAnsi="宋体"/>
                <w:color w:val="auto"/>
                <w:highlight w:val="none"/>
                <w:u w:val="single"/>
                <w:lang w:val="en-US" w:eastAsia="zh-CN"/>
              </w:rPr>
              <w:t>10</w:t>
            </w:r>
            <w:r>
              <w:rPr>
                <w:rFonts w:hint="eastAsia" w:ascii="宋体" w:hAnsi="宋体"/>
                <w:color w:val="auto"/>
                <w:highlight w:val="none"/>
                <w:u w:val="single"/>
              </w:rPr>
              <w:t>分-</w:t>
            </w:r>
            <w:r>
              <w:rPr>
                <w:rFonts w:hint="eastAsia" w:ascii="宋体" w:hAnsi="宋体"/>
                <w:color w:val="auto"/>
                <w:highlight w:val="none"/>
                <w:u w:val="single"/>
                <w:lang w:val="en-US" w:eastAsia="zh-CN"/>
              </w:rPr>
              <w:t>8</w:t>
            </w:r>
            <w:r>
              <w:rPr>
                <w:rFonts w:hint="eastAsia" w:ascii="宋体" w:hAnsi="宋体"/>
                <w:color w:val="auto"/>
                <w:highlight w:val="none"/>
                <w:u w:val="single"/>
              </w:rPr>
              <w:t>分</w:t>
            </w:r>
            <w:r>
              <w:rPr>
                <w:rFonts w:hint="eastAsia" w:ascii="宋体" w:hAnsi="宋体"/>
                <w:color w:val="auto"/>
                <w:szCs w:val="21"/>
                <w:highlight w:val="none"/>
                <w:u w:val="single"/>
              </w:rPr>
              <w:t>；良（各阶段工作分配较合理、时间节点较准确、各阶段工作量阐述较清楚）得</w:t>
            </w:r>
            <w:r>
              <w:rPr>
                <w:rFonts w:hint="eastAsia" w:ascii="宋体" w:hAnsi="宋体"/>
                <w:color w:val="auto"/>
                <w:highlight w:val="none"/>
                <w:u w:val="single"/>
                <w:lang w:val="en-US" w:eastAsia="zh-CN"/>
              </w:rPr>
              <w:t>8</w:t>
            </w:r>
            <w:r>
              <w:rPr>
                <w:rFonts w:hint="eastAsia" w:ascii="宋体" w:hAnsi="宋体"/>
                <w:color w:val="auto"/>
                <w:highlight w:val="none"/>
                <w:u w:val="single"/>
              </w:rPr>
              <w:t>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rPr>
              <w:t>-</w:t>
            </w:r>
            <w:r>
              <w:rPr>
                <w:rFonts w:hint="eastAsia" w:ascii="宋体" w:hAnsi="宋体"/>
                <w:color w:val="auto"/>
                <w:highlight w:val="none"/>
                <w:u w:val="single"/>
                <w:lang w:val="en-US" w:eastAsia="zh-CN"/>
              </w:rPr>
              <w:t>6</w:t>
            </w:r>
            <w:r>
              <w:rPr>
                <w:rFonts w:hint="eastAsia" w:ascii="宋体" w:hAnsi="宋体"/>
                <w:color w:val="auto"/>
                <w:szCs w:val="21"/>
                <w:highlight w:val="none"/>
                <w:u w:val="single"/>
              </w:rPr>
              <w:t>；一般（各阶段工作分配一般、时间节点一般、各阶段工作量阐述一般）得</w:t>
            </w:r>
            <w:r>
              <w:rPr>
                <w:rFonts w:hint="eastAsia" w:ascii="宋体" w:hAnsi="宋体"/>
                <w:color w:val="auto"/>
                <w:highlight w:val="none"/>
                <w:u w:val="single"/>
                <w:lang w:val="en-US" w:eastAsia="zh-CN"/>
              </w:rPr>
              <w:t>6分</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不含</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-2</w:t>
            </w:r>
            <w:r>
              <w:rPr>
                <w:rFonts w:hint="eastAsia" w:ascii="宋体" w:hAnsi="宋体"/>
                <w:color w:val="auto"/>
                <w:highlight w:val="none"/>
                <w:u w:val="single"/>
              </w:rPr>
              <w:t>分</w:t>
            </w:r>
            <w:r>
              <w:rPr>
                <w:rFonts w:hint="eastAsia" w:ascii="宋体" w:hAnsi="宋体"/>
                <w:color w:val="auto"/>
                <w:szCs w:val="21"/>
                <w:highlight w:val="none"/>
                <w:u w:val="single"/>
              </w:rPr>
              <w:t>；差（各阶段工作分配差、时间节点差、各阶段工作量阐述差）得</w:t>
            </w:r>
            <w:r>
              <w:rPr>
                <w:rFonts w:hint="eastAsia" w:ascii="宋体" w:hAnsi="宋体"/>
                <w:color w:val="auto"/>
                <w:szCs w:val="21"/>
                <w:highlight w:val="none"/>
                <w:u w:val="single"/>
                <w:lang w:val="en-US" w:eastAsia="zh-CN"/>
              </w:rPr>
              <w:t>2分（不含）-</w:t>
            </w:r>
            <w:r>
              <w:rPr>
                <w:rFonts w:hint="eastAsia" w:ascii="宋体" w:hAnsi="宋体"/>
                <w:color w:val="auto"/>
                <w:szCs w:val="21"/>
                <w:highlight w:val="none"/>
                <w:u w:val="single"/>
              </w:rPr>
              <w:t>1分；未提供的不得分。</w:t>
            </w:r>
          </w:p>
        </w:tc>
      </w:tr>
      <w:tr w14:paraId="6F5F36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14:paraId="1B3B6541">
            <w:pPr>
              <w:spacing w:line="400" w:lineRule="exact"/>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w:t>
            </w:r>
            <w:r>
              <w:rPr>
                <w:rFonts w:hint="eastAsia" w:ascii="宋体" w:hAnsi="宋体"/>
                <w:color w:val="auto"/>
                <w:kern w:val="0"/>
                <w:highlight w:val="none"/>
                <w:lang w:val="en-US" w:eastAsia="zh-CN"/>
              </w:rPr>
              <w:t>2</w:t>
            </w:r>
            <w:r>
              <w:rPr>
                <w:rFonts w:hint="eastAsia" w:ascii="宋体" w:hAnsi="宋体"/>
                <w:color w:val="auto"/>
                <w:kern w:val="0"/>
                <w:highlight w:val="none"/>
              </w:rPr>
              <w:t>）</w:t>
            </w:r>
          </w:p>
        </w:tc>
        <w:tc>
          <w:tcPr>
            <w:tcW w:w="852" w:type="dxa"/>
            <w:vMerge w:val="restart"/>
            <w:tcBorders>
              <w:left w:val="single" w:color="auto" w:sz="4" w:space="0"/>
            </w:tcBorders>
            <w:vAlign w:val="center"/>
          </w:tcPr>
          <w:p w14:paraId="1A5E7EC5">
            <w:pPr>
              <w:spacing w:line="400" w:lineRule="exact"/>
              <w:jc w:val="center"/>
              <w:rPr>
                <w:rFonts w:ascii="宋体" w:hAnsi="宋体"/>
                <w:color w:val="auto"/>
                <w:kern w:val="0"/>
                <w:highlight w:val="none"/>
              </w:rPr>
            </w:pPr>
            <w:r>
              <w:rPr>
                <w:rFonts w:hint="eastAsia" w:ascii="宋体" w:hAnsi="宋体"/>
                <w:color w:val="auto"/>
                <w:kern w:val="0"/>
                <w:highlight w:val="none"/>
              </w:rPr>
              <w:t>投标函部分评审标准</w:t>
            </w:r>
          </w:p>
        </w:tc>
        <w:tc>
          <w:tcPr>
            <w:tcW w:w="2492" w:type="dxa"/>
            <w:gridSpan w:val="2"/>
            <w:vAlign w:val="center"/>
          </w:tcPr>
          <w:p w14:paraId="04835D9F">
            <w:pPr>
              <w:tabs>
                <w:tab w:val="left" w:pos="1875"/>
              </w:tabs>
              <w:spacing w:line="400" w:lineRule="exact"/>
              <w:rPr>
                <w:rFonts w:ascii="宋体" w:hAnsi="宋体" w:cs="宋体"/>
                <w:color w:val="auto"/>
                <w:kern w:val="0"/>
                <w:highlight w:val="none"/>
              </w:rPr>
            </w:pPr>
            <w:r>
              <w:rPr>
                <w:rFonts w:hint="eastAsia" w:ascii="宋体" w:hAnsi="宋体" w:cs="宋体"/>
                <w:color w:val="auto"/>
                <w:kern w:val="0"/>
                <w:highlight w:val="none"/>
              </w:rPr>
              <w:t>投标函部分的签名盖章</w:t>
            </w:r>
          </w:p>
        </w:tc>
        <w:tc>
          <w:tcPr>
            <w:tcW w:w="5728" w:type="dxa"/>
            <w:vAlign w:val="center"/>
          </w:tcPr>
          <w:p w14:paraId="38F9844F">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投标函部分的格式要求法定代表人或其委托代理人签名（或盖章）的须齐全</w:t>
            </w:r>
            <w:r>
              <w:rPr>
                <w:rFonts w:hint="eastAsia" w:ascii="宋体" w:hAnsi="宋体" w:cs="宋体"/>
                <w:color w:val="auto"/>
                <w:kern w:val="0"/>
                <w:highlight w:val="none"/>
                <w:lang w:eastAsia="zh-CN"/>
              </w:rPr>
              <w:t>。</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均可</w:t>
            </w:r>
            <w:r>
              <w:rPr>
                <w:rFonts w:hint="eastAsia" w:ascii="宋体" w:hAnsi="宋体" w:cs="宋体"/>
                <w:color w:val="auto"/>
                <w:kern w:val="0"/>
                <w:highlight w:val="none"/>
                <w:lang w:eastAsia="zh-CN"/>
              </w:rPr>
              <w:t>。</w:t>
            </w:r>
          </w:p>
        </w:tc>
      </w:tr>
      <w:tr w14:paraId="1E1F1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0958FFC0">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77B8E38A">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006693FE">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设计服务期限</w:t>
            </w:r>
          </w:p>
        </w:tc>
        <w:tc>
          <w:tcPr>
            <w:tcW w:w="5728" w:type="dxa"/>
            <w:vAlign w:val="center"/>
          </w:tcPr>
          <w:p w14:paraId="30A2B3AE">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须知”第1.3.2项规定</w:t>
            </w:r>
          </w:p>
        </w:tc>
      </w:tr>
      <w:tr w14:paraId="702580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3F1C5C41">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64258F01">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0F9A764D">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质量标准</w:t>
            </w:r>
          </w:p>
        </w:tc>
        <w:tc>
          <w:tcPr>
            <w:tcW w:w="5728" w:type="dxa"/>
            <w:vAlign w:val="center"/>
          </w:tcPr>
          <w:p w14:paraId="73FF6CDB">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须知”第1.3.3项规定</w:t>
            </w:r>
          </w:p>
        </w:tc>
      </w:tr>
      <w:tr w14:paraId="38B35C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8" w:type="dxa"/>
            <w:vMerge w:val="continue"/>
            <w:tcBorders>
              <w:right w:val="single" w:color="auto" w:sz="4" w:space="0"/>
            </w:tcBorders>
            <w:vAlign w:val="center"/>
          </w:tcPr>
          <w:p w14:paraId="0B82BC37">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14611F85">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3BCB36B8">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5728" w:type="dxa"/>
            <w:vAlign w:val="center"/>
          </w:tcPr>
          <w:p w14:paraId="3FE37EB5">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须知”第3.3.1项规定</w:t>
            </w:r>
          </w:p>
        </w:tc>
      </w:tr>
      <w:tr w14:paraId="20235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08" w:type="dxa"/>
            <w:vMerge w:val="continue"/>
            <w:tcBorders>
              <w:right w:val="single" w:color="auto" w:sz="4" w:space="0"/>
            </w:tcBorders>
            <w:vAlign w:val="center"/>
          </w:tcPr>
          <w:p w14:paraId="15965B6A">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16FFE142">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62E19D36">
            <w:pPr>
              <w:tabs>
                <w:tab w:val="left" w:pos="1875"/>
              </w:tabs>
              <w:spacing w:line="400" w:lineRule="exact"/>
              <w:jc w:val="left"/>
              <w:rPr>
                <w:rFonts w:ascii="宋体" w:hAnsi="宋体" w:cs="宋体"/>
                <w:color w:val="auto"/>
                <w:kern w:val="0"/>
                <w:highlight w:val="none"/>
              </w:rPr>
            </w:pPr>
            <w:r>
              <w:rPr>
                <w:rFonts w:ascii="宋体" w:hAnsi="宋体"/>
                <w:color w:val="auto"/>
                <w:kern w:val="0"/>
                <w:highlight w:val="none"/>
              </w:rPr>
              <w:t>投标报价</w:t>
            </w:r>
          </w:p>
        </w:tc>
        <w:tc>
          <w:tcPr>
            <w:tcW w:w="5728" w:type="dxa"/>
            <w:vAlign w:val="center"/>
          </w:tcPr>
          <w:p w14:paraId="4CF60FA3">
            <w:pPr>
              <w:spacing w:line="400" w:lineRule="exact"/>
              <w:ind w:firstLine="420" w:firstLineChars="200"/>
              <w:rPr>
                <w:color w:val="auto"/>
                <w:highlight w:val="none"/>
              </w:rPr>
            </w:pPr>
            <w:r>
              <w:rPr>
                <w:rFonts w:hint="eastAsia"/>
                <w:color w:val="auto"/>
                <w:highlight w:val="none"/>
              </w:rPr>
              <w:t>1</w:t>
            </w:r>
            <w:r>
              <w:rPr>
                <w:color w:val="auto"/>
                <w:highlight w:val="none"/>
              </w:rPr>
              <w:t>.</w:t>
            </w:r>
            <w:r>
              <w:rPr>
                <w:rFonts w:hint="eastAsia"/>
                <w:color w:val="auto"/>
                <w:highlight w:val="none"/>
              </w:rPr>
              <w:t>投标函中的投标总报价或投标暂定设计费报价</w:t>
            </w:r>
            <w:r>
              <w:rPr>
                <w:color w:val="auto"/>
                <w:highlight w:val="none"/>
              </w:rPr>
              <w:t>不得高于</w:t>
            </w:r>
            <w:r>
              <w:rPr>
                <w:rFonts w:hint="eastAsia"/>
                <w:color w:val="auto"/>
                <w:highlight w:val="none"/>
                <w:lang w:eastAsia="zh-CN"/>
              </w:rPr>
              <w:t>比选人</w:t>
            </w:r>
            <w:r>
              <w:rPr>
                <w:color w:val="auto"/>
                <w:highlight w:val="none"/>
              </w:rPr>
              <w:t>公布的投标总报价最高限价</w:t>
            </w:r>
            <w:r>
              <w:rPr>
                <w:rFonts w:hint="eastAsia"/>
                <w:color w:val="auto"/>
                <w:highlight w:val="none"/>
              </w:rPr>
              <w:t>。</w:t>
            </w:r>
          </w:p>
          <w:p w14:paraId="36C2A121">
            <w:pPr>
              <w:spacing w:line="400" w:lineRule="exact"/>
              <w:ind w:firstLine="420" w:firstLineChars="200"/>
              <w:rPr>
                <w:color w:val="auto"/>
                <w:highlight w:val="none"/>
              </w:rPr>
            </w:pPr>
            <w:r>
              <w:rPr>
                <w:rFonts w:hint="eastAsia"/>
                <w:color w:val="auto"/>
                <w:highlight w:val="none"/>
              </w:rPr>
              <w:t>2</w:t>
            </w:r>
            <w:r>
              <w:rPr>
                <w:color w:val="auto"/>
                <w:highlight w:val="none"/>
              </w:rPr>
              <w:t>.</w:t>
            </w:r>
            <w:r>
              <w:rPr>
                <w:rFonts w:hint="eastAsia" w:ascii="宋体" w:hAnsi="宋体"/>
                <w:color w:val="auto"/>
                <w:kern w:val="0"/>
                <w:szCs w:val="21"/>
                <w:highlight w:val="none"/>
              </w:rPr>
              <w:t>投标函中的暂定设计费报价必须与依据固定费率/固定单价计算出的结果</w:t>
            </w:r>
            <w:r>
              <w:rPr>
                <w:rFonts w:ascii="宋体" w:hAnsi="宋体"/>
                <w:color w:val="auto"/>
                <w:kern w:val="0"/>
                <w:szCs w:val="21"/>
                <w:highlight w:val="none"/>
              </w:rPr>
              <w:t>一致</w:t>
            </w:r>
            <w:r>
              <w:rPr>
                <w:rFonts w:hint="eastAsia" w:ascii="宋体" w:hAnsi="宋体"/>
                <w:color w:val="auto"/>
                <w:kern w:val="0"/>
                <w:szCs w:val="21"/>
                <w:highlight w:val="none"/>
              </w:rPr>
              <w:t>；</w:t>
            </w:r>
          </w:p>
          <w:p w14:paraId="1B33B053">
            <w:pPr>
              <w:spacing w:line="400" w:lineRule="exact"/>
              <w:ind w:firstLine="420" w:firstLineChars="200"/>
              <w:rPr>
                <w:color w:val="auto"/>
                <w:highlight w:val="none"/>
              </w:rPr>
            </w:pPr>
            <w:r>
              <w:rPr>
                <w:color w:val="auto"/>
                <w:highlight w:val="none"/>
              </w:rPr>
              <w:t>3</w:t>
            </w:r>
            <w:r>
              <w:rPr>
                <w:rFonts w:hint="eastAsia"/>
                <w:color w:val="auto"/>
                <w:highlight w:val="none"/>
              </w:rPr>
              <w:t>.采用设计费用清单报价的，投标函中的投标总报价或暂定设计费报价必须与设计费用清单合计报价一致。</w:t>
            </w:r>
          </w:p>
        </w:tc>
      </w:tr>
      <w:tr w14:paraId="1E38A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808" w:type="dxa"/>
            <w:vMerge w:val="continue"/>
            <w:tcBorders>
              <w:right w:val="single" w:color="auto" w:sz="4" w:space="0"/>
            </w:tcBorders>
            <w:vAlign w:val="center"/>
          </w:tcPr>
          <w:p w14:paraId="5C359D28">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6CE975DC">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27D46C5A">
            <w:pPr>
              <w:tabs>
                <w:tab w:val="left" w:pos="1875"/>
              </w:tabs>
              <w:spacing w:line="400" w:lineRule="exact"/>
              <w:jc w:val="left"/>
              <w:rPr>
                <w:rFonts w:ascii="宋体" w:hAnsi="宋体" w:cs="宋体"/>
                <w:color w:val="auto"/>
                <w:kern w:val="0"/>
                <w:highlight w:val="none"/>
              </w:rPr>
            </w:pPr>
            <w:r>
              <w:rPr>
                <w:rFonts w:ascii="宋体" w:hAnsi="宋体"/>
                <w:color w:val="auto"/>
                <w:kern w:val="0"/>
                <w:highlight w:val="none"/>
              </w:rPr>
              <w:t>报价唯一</w:t>
            </w:r>
          </w:p>
        </w:tc>
        <w:tc>
          <w:tcPr>
            <w:tcW w:w="5728" w:type="dxa"/>
            <w:vAlign w:val="center"/>
          </w:tcPr>
          <w:p w14:paraId="03F7116A">
            <w:pPr>
              <w:snapToGrid w:val="0"/>
              <w:spacing w:line="400" w:lineRule="exact"/>
              <w:ind w:firstLine="420" w:firstLineChars="200"/>
              <w:rPr>
                <w:rFonts w:ascii="宋体" w:hAnsi="宋体"/>
                <w:color w:val="auto"/>
                <w:highlight w:val="none"/>
                <w:u w:val="single"/>
              </w:rPr>
            </w:pPr>
            <w:r>
              <w:rPr>
                <w:rFonts w:ascii="宋体" w:hAnsi="宋体"/>
                <w:color w:val="auto"/>
                <w:kern w:val="0"/>
                <w:highlight w:val="none"/>
              </w:rPr>
              <w:t>只能有一个有效报价，在</w:t>
            </w:r>
            <w:r>
              <w:rPr>
                <w:rFonts w:hint="eastAsia" w:ascii="宋体" w:hAnsi="宋体"/>
                <w:color w:val="auto"/>
                <w:kern w:val="0"/>
                <w:highlight w:val="none"/>
                <w:lang w:eastAsia="zh-CN"/>
              </w:rPr>
              <w:t>比选文件</w:t>
            </w:r>
            <w:r>
              <w:rPr>
                <w:rFonts w:ascii="宋体" w:hAnsi="宋体"/>
                <w:color w:val="auto"/>
                <w:kern w:val="0"/>
                <w:highlight w:val="none"/>
              </w:rPr>
              <w:t>没有规定的情况下，不得提交选择性报价。</w:t>
            </w:r>
          </w:p>
        </w:tc>
      </w:tr>
      <w:tr w14:paraId="57D1EE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0DBDCA28">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66AEF3AA">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3B1AF758">
            <w:pPr>
              <w:tabs>
                <w:tab w:val="left" w:pos="1875"/>
              </w:tabs>
              <w:spacing w:line="400" w:lineRule="exact"/>
              <w:jc w:val="left"/>
              <w:rPr>
                <w:rFonts w:ascii="宋体" w:hAnsi="宋体" w:cs="宋体"/>
                <w:color w:val="auto"/>
                <w:kern w:val="0"/>
                <w:highlight w:val="none"/>
              </w:rPr>
            </w:pPr>
            <w:r>
              <w:rPr>
                <w:rFonts w:hint="eastAsia" w:ascii="宋体" w:hAnsi="宋体"/>
                <w:color w:val="auto"/>
                <w:kern w:val="0"/>
                <w:highlight w:val="none"/>
              </w:rPr>
              <w:t>暂定金额</w:t>
            </w:r>
          </w:p>
        </w:tc>
        <w:tc>
          <w:tcPr>
            <w:tcW w:w="5728" w:type="dxa"/>
            <w:vAlign w:val="center"/>
          </w:tcPr>
          <w:p w14:paraId="16338D76">
            <w:pPr>
              <w:snapToGrid w:val="0"/>
              <w:spacing w:line="400" w:lineRule="exact"/>
              <w:ind w:firstLine="420" w:firstLineChars="200"/>
              <w:rPr>
                <w:rFonts w:ascii="宋体" w:hAnsi="宋体"/>
                <w:color w:val="auto"/>
                <w:highlight w:val="none"/>
                <w:u w:val="single"/>
              </w:rPr>
            </w:pPr>
            <w:r>
              <w:rPr>
                <w:rFonts w:hint="eastAsia" w:ascii="宋体" w:hAnsi="宋体"/>
                <w:color w:val="auto"/>
                <w:kern w:val="0"/>
                <w:highlight w:val="none"/>
              </w:rPr>
              <w:t>暂列金额、暂估价等暂定金额必须按照</w:t>
            </w:r>
            <w:r>
              <w:rPr>
                <w:rFonts w:hint="eastAsia" w:ascii="宋体" w:hAnsi="宋体"/>
                <w:color w:val="auto"/>
                <w:kern w:val="0"/>
                <w:highlight w:val="none"/>
                <w:lang w:eastAsia="zh-CN"/>
              </w:rPr>
              <w:t>比选文件</w:t>
            </w:r>
            <w:r>
              <w:rPr>
                <w:rFonts w:hint="eastAsia" w:ascii="宋体" w:hAnsi="宋体"/>
                <w:color w:val="auto"/>
                <w:kern w:val="0"/>
                <w:highlight w:val="none"/>
              </w:rPr>
              <w:t>给定的金额填报</w:t>
            </w:r>
          </w:p>
        </w:tc>
      </w:tr>
      <w:tr w14:paraId="453DE9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vAlign w:val="center"/>
          </w:tcPr>
          <w:p w14:paraId="23BB21D6">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1797B3BE">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037F7DBF">
            <w:pPr>
              <w:tabs>
                <w:tab w:val="left" w:pos="1875"/>
              </w:tabs>
              <w:spacing w:line="400" w:lineRule="exact"/>
              <w:jc w:val="left"/>
              <w:rPr>
                <w:rFonts w:ascii="宋体" w:hAnsi="宋体" w:cs="宋体"/>
                <w:color w:val="auto"/>
                <w:kern w:val="0"/>
                <w:highlight w:val="none"/>
              </w:rPr>
            </w:pPr>
            <w:r>
              <w:rPr>
                <w:rFonts w:ascii="宋体" w:hAnsi="宋体"/>
                <w:color w:val="auto"/>
                <w:kern w:val="0"/>
                <w:highlight w:val="none"/>
              </w:rPr>
              <w:t>投标报价算术错误修正</w:t>
            </w:r>
          </w:p>
        </w:tc>
        <w:tc>
          <w:tcPr>
            <w:tcW w:w="5728" w:type="dxa"/>
            <w:vAlign w:val="center"/>
          </w:tcPr>
          <w:p w14:paraId="08FF46D3">
            <w:pPr>
              <w:snapToGrid w:val="0"/>
              <w:spacing w:line="400" w:lineRule="exact"/>
              <w:ind w:firstLine="420" w:firstLineChars="200"/>
              <w:rPr>
                <w:rFonts w:ascii="宋体" w:hAnsi="宋体"/>
                <w:color w:val="auto"/>
                <w:highlight w:val="none"/>
                <w:u w:val="single"/>
              </w:rPr>
            </w:pPr>
            <w:r>
              <w:rPr>
                <w:rFonts w:ascii="宋体" w:hAnsi="宋体"/>
                <w:color w:val="auto"/>
                <w:kern w:val="0"/>
                <w:highlight w:val="none"/>
              </w:rPr>
              <w:t>符合第三章3.评标程序第3.1.3项规定。</w:t>
            </w:r>
          </w:p>
        </w:tc>
      </w:tr>
      <w:tr w14:paraId="0FCBA5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14:paraId="6ECE198E">
            <w:pPr>
              <w:spacing w:line="400" w:lineRule="exact"/>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.2.4（</w:t>
            </w:r>
            <w:r>
              <w:rPr>
                <w:rFonts w:hint="eastAsia" w:ascii="宋体" w:hAnsi="宋体"/>
                <w:color w:val="auto"/>
                <w:highlight w:val="none"/>
                <w:lang w:val="en-US" w:eastAsia="zh-CN"/>
              </w:rPr>
              <w:t>3</w:t>
            </w:r>
            <w:r>
              <w:rPr>
                <w:rFonts w:ascii="宋体" w:hAnsi="宋体"/>
                <w:color w:val="auto"/>
                <w:highlight w:val="none"/>
              </w:rPr>
              <w:t>）</w:t>
            </w:r>
          </w:p>
        </w:tc>
        <w:tc>
          <w:tcPr>
            <w:tcW w:w="852" w:type="dxa"/>
            <w:vAlign w:val="center"/>
          </w:tcPr>
          <w:p w14:paraId="5E6CAD04">
            <w:pPr>
              <w:spacing w:line="400" w:lineRule="exact"/>
              <w:jc w:val="center"/>
              <w:rPr>
                <w:color w:val="auto"/>
                <w:highlight w:val="none"/>
              </w:rPr>
            </w:pPr>
            <w:r>
              <w:rPr>
                <w:color w:val="auto"/>
                <w:highlight w:val="none"/>
              </w:rPr>
              <w:t>投标报价</w:t>
            </w:r>
            <w:r>
              <w:rPr>
                <w:rFonts w:hint="eastAsia"/>
                <w:color w:val="auto"/>
                <w:highlight w:val="none"/>
              </w:rPr>
              <w:t>评分（</w:t>
            </w:r>
            <w:r>
              <w:rPr>
                <w:rFonts w:hint="eastAsia"/>
                <w:color w:val="auto"/>
                <w:highlight w:val="none"/>
                <w:lang w:val="en-US" w:eastAsia="zh-CN"/>
              </w:rPr>
              <w:t>B</w:t>
            </w:r>
            <w:r>
              <w:rPr>
                <w:rFonts w:hint="eastAsia"/>
                <w:color w:val="auto"/>
                <w:highlight w:val="none"/>
              </w:rPr>
              <w:t>）标准</w:t>
            </w:r>
          </w:p>
        </w:tc>
        <w:tc>
          <w:tcPr>
            <w:tcW w:w="2492" w:type="dxa"/>
            <w:gridSpan w:val="2"/>
            <w:tcBorders>
              <w:top w:val="single" w:color="auto" w:sz="4" w:space="0"/>
              <w:bottom w:val="single" w:color="auto" w:sz="4" w:space="0"/>
            </w:tcBorders>
            <w:vAlign w:val="center"/>
          </w:tcPr>
          <w:p w14:paraId="0D7FE6C4">
            <w:pPr>
              <w:spacing w:line="400" w:lineRule="exact"/>
              <w:jc w:val="center"/>
              <w:rPr>
                <w:rFonts w:ascii="宋体" w:hAnsi="宋体"/>
                <w:color w:val="auto"/>
                <w:highlight w:val="none"/>
              </w:rPr>
            </w:pPr>
            <w:r>
              <w:rPr>
                <w:rFonts w:ascii="宋体" w:hAnsi="宋体"/>
                <w:color w:val="auto"/>
                <w:highlight w:val="none"/>
              </w:rPr>
              <w:t>投标报价</w:t>
            </w:r>
            <w:r>
              <w:rPr>
                <w:rFonts w:hint="eastAsia" w:ascii="宋体" w:hAnsi="宋体"/>
                <w:color w:val="auto"/>
                <w:highlight w:val="none"/>
              </w:rPr>
              <w:t>（或暂定设计费报价）</w:t>
            </w:r>
          </w:p>
        </w:tc>
        <w:tc>
          <w:tcPr>
            <w:tcW w:w="5728" w:type="dxa"/>
            <w:vAlign w:val="center"/>
          </w:tcPr>
          <w:p w14:paraId="5C32FB36">
            <w:pPr>
              <w:spacing w:line="400" w:lineRule="exact"/>
              <w:ind w:firstLine="420" w:firstLineChars="200"/>
              <w:rPr>
                <w:color w:val="auto"/>
                <w:highlight w:val="none"/>
              </w:rPr>
            </w:pPr>
            <w:r>
              <w:rPr>
                <w:rFonts w:hint="eastAsia"/>
                <w:color w:val="auto"/>
                <w:highlight w:val="none"/>
              </w:rPr>
              <w:t>所有通过初步评审和本章第2.2.</w:t>
            </w:r>
            <w:r>
              <w:rPr>
                <w:color w:val="auto"/>
                <w:highlight w:val="none"/>
              </w:rPr>
              <w:t>4</w:t>
            </w:r>
            <w:r>
              <w:rPr>
                <w:rFonts w:hint="eastAsia"/>
                <w:color w:val="auto"/>
                <w:highlight w:val="none"/>
              </w:rPr>
              <w:t>（</w:t>
            </w:r>
            <w:r>
              <w:rPr>
                <w:rFonts w:hint="eastAsia"/>
                <w:color w:val="auto"/>
                <w:highlight w:val="none"/>
                <w:lang w:val="en-US" w:eastAsia="zh-CN"/>
              </w:rPr>
              <w:t>2</w:t>
            </w:r>
            <w:r>
              <w:rPr>
                <w:rFonts w:hint="eastAsia"/>
                <w:color w:val="auto"/>
                <w:highlight w:val="none"/>
              </w:rPr>
              <w:t>）目评审合格的</w:t>
            </w:r>
            <w:r>
              <w:rPr>
                <w:rFonts w:hint="eastAsia"/>
                <w:color w:val="auto"/>
                <w:highlight w:val="none"/>
                <w:lang w:eastAsia="zh-CN"/>
              </w:rPr>
              <w:t>竞选人</w:t>
            </w:r>
            <w:r>
              <w:rPr>
                <w:rFonts w:hint="eastAsia"/>
                <w:color w:val="auto"/>
                <w:highlight w:val="none"/>
              </w:rPr>
              <w:t>，投标</w:t>
            </w:r>
            <w:r>
              <w:rPr>
                <w:rFonts w:hint="eastAsia"/>
                <w:color w:val="auto"/>
                <w:highlight w:val="none"/>
                <w:lang w:val="en-US" w:eastAsia="zh-CN"/>
              </w:rPr>
              <w:t>总</w:t>
            </w:r>
            <w:r>
              <w:rPr>
                <w:rFonts w:hint="eastAsia"/>
                <w:color w:val="auto"/>
                <w:highlight w:val="none"/>
              </w:rPr>
              <w:t>报价得本附表第2.2.1项规定分值的满分</w:t>
            </w:r>
            <w:r>
              <w:rPr>
                <w:rFonts w:hint="eastAsia"/>
                <w:color w:val="auto"/>
                <w:highlight w:val="none"/>
                <w:u w:val="single"/>
              </w:rPr>
              <w:t xml:space="preserve"> </w:t>
            </w:r>
            <w:r>
              <w:rPr>
                <w:rFonts w:hint="eastAsia"/>
                <w:color w:val="auto"/>
                <w:highlight w:val="none"/>
                <w:u w:val="single"/>
                <w:lang w:val="en-US" w:eastAsia="zh-CN"/>
              </w:rPr>
              <w:t>30</w:t>
            </w:r>
            <w:r>
              <w:rPr>
                <w:rFonts w:hint="eastAsia"/>
                <w:color w:val="auto"/>
                <w:highlight w:val="none"/>
                <w:u w:val="single"/>
              </w:rPr>
              <w:t xml:space="preserve"> </w:t>
            </w:r>
            <w:r>
              <w:rPr>
                <w:rFonts w:hint="eastAsia"/>
                <w:color w:val="auto"/>
                <w:highlight w:val="none"/>
              </w:rPr>
              <w:t>分。</w:t>
            </w:r>
            <w:r>
              <w:rPr>
                <w:color w:val="auto"/>
                <w:highlight w:val="none"/>
              </w:rPr>
              <w:t>在此基础上，投标总报价与评标基准价相比，每增加1%</w:t>
            </w:r>
          </w:p>
          <w:p w14:paraId="0BAF6C50">
            <w:pPr>
              <w:spacing w:line="400" w:lineRule="exact"/>
              <w:ind w:firstLine="0" w:firstLineChars="0"/>
              <w:rPr>
                <w:color w:val="auto"/>
                <w:highlight w:val="none"/>
              </w:rPr>
            </w:pPr>
            <w:r>
              <w:rPr>
                <w:color w:val="auto"/>
                <w:highlight w:val="none"/>
              </w:rPr>
              <w:t>扣</w:t>
            </w:r>
            <w:r>
              <w:rPr>
                <w:rFonts w:hint="eastAsia"/>
                <w:color w:val="auto"/>
                <w:highlight w:val="none"/>
                <w:u w:val="single"/>
                <w:lang w:val="en-US" w:eastAsia="zh-CN"/>
              </w:rPr>
              <w:t xml:space="preserve">0.5 </w:t>
            </w:r>
            <w:r>
              <w:rPr>
                <w:color w:val="auto"/>
                <w:highlight w:val="none"/>
              </w:rPr>
              <w:t>分，每减少1%扣</w:t>
            </w:r>
            <w:r>
              <w:rPr>
                <w:rFonts w:hint="eastAsia"/>
                <w:color w:val="auto"/>
                <w:highlight w:val="none"/>
                <w:u w:val="single"/>
                <w:lang w:val="en-US" w:eastAsia="zh-CN"/>
              </w:rPr>
              <w:t>0.25</w:t>
            </w:r>
            <w:r>
              <w:rPr>
                <w:rFonts w:hint="eastAsia"/>
                <w:color w:val="auto"/>
                <w:highlight w:val="none"/>
                <w:u w:val="single"/>
              </w:rPr>
              <w:t xml:space="preserve"> </w:t>
            </w:r>
            <w:r>
              <w:rPr>
                <w:color w:val="auto"/>
                <w:highlight w:val="none"/>
              </w:rPr>
              <w:t>分</w:t>
            </w:r>
            <w:r>
              <w:rPr>
                <w:rFonts w:ascii="宋体" w:hAnsi="宋体"/>
                <w:color w:val="auto"/>
                <w:szCs w:val="21"/>
                <w:highlight w:val="none"/>
              </w:rPr>
              <w:t>，</w:t>
            </w:r>
            <w:r>
              <w:rPr>
                <w:rFonts w:hint="eastAsia"/>
                <w:color w:val="auto"/>
                <w:highlight w:val="none"/>
              </w:rPr>
              <w:t>最多扣</w:t>
            </w:r>
            <w:r>
              <w:rPr>
                <w:rFonts w:hint="eastAsia"/>
                <w:color w:val="auto"/>
                <w:highlight w:val="none"/>
                <w:u w:val="single"/>
              </w:rPr>
              <w:t xml:space="preserve"> </w:t>
            </w:r>
            <w:r>
              <w:rPr>
                <w:rFonts w:hint="eastAsia"/>
                <w:color w:val="auto"/>
                <w:highlight w:val="none"/>
                <w:u w:val="single"/>
                <w:lang w:val="en-US" w:eastAsia="zh-CN"/>
              </w:rPr>
              <w:t xml:space="preserve">5 </w:t>
            </w:r>
            <w:r>
              <w:rPr>
                <w:rFonts w:hint="eastAsia"/>
                <w:color w:val="auto"/>
                <w:highlight w:val="none"/>
              </w:rPr>
              <w:t>分</w:t>
            </w:r>
            <w:r>
              <w:rPr>
                <w:color w:val="auto"/>
                <w:highlight w:val="none"/>
              </w:rPr>
              <w:t>。</w:t>
            </w:r>
          </w:p>
          <w:p w14:paraId="7A7BBF01">
            <w:pPr>
              <w:spacing w:line="400" w:lineRule="exact"/>
              <w:ind w:firstLine="420" w:firstLineChars="200"/>
              <w:rPr>
                <w:color w:val="auto"/>
                <w:highlight w:val="none"/>
              </w:rPr>
            </w:pPr>
            <w:r>
              <w:rPr>
                <w:color w:val="auto"/>
                <w:highlight w:val="none"/>
              </w:rPr>
              <w:t>按插入法计算得分。</w:t>
            </w:r>
          </w:p>
          <w:p w14:paraId="3C618FD6">
            <w:pPr>
              <w:spacing w:line="400" w:lineRule="exact"/>
              <w:ind w:firstLine="420" w:firstLineChars="200"/>
              <w:rPr>
                <w:color w:val="auto"/>
                <w:highlight w:val="none"/>
              </w:rPr>
            </w:pPr>
            <w:r>
              <w:rPr>
                <w:color w:val="auto"/>
                <w:highlight w:val="none"/>
              </w:rPr>
              <w:t>未参与评标基准价计算的投标</w:t>
            </w:r>
            <w:r>
              <w:rPr>
                <w:rFonts w:hint="eastAsia"/>
                <w:color w:val="auto"/>
                <w:highlight w:val="none"/>
                <w:lang w:val="en-US" w:eastAsia="zh-CN"/>
              </w:rPr>
              <w:t>总</w:t>
            </w:r>
            <w:r>
              <w:rPr>
                <w:color w:val="auto"/>
                <w:highlight w:val="none"/>
              </w:rPr>
              <w:t>报价，仍应参加计算相应分值。</w:t>
            </w:r>
          </w:p>
          <w:p w14:paraId="61ABB2DB">
            <w:pPr>
              <w:spacing w:line="400" w:lineRule="exact"/>
              <w:ind w:firstLine="420" w:firstLineChars="200"/>
              <w:rPr>
                <w:color w:val="auto"/>
                <w:highlight w:val="none"/>
              </w:rPr>
            </w:pPr>
            <w:r>
              <w:rPr>
                <w:rFonts w:hint="eastAsia"/>
                <w:color w:val="auto"/>
                <w:highlight w:val="none"/>
              </w:rPr>
              <w:t>投标总报价</w:t>
            </w:r>
            <w:r>
              <w:rPr>
                <w:rFonts w:hint="eastAsia"/>
                <w:color w:val="auto"/>
                <w:highlight w:val="none"/>
                <w:lang w:val="en-US" w:eastAsia="zh-CN"/>
              </w:rPr>
              <w:t>得分</w:t>
            </w:r>
            <w:r>
              <w:rPr>
                <w:rFonts w:hint="eastAsia"/>
                <w:color w:val="auto"/>
                <w:highlight w:val="none"/>
              </w:rPr>
              <w:t>最终结果</w:t>
            </w:r>
            <w:r>
              <w:rPr>
                <w:color w:val="auto"/>
                <w:highlight w:val="none"/>
              </w:rPr>
              <w:t>取小数点后两位，第三位四舍五入。</w:t>
            </w:r>
          </w:p>
        </w:tc>
      </w:tr>
      <w:tr w14:paraId="1AD3D7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0F8D85F0">
            <w:pPr>
              <w:spacing w:line="400" w:lineRule="exact"/>
              <w:jc w:val="center"/>
              <w:rPr>
                <w:rFonts w:ascii="宋体" w:hAnsi="宋体"/>
                <w:color w:val="auto"/>
                <w:highlight w:val="none"/>
              </w:rPr>
            </w:pPr>
            <w:r>
              <w:rPr>
                <w:rFonts w:hint="eastAsia" w:ascii="宋体" w:hAnsi="宋体"/>
                <w:color w:val="auto"/>
                <w:highlight w:val="none"/>
              </w:rPr>
              <w:t>3</w:t>
            </w:r>
          </w:p>
        </w:tc>
        <w:tc>
          <w:tcPr>
            <w:tcW w:w="2492" w:type="dxa"/>
            <w:gridSpan w:val="2"/>
            <w:tcBorders>
              <w:top w:val="single" w:color="auto" w:sz="4" w:space="0"/>
              <w:bottom w:val="single" w:color="auto" w:sz="4" w:space="0"/>
            </w:tcBorders>
            <w:vAlign w:val="center"/>
          </w:tcPr>
          <w:p w14:paraId="4C5FB775">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5728" w:type="dxa"/>
            <w:vAlign w:val="center"/>
          </w:tcPr>
          <w:p w14:paraId="17A2AD4B">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1.按本章评标办法第3.1款进行初步评审。未通过初步评审或评标委员会认定为无效的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的不再进行后续评审。</w:t>
            </w:r>
          </w:p>
          <w:p w14:paraId="3595E130">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（1）目的规定对技术部分进行评审。</w:t>
            </w:r>
          </w:p>
          <w:p w14:paraId="7E18F576">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）目的规定对投标函部分进行评审，经评审不合格的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不再参与后续评审。</w:t>
            </w:r>
          </w:p>
          <w:p w14:paraId="23F2F162">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.因评标委员会作否决投标处理导致有效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不足三个的，评标委员会应当否决所有投标。但是有效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的经济、技术等指标仍然具有市场竞争力，能够满足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7152A448">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.经评审合格的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按照本章第2.2.</w:t>
            </w:r>
            <w:r>
              <w:rPr>
                <w:rFonts w:ascii="宋体" w:hAnsi="宋体"/>
                <w:color w:val="auto"/>
                <w:kern w:val="0"/>
                <w:szCs w:val="21"/>
                <w:highlight w:val="none"/>
              </w:rPr>
              <w:t>2</w:t>
            </w:r>
            <w:r>
              <w:rPr>
                <w:rFonts w:hint="eastAsia" w:ascii="宋体" w:hAnsi="宋体"/>
                <w:color w:val="auto"/>
                <w:kern w:val="0"/>
                <w:szCs w:val="21"/>
                <w:highlight w:val="none"/>
              </w:rPr>
              <w:t>项计算方法计算评标基准价，并按本附表第2.2.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）目规定的评分方法对投标报价进行评分。</w:t>
            </w:r>
          </w:p>
          <w:p w14:paraId="78362F11">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.对技术部分、投标报价得分进行汇总，确定得分由高至低前三名</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为中标候选人。</w:t>
            </w:r>
          </w:p>
        </w:tc>
      </w:tr>
      <w:tr w14:paraId="690EF4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5D56BC74">
            <w:pPr>
              <w:spacing w:line="400" w:lineRule="exact"/>
              <w:jc w:val="center"/>
              <w:rPr>
                <w:rFonts w:ascii="宋体" w:hAnsi="宋体"/>
                <w:color w:val="auto"/>
                <w:highlight w:val="none"/>
              </w:rPr>
            </w:pPr>
            <w:r>
              <w:rPr>
                <w:rFonts w:hint="eastAsia" w:ascii="宋体" w:hAnsi="宋体"/>
                <w:color w:val="auto"/>
                <w:highlight w:val="none"/>
              </w:rPr>
              <w:t>3.2.3</w:t>
            </w:r>
          </w:p>
        </w:tc>
        <w:tc>
          <w:tcPr>
            <w:tcW w:w="2492" w:type="dxa"/>
            <w:gridSpan w:val="2"/>
            <w:tcBorders>
              <w:top w:val="single" w:color="auto" w:sz="4" w:space="0"/>
              <w:bottom w:val="single" w:color="auto" w:sz="4" w:space="0"/>
            </w:tcBorders>
            <w:vAlign w:val="center"/>
          </w:tcPr>
          <w:p w14:paraId="50ABED94">
            <w:pPr>
              <w:spacing w:line="400" w:lineRule="exact"/>
              <w:jc w:val="center"/>
              <w:rPr>
                <w:rFonts w:ascii="宋体" w:hAnsi="宋体"/>
                <w:color w:val="auto"/>
                <w:highlight w:val="none"/>
              </w:rPr>
            </w:pPr>
            <w:r>
              <w:rPr>
                <w:rFonts w:hint="eastAsia" w:ascii="宋体" w:hAnsi="宋体"/>
                <w:color w:val="auto"/>
                <w:highlight w:val="none"/>
                <w:lang w:eastAsia="zh-CN"/>
              </w:rPr>
              <w:t>竞选人</w:t>
            </w:r>
            <w:r>
              <w:rPr>
                <w:rFonts w:hint="eastAsia" w:ascii="宋体" w:hAnsi="宋体"/>
                <w:color w:val="auto"/>
                <w:highlight w:val="none"/>
              </w:rPr>
              <w:t>得分</w:t>
            </w:r>
          </w:p>
        </w:tc>
        <w:tc>
          <w:tcPr>
            <w:tcW w:w="5728" w:type="dxa"/>
            <w:vAlign w:val="center"/>
          </w:tcPr>
          <w:p w14:paraId="548BE32B">
            <w:pPr>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highlight w:val="none"/>
                <w:lang w:eastAsia="zh-CN"/>
              </w:rPr>
              <w:t>竞选人</w:t>
            </w:r>
            <w:r>
              <w:rPr>
                <w:rFonts w:hint="eastAsia" w:ascii="宋体" w:hAnsi="宋体"/>
                <w:color w:val="auto"/>
                <w:highlight w:val="none"/>
              </w:rPr>
              <w:t>得分=</w:t>
            </w:r>
            <w:r>
              <w:rPr>
                <w:rFonts w:hint="eastAsia" w:ascii="宋体" w:hAnsi="宋体"/>
                <w:color w:val="auto"/>
                <w:kern w:val="0"/>
                <w:szCs w:val="21"/>
                <w:highlight w:val="none"/>
              </w:rPr>
              <w:t>A+B</w:t>
            </w:r>
          </w:p>
        </w:tc>
      </w:tr>
      <w:tr w14:paraId="0AEA28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6C910499">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3.4</w:t>
            </w:r>
          </w:p>
        </w:tc>
        <w:tc>
          <w:tcPr>
            <w:tcW w:w="2492" w:type="dxa"/>
            <w:gridSpan w:val="2"/>
            <w:tcBorders>
              <w:top w:val="single" w:color="auto" w:sz="4" w:space="0"/>
            </w:tcBorders>
            <w:vAlign w:val="center"/>
          </w:tcPr>
          <w:p w14:paraId="38ACBCCD">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评标结果</w:t>
            </w:r>
          </w:p>
        </w:tc>
        <w:tc>
          <w:tcPr>
            <w:tcW w:w="5728" w:type="dxa"/>
            <w:vAlign w:val="center"/>
          </w:tcPr>
          <w:p w14:paraId="6D665505">
            <w:pPr>
              <w:spacing w:line="400" w:lineRule="exact"/>
              <w:ind w:firstLine="420" w:firstLineChars="200"/>
              <w:rPr>
                <w:color w:val="auto"/>
                <w:highlight w:val="none"/>
              </w:rPr>
            </w:pPr>
            <w:r>
              <w:rPr>
                <w:rFonts w:hint="eastAsia"/>
                <w:color w:val="auto"/>
                <w:highlight w:val="none"/>
                <w:lang w:val="en-US" w:eastAsia="zh-CN"/>
              </w:rPr>
              <w:t>3.4.1</w:t>
            </w:r>
            <w:r>
              <w:rPr>
                <w:color w:val="auto"/>
                <w:highlight w:val="none"/>
              </w:rPr>
              <w:t>除第二章“</w:t>
            </w:r>
            <w:r>
              <w:rPr>
                <w:rFonts w:hint="eastAsia"/>
                <w:color w:val="auto"/>
                <w:highlight w:val="none"/>
                <w:lang w:eastAsia="zh-CN"/>
              </w:rPr>
              <w:t>竞选人</w:t>
            </w:r>
            <w:r>
              <w:rPr>
                <w:color w:val="auto"/>
                <w:highlight w:val="none"/>
              </w:rPr>
              <w:t>须知”前附表授权直接确定中标人外，评标委员会按照得分由高到低的顺序推荐中标候选人，并标明排序。</w:t>
            </w:r>
          </w:p>
          <w:p w14:paraId="4EF8B2A6">
            <w:pPr>
              <w:spacing w:line="400" w:lineRule="exact"/>
              <w:ind w:firstLine="420" w:firstLineChars="200"/>
              <w:rPr>
                <w:rFonts w:hint="eastAsia"/>
                <w:color w:val="auto"/>
                <w:highlight w:val="none"/>
              </w:rPr>
            </w:pPr>
            <w:r>
              <w:rPr>
                <w:color w:val="auto"/>
                <w:szCs w:val="22"/>
                <w:highlight w:val="none"/>
              </w:rPr>
              <w:t>3.4.2 评标委员会完成评标后，应当向</w:t>
            </w:r>
            <w:r>
              <w:rPr>
                <w:rFonts w:hint="eastAsia"/>
                <w:color w:val="auto"/>
                <w:szCs w:val="22"/>
                <w:highlight w:val="none"/>
                <w:lang w:eastAsia="zh-CN"/>
              </w:rPr>
              <w:t>比选人</w:t>
            </w:r>
            <w:r>
              <w:rPr>
                <w:color w:val="auto"/>
                <w:szCs w:val="22"/>
                <w:highlight w:val="none"/>
              </w:rPr>
              <w:t>提交书面评标报告和中标候选人名单。</w:t>
            </w:r>
          </w:p>
        </w:tc>
      </w:tr>
    </w:tbl>
    <w:p w14:paraId="5F9FF80B">
      <w:pPr>
        <w:pStyle w:val="3"/>
        <w:spacing w:before="0" w:after="0" w:line="360" w:lineRule="auto"/>
        <w:rPr>
          <w:rFonts w:ascii="宋体" w:hAnsi="宋体"/>
          <w:b w:val="0"/>
          <w:snapToGrid w:val="0"/>
          <w:color w:val="auto"/>
          <w:highlight w:val="none"/>
        </w:rPr>
      </w:pPr>
      <w:bookmarkStart w:id="537" w:name="_Toc509218776"/>
      <w:r>
        <w:rPr>
          <w:rFonts w:ascii="宋体" w:hAnsi="宋体"/>
          <w:b w:val="0"/>
          <w:snapToGrid w:val="0"/>
          <w:color w:val="auto"/>
          <w:highlight w:val="none"/>
        </w:rPr>
        <w:br w:type="page"/>
      </w:r>
      <w:bookmarkStart w:id="538" w:name="_Toc2468"/>
      <w:r>
        <w:rPr>
          <w:rFonts w:ascii="宋体" w:hAnsi="宋体"/>
          <w:b w:val="0"/>
          <w:snapToGrid w:val="0"/>
          <w:color w:val="auto"/>
          <w:highlight w:val="none"/>
        </w:rPr>
        <w:t>1.  评标方法</w:t>
      </w:r>
      <w:bookmarkEnd w:id="522"/>
      <w:bookmarkEnd w:id="523"/>
      <w:bookmarkEnd w:id="524"/>
      <w:bookmarkEnd w:id="525"/>
      <w:bookmarkEnd w:id="526"/>
      <w:bookmarkEnd w:id="527"/>
      <w:bookmarkEnd w:id="537"/>
      <w:bookmarkEnd w:id="538"/>
    </w:p>
    <w:p w14:paraId="0B70BB7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评标委员会对满足</w:t>
      </w:r>
      <w:r>
        <w:rPr>
          <w:rFonts w:hint="eastAsia" w:ascii="宋体" w:hAnsi="宋体"/>
          <w:color w:val="auto"/>
          <w:kern w:val="0"/>
          <w:szCs w:val="21"/>
          <w:highlight w:val="none"/>
          <w:lang w:eastAsia="zh-CN"/>
        </w:rPr>
        <w:t>比选文件</w:t>
      </w:r>
      <w:r>
        <w:rPr>
          <w:rFonts w:ascii="宋体" w:hAnsi="宋体"/>
          <w:color w:val="auto"/>
          <w:kern w:val="0"/>
          <w:szCs w:val="21"/>
          <w:highlight w:val="none"/>
        </w:rPr>
        <w:t>实质性要求的</w:t>
      </w:r>
      <w:r>
        <w:rPr>
          <w:rFonts w:hint="eastAsia" w:ascii="宋体" w:hAnsi="宋体"/>
          <w:color w:val="auto"/>
          <w:kern w:val="0"/>
          <w:szCs w:val="21"/>
          <w:highlight w:val="none"/>
          <w:lang w:eastAsia="zh-CN"/>
        </w:rPr>
        <w:t>竞选文件</w:t>
      </w:r>
      <w:r>
        <w:rPr>
          <w:rFonts w:ascii="宋体" w:hAnsi="宋体"/>
          <w:color w:val="auto"/>
          <w:kern w:val="0"/>
          <w:szCs w:val="21"/>
          <w:highlight w:val="none"/>
        </w:rPr>
        <w:t xml:space="preserve">，按照本章第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lang w:eastAsia="zh-CN"/>
        </w:rPr>
        <w:t>评分</w:t>
      </w:r>
      <w:r>
        <w:rPr>
          <w:rFonts w:ascii="宋体" w:hAnsi="宋体"/>
          <w:color w:val="auto"/>
          <w:kern w:val="0"/>
          <w:szCs w:val="21"/>
          <w:highlight w:val="none"/>
        </w:rPr>
        <w:t>，</w:t>
      </w:r>
      <w:r>
        <w:rPr>
          <w:rFonts w:hint="eastAsia" w:ascii="宋体" w:hAnsi="宋体"/>
          <w:color w:val="auto"/>
          <w:kern w:val="0"/>
          <w:szCs w:val="21"/>
          <w:highlight w:val="none"/>
        </w:rPr>
        <w:t>并</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lang w:eastAsia="zh-CN"/>
        </w:rPr>
        <w:t>比选人</w:t>
      </w:r>
      <w:r>
        <w:rPr>
          <w:rFonts w:ascii="宋体" w:hAnsi="宋体"/>
          <w:color w:val="auto"/>
          <w:kern w:val="0"/>
          <w:szCs w:val="21"/>
          <w:highlight w:val="none"/>
        </w:rPr>
        <w:t>授权直接确定中标人。综合评分相等时，</w:t>
      </w:r>
      <w:r>
        <w:rPr>
          <w:rFonts w:hint="eastAsia" w:ascii="宋体" w:hAnsi="宋体"/>
          <w:color w:val="auto"/>
          <w:kern w:val="0"/>
          <w:szCs w:val="21"/>
          <w:highlight w:val="none"/>
        </w:rPr>
        <w:t>以评标办法前附表约定的原则确定</w:t>
      </w:r>
      <w:r>
        <w:rPr>
          <w:color w:val="auto"/>
          <w:highlight w:val="none"/>
        </w:rPr>
        <w:t>中标候选人顺序</w:t>
      </w:r>
      <w:r>
        <w:rPr>
          <w:rFonts w:ascii="宋体" w:hAnsi="宋体"/>
          <w:color w:val="auto"/>
          <w:spacing w:val="-31"/>
          <w:kern w:val="0"/>
          <w:szCs w:val="21"/>
          <w:highlight w:val="none"/>
        </w:rPr>
        <w:t>。</w:t>
      </w:r>
    </w:p>
    <w:p w14:paraId="75EAE537">
      <w:pPr>
        <w:pStyle w:val="3"/>
        <w:spacing w:before="0" w:after="0" w:line="360" w:lineRule="auto"/>
        <w:rPr>
          <w:rFonts w:ascii="宋体" w:hAnsi="宋体"/>
          <w:b w:val="0"/>
          <w:snapToGrid w:val="0"/>
          <w:color w:val="auto"/>
          <w:highlight w:val="none"/>
        </w:rPr>
      </w:pPr>
      <w:bookmarkStart w:id="539" w:name="_Toc277082619"/>
      <w:bookmarkStart w:id="540" w:name="_Toc8451"/>
      <w:bookmarkStart w:id="541" w:name="_Toc509218777"/>
      <w:bookmarkStart w:id="542" w:name="_Toc200513199"/>
      <w:bookmarkStart w:id="543" w:name="_Toc430530501"/>
      <w:bookmarkStart w:id="544" w:name="_Toc287620752"/>
      <w:bookmarkStart w:id="545" w:name="_Toc287607813"/>
      <w:bookmarkStart w:id="546" w:name="_Toc224103385"/>
      <w:r>
        <w:rPr>
          <w:rFonts w:ascii="宋体" w:hAnsi="宋体"/>
          <w:b w:val="0"/>
          <w:snapToGrid w:val="0"/>
          <w:color w:val="auto"/>
          <w:highlight w:val="none"/>
        </w:rPr>
        <w:t>2.  评审标准</w:t>
      </w:r>
      <w:bookmarkEnd w:id="539"/>
      <w:bookmarkEnd w:id="540"/>
      <w:bookmarkEnd w:id="541"/>
      <w:bookmarkEnd w:id="542"/>
      <w:bookmarkEnd w:id="543"/>
      <w:bookmarkEnd w:id="544"/>
      <w:bookmarkEnd w:id="545"/>
      <w:bookmarkEnd w:id="546"/>
    </w:p>
    <w:p w14:paraId="4EFBEA62">
      <w:pPr>
        <w:pStyle w:val="4"/>
        <w:snapToGrid w:val="0"/>
        <w:spacing w:before="0" w:after="0" w:line="360" w:lineRule="auto"/>
        <w:rPr>
          <w:rFonts w:ascii="宋体" w:hAnsi="宋体"/>
          <w:b w:val="0"/>
          <w:snapToGrid w:val="0"/>
          <w:color w:val="auto"/>
          <w:sz w:val="24"/>
          <w:szCs w:val="24"/>
          <w:highlight w:val="none"/>
        </w:rPr>
      </w:pPr>
      <w:bookmarkStart w:id="547" w:name="_Toc287620753"/>
      <w:bookmarkStart w:id="548" w:name="_Toc224103386"/>
      <w:bookmarkStart w:id="549" w:name="_Toc277082620"/>
      <w:bookmarkStart w:id="550" w:name="_Toc287607814"/>
      <w:bookmarkStart w:id="551" w:name="_Toc11473"/>
      <w:bookmarkStart w:id="552" w:name="_Toc509218778"/>
      <w:bookmarkStart w:id="553" w:name="_Toc200513200"/>
      <w:bookmarkStart w:id="554" w:name="_Toc430530502"/>
      <w:r>
        <w:rPr>
          <w:rFonts w:ascii="宋体" w:hAnsi="宋体"/>
          <w:b w:val="0"/>
          <w:snapToGrid w:val="0"/>
          <w:color w:val="auto"/>
          <w:sz w:val="24"/>
          <w:szCs w:val="24"/>
          <w:highlight w:val="none"/>
        </w:rPr>
        <w:t>2.1  初步评审标准</w:t>
      </w:r>
      <w:bookmarkEnd w:id="547"/>
      <w:bookmarkEnd w:id="548"/>
      <w:bookmarkEnd w:id="549"/>
      <w:bookmarkEnd w:id="550"/>
      <w:bookmarkEnd w:id="551"/>
      <w:bookmarkEnd w:id="552"/>
      <w:bookmarkEnd w:id="553"/>
      <w:bookmarkEnd w:id="554"/>
    </w:p>
    <w:p w14:paraId="6C2A8FB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1A</w:t>
      </w:r>
      <w:r>
        <w:rPr>
          <w:rFonts w:ascii="宋体" w:hAnsi="宋体"/>
          <w:color w:val="auto"/>
          <w:kern w:val="0"/>
          <w:szCs w:val="21"/>
          <w:highlight w:val="none"/>
        </w:rPr>
        <w:t xml:space="preserve">  资格评审标准：见评标办法前附表。</w:t>
      </w:r>
    </w:p>
    <w:p w14:paraId="4256124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661E0F4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3DB99210">
      <w:pPr>
        <w:pStyle w:val="4"/>
        <w:snapToGrid w:val="0"/>
        <w:spacing w:before="0" w:after="0" w:line="360" w:lineRule="auto"/>
        <w:rPr>
          <w:rFonts w:ascii="宋体" w:hAnsi="宋体"/>
          <w:b w:val="0"/>
          <w:snapToGrid w:val="0"/>
          <w:color w:val="auto"/>
          <w:sz w:val="24"/>
          <w:szCs w:val="24"/>
          <w:highlight w:val="none"/>
        </w:rPr>
      </w:pPr>
      <w:bookmarkStart w:id="555" w:name="_Toc509218779"/>
      <w:bookmarkStart w:id="556" w:name="_Toc287607815"/>
      <w:bookmarkStart w:id="557" w:name="_Toc21330"/>
      <w:bookmarkStart w:id="558" w:name="_Toc224103387"/>
      <w:bookmarkStart w:id="559" w:name="_Toc287620754"/>
      <w:bookmarkStart w:id="560" w:name="_Toc430530503"/>
      <w:bookmarkStart w:id="561" w:name="_Toc200513201"/>
      <w:bookmarkStart w:id="562" w:name="_Toc277082621"/>
      <w:r>
        <w:rPr>
          <w:rFonts w:ascii="宋体" w:hAnsi="宋体"/>
          <w:b w:val="0"/>
          <w:snapToGrid w:val="0"/>
          <w:color w:val="auto"/>
          <w:sz w:val="24"/>
          <w:szCs w:val="24"/>
          <w:highlight w:val="none"/>
        </w:rPr>
        <w:t>2.2  分值构成与</w:t>
      </w:r>
      <w:r>
        <w:rPr>
          <w:rFonts w:hint="eastAsia" w:ascii="宋体" w:hAnsi="宋体"/>
          <w:b w:val="0"/>
          <w:snapToGrid w:val="0"/>
          <w:color w:val="auto"/>
          <w:sz w:val="24"/>
          <w:szCs w:val="24"/>
          <w:highlight w:val="none"/>
        </w:rPr>
        <w:t>评审</w:t>
      </w:r>
      <w:r>
        <w:rPr>
          <w:rFonts w:ascii="宋体" w:hAnsi="宋体"/>
          <w:b w:val="0"/>
          <w:snapToGrid w:val="0"/>
          <w:color w:val="auto"/>
          <w:sz w:val="24"/>
          <w:szCs w:val="24"/>
          <w:highlight w:val="none"/>
        </w:rPr>
        <w:t>标准</w:t>
      </w:r>
      <w:bookmarkEnd w:id="555"/>
      <w:bookmarkEnd w:id="556"/>
      <w:bookmarkEnd w:id="557"/>
      <w:bookmarkEnd w:id="558"/>
      <w:bookmarkEnd w:id="559"/>
      <w:bookmarkEnd w:id="560"/>
      <w:bookmarkEnd w:id="561"/>
      <w:bookmarkEnd w:id="562"/>
    </w:p>
    <w:p w14:paraId="3CF3558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7FA1D96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49B16C5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）投标</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14:paraId="03ABFB8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 xml:space="preserve">2  </w:t>
      </w:r>
      <w:r>
        <w:rPr>
          <w:rFonts w:ascii="宋体" w:hAnsi="宋体"/>
          <w:color w:val="auto"/>
          <w:kern w:val="0"/>
          <w:szCs w:val="21"/>
          <w:highlight w:val="none"/>
        </w:rPr>
        <w:t>评标基准价计算</w:t>
      </w:r>
    </w:p>
    <w:p w14:paraId="4DAE3E3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7208AC8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2.2.3 </w:t>
      </w:r>
      <w:r>
        <w:rPr>
          <w:rFonts w:hint="eastAsia" w:ascii="宋体" w:hAnsi="宋体"/>
          <w:color w:val="auto"/>
          <w:kern w:val="0"/>
          <w:szCs w:val="21"/>
          <w:highlight w:val="none"/>
        </w:rPr>
        <w:t xml:space="preserve"> </w:t>
      </w:r>
      <w:r>
        <w:rPr>
          <w:rFonts w:ascii="宋体" w:hAnsi="宋体"/>
          <w:color w:val="auto"/>
          <w:kern w:val="0"/>
          <w:szCs w:val="21"/>
          <w:highlight w:val="none"/>
        </w:rPr>
        <w:t>投标报价的偏差率计算</w:t>
      </w:r>
    </w:p>
    <w:p w14:paraId="051BA61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72A9918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.2.4  评</w:t>
      </w:r>
      <w:r>
        <w:rPr>
          <w:rFonts w:hint="eastAsia" w:ascii="宋体" w:hAnsi="宋体"/>
          <w:color w:val="auto"/>
          <w:kern w:val="0"/>
          <w:szCs w:val="21"/>
          <w:highlight w:val="none"/>
        </w:rPr>
        <w:t>审</w:t>
      </w:r>
      <w:r>
        <w:rPr>
          <w:rFonts w:ascii="宋体" w:hAnsi="宋体"/>
          <w:color w:val="auto"/>
          <w:kern w:val="0"/>
          <w:szCs w:val="21"/>
          <w:highlight w:val="none"/>
        </w:rPr>
        <w:t>标准</w:t>
      </w:r>
    </w:p>
    <w:p w14:paraId="621D75E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技术部分</w:t>
      </w:r>
      <w:r>
        <w:rPr>
          <w:rFonts w:ascii="宋体" w:hAnsi="宋体"/>
          <w:color w:val="auto"/>
          <w:kern w:val="0"/>
          <w:szCs w:val="21"/>
          <w:highlight w:val="none"/>
        </w:rPr>
        <w:t>评分标准：见评标办法前附表；</w:t>
      </w:r>
    </w:p>
    <w:p w14:paraId="06DC18E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投标函部分评审</w:t>
      </w:r>
      <w:r>
        <w:rPr>
          <w:rFonts w:ascii="宋体" w:hAnsi="宋体"/>
          <w:color w:val="auto"/>
          <w:kern w:val="0"/>
          <w:szCs w:val="21"/>
          <w:highlight w:val="none"/>
        </w:rPr>
        <w:t>标准：见评标办法前附表；</w:t>
      </w:r>
    </w:p>
    <w:p w14:paraId="37255DF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投标报价</w:t>
      </w:r>
      <w:r>
        <w:rPr>
          <w:rFonts w:ascii="宋体" w:hAnsi="宋体"/>
          <w:color w:val="auto"/>
          <w:kern w:val="0"/>
          <w:szCs w:val="21"/>
          <w:highlight w:val="none"/>
        </w:rPr>
        <w:t>评分标准：见评标办法前附表。</w:t>
      </w:r>
    </w:p>
    <w:p w14:paraId="551E9247">
      <w:pPr>
        <w:pStyle w:val="3"/>
        <w:spacing w:before="0" w:after="0" w:line="360" w:lineRule="auto"/>
        <w:rPr>
          <w:rFonts w:ascii="宋体" w:hAnsi="宋体"/>
          <w:b w:val="0"/>
          <w:snapToGrid w:val="0"/>
          <w:color w:val="auto"/>
          <w:highlight w:val="none"/>
        </w:rPr>
      </w:pPr>
      <w:bookmarkStart w:id="563" w:name="_Toc509218780"/>
      <w:bookmarkStart w:id="564" w:name="_Toc765"/>
      <w:bookmarkStart w:id="565" w:name="_Toc277082622"/>
      <w:bookmarkStart w:id="566" w:name="_Toc287607816"/>
      <w:bookmarkStart w:id="567" w:name="_Toc430530504"/>
      <w:bookmarkStart w:id="568" w:name="_Toc287620755"/>
      <w:bookmarkStart w:id="569" w:name="_Toc224103388"/>
      <w:bookmarkStart w:id="570" w:name="_Toc200513202"/>
      <w:r>
        <w:rPr>
          <w:rFonts w:ascii="宋体" w:hAnsi="宋体"/>
          <w:b w:val="0"/>
          <w:snapToGrid w:val="0"/>
          <w:color w:val="auto"/>
          <w:highlight w:val="none"/>
        </w:rPr>
        <w:t>3.  评标程序</w:t>
      </w:r>
      <w:bookmarkEnd w:id="563"/>
      <w:bookmarkEnd w:id="564"/>
      <w:bookmarkEnd w:id="565"/>
      <w:bookmarkEnd w:id="566"/>
      <w:bookmarkEnd w:id="567"/>
      <w:bookmarkEnd w:id="568"/>
      <w:bookmarkEnd w:id="569"/>
      <w:bookmarkEnd w:id="570"/>
    </w:p>
    <w:p w14:paraId="0E8AD63B">
      <w:pPr>
        <w:pStyle w:val="4"/>
        <w:snapToGrid w:val="0"/>
        <w:spacing w:before="0" w:after="0" w:line="360" w:lineRule="auto"/>
        <w:rPr>
          <w:rFonts w:ascii="宋体" w:hAnsi="宋体"/>
          <w:b w:val="0"/>
          <w:snapToGrid w:val="0"/>
          <w:color w:val="auto"/>
          <w:sz w:val="24"/>
          <w:szCs w:val="24"/>
          <w:highlight w:val="none"/>
        </w:rPr>
      </w:pPr>
      <w:bookmarkStart w:id="571" w:name="_Toc509218781"/>
      <w:bookmarkStart w:id="572" w:name="_Toc277082623"/>
      <w:bookmarkStart w:id="573" w:name="_Toc287620756"/>
      <w:bookmarkStart w:id="574" w:name="_Toc224103389"/>
      <w:bookmarkStart w:id="575" w:name="_Toc18340"/>
      <w:bookmarkStart w:id="576" w:name="_Toc200513203"/>
      <w:bookmarkStart w:id="577" w:name="_Toc430530505"/>
      <w:bookmarkStart w:id="578" w:name="_Toc287607817"/>
      <w:r>
        <w:rPr>
          <w:rFonts w:ascii="宋体" w:hAnsi="宋体"/>
          <w:b w:val="0"/>
          <w:snapToGrid w:val="0"/>
          <w:color w:val="auto"/>
          <w:sz w:val="24"/>
          <w:szCs w:val="24"/>
          <w:highlight w:val="none"/>
        </w:rPr>
        <w:t>3.1  初步评审</w:t>
      </w:r>
      <w:bookmarkEnd w:id="571"/>
      <w:bookmarkEnd w:id="572"/>
      <w:bookmarkEnd w:id="573"/>
      <w:bookmarkEnd w:id="574"/>
      <w:bookmarkEnd w:id="575"/>
      <w:bookmarkEnd w:id="576"/>
      <w:bookmarkEnd w:id="577"/>
      <w:bookmarkEnd w:id="578"/>
    </w:p>
    <w:p w14:paraId="0555330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w:t>
      </w:r>
      <w:r>
        <w:rPr>
          <w:rFonts w:hint="eastAsia" w:ascii="宋体" w:hAnsi="宋体"/>
          <w:color w:val="auto"/>
          <w:kern w:val="0"/>
          <w:szCs w:val="21"/>
          <w:highlight w:val="none"/>
          <w:lang w:eastAsia="zh-CN"/>
        </w:rPr>
        <w:t>竞选文件</w:t>
      </w:r>
      <w:r>
        <w:rPr>
          <w:rFonts w:ascii="宋体" w:hAnsi="宋体"/>
          <w:color w:val="auto"/>
          <w:kern w:val="0"/>
          <w:szCs w:val="21"/>
          <w:highlight w:val="none"/>
        </w:rPr>
        <w:t>进行初步评审。有一项不符合评审标准的，作否决投标处理。</w:t>
      </w:r>
    </w:p>
    <w:p w14:paraId="4EFE964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lang w:eastAsia="zh-CN"/>
        </w:rPr>
        <w:t>竞选人</w:t>
      </w:r>
      <w:r>
        <w:rPr>
          <w:rFonts w:ascii="宋体" w:hAnsi="宋体"/>
          <w:color w:val="auto"/>
          <w:kern w:val="0"/>
          <w:szCs w:val="21"/>
          <w:highlight w:val="none"/>
        </w:rPr>
        <w:t>有以下情形之一的，其投标作否决投标处理：</w:t>
      </w:r>
    </w:p>
    <w:p w14:paraId="2E4DD48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w:t>
      </w:r>
      <w:r>
        <w:rPr>
          <w:rFonts w:hint="eastAsia" w:ascii="宋体" w:hAnsi="宋体" w:cs="宋体"/>
          <w:color w:val="auto"/>
          <w:szCs w:val="21"/>
          <w:highlight w:val="none"/>
        </w:rPr>
        <w:t>有串通投标、弄虚作假等其他违反招投标相关法律、法规行为的</w:t>
      </w:r>
      <w:r>
        <w:rPr>
          <w:rFonts w:ascii="宋体" w:hAnsi="宋体"/>
          <w:color w:val="auto"/>
          <w:kern w:val="0"/>
          <w:szCs w:val="21"/>
          <w:highlight w:val="none"/>
        </w:rPr>
        <w:t>；</w:t>
      </w:r>
    </w:p>
    <w:p w14:paraId="3C5F237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02669DB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投标报价有算术错误及其他错误的，评标委员会按以下原则要求</w:t>
      </w:r>
      <w:r>
        <w:rPr>
          <w:rFonts w:hint="eastAsia" w:ascii="宋体" w:hAnsi="宋体"/>
          <w:color w:val="auto"/>
          <w:kern w:val="0"/>
          <w:szCs w:val="21"/>
          <w:highlight w:val="none"/>
          <w:lang w:eastAsia="zh-CN"/>
        </w:rPr>
        <w:t>竞选人</w:t>
      </w:r>
      <w:r>
        <w:rPr>
          <w:rFonts w:ascii="宋体" w:hAnsi="宋体"/>
          <w:color w:val="auto"/>
          <w:kern w:val="0"/>
          <w:szCs w:val="21"/>
          <w:highlight w:val="none"/>
        </w:rPr>
        <w:t>对投标报价进行修正，并要求</w:t>
      </w:r>
      <w:r>
        <w:rPr>
          <w:rFonts w:hint="eastAsia" w:ascii="宋体" w:hAnsi="宋体"/>
          <w:color w:val="auto"/>
          <w:kern w:val="0"/>
          <w:szCs w:val="21"/>
          <w:highlight w:val="none"/>
          <w:lang w:eastAsia="zh-CN"/>
        </w:rPr>
        <w:t>竞选人</w:t>
      </w:r>
      <w:r>
        <w:rPr>
          <w:rFonts w:ascii="宋体" w:hAnsi="宋体"/>
          <w:color w:val="auto"/>
          <w:kern w:val="0"/>
          <w:szCs w:val="21"/>
          <w:highlight w:val="none"/>
        </w:rPr>
        <w:t>书面澄清确认。</w:t>
      </w:r>
      <w:r>
        <w:rPr>
          <w:rFonts w:hint="eastAsia" w:ascii="宋体" w:hAnsi="宋体"/>
          <w:color w:val="auto"/>
          <w:kern w:val="0"/>
          <w:szCs w:val="21"/>
          <w:highlight w:val="none"/>
          <w:lang w:eastAsia="zh-CN"/>
        </w:rPr>
        <w:t>竞选人</w:t>
      </w:r>
      <w:r>
        <w:rPr>
          <w:rFonts w:ascii="宋体" w:hAnsi="宋体"/>
          <w:color w:val="auto"/>
          <w:kern w:val="0"/>
          <w:szCs w:val="21"/>
          <w:highlight w:val="none"/>
        </w:rPr>
        <w:t>拒不澄清确认的，评标委员会应当否决其投标：</w:t>
      </w:r>
    </w:p>
    <w:p w14:paraId="07C7D1F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中的大写金额与小写金额不一致的，以大写金额为准；</w:t>
      </w:r>
    </w:p>
    <w:p w14:paraId="1DBDB64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投标函中的投标暂定设计费报价与依据固定费率/固定单价计算出的结果</w:t>
      </w:r>
      <w:r>
        <w:rPr>
          <w:rFonts w:ascii="宋体" w:hAnsi="宋体"/>
          <w:color w:val="auto"/>
          <w:kern w:val="0"/>
          <w:szCs w:val="21"/>
          <w:highlight w:val="none"/>
        </w:rPr>
        <w:t>不一致的</w:t>
      </w:r>
      <w:r>
        <w:rPr>
          <w:rFonts w:hint="eastAsia" w:ascii="宋体" w:hAnsi="宋体"/>
          <w:color w:val="auto"/>
          <w:kern w:val="0"/>
          <w:szCs w:val="21"/>
          <w:highlight w:val="none"/>
        </w:rPr>
        <w:t>；采用设计费用清单报价的，投标函中的投标总报价或投标暂定设计费报价与设计费用清单合计报价</w:t>
      </w:r>
      <w:r>
        <w:rPr>
          <w:rFonts w:ascii="宋体" w:hAnsi="宋体"/>
          <w:color w:val="auto"/>
          <w:kern w:val="0"/>
          <w:szCs w:val="21"/>
          <w:highlight w:val="none"/>
        </w:rPr>
        <w:t>不一致的</w:t>
      </w:r>
      <w:r>
        <w:rPr>
          <w:rFonts w:hint="eastAsia" w:ascii="宋体" w:hAnsi="宋体"/>
          <w:color w:val="auto"/>
          <w:kern w:val="0"/>
          <w:szCs w:val="21"/>
          <w:highlight w:val="none"/>
        </w:rPr>
        <w:t>，均由评标委员会作否决投标处理</w:t>
      </w:r>
      <w:r>
        <w:rPr>
          <w:rFonts w:ascii="宋体" w:hAnsi="宋体"/>
          <w:color w:val="auto"/>
          <w:kern w:val="0"/>
          <w:szCs w:val="21"/>
          <w:highlight w:val="none"/>
        </w:rPr>
        <w:t>。</w:t>
      </w:r>
    </w:p>
    <w:p w14:paraId="348440ED">
      <w:pPr>
        <w:pStyle w:val="4"/>
        <w:snapToGrid w:val="0"/>
        <w:spacing w:before="0" w:after="0" w:line="360" w:lineRule="auto"/>
        <w:rPr>
          <w:rFonts w:ascii="宋体" w:hAnsi="宋体"/>
          <w:b w:val="0"/>
          <w:snapToGrid w:val="0"/>
          <w:color w:val="auto"/>
          <w:sz w:val="24"/>
          <w:szCs w:val="24"/>
          <w:highlight w:val="none"/>
        </w:rPr>
      </w:pPr>
      <w:bookmarkStart w:id="579" w:name="_Toc287607818"/>
      <w:bookmarkStart w:id="580" w:name="_Toc430530506"/>
      <w:bookmarkStart w:id="581" w:name="_Toc509218782"/>
      <w:bookmarkStart w:id="582" w:name="_Toc200513204"/>
      <w:bookmarkStart w:id="583" w:name="_Toc1832"/>
      <w:bookmarkStart w:id="584" w:name="_Toc287620757"/>
      <w:bookmarkStart w:id="585" w:name="_Toc224103390"/>
      <w:bookmarkStart w:id="586" w:name="_Toc277082624"/>
      <w:r>
        <w:rPr>
          <w:rFonts w:ascii="宋体" w:hAnsi="宋体"/>
          <w:b w:val="0"/>
          <w:snapToGrid w:val="0"/>
          <w:color w:val="auto"/>
          <w:sz w:val="24"/>
          <w:szCs w:val="24"/>
          <w:highlight w:val="none"/>
        </w:rPr>
        <w:t>3.2  详细评审</w:t>
      </w:r>
      <w:bookmarkEnd w:id="579"/>
      <w:bookmarkEnd w:id="580"/>
      <w:bookmarkEnd w:id="581"/>
      <w:bookmarkEnd w:id="582"/>
      <w:bookmarkEnd w:id="583"/>
      <w:bookmarkEnd w:id="584"/>
      <w:bookmarkEnd w:id="585"/>
      <w:bookmarkEnd w:id="586"/>
    </w:p>
    <w:p w14:paraId="53C779D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lang w:eastAsia="zh-CN"/>
        </w:rPr>
        <w:t>评分</w:t>
      </w:r>
      <w:r>
        <w:rPr>
          <w:rFonts w:ascii="宋体" w:hAnsi="宋体"/>
          <w:color w:val="auto"/>
          <w:kern w:val="0"/>
          <w:szCs w:val="21"/>
          <w:highlight w:val="none"/>
        </w:rPr>
        <w:t>，并计算出综合评估得分。</w:t>
      </w:r>
    </w:p>
    <w:p w14:paraId="06E9026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（1）按本章第 2.2.4（1）目规定的评审因素和分值对</w:t>
      </w:r>
      <w:r>
        <w:rPr>
          <w:rFonts w:hint="eastAsia" w:ascii="宋体" w:hAnsi="宋体"/>
          <w:color w:val="auto"/>
          <w:kern w:val="0"/>
          <w:szCs w:val="21"/>
          <w:highlight w:val="none"/>
        </w:rPr>
        <w:t>技术</w:t>
      </w:r>
      <w:r>
        <w:rPr>
          <w:rFonts w:ascii="宋体" w:hAnsi="宋体"/>
          <w:color w:val="auto"/>
          <w:kern w:val="0"/>
          <w:szCs w:val="21"/>
          <w:highlight w:val="none"/>
        </w:rPr>
        <w:t>部分计算出得分 A；</w:t>
      </w:r>
    </w:p>
    <w:p w14:paraId="0CD4D73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（2）按本章第 2.2.4（</w:t>
      </w:r>
      <w:r>
        <w:rPr>
          <w:rFonts w:hint="eastAsia" w:ascii="宋体" w:hAnsi="宋体"/>
          <w:color w:val="auto"/>
          <w:kern w:val="0"/>
          <w:szCs w:val="21"/>
          <w:highlight w:val="none"/>
          <w:lang w:val="en-US" w:eastAsia="zh-CN"/>
        </w:rPr>
        <w:t>3</w:t>
      </w:r>
      <w:r>
        <w:rPr>
          <w:rFonts w:ascii="宋体" w:hAnsi="宋体"/>
          <w:color w:val="auto"/>
          <w:kern w:val="0"/>
          <w:szCs w:val="21"/>
          <w:highlight w:val="none"/>
        </w:rPr>
        <w:t xml:space="preserve">）目规定的评审因素和分值对投标报价计算出得分 </w:t>
      </w:r>
      <w:r>
        <w:rPr>
          <w:rFonts w:hint="eastAsia" w:ascii="宋体" w:hAnsi="宋体"/>
          <w:color w:val="auto"/>
          <w:kern w:val="0"/>
          <w:szCs w:val="21"/>
          <w:highlight w:val="none"/>
          <w:lang w:val="en-US" w:eastAsia="zh-CN"/>
        </w:rPr>
        <w:t>B</w:t>
      </w:r>
      <w:r>
        <w:rPr>
          <w:rFonts w:ascii="宋体" w:hAnsi="宋体"/>
          <w:color w:val="auto"/>
          <w:kern w:val="0"/>
          <w:szCs w:val="21"/>
          <w:highlight w:val="none"/>
        </w:rPr>
        <w:t>；</w:t>
      </w:r>
    </w:p>
    <w:p w14:paraId="6BF924E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6B5962C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lang w:eastAsia="zh-CN"/>
        </w:rPr>
        <w:t>竞选人</w:t>
      </w:r>
      <w:r>
        <w:rPr>
          <w:rFonts w:ascii="宋体" w:hAnsi="宋体"/>
          <w:color w:val="auto"/>
          <w:kern w:val="0"/>
          <w:szCs w:val="21"/>
          <w:highlight w:val="none"/>
        </w:rPr>
        <w:t>得分=A+B</w:t>
      </w:r>
      <w:r>
        <w:rPr>
          <w:rFonts w:hint="eastAsia" w:ascii="宋体" w:hAnsi="宋体"/>
          <w:color w:val="auto"/>
          <w:kern w:val="0"/>
          <w:szCs w:val="21"/>
          <w:highlight w:val="none"/>
        </w:rPr>
        <w:t>。</w:t>
      </w:r>
    </w:p>
    <w:p w14:paraId="199A1F5E">
      <w:pPr>
        <w:pStyle w:val="4"/>
        <w:snapToGrid w:val="0"/>
        <w:spacing w:before="0" w:after="0" w:line="360" w:lineRule="auto"/>
        <w:rPr>
          <w:rFonts w:ascii="宋体" w:hAnsi="宋体"/>
          <w:b w:val="0"/>
          <w:snapToGrid w:val="0"/>
          <w:color w:val="auto"/>
          <w:sz w:val="24"/>
          <w:szCs w:val="24"/>
          <w:highlight w:val="none"/>
        </w:rPr>
      </w:pPr>
      <w:bookmarkStart w:id="587" w:name="_Toc18143"/>
      <w:bookmarkStart w:id="588" w:name="_Toc277082625"/>
      <w:bookmarkStart w:id="589" w:name="_Toc224103391"/>
      <w:bookmarkStart w:id="590" w:name="_Toc430530507"/>
      <w:bookmarkStart w:id="591" w:name="_Toc287620758"/>
      <w:bookmarkStart w:id="592" w:name="_Toc200513205"/>
      <w:bookmarkStart w:id="593" w:name="_Toc287607819"/>
      <w:bookmarkStart w:id="594" w:name="_Toc509218783"/>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的澄清</w:t>
      </w:r>
      <w:bookmarkEnd w:id="587"/>
      <w:bookmarkEnd w:id="588"/>
      <w:bookmarkEnd w:id="589"/>
      <w:bookmarkEnd w:id="590"/>
      <w:bookmarkEnd w:id="591"/>
      <w:bookmarkEnd w:id="592"/>
      <w:bookmarkEnd w:id="593"/>
      <w:bookmarkEnd w:id="594"/>
    </w:p>
    <w:p w14:paraId="39A567DA">
      <w:pPr>
        <w:autoSpaceDE w:val="0"/>
        <w:autoSpaceDN w:val="0"/>
        <w:adjustRightInd w:val="0"/>
        <w:snapToGrid w:val="0"/>
        <w:spacing w:line="360" w:lineRule="auto"/>
        <w:ind w:firstLine="420" w:firstLineChars="200"/>
        <w:rPr>
          <w:rFonts w:ascii="宋体" w:hAnsi="宋体"/>
          <w:color w:val="auto"/>
          <w:kern w:val="0"/>
          <w:szCs w:val="21"/>
          <w:highlight w:val="none"/>
        </w:rPr>
      </w:pPr>
      <w:bookmarkStart w:id="595" w:name="_Hlk71569932"/>
      <w:r>
        <w:rPr>
          <w:rFonts w:ascii="宋体" w:hAnsi="宋体"/>
          <w:color w:val="auto"/>
          <w:kern w:val="0"/>
          <w:szCs w:val="21"/>
          <w:highlight w:val="none"/>
        </w:rPr>
        <w:t>3.3.1  在评标过程中，评标委员会可以书面形式要求</w:t>
      </w:r>
      <w:r>
        <w:rPr>
          <w:rFonts w:hint="eastAsia" w:ascii="宋体" w:hAnsi="宋体"/>
          <w:color w:val="auto"/>
          <w:kern w:val="0"/>
          <w:szCs w:val="21"/>
          <w:highlight w:val="none"/>
          <w:lang w:eastAsia="zh-CN"/>
        </w:rPr>
        <w:t>竞选人</w:t>
      </w:r>
      <w:r>
        <w:rPr>
          <w:rFonts w:ascii="宋体" w:hAnsi="宋体"/>
          <w:color w:val="auto"/>
          <w:kern w:val="0"/>
          <w:szCs w:val="21"/>
          <w:highlight w:val="none"/>
        </w:rPr>
        <w:t>对所提交</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中</w:t>
      </w:r>
      <w:r>
        <w:rPr>
          <w:rFonts w:hint="eastAsia" w:ascii="宋体" w:hAnsi="宋体"/>
          <w:color w:val="auto"/>
          <w:kern w:val="0"/>
          <w:szCs w:val="21"/>
          <w:highlight w:val="none"/>
        </w:rPr>
        <w:t>含义不明确、对同类问题表述不一致或者有明显文字和计算错误的内容作必要的澄清、说明或补正。澄清、说明或补正应以书面方式进行。评标委员会不接受</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主动提出的澄清、说明或补正。</w:t>
      </w:r>
    </w:p>
    <w:p w14:paraId="0B090D0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澄清、说明或补正不得超出</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的范围且不得改变</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的实质性内容，并构成</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的组成部分。</w:t>
      </w:r>
    </w:p>
    <w:p w14:paraId="1C17F11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w:t>
      </w:r>
      <w:r>
        <w:rPr>
          <w:rFonts w:hint="eastAsia" w:ascii="宋体" w:hAnsi="宋体"/>
          <w:color w:val="auto"/>
          <w:kern w:val="0"/>
          <w:szCs w:val="21"/>
          <w:highlight w:val="none"/>
          <w:lang w:eastAsia="zh-CN"/>
        </w:rPr>
        <w:t>竞选人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lang w:eastAsia="zh-CN"/>
        </w:rPr>
        <w:t>竞选人</w:t>
      </w:r>
      <w:r>
        <w:rPr>
          <w:rFonts w:ascii="宋体" w:hAnsi="宋体"/>
          <w:color w:val="auto"/>
          <w:kern w:val="0"/>
          <w:szCs w:val="21"/>
          <w:highlight w:val="none"/>
        </w:rPr>
        <w:t>进一步澄清、说明或补正，直至满足评标委员会的要求。</w:t>
      </w:r>
      <w:bookmarkEnd w:id="595"/>
    </w:p>
    <w:p w14:paraId="1A9B5844">
      <w:pPr>
        <w:pStyle w:val="4"/>
        <w:snapToGrid w:val="0"/>
        <w:spacing w:before="0" w:after="0" w:line="360" w:lineRule="auto"/>
        <w:rPr>
          <w:rFonts w:ascii="宋体" w:hAnsi="宋体"/>
          <w:b w:val="0"/>
          <w:snapToGrid w:val="0"/>
          <w:color w:val="auto"/>
          <w:sz w:val="24"/>
          <w:szCs w:val="24"/>
          <w:highlight w:val="none"/>
        </w:rPr>
      </w:pPr>
      <w:bookmarkStart w:id="596" w:name="_Toc509218784"/>
      <w:bookmarkStart w:id="597" w:name="_Toc200513206"/>
      <w:bookmarkStart w:id="598" w:name="_Toc287607820"/>
      <w:bookmarkStart w:id="599" w:name="_Toc224103392"/>
      <w:bookmarkStart w:id="600" w:name="_Toc287620759"/>
      <w:bookmarkStart w:id="601" w:name="_Toc277082626"/>
      <w:bookmarkStart w:id="602" w:name="_Toc430530508"/>
      <w:bookmarkStart w:id="603" w:name="_Toc22756"/>
      <w:r>
        <w:rPr>
          <w:rFonts w:ascii="宋体" w:hAnsi="宋体"/>
          <w:b w:val="0"/>
          <w:snapToGrid w:val="0"/>
          <w:color w:val="auto"/>
          <w:sz w:val="24"/>
          <w:szCs w:val="24"/>
          <w:highlight w:val="none"/>
        </w:rPr>
        <w:t>3.4  评标结果</w:t>
      </w:r>
      <w:bookmarkEnd w:id="596"/>
      <w:bookmarkEnd w:id="597"/>
      <w:bookmarkEnd w:id="598"/>
      <w:bookmarkEnd w:id="599"/>
      <w:bookmarkEnd w:id="600"/>
      <w:bookmarkEnd w:id="601"/>
      <w:bookmarkEnd w:id="602"/>
      <w:bookmarkEnd w:id="603"/>
    </w:p>
    <w:p w14:paraId="13689A6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由高到低的顺序推荐中标候选人，并标明排序。</w:t>
      </w:r>
    </w:p>
    <w:p w14:paraId="6C7EB757">
      <w:pPr>
        <w:autoSpaceDE w:val="0"/>
        <w:autoSpaceDN w:val="0"/>
        <w:adjustRightInd w:val="0"/>
        <w:snapToGrid w:val="0"/>
        <w:spacing w:line="360" w:lineRule="auto"/>
        <w:ind w:firstLine="424" w:firstLineChars="200"/>
        <w:rPr>
          <w:rFonts w:ascii="宋体" w:hAnsi="宋体"/>
          <w:color w:val="auto"/>
          <w:kern w:val="0"/>
          <w:sz w:val="20"/>
          <w:szCs w:val="20"/>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评标委员会完成评标后，应当向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提交书面评标报告和中标候选人名单。</w:t>
      </w:r>
    </w:p>
    <w:p w14:paraId="671D5BB2">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666B6AC2">
      <w:pPr>
        <w:pStyle w:val="33"/>
        <w:spacing w:line="360" w:lineRule="auto"/>
        <w:rPr>
          <w:rFonts w:ascii="宋体" w:hAnsi="宋体"/>
          <w:b/>
          <w:color w:val="auto"/>
          <w:sz w:val="28"/>
          <w:szCs w:val="28"/>
          <w:highlight w:val="none"/>
          <w:u w:val="none"/>
          <w:lang w:eastAsia="zh-CN"/>
        </w:rPr>
      </w:pPr>
      <w:bookmarkStart w:id="604" w:name="招标文件03章02评标办法综合评估法02附件02"/>
      <w:bookmarkEnd w:id="604"/>
      <w:bookmarkStart w:id="605" w:name="招标文件04章合同条款及格式"/>
      <w:bookmarkEnd w:id="605"/>
      <w:bookmarkStart w:id="606" w:name="_Toc230410480"/>
      <w:bookmarkStart w:id="607" w:name="_Toc277082627"/>
      <w:r>
        <w:rPr>
          <w:rFonts w:ascii="宋体" w:hAnsi="宋体"/>
          <w:b/>
          <w:color w:val="auto"/>
          <w:sz w:val="28"/>
          <w:szCs w:val="28"/>
          <w:highlight w:val="none"/>
          <w:u w:val="none"/>
          <w:lang w:eastAsia="zh-CN"/>
        </w:rPr>
        <w:t>附件A：综合评估法否决投标情况一览表</w:t>
      </w:r>
      <w:bookmarkEnd w:id="606"/>
    </w:p>
    <w:bookmarkEnd w:id="607"/>
    <w:p w14:paraId="4F438818">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color w:val="auto"/>
          <w:sz w:val="21"/>
          <w:szCs w:val="21"/>
          <w:highlight w:val="none"/>
          <w:u w:val="none"/>
          <w:lang w:eastAsia="zh-CN"/>
        </w:rPr>
        <w:t>。</w:t>
      </w:r>
    </w:p>
    <w:tbl>
      <w:tblPr>
        <w:tblStyle w:val="45"/>
        <w:tblW w:w="90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7512"/>
      </w:tblGrid>
      <w:tr w14:paraId="33B737B7">
        <w:tblPrEx>
          <w:tblCellMar>
            <w:top w:w="0" w:type="dxa"/>
            <w:left w:w="108" w:type="dxa"/>
            <w:bottom w:w="0" w:type="dxa"/>
            <w:right w:w="108" w:type="dxa"/>
          </w:tblCellMar>
        </w:tblPrEx>
        <w:trPr>
          <w:jc w:val="center"/>
        </w:trPr>
        <w:tc>
          <w:tcPr>
            <w:tcW w:w="1550" w:type="dxa"/>
            <w:vAlign w:val="center"/>
          </w:tcPr>
          <w:p w14:paraId="1EA8AFE1">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7512" w:type="dxa"/>
            <w:vAlign w:val="center"/>
          </w:tcPr>
          <w:p w14:paraId="6B9AFCC0">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101A6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restart"/>
            <w:vAlign w:val="center"/>
          </w:tcPr>
          <w:p w14:paraId="3DCA33E0">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7512" w:type="dxa"/>
            <w:vAlign w:val="center"/>
          </w:tcPr>
          <w:p w14:paraId="386D7AA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竞选人</w:t>
            </w:r>
            <w:r>
              <w:rPr>
                <w:rFonts w:hint="eastAsia" w:ascii="宋体" w:hAnsi="宋体"/>
                <w:color w:val="auto"/>
                <w:szCs w:val="21"/>
                <w:highlight w:val="none"/>
              </w:rPr>
              <w:t>的资质条件、营业执照须满足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须知前附表1.4.1项的要求，否则由评标委员会作否决投标处理。</w:t>
            </w:r>
          </w:p>
        </w:tc>
      </w:tr>
      <w:tr w14:paraId="17D1B7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73B1104E">
            <w:pPr>
              <w:spacing w:line="400" w:lineRule="exact"/>
              <w:jc w:val="center"/>
              <w:rPr>
                <w:rFonts w:ascii="宋体" w:hAnsi="宋体"/>
                <w:color w:val="auto"/>
                <w:szCs w:val="21"/>
                <w:highlight w:val="none"/>
              </w:rPr>
            </w:pPr>
          </w:p>
        </w:tc>
        <w:tc>
          <w:tcPr>
            <w:tcW w:w="7512" w:type="dxa"/>
            <w:vAlign w:val="center"/>
          </w:tcPr>
          <w:p w14:paraId="04D1293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竞选人</w:t>
            </w:r>
            <w:r>
              <w:rPr>
                <w:rFonts w:hint="eastAsia" w:ascii="宋体" w:hAnsi="宋体"/>
                <w:color w:val="auto"/>
                <w:szCs w:val="21"/>
                <w:highlight w:val="none"/>
              </w:rPr>
              <w:t>的财务须满足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须知前附表第1.4.1项的要求，否则由评标委员会作否决投标处理（如有）。</w:t>
            </w:r>
          </w:p>
        </w:tc>
      </w:tr>
      <w:tr w14:paraId="0203EE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23FF98FD">
            <w:pPr>
              <w:spacing w:line="400" w:lineRule="exact"/>
              <w:jc w:val="center"/>
              <w:rPr>
                <w:rFonts w:ascii="宋体" w:hAnsi="宋体"/>
                <w:color w:val="auto"/>
                <w:szCs w:val="21"/>
                <w:highlight w:val="none"/>
              </w:rPr>
            </w:pPr>
          </w:p>
        </w:tc>
        <w:tc>
          <w:tcPr>
            <w:tcW w:w="7512" w:type="dxa"/>
            <w:vAlign w:val="center"/>
          </w:tcPr>
          <w:p w14:paraId="023D266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竞选人</w:t>
            </w:r>
            <w:r>
              <w:rPr>
                <w:rFonts w:hint="eastAsia" w:ascii="宋体" w:hAnsi="宋体"/>
                <w:color w:val="auto"/>
                <w:szCs w:val="21"/>
                <w:highlight w:val="none"/>
              </w:rPr>
              <w:t>的业绩须满足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须知前附表第1.4.1项的要求，否则由评标委员会作否决投标处理（如有）。</w:t>
            </w:r>
          </w:p>
        </w:tc>
      </w:tr>
      <w:tr w14:paraId="4CBDD1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431913E6">
            <w:pPr>
              <w:spacing w:line="400" w:lineRule="exact"/>
              <w:jc w:val="center"/>
              <w:rPr>
                <w:rFonts w:ascii="宋体" w:hAnsi="宋体"/>
                <w:color w:val="auto"/>
                <w:szCs w:val="21"/>
                <w:highlight w:val="none"/>
              </w:rPr>
            </w:pPr>
          </w:p>
        </w:tc>
        <w:tc>
          <w:tcPr>
            <w:tcW w:w="7512" w:type="dxa"/>
            <w:vAlign w:val="center"/>
          </w:tcPr>
          <w:p w14:paraId="3F2131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竞选人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须知前附表第1.4.1项的要求，否则由评标委员会作否决投标处理。</w:t>
            </w:r>
          </w:p>
        </w:tc>
      </w:tr>
      <w:tr w14:paraId="75D5B8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55F46FB8">
            <w:pPr>
              <w:spacing w:line="400" w:lineRule="exact"/>
              <w:jc w:val="center"/>
              <w:rPr>
                <w:rFonts w:ascii="宋体" w:hAnsi="宋体"/>
                <w:color w:val="auto"/>
                <w:szCs w:val="21"/>
                <w:highlight w:val="none"/>
              </w:rPr>
            </w:pPr>
          </w:p>
        </w:tc>
        <w:tc>
          <w:tcPr>
            <w:tcW w:w="7512" w:type="dxa"/>
            <w:vAlign w:val="center"/>
          </w:tcPr>
          <w:p w14:paraId="593B02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竞选人</w:t>
            </w:r>
            <w:r>
              <w:rPr>
                <w:rFonts w:hint="eastAsia" w:ascii="宋体" w:hAnsi="宋体"/>
                <w:color w:val="auto"/>
                <w:szCs w:val="21"/>
                <w:highlight w:val="none"/>
              </w:rPr>
              <w:t>的项目负责人资格须满足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须知前附表第1.4.1项的要求，否则由评标委员会作否决投标处理。</w:t>
            </w:r>
          </w:p>
        </w:tc>
      </w:tr>
      <w:tr w14:paraId="021E5F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67E8BDBC">
            <w:pPr>
              <w:spacing w:line="400" w:lineRule="exact"/>
              <w:jc w:val="center"/>
              <w:rPr>
                <w:rFonts w:ascii="宋体" w:hAnsi="宋体"/>
                <w:color w:val="auto"/>
                <w:szCs w:val="21"/>
                <w:highlight w:val="none"/>
              </w:rPr>
            </w:pPr>
          </w:p>
        </w:tc>
        <w:tc>
          <w:tcPr>
            <w:tcW w:w="7512" w:type="dxa"/>
            <w:vAlign w:val="center"/>
          </w:tcPr>
          <w:p w14:paraId="33C27D5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竞选人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须知前附表1.4.1项的要求，否则由评标委员会作否决投标处理。</w:t>
            </w:r>
          </w:p>
        </w:tc>
      </w:tr>
      <w:tr w14:paraId="34D398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42CC9D3F">
            <w:pPr>
              <w:spacing w:line="400" w:lineRule="exact"/>
              <w:jc w:val="center"/>
              <w:rPr>
                <w:rFonts w:ascii="宋体" w:hAnsi="宋体"/>
                <w:color w:val="auto"/>
                <w:szCs w:val="21"/>
                <w:highlight w:val="none"/>
              </w:rPr>
            </w:pPr>
          </w:p>
        </w:tc>
        <w:tc>
          <w:tcPr>
            <w:tcW w:w="7512" w:type="dxa"/>
            <w:vAlign w:val="center"/>
          </w:tcPr>
          <w:p w14:paraId="26F345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w:t>
            </w:r>
            <w:r>
              <w:rPr>
                <w:rFonts w:hint="eastAsia" w:ascii="宋体" w:hAnsi="宋体"/>
                <w:color w:val="auto"/>
                <w:szCs w:val="21"/>
                <w:highlight w:val="none"/>
                <w:lang w:eastAsia="zh-CN"/>
              </w:rPr>
              <w:t>竞选人</w:t>
            </w:r>
            <w:r>
              <w:rPr>
                <w:rFonts w:hint="eastAsia" w:ascii="宋体" w:hAnsi="宋体"/>
                <w:color w:val="auto"/>
                <w:szCs w:val="21"/>
                <w:highlight w:val="none"/>
              </w:rPr>
              <w:t>，则：</w:t>
            </w:r>
          </w:p>
          <w:p w14:paraId="5ABD7E0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联合体各方应按</w:t>
            </w:r>
            <w:r>
              <w:rPr>
                <w:rFonts w:hint="eastAsia" w:ascii="宋体" w:hAnsi="宋体"/>
                <w:color w:val="auto"/>
                <w:szCs w:val="21"/>
                <w:highlight w:val="none"/>
                <w:lang w:eastAsia="zh-CN"/>
              </w:rPr>
              <w:t>比选文件</w:t>
            </w:r>
            <w:r>
              <w:rPr>
                <w:rFonts w:ascii="宋体" w:hAnsi="宋体"/>
                <w:color w:val="auto"/>
                <w:szCs w:val="21"/>
                <w:highlight w:val="none"/>
              </w:rPr>
              <w:t>提供的格式签订联合体协议书，明确联合体牵头人和各方权利义务，并承诺就中标项目向</w:t>
            </w:r>
            <w:r>
              <w:rPr>
                <w:rFonts w:hint="eastAsia" w:ascii="宋体" w:hAnsi="宋体"/>
                <w:color w:val="auto"/>
                <w:szCs w:val="21"/>
                <w:highlight w:val="none"/>
                <w:lang w:eastAsia="zh-CN"/>
              </w:rPr>
              <w:t>比选人</w:t>
            </w:r>
            <w:r>
              <w:rPr>
                <w:rFonts w:ascii="宋体" w:hAnsi="宋体"/>
                <w:color w:val="auto"/>
                <w:szCs w:val="21"/>
                <w:highlight w:val="none"/>
              </w:rPr>
              <w:t>承担连带责任；</w:t>
            </w:r>
          </w:p>
          <w:p w14:paraId="2306504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由同一专业的单位组成的联合体，按照资质等级较低的单位确定资质等级；</w:t>
            </w:r>
          </w:p>
          <w:p w14:paraId="2520596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联合体各方不得再以自己名义单独或参加其他联合体在</w:t>
            </w:r>
            <w:r>
              <w:rPr>
                <w:rFonts w:hint="eastAsia" w:ascii="宋体" w:hAnsi="宋体"/>
                <w:color w:val="auto"/>
                <w:szCs w:val="21"/>
                <w:highlight w:val="none"/>
              </w:rPr>
              <w:t>本招标项目中</w:t>
            </w:r>
            <w:r>
              <w:rPr>
                <w:rFonts w:ascii="宋体" w:hAnsi="宋体"/>
                <w:color w:val="auto"/>
                <w:szCs w:val="21"/>
                <w:highlight w:val="none"/>
              </w:rPr>
              <w:t>投标</w:t>
            </w:r>
            <w:r>
              <w:rPr>
                <w:rFonts w:hint="eastAsia" w:ascii="宋体" w:hAnsi="宋体"/>
                <w:color w:val="auto"/>
                <w:szCs w:val="21"/>
                <w:highlight w:val="none"/>
              </w:rPr>
              <w:t>。</w:t>
            </w:r>
          </w:p>
          <w:p w14:paraId="6EA02D8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6C41C2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5A35729E">
            <w:pPr>
              <w:spacing w:line="400" w:lineRule="exact"/>
              <w:jc w:val="center"/>
              <w:rPr>
                <w:rFonts w:ascii="宋体" w:hAnsi="宋体"/>
                <w:color w:val="auto"/>
                <w:szCs w:val="21"/>
                <w:highlight w:val="none"/>
              </w:rPr>
            </w:pPr>
          </w:p>
        </w:tc>
        <w:tc>
          <w:tcPr>
            <w:tcW w:w="7512" w:type="dxa"/>
            <w:vAlign w:val="center"/>
          </w:tcPr>
          <w:p w14:paraId="78D46CB7">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2"/>
                <w:highlight w:val="none"/>
              </w:rPr>
              <w:t>A-</w:t>
            </w:r>
            <w:r>
              <w:rPr>
                <w:rFonts w:ascii="宋体" w:hAnsi="宋体" w:cs="宋体"/>
                <w:color w:val="auto"/>
                <w:kern w:val="0"/>
                <w:szCs w:val="22"/>
                <w:highlight w:val="none"/>
              </w:rPr>
              <w:t>8</w:t>
            </w:r>
            <w:r>
              <w:rPr>
                <w:rFonts w:hint="eastAsia" w:ascii="宋体" w:hAnsi="宋体" w:cs="宋体"/>
                <w:color w:val="auto"/>
                <w:kern w:val="0"/>
                <w:szCs w:val="22"/>
                <w:highlight w:val="none"/>
                <w:lang w:eastAsia="zh-CN"/>
              </w:rPr>
              <w:t>竞选人</w:t>
            </w:r>
            <w:r>
              <w:rPr>
                <w:rFonts w:ascii="宋体" w:hAnsi="宋体" w:cs="宋体"/>
                <w:color w:val="auto"/>
                <w:kern w:val="0"/>
                <w:szCs w:val="22"/>
                <w:highlight w:val="none"/>
              </w:rPr>
              <w:t>不</w:t>
            </w:r>
            <w:r>
              <w:rPr>
                <w:rFonts w:hint="eastAsia" w:ascii="宋体" w:hAnsi="宋体" w:cs="宋体"/>
                <w:color w:val="auto"/>
                <w:kern w:val="0"/>
                <w:szCs w:val="22"/>
                <w:highlight w:val="none"/>
              </w:rPr>
              <w:t>得</w:t>
            </w:r>
            <w:r>
              <w:rPr>
                <w:rFonts w:ascii="宋体" w:hAnsi="宋体" w:cs="宋体"/>
                <w:color w:val="auto"/>
                <w:kern w:val="0"/>
                <w:szCs w:val="22"/>
                <w:highlight w:val="none"/>
              </w:rPr>
              <w:t>存在第二章“</w:t>
            </w:r>
            <w:r>
              <w:rPr>
                <w:rFonts w:hint="eastAsia" w:ascii="宋体" w:hAnsi="宋体" w:cs="宋体"/>
                <w:color w:val="auto"/>
                <w:kern w:val="0"/>
                <w:szCs w:val="22"/>
                <w:highlight w:val="none"/>
                <w:lang w:eastAsia="zh-CN"/>
              </w:rPr>
              <w:t>竞选人</w:t>
            </w:r>
            <w:r>
              <w:rPr>
                <w:rFonts w:ascii="宋体" w:hAnsi="宋体" w:cs="宋体"/>
                <w:color w:val="auto"/>
                <w:kern w:val="0"/>
                <w:szCs w:val="22"/>
                <w:highlight w:val="none"/>
              </w:rPr>
              <w:t>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14:paraId="2463D1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387C941F">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7512" w:type="dxa"/>
          </w:tcPr>
          <w:p w14:paraId="6C03A5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9</w:t>
            </w:r>
            <w:r>
              <w:rPr>
                <w:rFonts w:hint="eastAsia" w:ascii="宋体" w:hAnsi="宋体"/>
                <w:color w:val="auto"/>
                <w:szCs w:val="21"/>
                <w:highlight w:val="none"/>
                <w:lang w:eastAsia="zh-CN"/>
              </w:rPr>
              <w:t>竞选人</w:t>
            </w:r>
            <w:r>
              <w:rPr>
                <w:rFonts w:hint="eastAsia" w:ascii="宋体" w:hAnsi="宋体"/>
                <w:color w:val="auto"/>
                <w:szCs w:val="21"/>
                <w:highlight w:val="none"/>
              </w:rPr>
              <w:t>名称必须与营业执照、资质证书一致，依法变更名称的应提交相应证明材料，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3B0DF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08AFF19">
            <w:pPr>
              <w:spacing w:line="400" w:lineRule="exact"/>
              <w:jc w:val="center"/>
              <w:rPr>
                <w:rFonts w:ascii="宋体" w:hAnsi="宋体"/>
                <w:color w:val="auto"/>
                <w:szCs w:val="21"/>
                <w:highlight w:val="none"/>
              </w:rPr>
            </w:pPr>
          </w:p>
        </w:tc>
        <w:tc>
          <w:tcPr>
            <w:tcW w:w="7512" w:type="dxa"/>
          </w:tcPr>
          <w:p w14:paraId="446983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10</w:t>
            </w:r>
            <w:r>
              <w:rPr>
                <w:rFonts w:hint="eastAsia" w:ascii="宋体" w:hAnsi="宋体"/>
                <w:color w:val="auto"/>
                <w:szCs w:val="21"/>
                <w:highlight w:val="none"/>
                <w:lang w:eastAsia="zh-CN"/>
              </w:rPr>
              <w:t>竞选文件</w:t>
            </w:r>
            <w:r>
              <w:rPr>
                <w:rFonts w:hint="eastAsia" w:ascii="宋体" w:hAnsi="宋体"/>
                <w:color w:val="auto"/>
                <w:szCs w:val="21"/>
                <w:highlight w:val="none"/>
              </w:rPr>
              <w:t>格式符合第二章“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须知”第3.7款的要求，否则由评标委员会作否决投标处理。</w:t>
            </w:r>
          </w:p>
          <w:p w14:paraId="513CA0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编制</w:t>
            </w:r>
            <w:r>
              <w:rPr>
                <w:rFonts w:hint="eastAsia" w:ascii="宋体" w:hAnsi="宋体"/>
                <w:color w:val="auto"/>
                <w:szCs w:val="21"/>
                <w:highlight w:val="none"/>
                <w:lang w:eastAsia="zh-CN"/>
              </w:rPr>
              <w:t>竞选文件</w:t>
            </w:r>
            <w:r>
              <w:rPr>
                <w:rFonts w:hint="eastAsia" w:ascii="宋体" w:hAnsi="宋体"/>
                <w:color w:val="auto"/>
                <w:szCs w:val="21"/>
                <w:highlight w:val="none"/>
              </w:rPr>
              <w:t>时不得对第六章“</w:t>
            </w:r>
            <w:r>
              <w:rPr>
                <w:rFonts w:hint="eastAsia" w:ascii="宋体" w:hAnsi="宋体"/>
                <w:color w:val="auto"/>
                <w:szCs w:val="21"/>
                <w:highlight w:val="none"/>
                <w:lang w:eastAsia="zh-CN"/>
              </w:rPr>
              <w:t>竞选文件</w:t>
            </w:r>
            <w:r>
              <w:rPr>
                <w:rFonts w:hint="eastAsia" w:ascii="宋体" w:hAnsi="宋体"/>
                <w:color w:val="auto"/>
                <w:szCs w:val="21"/>
                <w:highlight w:val="none"/>
              </w:rPr>
              <w:t>格式”的相应要素作实质性修改，否则视为重大偏差，由评标委员会作否决投标处理。</w:t>
            </w:r>
          </w:p>
        </w:tc>
      </w:tr>
      <w:tr w14:paraId="083B9C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3015FE8">
            <w:pPr>
              <w:spacing w:line="400" w:lineRule="exact"/>
              <w:jc w:val="center"/>
              <w:rPr>
                <w:rFonts w:ascii="宋体" w:hAnsi="宋体"/>
                <w:color w:val="auto"/>
                <w:szCs w:val="21"/>
                <w:highlight w:val="none"/>
              </w:rPr>
            </w:pPr>
          </w:p>
        </w:tc>
        <w:tc>
          <w:tcPr>
            <w:tcW w:w="7512" w:type="dxa"/>
          </w:tcPr>
          <w:p w14:paraId="46BA1E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1</w:t>
            </w:r>
            <w:r>
              <w:rPr>
                <w:rFonts w:hint="eastAsia" w:ascii="宋体" w:hAnsi="宋体"/>
                <w:color w:val="auto"/>
                <w:szCs w:val="21"/>
                <w:highlight w:val="none"/>
              </w:rPr>
              <w:t>联合体参与投标的应提交联合体协议书，并明确联合体牵头人。在联合体协议书第5条联合体各成员单位内部的职责分工中填写的联合体所有成员单位名称应与其营业执照、资质证书一致，依法变更名称的应提交相应证明材料，否则由评标委员会作否决投标处理。</w:t>
            </w:r>
          </w:p>
        </w:tc>
      </w:tr>
      <w:tr w14:paraId="2FF3D6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A673530">
            <w:pPr>
              <w:spacing w:line="400" w:lineRule="exact"/>
              <w:jc w:val="center"/>
              <w:rPr>
                <w:rFonts w:ascii="宋体" w:hAnsi="宋体"/>
                <w:color w:val="auto"/>
                <w:szCs w:val="21"/>
                <w:highlight w:val="none"/>
              </w:rPr>
            </w:pPr>
          </w:p>
        </w:tc>
        <w:tc>
          <w:tcPr>
            <w:tcW w:w="7512" w:type="dxa"/>
          </w:tcPr>
          <w:p w14:paraId="02CEF46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2</w:t>
            </w:r>
            <w:r>
              <w:rPr>
                <w:rFonts w:hint="eastAsia" w:ascii="宋体" w:hAnsi="宋体"/>
                <w:color w:val="auto"/>
                <w:szCs w:val="21"/>
                <w:highlight w:val="none"/>
              </w:rPr>
              <w:t xml:space="preserve">第六章 </w:t>
            </w:r>
            <w:r>
              <w:rPr>
                <w:rFonts w:hint="eastAsia" w:ascii="宋体" w:hAnsi="宋体"/>
                <w:color w:val="auto"/>
                <w:szCs w:val="21"/>
                <w:highlight w:val="none"/>
                <w:lang w:eastAsia="zh-CN"/>
              </w:rPr>
              <w:t>竞选文件</w:t>
            </w:r>
            <w:r>
              <w:rPr>
                <w:rFonts w:hint="eastAsia" w:ascii="宋体" w:hAnsi="宋体"/>
                <w:color w:val="auto"/>
                <w:szCs w:val="21"/>
                <w:highlight w:val="none"/>
              </w:rPr>
              <w:t>格式（不含投标函部分）要求法定代表人或其委托代理人签名（或盖章）的须齐全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均可</w:t>
            </w:r>
            <w:r>
              <w:rPr>
                <w:rFonts w:hint="eastAsia" w:ascii="宋体" w:hAnsi="宋体" w:cs="宋体"/>
                <w:color w:val="auto"/>
                <w:kern w:val="0"/>
                <w:highlight w:val="none"/>
                <w:lang w:eastAsia="zh-CN"/>
              </w:rPr>
              <w:t>。</w:t>
            </w:r>
            <w:r>
              <w:rPr>
                <w:rFonts w:hint="eastAsia" w:ascii="宋体" w:hAnsi="宋体"/>
                <w:color w:val="auto"/>
                <w:szCs w:val="21"/>
                <w:highlight w:val="none"/>
              </w:rPr>
              <w:t>否则由评标委员会作否决投标处理。</w:t>
            </w:r>
          </w:p>
          <w:p w14:paraId="3D58C07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第六章 </w:t>
            </w:r>
            <w:r>
              <w:rPr>
                <w:rFonts w:hint="eastAsia" w:ascii="宋体" w:hAnsi="宋体"/>
                <w:color w:val="auto"/>
                <w:szCs w:val="21"/>
                <w:highlight w:val="none"/>
                <w:lang w:eastAsia="zh-CN"/>
              </w:rPr>
              <w:t>竞选文件</w:t>
            </w:r>
            <w:r>
              <w:rPr>
                <w:rFonts w:hint="eastAsia" w:ascii="宋体" w:hAnsi="宋体"/>
                <w:color w:val="auto"/>
                <w:szCs w:val="21"/>
                <w:highlight w:val="none"/>
              </w:rPr>
              <w:t>格式要求加盖单位法人章的，应加盖</w:t>
            </w:r>
            <w:r>
              <w:rPr>
                <w:rFonts w:hint="eastAsia" w:ascii="宋体" w:hAnsi="宋体"/>
                <w:color w:val="auto"/>
                <w:szCs w:val="21"/>
                <w:highlight w:val="none"/>
                <w:lang w:eastAsia="zh-CN"/>
              </w:rPr>
              <w:t>竞选人</w:t>
            </w:r>
            <w:r>
              <w:rPr>
                <w:rFonts w:hint="eastAsia" w:ascii="宋体" w:hAnsi="宋体"/>
                <w:color w:val="auto"/>
                <w:szCs w:val="21"/>
                <w:highlight w:val="none"/>
              </w:rPr>
              <w:t>的</w:t>
            </w:r>
            <w:r>
              <w:rPr>
                <w:rFonts w:hint="eastAsia" w:ascii="宋体" w:hAnsi="宋体"/>
                <w:color w:val="auto"/>
                <w:szCs w:val="21"/>
                <w:highlight w:val="none"/>
                <w:lang w:val="en-US" w:eastAsia="zh-CN"/>
              </w:rPr>
              <w:t>法人</w:t>
            </w:r>
            <w:r>
              <w:rPr>
                <w:rFonts w:hint="eastAsia" w:ascii="宋体" w:hAnsi="宋体"/>
                <w:color w:val="auto"/>
                <w:szCs w:val="21"/>
                <w:highlight w:val="none"/>
              </w:rPr>
              <w:t>印章，否则由评标委员会作否决投标处理。</w:t>
            </w:r>
          </w:p>
        </w:tc>
      </w:tr>
      <w:tr w14:paraId="2C0BAA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4A377317">
            <w:pPr>
              <w:spacing w:line="400" w:lineRule="exact"/>
              <w:jc w:val="center"/>
              <w:rPr>
                <w:rFonts w:ascii="宋体" w:hAnsi="宋体"/>
                <w:color w:val="auto"/>
                <w:szCs w:val="21"/>
                <w:highlight w:val="none"/>
              </w:rPr>
            </w:pPr>
          </w:p>
        </w:tc>
        <w:tc>
          <w:tcPr>
            <w:tcW w:w="7512" w:type="dxa"/>
          </w:tcPr>
          <w:p w14:paraId="417C37E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3</w:t>
            </w:r>
            <w:r>
              <w:rPr>
                <w:rFonts w:hint="eastAsia" w:ascii="宋体" w:hAnsi="宋体"/>
                <w:color w:val="auto"/>
                <w:szCs w:val="21"/>
                <w:highlight w:val="none"/>
                <w:lang w:eastAsia="zh-CN"/>
              </w:rPr>
              <w:t>竞选人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为其缴纳的养老保险证明材料，否则由评标委员会作否决投标处理。</w:t>
            </w:r>
          </w:p>
        </w:tc>
      </w:tr>
      <w:tr w14:paraId="5A761C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774559F6">
            <w:pPr>
              <w:spacing w:line="400" w:lineRule="exact"/>
              <w:jc w:val="center"/>
              <w:rPr>
                <w:rFonts w:ascii="宋体" w:hAnsi="宋体"/>
                <w:color w:val="auto"/>
                <w:szCs w:val="21"/>
                <w:highlight w:val="none"/>
              </w:rPr>
            </w:pPr>
          </w:p>
        </w:tc>
        <w:tc>
          <w:tcPr>
            <w:tcW w:w="7512" w:type="dxa"/>
          </w:tcPr>
          <w:p w14:paraId="0E0876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14除</w:t>
            </w:r>
            <w:r>
              <w:rPr>
                <w:rFonts w:hint="eastAsia" w:ascii="宋体" w:hAnsi="宋体"/>
                <w:color w:val="auto"/>
                <w:szCs w:val="21"/>
                <w:highlight w:val="none"/>
                <w:lang w:eastAsia="zh-CN"/>
              </w:rPr>
              <w:t>比选文件</w:t>
            </w:r>
            <w:r>
              <w:rPr>
                <w:rFonts w:ascii="宋体" w:hAnsi="宋体"/>
                <w:color w:val="auto"/>
                <w:szCs w:val="21"/>
                <w:highlight w:val="none"/>
              </w:rPr>
              <w:t>明确允许提交备选投标方案外，</w:t>
            </w:r>
            <w:r>
              <w:rPr>
                <w:rFonts w:hint="eastAsia" w:ascii="宋体" w:hAnsi="宋体"/>
                <w:color w:val="auto"/>
                <w:szCs w:val="21"/>
                <w:highlight w:val="none"/>
                <w:lang w:eastAsia="zh-CN"/>
              </w:rPr>
              <w:t>竞选人</w:t>
            </w:r>
            <w:r>
              <w:rPr>
                <w:rFonts w:ascii="宋体" w:hAnsi="宋体"/>
                <w:color w:val="auto"/>
                <w:szCs w:val="21"/>
                <w:highlight w:val="none"/>
              </w:rPr>
              <w:t>不得提交备选投标方案</w:t>
            </w:r>
            <w:r>
              <w:rPr>
                <w:rFonts w:hint="eastAsia" w:ascii="宋体" w:hAnsi="宋体"/>
                <w:color w:val="auto"/>
                <w:szCs w:val="21"/>
                <w:highlight w:val="none"/>
              </w:rPr>
              <w:t>，否则由评标委员会作否决投标处理。</w:t>
            </w:r>
          </w:p>
        </w:tc>
      </w:tr>
      <w:tr w14:paraId="09589D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0E821317">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7512" w:type="dxa"/>
            <w:vAlign w:val="center"/>
          </w:tcPr>
          <w:p w14:paraId="6992172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5</w:t>
            </w:r>
            <w:r>
              <w:rPr>
                <w:rFonts w:hint="eastAsia" w:ascii="宋体" w:hAnsi="宋体"/>
                <w:color w:val="auto"/>
                <w:szCs w:val="21"/>
                <w:highlight w:val="none"/>
              </w:rPr>
              <w:t>投标内容符合第二章“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须知”第1.3.1项规定，否则由评标委员会作否决投标处理。</w:t>
            </w:r>
          </w:p>
        </w:tc>
      </w:tr>
      <w:tr w14:paraId="69CE6D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47F9DE8A">
            <w:pPr>
              <w:spacing w:line="400" w:lineRule="exact"/>
              <w:jc w:val="center"/>
              <w:rPr>
                <w:rFonts w:ascii="宋体" w:hAnsi="宋体"/>
                <w:color w:val="auto"/>
                <w:szCs w:val="21"/>
                <w:highlight w:val="none"/>
              </w:rPr>
            </w:pPr>
          </w:p>
        </w:tc>
        <w:tc>
          <w:tcPr>
            <w:tcW w:w="7512" w:type="dxa"/>
            <w:vAlign w:val="center"/>
          </w:tcPr>
          <w:p w14:paraId="0836B23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6</w:t>
            </w:r>
            <w:r>
              <w:rPr>
                <w:rFonts w:hint="eastAsia" w:ascii="宋体" w:hAnsi="宋体"/>
                <w:color w:val="auto"/>
                <w:szCs w:val="21"/>
                <w:highlight w:val="none"/>
                <w:lang w:eastAsia="zh-CN"/>
              </w:rPr>
              <w:t>竞选人</w:t>
            </w:r>
            <w:r>
              <w:rPr>
                <w:rFonts w:hint="eastAsia" w:ascii="宋体" w:hAnsi="宋体"/>
                <w:color w:val="auto"/>
                <w:szCs w:val="21"/>
                <w:highlight w:val="none"/>
              </w:rPr>
              <w:t>应按第二章“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.1项规定递交投标保证金，并作为其</w:t>
            </w:r>
            <w:r>
              <w:rPr>
                <w:rFonts w:hint="eastAsia" w:ascii="宋体" w:hAnsi="宋体"/>
                <w:color w:val="auto"/>
                <w:szCs w:val="21"/>
                <w:highlight w:val="none"/>
                <w:lang w:eastAsia="zh-CN"/>
              </w:rPr>
              <w:t>竞选文件</w:t>
            </w:r>
            <w:r>
              <w:rPr>
                <w:rFonts w:hint="eastAsia" w:ascii="宋体" w:hAnsi="宋体"/>
                <w:color w:val="auto"/>
                <w:szCs w:val="21"/>
                <w:highlight w:val="none"/>
              </w:rPr>
              <w:t>的组成部分，否则由评标委员会作否决投标处理。</w:t>
            </w:r>
          </w:p>
        </w:tc>
      </w:tr>
      <w:tr w14:paraId="60A4C2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C059370">
            <w:pPr>
              <w:spacing w:line="400" w:lineRule="exact"/>
              <w:jc w:val="center"/>
              <w:rPr>
                <w:rFonts w:ascii="宋体" w:hAnsi="宋体"/>
                <w:color w:val="auto"/>
                <w:szCs w:val="21"/>
                <w:highlight w:val="none"/>
              </w:rPr>
            </w:pPr>
          </w:p>
        </w:tc>
        <w:tc>
          <w:tcPr>
            <w:tcW w:w="7512" w:type="dxa"/>
            <w:vAlign w:val="center"/>
          </w:tcPr>
          <w:p w14:paraId="255451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7符合第二章“</w:t>
            </w:r>
            <w:r>
              <w:rPr>
                <w:rFonts w:hint="eastAsia" w:ascii="宋体" w:hAnsi="宋体"/>
                <w:color w:val="auto"/>
                <w:szCs w:val="21"/>
                <w:highlight w:val="none"/>
                <w:lang w:eastAsia="zh-CN"/>
              </w:rPr>
              <w:t>竞选人</w:t>
            </w:r>
            <w:r>
              <w:rPr>
                <w:rFonts w:ascii="宋体" w:hAnsi="宋体"/>
                <w:color w:val="auto"/>
                <w:szCs w:val="21"/>
                <w:highlight w:val="none"/>
              </w:rPr>
              <w:t>须知”第1.12.1项规定和第四章“合同条款及格式”中的实质性要求和条件，</w:t>
            </w:r>
            <w:r>
              <w:rPr>
                <w:rFonts w:hint="eastAsia" w:ascii="宋体" w:hAnsi="宋体"/>
                <w:color w:val="auto"/>
                <w:szCs w:val="21"/>
                <w:highlight w:val="none"/>
                <w:lang w:eastAsia="zh-CN"/>
              </w:rPr>
              <w:t>竞选文件</w:t>
            </w:r>
            <w:r>
              <w:rPr>
                <w:rFonts w:ascii="宋体" w:hAnsi="宋体"/>
                <w:color w:val="auto"/>
                <w:szCs w:val="21"/>
                <w:highlight w:val="none"/>
              </w:rPr>
              <w:t>不应附有</w:t>
            </w:r>
            <w:r>
              <w:rPr>
                <w:rFonts w:hint="eastAsia" w:ascii="宋体" w:hAnsi="宋体"/>
                <w:color w:val="auto"/>
                <w:szCs w:val="21"/>
                <w:highlight w:val="none"/>
                <w:lang w:eastAsia="zh-CN"/>
              </w:rPr>
              <w:t>比选人</w:t>
            </w:r>
            <w:r>
              <w:rPr>
                <w:rFonts w:ascii="宋体" w:hAnsi="宋体"/>
                <w:color w:val="auto"/>
                <w:szCs w:val="21"/>
                <w:highlight w:val="none"/>
              </w:rPr>
              <w:t>不能接受的条件。</w:t>
            </w:r>
            <w:r>
              <w:rPr>
                <w:rFonts w:hint="eastAsia" w:ascii="宋体" w:hAnsi="宋体"/>
                <w:color w:val="auto"/>
                <w:szCs w:val="21"/>
                <w:highlight w:val="none"/>
              </w:rPr>
              <w:t>否则由评标委员会作否决投标处理。（由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承诺，承诺书格式详见第六章</w:t>
            </w:r>
            <w:r>
              <w:rPr>
                <w:rFonts w:hint="eastAsia" w:ascii="宋体" w:hAnsi="宋体"/>
                <w:color w:val="auto"/>
                <w:szCs w:val="21"/>
                <w:highlight w:val="none"/>
                <w:lang w:eastAsia="zh-CN"/>
              </w:rPr>
              <w:t>竞选文件</w:t>
            </w:r>
            <w:r>
              <w:rPr>
                <w:rFonts w:hint="eastAsia" w:ascii="宋体" w:hAnsi="宋体"/>
                <w:color w:val="auto"/>
                <w:szCs w:val="21"/>
                <w:highlight w:val="none"/>
              </w:rPr>
              <w:t>格式。）</w:t>
            </w:r>
          </w:p>
        </w:tc>
      </w:tr>
      <w:tr w14:paraId="4B137C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59764AA">
            <w:pPr>
              <w:spacing w:line="400" w:lineRule="exact"/>
              <w:jc w:val="center"/>
              <w:rPr>
                <w:rFonts w:ascii="宋体" w:hAnsi="宋体"/>
                <w:color w:val="auto"/>
                <w:szCs w:val="21"/>
                <w:highlight w:val="none"/>
              </w:rPr>
            </w:pPr>
          </w:p>
        </w:tc>
        <w:tc>
          <w:tcPr>
            <w:tcW w:w="7512" w:type="dxa"/>
            <w:vAlign w:val="center"/>
          </w:tcPr>
          <w:p w14:paraId="0C8CD71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8</w:t>
            </w:r>
            <w:r>
              <w:rPr>
                <w:rFonts w:hint="eastAsia" w:ascii="宋体" w:hAnsi="宋体"/>
                <w:color w:val="auto"/>
                <w:szCs w:val="21"/>
                <w:highlight w:val="none"/>
              </w:rPr>
              <w:t>设计方案</w:t>
            </w:r>
            <w:r>
              <w:rPr>
                <w:rFonts w:ascii="宋体" w:hAnsi="宋体"/>
                <w:color w:val="auto"/>
                <w:kern w:val="0"/>
                <w:szCs w:val="21"/>
                <w:highlight w:val="none"/>
              </w:rPr>
              <w:t>符合第五章“发包人要求”中的实质性要求和条件</w:t>
            </w:r>
            <w:r>
              <w:rPr>
                <w:rFonts w:hint="eastAsia" w:ascii="宋体" w:hAnsi="宋体"/>
                <w:color w:val="auto"/>
                <w:szCs w:val="21"/>
                <w:highlight w:val="none"/>
              </w:rPr>
              <w:t>。（由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承诺，承诺书格式详见第六章</w:t>
            </w:r>
            <w:r>
              <w:rPr>
                <w:rFonts w:hint="eastAsia" w:ascii="宋体" w:hAnsi="宋体"/>
                <w:color w:val="auto"/>
                <w:szCs w:val="21"/>
                <w:highlight w:val="none"/>
                <w:lang w:eastAsia="zh-CN"/>
              </w:rPr>
              <w:t>竞选文件</w:t>
            </w:r>
            <w:r>
              <w:rPr>
                <w:rFonts w:hint="eastAsia" w:ascii="宋体" w:hAnsi="宋体"/>
                <w:color w:val="auto"/>
                <w:szCs w:val="21"/>
                <w:highlight w:val="none"/>
              </w:rPr>
              <w:t>格式。）</w:t>
            </w:r>
          </w:p>
        </w:tc>
      </w:tr>
      <w:tr w14:paraId="3691F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7614A48">
            <w:pPr>
              <w:spacing w:line="400" w:lineRule="exact"/>
              <w:jc w:val="center"/>
              <w:rPr>
                <w:rFonts w:ascii="宋体" w:hAnsi="宋体"/>
                <w:color w:val="auto"/>
                <w:szCs w:val="21"/>
                <w:highlight w:val="none"/>
              </w:rPr>
            </w:pPr>
          </w:p>
        </w:tc>
        <w:tc>
          <w:tcPr>
            <w:tcW w:w="7512" w:type="dxa"/>
            <w:vAlign w:val="center"/>
          </w:tcPr>
          <w:p w14:paraId="3A05381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9</w:t>
            </w:r>
            <w:r>
              <w:rPr>
                <w:rFonts w:hint="eastAsia" w:ascii="宋体" w:hAnsi="宋体"/>
                <w:color w:val="auto"/>
                <w:szCs w:val="21"/>
                <w:highlight w:val="none"/>
                <w:lang w:eastAsia="zh-CN"/>
              </w:rPr>
              <w:t>竞选人</w:t>
            </w:r>
            <w:r>
              <w:rPr>
                <w:rFonts w:hint="eastAsia" w:ascii="宋体" w:hAnsi="宋体"/>
                <w:color w:val="auto"/>
                <w:szCs w:val="21"/>
                <w:highlight w:val="none"/>
              </w:rPr>
              <w:t>有以下情形之一的，其</w:t>
            </w:r>
            <w:r>
              <w:rPr>
                <w:rFonts w:hint="eastAsia" w:ascii="宋体" w:hAnsi="宋体"/>
                <w:color w:val="auto"/>
                <w:szCs w:val="21"/>
                <w:highlight w:val="none"/>
                <w:lang w:eastAsia="zh-CN"/>
              </w:rPr>
              <w:t>竞选文件</w:t>
            </w:r>
            <w:r>
              <w:rPr>
                <w:rFonts w:hint="eastAsia" w:ascii="宋体" w:hAnsi="宋体"/>
                <w:color w:val="auto"/>
                <w:szCs w:val="21"/>
                <w:highlight w:val="none"/>
              </w:rPr>
              <w:t>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2A888DE3">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olor w:val="auto"/>
                <w:kern w:val="0"/>
                <w:szCs w:val="21"/>
                <w:highlight w:val="none"/>
                <w:lang w:eastAsia="zh-CN"/>
              </w:rPr>
              <w:t>竞选文件</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的偏差超出</w:t>
            </w:r>
            <w:r>
              <w:rPr>
                <w:rFonts w:hint="eastAsia" w:ascii="宋体" w:hAnsi="宋体"/>
                <w:color w:val="auto"/>
                <w:kern w:val="0"/>
                <w:szCs w:val="21"/>
                <w:highlight w:val="none"/>
                <w:lang w:eastAsia="zh-CN"/>
              </w:rPr>
              <w:t>比选文件</w:t>
            </w:r>
            <w:r>
              <w:rPr>
                <w:rFonts w:ascii="宋体" w:hAnsi="宋体"/>
                <w:color w:val="auto"/>
                <w:kern w:val="0"/>
                <w:szCs w:val="21"/>
                <w:highlight w:val="none"/>
              </w:rPr>
              <w:t>规定的偏差范围或最高项数；</w:t>
            </w:r>
          </w:p>
          <w:p w14:paraId="16B12A6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2341C88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0EF0BF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1300C444">
            <w:pPr>
              <w:spacing w:line="400" w:lineRule="exact"/>
              <w:jc w:val="center"/>
              <w:rPr>
                <w:rFonts w:ascii="宋体" w:hAnsi="宋体"/>
                <w:color w:val="auto"/>
                <w:szCs w:val="21"/>
                <w:highlight w:val="none"/>
              </w:rPr>
            </w:pPr>
            <w:r>
              <w:rPr>
                <w:rFonts w:hint="eastAsia" w:ascii="宋体" w:hAnsi="宋体"/>
                <w:color w:val="auto"/>
                <w:szCs w:val="21"/>
                <w:highlight w:val="none"/>
              </w:rPr>
              <w:t>投标函部分评审</w:t>
            </w:r>
          </w:p>
        </w:tc>
        <w:tc>
          <w:tcPr>
            <w:tcW w:w="7512" w:type="dxa"/>
          </w:tcPr>
          <w:p w14:paraId="792EEA53">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ascii="宋体" w:hAnsi="宋体"/>
                <w:color w:val="auto"/>
                <w:szCs w:val="21"/>
                <w:highlight w:val="none"/>
              </w:rPr>
              <w:t>2</w:t>
            </w:r>
            <w:r>
              <w:rPr>
                <w:rFonts w:hint="eastAsia" w:ascii="宋体" w:hAnsi="宋体"/>
                <w:color w:val="auto"/>
                <w:szCs w:val="21"/>
                <w:highlight w:val="none"/>
              </w:rPr>
              <w:t>0</w:t>
            </w:r>
            <w:r>
              <w:rPr>
                <w:rFonts w:hint="eastAsia" w:ascii="宋体" w:hAnsi="宋体" w:cs="宋体"/>
                <w:color w:val="auto"/>
                <w:kern w:val="0"/>
                <w:highlight w:val="none"/>
              </w:rPr>
              <w:t>投标函部分的格式要求法定代表人或其委托代理人签名（或盖章）的须齐全，要求加盖单位法人章的，应加盖</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的单位</w:t>
            </w:r>
            <w:r>
              <w:rPr>
                <w:rFonts w:hint="eastAsia" w:ascii="宋体" w:hAnsi="宋体" w:cs="宋体"/>
                <w:color w:val="auto"/>
                <w:kern w:val="0"/>
                <w:highlight w:val="none"/>
                <w:lang w:val="en-US" w:eastAsia="zh-CN"/>
              </w:rPr>
              <w:t>法人</w:t>
            </w:r>
            <w:r>
              <w:rPr>
                <w:rFonts w:hint="eastAsia" w:ascii="宋体" w:hAnsi="宋体" w:cs="宋体"/>
                <w:color w:val="auto"/>
                <w:kern w:val="0"/>
                <w:highlight w:val="none"/>
              </w:rPr>
              <w:t>印章</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均可</w:t>
            </w:r>
            <w:r>
              <w:rPr>
                <w:rFonts w:hint="eastAsia" w:ascii="宋体" w:hAnsi="宋体" w:cs="宋体"/>
                <w:color w:val="auto"/>
                <w:kern w:val="0"/>
                <w:highlight w:val="none"/>
                <w:lang w:eastAsia="zh-CN"/>
              </w:rPr>
              <w:t>。</w:t>
            </w:r>
            <w:r>
              <w:rPr>
                <w:rFonts w:hint="eastAsia" w:ascii="宋体" w:hAnsi="宋体"/>
                <w:color w:val="auto"/>
                <w:szCs w:val="21"/>
                <w:highlight w:val="none"/>
              </w:rPr>
              <w:t>否则由评标委员会作否决投标处理。</w:t>
            </w:r>
          </w:p>
        </w:tc>
      </w:tr>
      <w:tr w14:paraId="59FFEE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3B6BAD7">
            <w:pPr>
              <w:spacing w:line="400" w:lineRule="exact"/>
              <w:jc w:val="center"/>
              <w:rPr>
                <w:rFonts w:ascii="宋体" w:hAnsi="宋体"/>
                <w:color w:val="auto"/>
                <w:szCs w:val="21"/>
                <w:highlight w:val="none"/>
              </w:rPr>
            </w:pPr>
          </w:p>
        </w:tc>
        <w:tc>
          <w:tcPr>
            <w:tcW w:w="7512" w:type="dxa"/>
          </w:tcPr>
          <w:p w14:paraId="7A04F560">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A-21设计服务期限符合第二章“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须知”第1.3.2项规定，否则由评标委员会作否决投标处理。</w:t>
            </w:r>
          </w:p>
        </w:tc>
      </w:tr>
      <w:tr w14:paraId="2726C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76EFC79">
            <w:pPr>
              <w:spacing w:line="400" w:lineRule="exact"/>
              <w:jc w:val="center"/>
              <w:rPr>
                <w:rFonts w:ascii="宋体" w:hAnsi="宋体"/>
                <w:color w:val="auto"/>
                <w:szCs w:val="21"/>
                <w:highlight w:val="none"/>
              </w:rPr>
            </w:pPr>
          </w:p>
        </w:tc>
        <w:tc>
          <w:tcPr>
            <w:tcW w:w="7512" w:type="dxa"/>
          </w:tcPr>
          <w:p w14:paraId="25FCA6A9">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A-22质量标准符合第二章“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须知”第1.3.3项规定，否则由评标委员会作否决投标处理。</w:t>
            </w:r>
          </w:p>
        </w:tc>
      </w:tr>
      <w:tr w14:paraId="0309DA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4908958">
            <w:pPr>
              <w:spacing w:line="400" w:lineRule="exact"/>
              <w:jc w:val="center"/>
              <w:rPr>
                <w:rFonts w:ascii="宋体" w:hAnsi="宋体"/>
                <w:color w:val="auto"/>
                <w:szCs w:val="21"/>
                <w:highlight w:val="none"/>
              </w:rPr>
            </w:pPr>
          </w:p>
        </w:tc>
        <w:tc>
          <w:tcPr>
            <w:tcW w:w="7512" w:type="dxa"/>
          </w:tcPr>
          <w:p w14:paraId="38E0F29F">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A-23投标有效期符合第二章“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须知”第3.3.1项规定，否则由评标委员会作否决投标处理。</w:t>
            </w:r>
          </w:p>
        </w:tc>
      </w:tr>
      <w:tr w14:paraId="69E2D1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9618F76">
            <w:pPr>
              <w:spacing w:line="400" w:lineRule="exact"/>
              <w:jc w:val="center"/>
              <w:rPr>
                <w:rFonts w:ascii="宋体" w:hAnsi="宋体"/>
                <w:color w:val="auto"/>
                <w:szCs w:val="21"/>
                <w:highlight w:val="none"/>
              </w:rPr>
            </w:pPr>
          </w:p>
        </w:tc>
        <w:tc>
          <w:tcPr>
            <w:tcW w:w="7512" w:type="dxa"/>
            <w:vAlign w:val="center"/>
          </w:tcPr>
          <w:p w14:paraId="1352A169">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A-24投标函中的投标总报价或投标暂定设计费报价</w:t>
            </w:r>
            <w:r>
              <w:rPr>
                <w:rFonts w:ascii="宋体" w:hAnsi="宋体"/>
                <w:color w:val="auto"/>
                <w:szCs w:val="21"/>
                <w:highlight w:val="none"/>
              </w:rPr>
              <w:t>不得高于</w:t>
            </w:r>
            <w:r>
              <w:rPr>
                <w:rFonts w:hint="eastAsia" w:ascii="宋体" w:hAnsi="宋体"/>
                <w:color w:val="auto"/>
                <w:szCs w:val="21"/>
                <w:highlight w:val="none"/>
                <w:lang w:eastAsia="zh-CN"/>
              </w:rPr>
              <w:t>比选人</w:t>
            </w:r>
            <w:r>
              <w:rPr>
                <w:rFonts w:ascii="宋体" w:hAnsi="宋体"/>
                <w:color w:val="auto"/>
                <w:szCs w:val="21"/>
                <w:highlight w:val="none"/>
              </w:rPr>
              <w:t>公布的投标总报价最高限价</w:t>
            </w:r>
            <w:r>
              <w:rPr>
                <w:rFonts w:hint="eastAsia" w:ascii="宋体" w:hAnsi="宋体"/>
                <w:color w:val="auto"/>
                <w:szCs w:val="21"/>
                <w:highlight w:val="none"/>
              </w:rPr>
              <w:t>，否则由评标委员会作否决投标处理。</w:t>
            </w:r>
          </w:p>
        </w:tc>
      </w:tr>
      <w:tr w14:paraId="70F67D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94BFED2">
            <w:pPr>
              <w:spacing w:line="400" w:lineRule="exact"/>
              <w:jc w:val="center"/>
              <w:rPr>
                <w:rFonts w:ascii="宋体" w:hAnsi="宋体"/>
                <w:color w:val="auto"/>
                <w:szCs w:val="21"/>
                <w:highlight w:val="none"/>
              </w:rPr>
            </w:pPr>
          </w:p>
        </w:tc>
        <w:tc>
          <w:tcPr>
            <w:tcW w:w="7512" w:type="dxa"/>
            <w:vAlign w:val="center"/>
          </w:tcPr>
          <w:p w14:paraId="1EB64BF6">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A-25投标函中的暂定设计费报价必须与依据固定费率/</w:t>
            </w:r>
            <w:r>
              <w:rPr>
                <w:rFonts w:ascii="宋体" w:hAnsi="宋体"/>
                <w:color w:val="auto"/>
                <w:szCs w:val="21"/>
                <w:highlight w:val="none"/>
              </w:rPr>
              <w:t>固定</w:t>
            </w:r>
            <w:r>
              <w:rPr>
                <w:rFonts w:hint="eastAsia" w:ascii="宋体" w:hAnsi="宋体"/>
                <w:color w:val="auto"/>
                <w:szCs w:val="21"/>
                <w:highlight w:val="none"/>
              </w:rPr>
              <w:t>单价计算出的结果</w:t>
            </w:r>
            <w:r>
              <w:rPr>
                <w:rFonts w:ascii="宋体" w:hAnsi="宋体"/>
                <w:color w:val="auto"/>
                <w:szCs w:val="21"/>
                <w:highlight w:val="none"/>
              </w:rPr>
              <w:t>一致</w:t>
            </w:r>
            <w:r>
              <w:rPr>
                <w:rFonts w:hint="eastAsia" w:ascii="宋体" w:hAnsi="宋体"/>
                <w:color w:val="auto"/>
                <w:szCs w:val="21"/>
                <w:highlight w:val="none"/>
              </w:rPr>
              <w:t>，否则由评标委员会作否决投标处理。</w:t>
            </w:r>
          </w:p>
        </w:tc>
      </w:tr>
      <w:tr w14:paraId="2ACDBF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7BE423E">
            <w:pPr>
              <w:spacing w:line="400" w:lineRule="exact"/>
              <w:jc w:val="center"/>
              <w:rPr>
                <w:rFonts w:ascii="宋体" w:hAnsi="宋体"/>
                <w:color w:val="auto"/>
                <w:szCs w:val="21"/>
                <w:highlight w:val="none"/>
              </w:rPr>
            </w:pPr>
          </w:p>
        </w:tc>
        <w:tc>
          <w:tcPr>
            <w:tcW w:w="7512" w:type="dxa"/>
            <w:vAlign w:val="center"/>
          </w:tcPr>
          <w:p w14:paraId="2F9DD0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w:t>
            </w:r>
            <w:r>
              <w:rPr>
                <w:rFonts w:hint="eastAsia"/>
                <w:color w:val="auto"/>
                <w:highlight w:val="none"/>
              </w:rPr>
              <w:t>采用设计费用清单报价的，</w:t>
            </w:r>
            <w:r>
              <w:rPr>
                <w:rFonts w:hint="eastAsia" w:ascii="宋体" w:hAnsi="宋体"/>
                <w:color w:val="auto"/>
                <w:szCs w:val="21"/>
                <w:highlight w:val="none"/>
              </w:rPr>
              <w:t>投标函中的投标总报价或暂定设计费报价必须与设计费用清单合计报价一致，否则由评标委员会作否决投标处理。</w:t>
            </w:r>
          </w:p>
        </w:tc>
      </w:tr>
      <w:tr w14:paraId="4E0726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24F18A3D">
            <w:pPr>
              <w:spacing w:line="400" w:lineRule="exact"/>
              <w:jc w:val="center"/>
              <w:rPr>
                <w:rFonts w:ascii="宋体" w:hAnsi="宋体"/>
                <w:color w:val="auto"/>
                <w:szCs w:val="21"/>
                <w:highlight w:val="none"/>
              </w:rPr>
            </w:pPr>
          </w:p>
        </w:tc>
        <w:tc>
          <w:tcPr>
            <w:tcW w:w="7512" w:type="dxa"/>
            <w:vAlign w:val="center"/>
          </w:tcPr>
          <w:p w14:paraId="493E3FD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没有规定的情况下，不得提交选择性报价，否则由评标委员会作否决投标处理。</w:t>
            </w:r>
          </w:p>
        </w:tc>
      </w:tr>
      <w:tr w14:paraId="136303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E37D29F">
            <w:pPr>
              <w:spacing w:line="400" w:lineRule="exact"/>
              <w:jc w:val="center"/>
              <w:rPr>
                <w:rFonts w:ascii="宋体" w:hAnsi="宋体"/>
                <w:color w:val="auto"/>
                <w:szCs w:val="21"/>
                <w:highlight w:val="none"/>
              </w:rPr>
            </w:pPr>
          </w:p>
        </w:tc>
        <w:tc>
          <w:tcPr>
            <w:tcW w:w="7512" w:type="dxa"/>
            <w:vAlign w:val="center"/>
          </w:tcPr>
          <w:p w14:paraId="5C1541BC">
            <w:pPr>
              <w:spacing w:line="400" w:lineRule="exact"/>
              <w:ind w:firstLine="420" w:firstLineChars="200"/>
              <w:rPr>
                <w:rFonts w:hint="eastAsia" w:ascii="宋体" w:hAnsi="宋体"/>
                <w:color w:val="auto"/>
                <w:szCs w:val="21"/>
                <w:highlight w:val="none"/>
              </w:rPr>
            </w:pPr>
            <w:r>
              <w:rPr>
                <w:rFonts w:hint="eastAsia" w:ascii="宋体" w:hAnsi="宋体" w:cs="宋体"/>
                <w:color w:val="auto"/>
                <w:highlight w:val="none"/>
                <w:lang w:val="en-US" w:eastAsia="zh-CN"/>
              </w:rPr>
              <w:t>A-28</w:t>
            </w:r>
            <w:r>
              <w:rPr>
                <w:rFonts w:hint="eastAsia" w:ascii="宋体" w:hAnsi="宋体" w:eastAsia="宋体" w:cs="宋体"/>
                <w:color w:val="auto"/>
                <w:kern w:val="0"/>
                <w:szCs w:val="21"/>
                <w:highlight w:val="none"/>
                <w:lang w:eastAsia="zh-CN" w:bidi="ar"/>
              </w:rPr>
              <w:t>计费基数（或</w:t>
            </w:r>
            <w:r>
              <w:rPr>
                <w:rFonts w:hint="eastAsia" w:ascii="宋体" w:hAnsi="宋体" w:eastAsia="宋体" w:cs="宋体"/>
                <w:color w:val="auto"/>
                <w:kern w:val="0"/>
                <w:szCs w:val="21"/>
                <w:highlight w:val="none"/>
                <w:lang w:val="en-US" w:eastAsia="zh-CN" w:bidi="ar"/>
              </w:rPr>
              <w:t>暂定工程量）</w:t>
            </w:r>
            <w:r>
              <w:rPr>
                <w:rFonts w:hint="eastAsia" w:ascii="宋体" w:hAnsi="宋体" w:eastAsia="宋体" w:cs="宋体"/>
                <w:color w:val="auto"/>
                <w:highlight w:val="none"/>
              </w:rPr>
              <w:t>必须按照</w:t>
            </w:r>
            <w:r>
              <w:rPr>
                <w:rFonts w:hint="eastAsia" w:ascii="宋体" w:hAnsi="宋体" w:cs="宋体"/>
                <w:color w:val="auto"/>
                <w:highlight w:val="none"/>
                <w:lang w:eastAsia="zh-CN"/>
              </w:rPr>
              <w:t>比选文件</w:t>
            </w:r>
            <w:r>
              <w:rPr>
                <w:rFonts w:hint="eastAsia" w:ascii="宋体" w:hAnsi="宋体" w:eastAsia="宋体" w:cs="宋体"/>
                <w:color w:val="auto"/>
                <w:highlight w:val="none"/>
              </w:rPr>
              <w:t>给定的</w:t>
            </w:r>
            <w:r>
              <w:rPr>
                <w:rFonts w:hint="eastAsia" w:ascii="宋体" w:hAnsi="宋体" w:eastAsia="宋体" w:cs="宋体"/>
                <w:color w:val="auto"/>
                <w:highlight w:val="none"/>
                <w:lang w:val="en-US" w:eastAsia="zh-CN"/>
              </w:rPr>
              <w:t>数值</w:t>
            </w:r>
            <w:r>
              <w:rPr>
                <w:rFonts w:hint="eastAsia" w:ascii="宋体" w:hAnsi="宋体" w:eastAsia="宋体" w:cs="宋体"/>
                <w:color w:val="auto"/>
                <w:highlight w:val="none"/>
              </w:rPr>
              <w:t>填报</w:t>
            </w:r>
            <w:r>
              <w:rPr>
                <w:rFonts w:hint="eastAsia" w:ascii="宋体" w:hAnsi="宋体" w:cs="宋体"/>
                <w:color w:val="auto"/>
                <w:szCs w:val="21"/>
                <w:highlight w:val="none"/>
              </w:rPr>
              <w:t>，否则由评标委员会作否决投标处理</w:t>
            </w:r>
            <w:r>
              <w:rPr>
                <w:rFonts w:hint="eastAsia" w:ascii="宋体" w:hAnsi="宋体" w:eastAsia="宋体" w:cs="宋体"/>
                <w:color w:val="auto"/>
                <w:highlight w:val="none"/>
                <w:lang w:eastAsia="zh-CN"/>
              </w:rPr>
              <w:t>。</w:t>
            </w:r>
          </w:p>
        </w:tc>
      </w:tr>
      <w:tr w14:paraId="58024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0A8C26F">
            <w:pPr>
              <w:spacing w:line="400" w:lineRule="exact"/>
              <w:jc w:val="center"/>
              <w:rPr>
                <w:rFonts w:ascii="宋体" w:hAnsi="宋体"/>
                <w:color w:val="auto"/>
                <w:szCs w:val="21"/>
                <w:highlight w:val="none"/>
              </w:rPr>
            </w:pPr>
          </w:p>
        </w:tc>
        <w:tc>
          <w:tcPr>
            <w:tcW w:w="7512" w:type="dxa"/>
            <w:vAlign w:val="center"/>
          </w:tcPr>
          <w:p w14:paraId="51C9B04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9</w:t>
            </w:r>
            <w:r>
              <w:rPr>
                <w:rFonts w:hint="eastAsia" w:ascii="宋体" w:hAnsi="宋体"/>
                <w:color w:val="auto"/>
                <w:szCs w:val="21"/>
                <w:highlight w:val="none"/>
              </w:rPr>
              <w:t>暂列金额、暂估价等暂定金额必须按照</w:t>
            </w:r>
            <w:r>
              <w:rPr>
                <w:rFonts w:hint="eastAsia" w:ascii="宋体" w:hAnsi="宋体"/>
                <w:color w:val="auto"/>
                <w:szCs w:val="21"/>
                <w:highlight w:val="none"/>
                <w:lang w:eastAsia="zh-CN"/>
              </w:rPr>
              <w:t>比选文件</w:t>
            </w:r>
            <w:r>
              <w:rPr>
                <w:rFonts w:hint="eastAsia" w:ascii="宋体" w:hAnsi="宋体"/>
                <w:color w:val="auto"/>
                <w:szCs w:val="21"/>
                <w:highlight w:val="none"/>
              </w:rPr>
              <w:t>给定的金额填报，否则由评标委员会作否决投标处理。</w:t>
            </w:r>
          </w:p>
        </w:tc>
      </w:tr>
      <w:tr w14:paraId="520D07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6D737E0">
            <w:pPr>
              <w:spacing w:line="400" w:lineRule="exact"/>
              <w:jc w:val="center"/>
              <w:rPr>
                <w:rFonts w:ascii="宋体" w:hAnsi="宋体"/>
                <w:color w:val="auto"/>
                <w:szCs w:val="21"/>
                <w:highlight w:val="none"/>
              </w:rPr>
            </w:pPr>
          </w:p>
        </w:tc>
        <w:tc>
          <w:tcPr>
            <w:tcW w:w="7512" w:type="dxa"/>
          </w:tcPr>
          <w:p w14:paraId="685DB819">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30</w:t>
            </w:r>
            <w:r>
              <w:rPr>
                <w:rFonts w:hint="eastAsia" w:ascii="宋体" w:hAnsi="宋体"/>
                <w:color w:val="auto"/>
                <w:szCs w:val="21"/>
                <w:highlight w:val="none"/>
              </w:rPr>
              <w:t>投标报价有算术错误的，按照第三章“评标办法”第3.1.3项规定执行，否则由评标委员会作否决投标处理。</w:t>
            </w:r>
          </w:p>
        </w:tc>
      </w:tr>
      <w:tr w14:paraId="0C0E91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14:paraId="413D11D2">
            <w:pPr>
              <w:spacing w:line="400" w:lineRule="exact"/>
              <w:jc w:val="center"/>
              <w:rPr>
                <w:rFonts w:ascii="宋体" w:hAnsi="宋体"/>
                <w:color w:val="auto"/>
                <w:szCs w:val="21"/>
                <w:highlight w:val="none"/>
              </w:rPr>
            </w:pPr>
          </w:p>
        </w:tc>
        <w:tc>
          <w:tcPr>
            <w:tcW w:w="7512" w:type="dxa"/>
          </w:tcPr>
          <w:p w14:paraId="5C769E8C">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w:t>
            </w:r>
            <w:r>
              <w:rPr>
                <w:rFonts w:hint="eastAsia" w:ascii="宋体" w:hAnsi="宋体"/>
                <w:i/>
                <w:color w:val="auto"/>
                <w:szCs w:val="21"/>
                <w:highlight w:val="none"/>
                <w:lang w:eastAsia="zh-CN"/>
              </w:rPr>
              <w:t>比选人</w:t>
            </w:r>
            <w:r>
              <w:rPr>
                <w:rFonts w:hint="eastAsia" w:ascii="宋体" w:hAnsi="宋体"/>
                <w:i/>
                <w:color w:val="auto"/>
                <w:szCs w:val="21"/>
                <w:highlight w:val="none"/>
              </w:rPr>
              <w:t>必须将所有否决投标条款集中罗列于此表，若无其他否决投标条款则在该条写无。]</w:t>
            </w:r>
          </w:p>
        </w:tc>
      </w:tr>
    </w:tbl>
    <w:p w14:paraId="4DD5E34D">
      <w:pPr>
        <w:autoSpaceDE w:val="0"/>
        <w:autoSpaceDN w:val="0"/>
        <w:adjustRightInd w:val="0"/>
        <w:snapToGrid w:val="0"/>
        <w:spacing w:line="360" w:lineRule="auto"/>
        <w:jc w:val="left"/>
        <w:rPr>
          <w:rFonts w:ascii="宋体" w:hAnsi="宋体"/>
          <w:b/>
          <w:color w:val="auto"/>
          <w:kern w:val="0"/>
          <w:sz w:val="20"/>
          <w:szCs w:val="20"/>
          <w:highlight w:val="none"/>
        </w:rPr>
      </w:pPr>
    </w:p>
    <w:p w14:paraId="6C80F8E7">
      <w:pPr>
        <w:rPr>
          <w:color w:val="auto"/>
          <w:highlight w:val="none"/>
        </w:rPr>
      </w:pPr>
      <w:r>
        <w:rPr>
          <w:color w:val="auto"/>
          <w:highlight w:val="none"/>
        </w:rPr>
        <w:br w:type="page"/>
      </w:r>
    </w:p>
    <w:p w14:paraId="706AA795">
      <w:pPr>
        <w:pStyle w:val="2"/>
        <w:spacing w:line="360" w:lineRule="auto"/>
        <w:jc w:val="center"/>
        <w:rPr>
          <w:rFonts w:ascii="宋体" w:hAnsi="宋体"/>
          <w:color w:val="auto"/>
          <w:kern w:val="0"/>
          <w:highlight w:val="none"/>
        </w:rPr>
      </w:pPr>
      <w:bookmarkStart w:id="608" w:name="_Toc430530509"/>
      <w:bookmarkStart w:id="609" w:name="_Toc509218785"/>
      <w:bookmarkStart w:id="610" w:name="_Toc30099"/>
      <w:r>
        <w:rPr>
          <w:rFonts w:hint="eastAsia" w:ascii="宋体" w:hAnsi="宋体"/>
          <w:color w:val="auto"/>
          <w:kern w:val="0"/>
          <w:highlight w:val="none"/>
        </w:rPr>
        <w:t>第四章  合同条款及格式</w:t>
      </w:r>
      <w:bookmarkEnd w:id="608"/>
      <w:bookmarkEnd w:id="609"/>
      <w:bookmarkEnd w:id="610"/>
    </w:p>
    <w:p w14:paraId="5136F9BC">
      <w:pPr>
        <w:rPr>
          <w:rFonts w:ascii="宋体" w:hAnsi="宋体"/>
          <w:color w:val="auto"/>
          <w:sz w:val="44"/>
          <w:szCs w:val="44"/>
          <w:highlight w:val="none"/>
        </w:rPr>
      </w:pPr>
      <w:r>
        <w:rPr>
          <w:rFonts w:ascii="宋体" w:hAnsi="宋体"/>
          <w:color w:val="auto"/>
          <w:highlight w:val="none"/>
        </w:rPr>
        <w:br w:type="page"/>
      </w:r>
      <w:bookmarkStart w:id="611" w:name="_Toc296890982"/>
      <w:bookmarkStart w:id="612" w:name="_Toc351203480"/>
      <w:bookmarkStart w:id="613" w:name="_Toc296503025"/>
    </w:p>
    <w:p w14:paraId="6255BDD7">
      <w:pPr>
        <w:jc w:val="center"/>
        <w:rPr>
          <w:rFonts w:ascii="宋体" w:hAnsi="宋体"/>
          <w:b/>
          <w:color w:val="auto"/>
          <w:sz w:val="72"/>
          <w:szCs w:val="72"/>
          <w:highlight w:val="none"/>
        </w:rPr>
      </w:pPr>
      <w:bookmarkStart w:id="614" w:name="招标文件05章工程量清单"/>
      <w:bookmarkEnd w:id="614"/>
      <w:bookmarkStart w:id="615" w:name="_Toc30057"/>
      <w:bookmarkStart w:id="616" w:name="_Toc509218786"/>
      <w:bookmarkStart w:id="617" w:name="_Toc534185765"/>
      <w:bookmarkStart w:id="618" w:name="_Toc351203494"/>
      <w:bookmarkStart w:id="619" w:name="_Toc351203632"/>
      <w:bookmarkStart w:id="620" w:name="_Toc534185823"/>
      <w:bookmarkStart w:id="621" w:name="_Toc2284"/>
      <w:bookmarkStart w:id="622" w:name="_Toc509218844"/>
    </w:p>
    <w:p w14:paraId="222F1400">
      <w:pPr>
        <w:jc w:val="center"/>
        <w:rPr>
          <w:rFonts w:ascii="宋体" w:hAnsi="宋体"/>
          <w:b/>
          <w:color w:val="auto"/>
          <w:sz w:val="72"/>
          <w:szCs w:val="72"/>
          <w:highlight w:val="none"/>
        </w:rPr>
      </w:pPr>
    </w:p>
    <w:p w14:paraId="14D9F3D0">
      <w:pPr>
        <w:jc w:val="center"/>
        <w:rPr>
          <w:rFonts w:ascii="宋体" w:hAnsi="宋体"/>
          <w:b/>
          <w:color w:val="auto"/>
          <w:sz w:val="72"/>
          <w:szCs w:val="72"/>
          <w:highlight w:val="none"/>
        </w:rPr>
      </w:pPr>
      <w:r>
        <w:rPr>
          <w:rFonts w:hint="eastAsia" w:ascii="宋体" w:hAnsi="宋体"/>
          <w:b/>
          <w:color w:val="auto"/>
          <w:sz w:val="72"/>
          <w:szCs w:val="72"/>
          <w:highlight w:val="none"/>
        </w:rPr>
        <w:t>建设工程设计合同</w:t>
      </w:r>
    </w:p>
    <w:p w14:paraId="7CFFB972">
      <w:pPr>
        <w:rPr>
          <w:color w:val="auto"/>
          <w:sz w:val="32"/>
          <w:szCs w:val="32"/>
          <w:highlight w:val="none"/>
        </w:rPr>
      </w:pPr>
    </w:p>
    <w:p w14:paraId="10835FB9">
      <w:pPr>
        <w:rPr>
          <w:color w:val="auto"/>
          <w:sz w:val="32"/>
          <w:szCs w:val="32"/>
          <w:highlight w:val="none"/>
        </w:rPr>
      </w:pPr>
    </w:p>
    <w:p w14:paraId="306998BF">
      <w:pPr>
        <w:rPr>
          <w:color w:val="auto"/>
          <w:sz w:val="32"/>
          <w:szCs w:val="32"/>
          <w:highlight w:val="none"/>
        </w:rPr>
      </w:pPr>
    </w:p>
    <w:p w14:paraId="1C49B1E5">
      <w:pPr>
        <w:ind w:left="3198" w:leftChars="304" w:hanging="2560" w:hangingChars="400"/>
        <w:rPr>
          <w:color w:val="auto"/>
          <w:sz w:val="32"/>
          <w:szCs w:val="32"/>
          <w:highlight w:val="none"/>
          <w:u w:val="single"/>
        </w:rPr>
      </w:pPr>
      <w:r>
        <w:rPr>
          <w:rFonts w:hint="eastAsia"/>
          <w:color w:val="auto"/>
          <w:spacing w:val="160"/>
          <w:sz w:val="32"/>
          <w:szCs w:val="32"/>
          <w:highlight w:val="none"/>
        </w:rPr>
        <w:t>工程名</w:t>
      </w:r>
      <w:r>
        <w:rPr>
          <w:rFonts w:hint="eastAsia"/>
          <w:color w:val="auto"/>
          <w:sz w:val="32"/>
          <w:szCs w:val="32"/>
          <w:highlight w:val="none"/>
        </w:rPr>
        <w:t>称：</w:t>
      </w:r>
      <w:r>
        <w:rPr>
          <w:rFonts w:hint="eastAsia"/>
          <w:color w:val="auto"/>
          <w:sz w:val="32"/>
          <w:szCs w:val="32"/>
          <w:highlight w:val="none"/>
          <w:u w:val="single"/>
        </w:rPr>
        <w:t xml:space="preserve">                                     </w:t>
      </w:r>
    </w:p>
    <w:p w14:paraId="4B8A3D60">
      <w:pPr>
        <w:ind w:firstLine="640" w:firstLineChars="200"/>
        <w:rPr>
          <w:color w:val="auto"/>
          <w:sz w:val="32"/>
          <w:szCs w:val="32"/>
          <w:highlight w:val="none"/>
          <w:u w:val="single"/>
        </w:rPr>
      </w:pPr>
      <w:r>
        <w:rPr>
          <w:rFonts w:hint="eastAsia"/>
          <w:color w:val="auto"/>
          <w:sz w:val="32"/>
          <w:szCs w:val="32"/>
          <w:highlight w:val="none"/>
        </w:rPr>
        <w:t>工  程  地  址：</w:t>
      </w:r>
      <w:r>
        <w:rPr>
          <w:rFonts w:hint="eastAsia"/>
          <w:color w:val="auto"/>
          <w:sz w:val="32"/>
          <w:szCs w:val="32"/>
          <w:highlight w:val="none"/>
          <w:u w:val="single"/>
        </w:rPr>
        <w:t xml:space="preserve">                                  </w:t>
      </w:r>
    </w:p>
    <w:p w14:paraId="5E8BF26F">
      <w:pPr>
        <w:ind w:firstLine="718" w:firstLineChars="189"/>
        <w:rPr>
          <w:color w:val="auto"/>
          <w:sz w:val="32"/>
          <w:szCs w:val="32"/>
          <w:highlight w:val="none"/>
          <w:u w:val="single"/>
        </w:rPr>
      </w:pPr>
      <w:r>
        <w:rPr>
          <w:rFonts w:hint="eastAsia"/>
          <w:color w:val="auto"/>
          <w:spacing w:val="30"/>
          <w:sz w:val="32"/>
          <w:szCs w:val="32"/>
          <w:highlight w:val="none"/>
        </w:rPr>
        <w:t>设计证书等级</w:t>
      </w:r>
      <w:r>
        <w:rPr>
          <w:rFonts w:hint="eastAsia"/>
          <w:color w:val="auto"/>
          <w:sz w:val="32"/>
          <w:szCs w:val="32"/>
          <w:highlight w:val="none"/>
        </w:rPr>
        <w:t>：</w:t>
      </w:r>
      <w:r>
        <w:rPr>
          <w:rFonts w:hint="eastAsia"/>
          <w:color w:val="auto"/>
          <w:sz w:val="32"/>
          <w:szCs w:val="32"/>
          <w:highlight w:val="none"/>
          <w:u w:val="single"/>
        </w:rPr>
        <w:t xml:space="preserve">                                         </w:t>
      </w:r>
    </w:p>
    <w:p w14:paraId="2891264D">
      <w:pPr>
        <w:ind w:firstLine="720" w:firstLineChars="200"/>
        <w:rPr>
          <w:color w:val="auto"/>
          <w:sz w:val="32"/>
          <w:szCs w:val="32"/>
          <w:highlight w:val="none"/>
          <w:u w:val="single"/>
        </w:rPr>
      </w:pPr>
      <w:r>
        <w:rPr>
          <w:rFonts w:hint="eastAsia"/>
          <w:color w:val="auto"/>
          <w:spacing w:val="20"/>
          <w:sz w:val="32"/>
          <w:szCs w:val="32"/>
          <w:highlight w:val="none"/>
        </w:rPr>
        <w:t>发   包   人</w:t>
      </w:r>
      <w:r>
        <w:rPr>
          <w:rFonts w:hint="eastAsia"/>
          <w:color w:val="auto"/>
          <w:sz w:val="32"/>
          <w:szCs w:val="32"/>
          <w:highlight w:val="none"/>
        </w:rPr>
        <w:t>：</w:t>
      </w:r>
      <w:r>
        <w:rPr>
          <w:rFonts w:hint="eastAsia"/>
          <w:color w:val="auto"/>
          <w:sz w:val="32"/>
          <w:szCs w:val="32"/>
          <w:highlight w:val="none"/>
          <w:u w:val="single"/>
        </w:rPr>
        <w:t xml:space="preserve">                                     </w:t>
      </w:r>
    </w:p>
    <w:p w14:paraId="01A94356">
      <w:pPr>
        <w:ind w:firstLine="720" w:firstLineChars="200"/>
        <w:rPr>
          <w:color w:val="auto"/>
          <w:sz w:val="32"/>
          <w:szCs w:val="32"/>
          <w:highlight w:val="none"/>
          <w:u w:val="single"/>
        </w:rPr>
      </w:pPr>
      <w:r>
        <w:rPr>
          <w:rFonts w:hint="eastAsia"/>
          <w:color w:val="auto"/>
          <w:spacing w:val="20"/>
          <w:sz w:val="32"/>
          <w:szCs w:val="32"/>
          <w:highlight w:val="none"/>
        </w:rPr>
        <w:t>设   计   人</w:t>
      </w:r>
      <w:r>
        <w:rPr>
          <w:rFonts w:hint="eastAsia"/>
          <w:color w:val="auto"/>
          <w:sz w:val="32"/>
          <w:szCs w:val="32"/>
          <w:highlight w:val="none"/>
        </w:rPr>
        <w:t>：</w:t>
      </w:r>
      <w:r>
        <w:rPr>
          <w:rFonts w:hint="eastAsia"/>
          <w:color w:val="auto"/>
          <w:sz w:val="32"/>
          <w:szCs w:val="32"/>
          <w:highlight w:val="none"/>
          <w:u w:val="single"/>
        </w:rPr>
        <w:t xml:space="preserve">                                            </w:t>
      </w:r>
    </w:p>
    <w:p w14:paraId="2E1C6FE5">
      <w:pPr>
        <w:ind w:firstLine="716" w:firstLineChars="112"/>
        <w:rPr>
          <w:color w:val="auto"/>
          <w:sz w:val="32"/>
          <w:szCs w:val="32"/>
          <w:highlight w:val="none"/>
          <w:u w:val="single"/>
        </w:rPr>
      </w:pPr>
      <w:r>
        <w:rPr>
          <w:rFonts w:hint="eastAsia"/>
          <w:color w:val="auto"/>
          <w:spacing w:val="160"/>
          <w:sz w:val="32"/>
          <w:szCs w:val="32"/>
          <w:highlight w:val="none"/>
        </w:rPr>
        <w:t>签订日</w:t>
      </w:r>
      <w:r>
        <w:rPr>
          <w:rFonts w:hint="eastAsia"/>
          <w:color w:val="auto"/>
          <w:sz w:val="32"/>
          <w:szCs w:val="32"/>
          <w:highlight w:val="none"/>
        </w:rPr>
        <w:t>期：</w:t>
      </w:r>
      <w:r>
        <w:rPr>
          <w:rFonts w:hint="eastAsia"/>
          <w:color w:val="auto"/>
          <w:sz w:val="32"/>
          <w:szCs w:val="32"/>
          <w:highlight w:val="none"/>
          <w:u w:val="single"/>
        </w:rPr>
        <w:t xml:space="preserve">                                      </w:t>
      </w:r>
    </w:p>
    <w:p w14:paraId="5D375DC7">
      <w:pPr>
        <w:pStyle w:val="4"/>
        <w:rPr>
          <w:color w:val="auto"/>
          <w:highlight w:val="none"/>
        </w:rPr>
      </w:pPr>
      <w:r>
        <w:rPr>
          <w:color w:val="auto"/>
          <w:highlight w:val="none"/>
        </w:rPr>
        <w:br w:type="page"/>
      </w:r>
    </w:p>
    <w:p w14:paraId="44AE3904">
      <w:pPr>
        <w:pStyle w:val="2"/>
        <w:spacing w:line="360" w:lineRule="auto"/>
        <w:jc w:val="center"/>
        <w:rPr>
          <w:rFonts w:ascii="宋体" w:hAnsi="宋体"/>
          <w:color w:val="auto"/>
          <w:kern w:val="0"/>
          <w:sz w:val="28"/>
          <w:szCs w:val="28"/>
          <w:highlight w:val="none"/>
        </w:rPr>
      </w:pPr>
      <w:r>
        <w:rPr>
          <w:rFonts w:ascii="宋体" w:hAnsi="宋体"/>
          <w:color w:val="auto"/>
          <w:kern w:val="0"/>
          <w:sz w:val="28"/>
          <w:szCs w:val="28"/>
          <w:highlight w:val="none"/>
        </w:rPr>
        <w:t>第一部分 合同协议书</w:t>
      </w:r>
      <w:bookmarkEnd w:id="615"/>
      <w:bookmarkEnd w:id="616"/>
      <w:bookmarkEnd w:id="617"/>
      <w:bookmarkEnd w:id="618"/>
    </w:p>
    <w:p w14:paraId="7B4681BB">
      <w:pPr>
        <w:rPr>
          <w:color w:val="auto"/>
          <w:highlight w:val="none"/>
        </w:rPr>
      </w:pPr>
    </w:p>
    <w:p w14:paraId="558558CE">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u w:val="single"/>
        </w:rPr>
      </w:pPr>
      <w:r>
        <w:rPr>
          <w:rFonts w:ascii="宋体" w:hAnsi="宋体"/>
          <w:b/>
          <w:color w:val="auto"/>
          <w:kern w:val="0"/>
          <w:szCs w:val="21"/>
          <w:highlight w:val="none"/>
        </w:rPr>
        <w:t>发包人：</w:t>
      </w:r>
      <w:r>
        <w:rPr>
          <w:rFonts w:ascii="宋体" w:hAnsi="宋体"/>
          <w:b/>
          <w:color w:val="auto"/>
          <w:kern w:val="0"/>
          <w:szCs w:val="21"/>
          <w:highlight w:val="none"/>
          <w:u w:val="single"/>
        </w:rPr>
        <w:t xml:space="preserve">                </w:t>
      </w:r>
    </w:p>
    <w:p w14:paraId="2A056B39">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rPr>
      </w:pPr>
      <w:r>
        <w:rPr>
          <w:rFonts w:ascii="宋体" w:hAnsi="宋体"/>
          <w:b/>
          <w:color w:val="auto"/>
          <w:kern w:val="0"/>
          <w:szCs w:val="21"/>
          <w:highlight w:val="none"/>
        </w:rPr>
        <w:t>设计人：</w:t>
      </w:r>
      <w:r>
        <w:rPr>
          <w:rFonts w:ascii="宋体" w:hAnsi="宋体"/>
          <w:b/>
          <w:color w:val="auto"/>
          <w:kern w:val="0"/>
          <w:szCs w:val="21"/>
          <w:highlight w:val="none"/>
          <w:u w:val="single"/>
        </w:rPr>
        <w:t xml:space="preserve">                </w:t>
      </w:r>
    </w:p>
    <w:p w14:paraId="29099A1B">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依据《</w:t>
      </w:r>
      <w:r>
        <w:rPr>
          <w:rFonts w:ascii="宋体" w:hAnsi="宋体"/>
          <w:color w:val="auto"/>
          <w:szCs w:val="21"/>
          <w:highlight w:val="none"/>
        </w:rPr>
        <w:t>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》、《中华人民共和国建筑法》、《建设工程勘察设计管理条例》</w:t>
      </w:r>
      <w:r>
        <w:rPr>
          <w:rFonts w:ascii="宋体" w:hAnsi="宋体"/>
          <w:color w:val="auto"/>
          <w:kern w:val="0"/>
          <w:szCs w:val="21"/>
          <w:highlight w:val="none"/>
        </w:rPr>
        <w:t>及有关法律规定，遵循平等、自愿、公平和诚实信用的原则，双方就</w:t>
      </w:r>
      <w:r>
        <w:rPr>
          <w:rFonts w:ascii="宋体" w:hAnsi="宋体"/>
          <w:color w:val="auto"/>
          <w:kern w:val="0"/>
          <w:szCs w:val="21"/>
          <w:highlight w:val="none"/>
          <w:u w:val="single"/>
        </w:rPr>
        <w:t xml:space="preserve">      （项目名称）       </w:t>
      </w:r>
      <w:r>
        <w:rPr>
          <w:rFonts w:ascii="宋体" w:hAnsi="宋体"/>
          <w:color w:val="auto"/>
          <w:kern w:val="0"/>
          <w:szCs w:val="21"/>
          <w:highlight w:val="none"/>
        </w:rPr>
        <w:t>设计服务及有关事项协商一致，共同达成如下协议：</w:t>
      </w:r>
    </w:p>
    <w:p w14:paraId="1640DB51">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1.下列文件一起构成合同文件：</w:t>
      </w:r>
    </w:p>
    <w:p w14:paraId="4E7C79B3">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14:paraId="2952A461">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招标文件或比选文件（包括但不限于本工程的招标或比选文件、图纸、其他技术资料及招标人发出的对招标或比选文件所作的澄清、修改、补遗等资料）（若有）；</w:t>
      </w:r>
    </w:p>
    <w:p w14:paraId="7654FDBC">
      <w:pPr>
        <w:widowControl/>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中标（选）通知书；</w:t>
      </w:r>
    </w:p>
    <w:p w14:paraId="55863B65">
      <w:pPr>
        <w:widowControl/>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（4）投标函及投标函附录；</w:t>
      </w:r>
    </w:p>
    <w:p w14:paraId="41AE4E97">
      <w:pPr>
        <w:widowControl/>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（5）专用合同条款及其附件；</w:t>
      </w:r>
    </w:p>
    <w:p w14:paraId="19397FE2">
      <w:pPr>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（6）通用合同条款；</w:t>
      </w:r>
    </w:p>
    <w:p w14:paraId="4AB2EDA2">
      <w:pPr>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（7）招标文件及补遗文件；</w:t>
      </w:r>
    </w:p>
    <w:p w14:paraId="21CEAAC6">
      <w:pPr>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（8）投标文件（含评标期间的澄清文件和补充资料）；</w:t>
      </w:r>
    </w:p>
    <w:p w14:paraId="1627FA40">
      <w:pPr>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9</w:t>
      </w:r>
      <w:r>
        <w:rPr>
          <w:rFonts w:ascii="宋体" w:hAnsi="宋体"/>
          <w:color w:val="auto"/>
          <w:kern w:val="0"/>
          <w:szCs w:val="21"/>
          <w:highlight w:val="none"/>
        </w:rPr>
        <w:t>）技术标准和要求；</w:t>
      </w:r>
    </w:p>
    <w:p w14:paraId="48D6A1F8">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10</w:t>
      </w:r>
      <w:r>
        <w:rPr>
          <w:rFonts w:ascii="宋体" w:hAnsi="宋体"/>
          <w:color w:val="auto"/>
          <w:kern w:val="0"/>
          <w:szCs w:val="21"/>
          <w:highlight w:val="none"/>
        </w:rPr>
        <w:t>）图纸；</w:t>
      </w:r>
    </w:p>
    <w:p w14:paraId="5AA18E87">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1</w:t>
      </w:r>
      <w:r>
        <w:rPr>
          <w:rFonts w:ascii="宋体" w:hAnsi="宋体"/>
          <w:color w:val="auto"/>
          <w:kern w:val="0"/>
          <w:szCs w:val="21"/>
          <w:highlight w:val="none"/>
        </w:rPr>
        <w:t>）其他合同文件。</w:t>
      </w:r>
    </w:p>
    <w:p w14:paraId="45816ADA">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14:paraId="2599EB34">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2.上述合同文件互相补充和解释。如果合同文件之间存在矛盾或不一致之处，以上述文件的排列顺序在先者为准</w:t>
      </w:r>
      <w:r>
        <w:rPr>
          <w:rFonts w:hint="eastAsia" w:ascii="宋体" w:hAnsi="宋体"/>
          <w:color w:val="auto"/>
          <w:kern w:val="0"/>
          <w:szCs w:val="21"/>
          <w:highlight w:val="none"/>
        </w:rPr>
        <w:t>，但专用条款约定优先。</w:t>
      </w:r>
    </w:p>
    <w:p w14:paraId="25087BFA">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3.项目名称、投资及设计内容</w:t>
      </w:r>
      <w:r>
        <w:rPr>
          <w:rFonts w:hint="eastAsia" w:ascii="宋体" w:hAnsi="宋体"/>
          <w:color w:val="auto"/>
          <w:kern w:val="0"/>
          <w:szCs w:val="21"/>
          <w:highlight w:val="none"/>
        </w:rPr>
        <w:t>：</w:t>
      </w:r>
    </w:p>
    <w:p w14:paraId="78A38B2F">
      <w:pPr>
        <w:widowControl/>
        <w:tabs>
          <w:tab w:val="left" w:pos="9072"/>
          <w:tab w:val="left" w:pos="9230"/>
        </w:tabs>
        <w:spacing w:line="360" w:lineRule="auto"/>
        <w:ind w:firstLine="420" w:firstLineChars="200"/>
        <w:jc w:val="left"/>
        <w:rPr>
          <w:rFonts w:ascii="宋体" w:hAnsi="宋体"/>
          <w:color w:val="auto"/>
          <w:kern w:val="0"/>
          <w:szCs w:val="21"/>
          <w:highlight w:val="none"/>
        </w:rPr>
      </w:pPr>
      <w:r>
        <w:rPr>
          <w:rFonts w:hint="eastAsia" w:ascii="宋体" w:hAnsi="宋体" w:cs="宋体"/>
          <w:bCs/>
          <w:color w:val="auto"/>
          <w:kern w:val="0"/>
          <w:szCs w:val="21"/>
          <w:highlight w:val="none"/>
        </w:rPr>
        <w:t>①</w:t>
      </w:r>
      <w:r>
        <w:rPr>
          <w:rFonts w:ascii="宋体" w:hAnsi="宋体"/>
          <w:color w:val="auto"/>
          <w:kern w:val="0"/>
          <w:szCs w:val="21"/>
          <w:highlight w:val="none"/>
        </w:rPr>
        <w:t>项目</w:t>
      </w:r>
      <w:r>
        <w:rPr>
          <w:rFonts w:ascii="宋体" w:hAnsi="宋体"/>
          <w:bCs/>
          <w:color w:val="auto"/>
          <w:kern w:val="0"/>
          <w:szCs w:val="21"/>
          <w:highlight w:val="none"/>
        </w:rPr>
        <w:t>名称</w:t>
      </w:r>
      <w:r>
        <w:rPr>
          <w:rFonts w:ascii="宋体" w:hAnsi="宋体"/>
          <w:color w:val="auto"/>
          <w:kern w:val="0"/>
          <w:szCs w:val="21"/>
          <w:highlight w:val="none"/>
        </w:rPr>
        <w:t>：</w:t>
      </w:r>
      <w:r>
        <w:rPr>
          <w:rFonts w:ascii="宋体" w:hAnsi="宋体"/>
          <w:color w:val="auto"/>
          <w:kern w:val="0"/>
          <w:szCs w:val="21"/>
          <w:highlight w:val="none"/>
          <w:u w:val="single"/>
        </w:rPr>
        <w:tab/>
      </w:r>
      <w:r>
        <w:rPr>
          <w:rFonts w:ascii="宋体" w:hAnsi="宋体"/>
          <w:color w:val="auto"/>
          <w:kern w:val="0"/>
          <w:szCs w:val="21"/>
          <w:highlight w:val="none"/>
        </w:rPr>
        <w:t>。</w:t>
      </w:r>
    </w:p>
    <w:p w14:paraId="4DA979BE">
      <w:pPr>
        <w:widowControl/>
        <w:spacing w:line="360" w:lineRule="auto"/>
        <w:ind w:firstLine="420" w:firstLineChars="200"/>
        <w:jc w:val="left"/>
        <w:rPr>
          <w:rFonts w:ascii="宋体" w:hAnsi="宋体"/>
          <w:color w:val="auto"/>
          <w:kern w:val="0"/>
          <w:szCs w:val="21"/>
          <w:highlight w:val="none"/>
          <w:u w:val="single"/>
        </w:rPr>
      </w:pPr>
      <w:r>
        <w:rPr>
          <w:rFonts w:hint="eastAsia" w:ascii="宋体" w:hAnsi="宋体" w:cs="宋体"/>
          <w:bCs/>
          <w:color w:val="auto"/>
          <w:kern w:val="0"/>
          <w:szCs w:val="21"/>
          <w:highlight w:val="none"/>
        </w:rPr>
        <w:t>②</w:t>
      </w:r>
      <w:r>
        <w:rPr>
          <w:rFonts w:ascii="宋体" w:hAnsi="宋体"/>
          <w:color w:val="auto"/>
          <w:kern w:val="0"/>
          <w:szCs w:val="21"/>
          <w:highlight w:val="none"/>
        </w:rPr>
        <w:t>规模（房屋建筑工程）：规划占地面积：</w:t>
      </w:r>
      <w:r>
        <w:rPr>
          <w:rFonts w:ascii="宋体" w:hAnsi="宋体"/>
          <w:color w:val="auto"/>
          <w:kern w:val="0"/>
          <w:szCs w:val="21"/>
          <w:highlight w:val="none"/>
          <w:u w:val="single"/>
        </w:rPr>
        <w:t xml:space="preserve">        </w:t>
      </w:r>
      <w:r>
        <w:rPr>
          <w:rFonts w:ascii="宋体" w:hAnsi="宋体"/>
          <w:color w:val="auto"/>
          <w:kern w:val="0"/>
          <w:szCs w:val="21"/>
          <w:highlight w:val="none"/>
        </w:rPr>
        <w:t>平方米，总建筑面积：</w:t>
      </w:r>
      <w:r>
        <w:rPr>
          <w:rFonts w:ascii="宋体" w:hAnsi="宋体"/>
          <w:color w:val="auto"/>
          <w:kern w:val="0"/>
          <w:szCs w:val="21"/>
          <w:highlight w:val="none"/>
          <w:u w:val="single"/>
        </w:rPr>
        <w:t xml:space="preserve">       </w:t>
      </w:r>
      <w:r>
        <w:rPr>
          <w:rFonts w:ascii="宋体" w:hAnsi="宋体"/>
          <w:color w:val="auto"/>
          <w:kern w:val="0"/>
          <w:szCs w:val="21"/>
          <w:highlight w:val="none"/>
        </w:rPr>
        <w:t>平方米（其中地上约</w:t>
      </w:r>
      <w:r>
        <w:rPr>
          <w:rFonts w:ascii="宋体" w:hAnsi="宋体"/>
          <w:color w:val="auto"/>
          <w:kern w:val="0"/>
          <w:szCs w:val="21"/>
          <w:highlight w:val="none"/>
          <w:u w:val="single"/>
        </w:rPr>
        <w:t xml:space="preserve">    </w:t>
      </w:r>
      <w:r>
        <w:rPr>
          <w:rFonts w:ascii="宋体" w:hAnsi="宋体"/>
          <w:color w:val="auto"/>
          <w:kern w:val="0"/>
          <w:szCs w:val="21"/>
          <w:highlight w:val="none"/>
        </w:rPr>
        <w:t>平方米，地下约</w:t>
      </w:r>
      <w:r>
        <w:rPr>
          <w:rFonts w:ascii="宋体" w:hAnsi="宋体"/>
          <w:color w:val="auto"/>
          <w:kern w:val="0"/>
          <w:szCs w:val="21"/>
          <w:highlight w:val="none"/>
          <w:u w:val="single"/>
        </w:rPr>
        <w:t xml:space="preserve">   </w:t>
      </w:r>
      <w:r>
        <w:rPr>
          <w:rFonts w:ascii="宋体" w:hAnsi="宋体"/>
          <w:color w:val="auto"/>
          <w:kern w:val="0"/>
          <w:szCs w:val="21"/>
          <w:highlight w:val="none"/>
        </w:rPr>
        <w:t>平方米）；地上</w:t>
      </w:r>
      <w:r>
        <w:rPr>
          <w:rFonts w:ascii="宋体" w:hAnsi="宋体"/>
          <w:color w:val="auto"/>
          <w:kern w:val="0"/>
          <w:szCs w:val="21"/>
          <w:highlight w:val="none"/>
          <w:u w:val="single"/>
        </w:rPr>
        <w:t xml:space="preserve">      </w:t>
      </w:r>
      <w:r>
        <w:rPr>
          <w:rFonts w:ascii="宋体" w:hAnsi="宋体"/>
          <w:color w:val="auto"/>
          <w:kern w:val="0"/>
          <w:szCs w:val="21"/>
          <w:highlight w:val="none"/>
        </w:rPr>
        <w:t>层，地下</w:t>
      </w:r>
      <w:r>
        <w:rPr>
          <w:rFonts w:ascii="宋体" w:hAnsi="宋体"/>
          <w:color w:val="auto"/>
          <w:kern w:val="0"/>
          <w:szCs w:val="21"/>
          <w:highlight w:val="none"/>
          <w:u w:val="single"/>
        </w:rPr>
        <w:t xml:space="preserve">    </w:t>
      </w:r>
      <w:r>
        <w:rPr>
          <w:rFonts w:ascii="宋体" w:hAnsi="宋体"/>
          <w:color w:val="auto"/>
          <w:kern w:val="0"/>
          <w:szCs w:val="21"/>
          <w:highlight w:val="none"/>
        </w:rPr>
        <w:t>层；建筑高度</w:t>
      </w:r>
      <w:r>
        <w:rPr>
          <w:rFonts w:ascii="宋体" w:hAnsi="宋体"/>
          <w:color w:val="auto"/>
          <w:kern w:val="0"/>
          <w:szCs w:val="21"/>
          <w:highlight w:val="none"/>
          <w:u w:val="single"/>
        </w:rPr>
        <w:t xml:space="preserve">     </w:t>
      </w:r>
      <w:r>
        <w:rPr>
          <w:rFonts w:ascii="宋体" w:hAnsi="宋体"/>
          <w:color w:val="auto"/>
          <w:kern w:val="0"/>
          <w:szCs w:val="21"/>
          <w:highlight w:val="none"/>
        </w:rPr>
        <w:t>米。</w:t>
      </w:r>
    </w:p>
    <w:p w14:paraId="040019FA">
      <w:pPr>
        <w:widowControl/>
        <w:tabs>
          <w:tab w:val="left" w:pos="9072"/>
          <w:tab w:val="left" w:pos="922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（市政道路工程）：道路长约</w:t>
      </w:r>
      <w:r>
        <w:rPr>
          <w:rFonts w:ascii="宋体" w:hAnsi="宋体"/>
          <w:color w:val="auto"/>
          <w:kern w:val="0"/>
          <w:szCs w:val="21"/>
          <w:highlight w:val="none"/>
          <w:u w:val="single"/>
        </w:rPr>
        <w:t xml:space="preserve">   </w:t>
      </w:r>
      <w:r>
        <w:rPr>
          <w:rFonts w:ascii="宋体" w:hAnsi="宋体"/>
          <w:color w:val="auto"/>
          <w:kern w:val="0"/>
          <w:szCs w:val="21"/>
          <w:highlight w:val="none"/>
        </w:rPr>
        <w:t>km，设计时速为</w:t>
      </w:r>
      <w:r>
        <w:rPr>
          <w:rFonts w:ascii="宋体" w:hAnsi="宋体"/>
          <w:color w:val="auto"/>
          <w:kern w:val="0"/>
          <w:szCs w:val="21"/>
          <w:highlight w:val="none"/>
          <w:u w:val="single"/>
        </w:rPr>
        <w:t xml:space="preserve">   </w:t>
      </w:r>
      <w:r>
        <w:rPr>
          <w:rFonts w:ascii="宋体" w:hAnsi="宋体"/>
          <w:color w:val="auto"/>
          <w:kern w:val="0"/>
          <w:szCs w:val="21"/>
          <w:highlight w:val="none"/>
        </w:rPr>
        <w:t>km/h，路幅宽度为</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路面；有</w:t>
      </w:r>
      <w:r>
        <w:rPr>
          <w:rFonts w:ascii="宋体" w:hAnsi="宋体"/>
          <w:color w:val="auto"/>
          <w:kern w:val="0"/>
          <w:szCs w:val="21"/>
          <w:highlight w:val="none"/>
          <w:u w:val="single"/>
        </w:rPr>
        <w:t xml:space="preserve">   </w:t>
      </w:r>
      <w:r>
        <w:rPr>
          <w:rFonts w:ascii="宋体" w:hAnsi="宋体"/>
          <w:color w:val="auto"/>
          <w:kern w:val="0"/>
          <w:szCs w:val="21"/>
          <w:highlight w:val="none"/>
        </w:rPr>
        <w:t>立交</w:t>
      </w:r>
      <w:r>
        <w:rPr>
          <w:rFonts w:ascii="宋体" w:hAnsi="宋体"/>
          <w:color w:val="auto"/>
          <w:kern w:val="0"/>
          <w:szCs w:val="21"/>
          <w:highlight w:val="none"/>
          <w:u w:val="single"/>
        </w:rPr>
        <w:t xml:space="preserve">   </w:t>
      </w:r>
      <w:r>
        <w:rPr>
          <w:rFonts w:ascii="宋体" w:hAnsi="宋体"/>
          <w:color w:val="auto"/>
          <w:kern w:val="0"/>
          <w:szCs w:val="21"/>
          <w:highlight w:val="none"/>
        </w:rPr>
        <w:t>处；桥梁</w:t>
      </w:r>
      <w:r>
        <w:rPr>
          <w:rFonts w:ascii="宋体" w:hAnsi="宋体"/>
          <w:color w:val="auto"/>
          <w:kern w:val="0"/>
          <w:szCs w:val="21"/>
          <w:highlight w:val="none"/>
          <w:u w:val="single"/>
        </w:rPr>
        <w:t xml:space="preserve">   </w:t>
      </w:r>
      <w:r>
        <w:rPr>
          <w:rFonts w:ascii="宋体" w:hAnsi="宋体"/>
          <w:color w:val="auto"/>
          <w:kern w:val="0"/>
          <w:szCs w:val="21"/>
          <w:highlight w:val="none"/>
        </w:rPr>
        <w:t>座，计长</w:t>
      </w:r>
      <w:r>
        <w:rPr>
          <w:rFonts w:ascii="宋体" w:hAnsi="宋体"/>
          <w:color w:val="auto"/>
          <w:kern w:val="0"/>
          <w:szCs w:val="21"/>
          <w:highlight w:val="none"/>
          <w:u w:val="single"/>
        </w:rPr>
        <w:t xml:space="preserve">   </w:t>
      </w:r>
      <w:r>
        <w:rPr>
          <w:rFonts w:ascii="宋体" w:hAnsi="宋体"/>
          <w:color w:val="auto"/>
          <w:kern w:val="0"/>
          <w:szCs w:val="21"/>
          <w:highlight w:val="none"/>
        </w:rPr>
        <w:t>m；隧道</w:t>
      </w:r>
      <w:r>
        <w:rPr>
          <w:rFonts w:ascii="宋体" w:hAnsi="宋体"/>
          <w:color w:val="auto"/>
          <w:kern w:val="0"/>
          <w:szCs w:val="21"/>
          <w:highlight w:val="none"/>
          <w:u w:val="single"/>
        </w:rPr>
        <w:t xml:space="preserve">   </w:t>
      </w:r>
      <w:r>
        <w:rPr>
          <w:rFonts w:ascii="宋体" w:hAnsi="宋体"/>
          <w:color w:val="auto"/>
          <w:kern w:val="0"/>
          <w:szCs w:val="21"/>
          <w:highlight w:val="none"/>
        </w:rPr>
        <w:t>座，计长</w:t>
      </w:r>
      <w:r>
        <w:rPr>
          <w:rFonts w:ascii="宋体" w:hAnsi="宋体"/>
          <w:color w:val="auto"/>
          <w:kern w:val="0"/>
          <w:szCs w:val="21"/>
          <w:highlight w:val="none"/>
          <w:u w:val="single"/>
        </w:rPr>
        <w:t xml:space="preserve">    </w:t>
      </w:r>
      <w:r>
        <w:rPr>
          <w:rFonts w:ascii="宋体" w:hAnsi="宋体"/>
          <w:color w:val="auto"/>
          <w:kern w:val="0"/>
          <w:szCs w:val="21"/>
          <w:highlight w:val="none"/>
        </w:rPr>
        <w:t>m。</w:t>
      </w:r>
    </w:p>
    <w:p w14:paraId="60F59149">
      <w:pPr>
        <w:widowControl/>
        <w:tabs>
          <w:tab w:val="left" w:pos="9072"/>
          <w:tab w:val="left" w:pos="922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（市政公用工程）：厂区占地面积：</w:t>
      </w:r>
      <w:r>
        <w:rPr>
          <w:rFonts w:ascii="宋体" w:hAnsi="宋体"/>
          <w:color w:val="auto"/>
          <w:kern w:val="0"/>
          <w:szCs w:val="21"/>
          <w:highlight w:val="none"/>
          <w:u w:val="single"/>
        </w:rPr>
        <w:t xml:space="preserve">        </w:t>
      </w:r>
      <w:r>
        <w:rPr>
          <w:rFonts w:ascii="宋体" w:hAnsi="宋体"/>
          <w:color w:val="auto"/>
          <w:kern w:val="0"/>
          <w:szCs w:val="21"/>
          <w:highlight w:val="none"/>
        </w:rPr>
        <w:t>平方米，总建筑面积：</w:t>
      </w:r>
      <w:r>
        <w:rPr>
          <w:rFonts w:ascii="宋体" w:hAnsi="宋体"/>
          <w:color w:val="auto"/>
          <w:kern w:val="0"/>
          <w:szCs w:val="21"/>
          <w:highlight w:val="none"/>
          <w:u w:val="single"/>
        </w:rPr>
        <w:t xml:space="preserve">       </w:t>
      </w:r>
      <w:r>
        <w:rPr>
          <w:rFonts w:ascii="宋体" w:hAnsi="宋体"/>
          <w:color w:val="auto"/>
          <w:kern w:val="0"/>
          <w:szCs w:val="21"/>
          <w:highlight w:val="none"/>
        </w:rPr>
        <w:t>平方米，日处理量</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C698902">
      <w:pPr>
        <w:widowControl/>
        <w:tabs>
          <w:tab w:val="left" w:pos="9072"/>
          <w:tab w:val="left" w:pos="922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（以上内容须根据工程特点自行填写）</w:t>
      </w:r>
    </w:p>
    <w:p w14:paraId="5520AEC5">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③</w:t>
      </w:r>
      <w:r>
        <w:rPr>
          <w:rFonts w:ascii="宋体" w:hAnsi="宋体"/>
          <w:color w:val="auto"/>
          <w:kern w:val="0"/>
          <w:szCs w:val="21"/>
          <w:highlight w:val="none"/>
        </w:rPr>
        <w:t>项目</w:t>
      </w:r>
      <w:r>
        <w:rPr>
          <w:rFonts w:ascii="宋体" w:hAnsi="宋体"/>
          <w:bCs/>
          <w:color w:val="auto"/>
          <w:kern w:val="0"/>
          <w:szCs w:val="21"/>
          <w:highlight w:val="none"/>
        </w:rPr>
        <w:t>地点：</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EBFBCF7">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④</w:t>
      </w:r>
      <w:r>
        <w:rPr>
          <w:rFonts w:ascii="宋体" w:hAnsi="宋体"/>
          <w:color w:val="auto"/>
          <w:kern w:val="0"/>
          <w:szCs w:val="21"/>
          <w:highlight w:val="none"/>
        </w:rPr>
        <w:t>项目</w:t>
      </w:r>
      <w:r>
        <w:rPr>
          <w:rFonts w:ascii="宋体" w:hAnsi="宋体"/>
          <w:bCs/>
          <w:color w:val="auto"/>
          <w:kern w:val="0"/>
          <w:szCs w:val="21"/>
          <w:highlight w:val="none"/>
        </w:rPr>
        <w:t>立项：</w:t>
      </w:r>
      <w:r>
        <w:rPr>
          <w:rFonts w:ascii="宋体" w:hAnsi="宋体"/>
          <w:color w:val="auto"/>
          <w:kern w:val="0"/>
          <w:szCs w:val="21"/>
          <w:highlight w:val="none"/>
          <w:u w:val="single"/>
        </w:rPr>
        <w:t xml:space="preserve">              </w:t>
      </w:r>
      <w:r>
        <w:rPr>
          <w:rFonts w:ascii="宋体" w:hAnsi="宋体"/>
          <w:bCs/>
          <w:color w:val="auto"/>
          <w:kern w:val="0"/>
          <w:szCs w:val="21"/>
          <w:highlight w:val="none"/>
        </w:rPr>
        <w:t>。</w:t>
      </w:r>
    </w:p>
    <w:p w14:paraId="061325F7">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⑤</w:t>
      </w:r>
      <w:r>
        <w:rPr>
          <w:rFonts w:ascii="宋体" w:hAnsi="宋体"/>
          <w:bCs/>
          <w:color w:val="auto"/>
          <w:kern w:val="0"/>
          <w:szCs w:val="21"/>
          <w:highlight w:val="none"/>
        </w:rPr>
        <w:t>资金来源：</w:t>
      </w:r>
      <w:r>
        <w:rPr>
          <w:rFonts w:ascii="宋体" w:hAnsi="宋体"/>
          <w:color w:val="auto"/>
          <w:kern w:val="0"/>
          <w:szCs w:val="21"/>
          <w:highlight w:val="none"/>
          <w:u w:val="single"/>
        </w:rPr>
        <w:t xml:space="preserve">               </w:t>
      </w:r>
      <w:r>
        <w:rPr>
          <w:rFonts w:ascii="宋体" w:hAnsi="宋体"/>
          <w:bCs/>
          <w:color w:val="auto"/>
          <w:kern w:val="0"/>
          <w:szCs w:val="21"/>
          <w:highlight w:val="none"/>
        </w:rPr>
        <w:t>。</w:t>
      </w:r>
    </w:p>
    <w:p w14:paraId="7FBB7BD1">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⑥</w:t>
      </w:r>
      <w:r>
        <w:rPr>
          <w:rFonts w:ascii="宋体" w:hAnsi="宋体"/>
          <w:color w:val="auto"/>
          <w:kern w:val="0"/>
          <w:szCs w:val="21"/>
          <w:highlight w:val="none"/>
        </w:rPr>
        <w:t>工作内容</w:t>
      </w:r>
      <w:r>
        <w:rPr>
          <w:rFonts w:ascii="宋体" w:hAnsi="宋体"/>
          <w:bCs/>
          <w:color w:val="auto"/>
          <w:kern w:val="0"/>
          <w:szCs w:val="21"/>
          <w:highlight w:val="none"/>
        </w:rPr>
        <w:t>：</w:t>
      </w:r>
      <w:r>
        <w:rPr>
          <w:rFonts w:ascii="宋体" w:hAnsi="宋体"/>
          <w:color w:val="auto"/>
          <w:kern w:val="0"/>
          <w:szCs w:val="21"/>
          <w:highlight w:val="none"/>
          <w:u w:val="single"/>
        </w:rPr>
        <w:t xml:space="preserve">               </w:t>
      </w:r>
      <w:r>
        <w:rPr>
          <w:rFonts w:ascii="宋体" w:hAnsi="宋体"/>
          <w:bCs/>
          <w:color w:val="auto"/>
          <w:kern w:val="0"/>
          <w:szCs w:val="21"/>
          <w:highlight w:val="none"/>
        </w:rPr>
        <w:t xml:space="preserve">。 </w:t>
      </w:r>
    </w:p>
    <w:p w14:paraId="346EBE58">
      <w:pPr>
        <w:widowControl/>
        <w:tabs>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rPr>
        <w:t>暂定</w:t>
      </w:r>
      <w:r>
        <w:rPr>
          <w:rFonts w:ascii="宋体" w:hAnsi="宋体"/>
          <w:color w:val="auto"/>
          <w:kern w:val="0"/>
          <w:szCs w:val="21"/>
          <w:highlight w:val="none"/>
        </w:rPr>
        <w:t>签约合同价：人民币（大写）</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，税率：    %，</w:t>
      </w:r>
      <w:r>
        <w:rPr>
          <w:rFonts w:hint="eastAsia" w:ascii="宋体" w:hAnsi="宋体"/>
          <w:color w:val="auto"/>
          <w:szCs w:val="21"/>
          <w:highlight w:val="none"/>
        </w:rPr>
        <w:t>中标费率/签约费率</w:t>
      </w:r>
      <w:r>
        <w:rPr>
          <w:rFonts w:hint="eastAsia" w:ascii="宋体" w:hAnsi="宋体"/>
          <w:color w:val="auto"/>
          <w:kern w:val="0"/>
          <w:szCs w:val="21"/>
          <w:highlight w:val="none"/>
        </w:rPr>
        <w:t>：    %。</w:t>
      </w:r>
    </w:p>
    <w:p w14:paraId="22748152">
      <w:pPr>
        <w:widowControl/>
        <w:tabs>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计取方式：固定费率。</w:t>
      </w:r>
    </w:p>
    <w:p w14:paraId="02A909EA">
      <w:pPr>
        <w:widowControl/>
        <w:tabs>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完成本合同服务范围及工作内容，以概算批复（无概算批复的项目则以预算送审）的工程费金额为基数乘以中标费率</w:t>
      </w:r>
      <w:r>
        <w:rPr>
          <w:rFonts w:hint="eastAsia" w:ascii="宋体" w:hAnsi="宋体"/>
          <w:color w:val="auto"/>
          <w:szCs w:val="21"/>
          <w:highlight w:val="none"/>
        </w:rPr>
        <w:t>/签约费率</w:t>
      </w:r>
      <w:r>
        <w:rPr>
          <w:rFonts w:hint="eastAsia" w:ascii="宋体" w:hAnsi="宋体"/>
          <w:color w:val="auto"/>
          <w:kern w:val="0"/>
          <w:szCs w:val="21"/>
          <w:highlight w:val="none"/>
        </w:rPr>
        <w:t>计算，暂定金额为     元。该费用包括但不限于</w:t>
      </w:r>
      <w:r>
        <w:rPr>
          <w:rFonts w:ascii="宋体" w:hAnsi="宋体"/>
          <w:color w:val="auto"/>
          <w:kern w:val="0"/>
          <w:szCs w:val="21"/>
          <w:highlight w:val="none"/>
        </w:rPr>
        <w:t>设计</w:t>
      </w:r>
      <w:r>
        <w:rPr>
          <w:rFonts w:hint="eastAsia" w:ascii="宋体" w:hAnsi="宋体"/>
          <w:color w:val="auto"/>
          <w:kern w:val="0"/>
          <w:szCs w:val="21"/>
          <w:highlight w:val="none"/>
        </w:rPr>
        <w:t>人为履行本合同项下所有义务可能支付的费用、承担的税费、人工费、资料费、交通费、保险费等及应享有的合理利润。除本合同约定的暂定总金额外，委托人不另行支付任何费用，且最终费用金额不能超过暂定签约合同金额。</w:t>
      </w:r>
    </w:p>
    <w:p w14:paraId="6584D7C1">
      <w:pPr>
        <w:widowControl/>
        <w:tabs>
          <w:tab w:val="left" w:pos="9072"/>
          <w:tab w:val="left" w:pos="9640"/>
        </w:tabs>
        <w:spacing w:line="360" w:lineRule="auto"/>
        <w:ind w:firstLine="420" w:firstLineChars="200"/>
        <w:jc w:val="left"/>
        <w:rPr>
          <w:rFonts w:ascii="宋体" w:hAnsi="宋体"/>
          <w:bCs/>
          <w:color w:val="auto"/>
          <w:kern w:val="0"/>
          <w:szCs w:val="21"/>
          <w:highlight w:val="none"/>
        </w:rPr>
      </w:pPr>
      <w:r>
        <w:rPr>
          <w:rFonts w:ascii="宋体" w:hAnsi="宋体"/>
          <w:color w:val="auto"/>
          <w:kern w:val="0"/>
          <w:szCs w:val="21"/>
          <w:highlight w:val="none"/>
        </w:rPr>
        <w:t>5.项目负责人：</w:t>
      </w:r>
      <w:r>
        <w:rPr>
          <w:rFonts w:ascii="宋体" w:hAnsi="宋体"/>
          <w:color w:val="auto"/>
          <w:kern w:val="0"/>
          <w:szCs w:val="21"/>
          <w:highlight w:val="none"/>
          <w:u w:val="single"/>
        </w:rPr>
        <w:t xml:space="preserve">          </w:t>
      </w:r>
      <w:r>
        <w:rPr>
          <w:rFonts w:ascii="宋体" w:hAnsi="宋体"/>
          <w:bCs/>
          <w:color w:val="auto"/>
          <w:kern w:val="0"/>
          <w:szCs w:val="21"/>
          <w:highlight w:val="none"/>
        </w:rPr>
        <w:t>。</w:t>
      </w:r>
    </w:p>
    <w:p w14:paraId="55BC4378">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6.设计工作质量符合的标准和要求：</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E86C11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7.设计人承诺按合同约定承担工程的设计工作。</w:t>
      </w:r>
    </w:p>
    <w:p w14:paraId="4BFC35D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8.发包人承诺按合同约定的条件、时间和方式向设计人支付合同价款。</w:t>
      </w:r>
    </w:p>
    <w:p w14:paraId="1235C682">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9.设计人计划开始设计日期：</w:t>
      </w:r>
      <w:r>
        <w:rPr>
          <w:rFonts w:ascii="宋体" w:hAnsi="宋体"/>
          <w:color w:val="auto"/>
          <w:kern w:val="0"/>
          <w:szCs w:val="21"/>
          <w:highlight w:val="none"/>
          <w:u w:val="single"/>
        </w:rPr>
        <w:t xml:space="preserve">      </w:t>
      </w:r>
      <w:r>
        <w:rPr>
          <w:rFonts w:ascii="宋体" w:hAnsi="宋体"/>
          <w:color w:val="auto"/>
          <w:kern w:val="0"/>
          <w:szCs w:val="21"/>
          <w:highlight w:val="none"/>
        </w:rPr>
        <w:t>，实际日期</w:t>
      </w:r>
      <w:r>
        <w:rPr>
          <w:rFonts w:hint="eastAsia" w:ascii="宋体" w:hAnsi="宋体"/>
          <w:color w:val="auto"/>
          <w:kern w:val="0"/>
          <w:szCs w:val="21"/>
          <w:highlight w:val="none"/>
        </w:rPr>
        <w:t>以</w:t>
      </w:r>
      <w:r>
        <w:rPr>
          <w:rFonts w:ascii="宋体" w:hAnsi="宋体"/>
          <w:color w:val="auto"/>
          <w:kern w:val="0"/>
          <w:szCs w:val="21"/>
          <w:highlight w:val="none"/>
        </w:rPr>
        <w:t>发包人在开始设计通知中载明的开始设计日期为准。设计服务期限</w:t>
      </w:r>
      <w:r>
        <w:rPr>
          <w:rFonts w:hint="eastAsia" w:ascii="宋体" w:hAnsi="宋体"/>
          <w:color w:val="auto"/>
          <w:kern w:val="0"/>
          <w:szCs w:val="21"/>
          <w:highlight w:val="none"/>
        </w:rPr>
        <w:t>从</w:t>
      </w:r>
      <w:r>
        <w:rPr>
          <w:rFonts w:ascii="宋体" w:hAnsi="宋体"/>
          <w:color w:val="auto"/>
          <w:kern w:val="0"/>
          <w:szCs w:val="21"/>
          <w:highlight w:val="none"/>
        </w:rPr>
        <w:t>开始设计通知中载明的开始设计日期起至竣工验收合格之日止。</w:t>
      </w:r>
    </w:p>
    <w:p w14:paraId="635D7BD7">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其中：</w:t>
      </w:r>
      <w:r>
        <w:rPr>
          <w:rFonts w:ascii="宋体" w:hAnsi="宋体"/>
          <w:color w:val="auto"/>
          <w:kern w:val="0"/>
          <w:szCs w:val="21"/>
          <w:highlight w:val="none"/>
        </w:rPr>
        <w:t>方案设计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天；</w:t>
      </w:r>
      <w:r>
        <w:rPr>
          <w:rFonts w:ascii="宋体" w:hAnsi="宋体"/>
          <w:color w:val="auto"/>
          <w:kern w:val="0"/>
          <w:szCs w:val="21"/>
          <w:highlight w:val="none"/>
        </w:rPr>
        <w:t>初步设计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天；</w:t>
      </w:r>
      <w:r>
        <w:rPr>
          <w:rFonts w:ascii="宋体" w:hAnsi="宋体"/>
          <w:color w:val="auto"/>
          <w:kern w:val="0"/>
          <w:szCs w:val="21"/>
          <w:highlight w:val="none"/>
        </w:rPr>
        <w:t>施工图设计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天。</w:t>
      </w:r>
    </w:p>
    <w:p w14:paraId="1FB2C81D">
      <w:pPr>
        <w:widowControl/>
        <w:tabs>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w:t>
      </w:r>
      <w:r>
        <w:rPr>
          <w:rFonts w:hint="eastAsia" w:ascii="宋体" w:hAnsi="宋体"/>
          <w:color w:val="auto"/>
          <w:kern w:val="0"/>
          <w:szCs w:val="21"/>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313CAF29">
      <w:pPr>
        <w:widowControl/>
        <w:tabs>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w:t>
      </w:r>
      <w:r>
        <w:rPr>
          <w:rFonts w:ascii="宋体" w:hAnsi="宋体"/>
          <w:color w:val="auto"/>
          <w:kern w:val="0"/>
          <w:szCs w:val="21"/>
          <w:highlight w:val="none"/>
        </w:rPr>
        <w:t>合同生效：本合同自</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签章</w:t>
      </w:r>
      <w:r>
        <w:rPr>
          <w:rFonts w:ascii="宋体" w:hAnsi="宋体"/>
          <w:color w:val="auto"/>
          <w:kern w:val="0"/>
          <w:szCs w:val="21"/>
          <w:highlight w:val="none"/>
          <w:u w:val="single"/>
        </w:rPr>
        <w:t xml:space="preserve">完成   </w:t>
      </w:r>
      <w:r>
        <w:rPr>
          <w:rFonts w:ascii="宋体" w:hAnsi="宋体"/>
          <w:color w:val="auto"/>
          <w:kern w:val="0"/>
          <w:szCs w:val="21"/>
          <w:highlight w:val="none"/>
        </w:rPr>
        <w:t>生效。</w:t>
      </w:r>
    </w:p>
    <w:p w14:paraId="1113FA8B">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2</w:t>
      </w:r>
      <w:r>
        <w:rPr>
          <w:rFonts w:ascii="宋体" w:hAnsi="宋体"/>
          <w:color w:val="auto"/>
          <w:kern w:val="0"/>
          <w:szCs w:val="21"/>
          <w:highlight w:val="none"/>
        </w:rPr>
        <w:t>.本合同协议书一式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份，</w:t>
      </w:r>
      <w:r>
        <w:rPr>
          <w:rFonts w:hint="eastAsia" w:ascii="宋体" w:hAnsi="宋体"/>
          <w:color w:val="auto"/>
          <w:kern w:val="0"/>
          <w:szCs w:val="21"/>
          <w:highlight w:val="none"/>
        </w:rPr>
        <w:t>发包人</w:t>
      </w:r>
      <w:r>
        <w:rPr>
          <w:rFonts w:ascii="宋体" w:hAnsi="宋体"/>
          <w:color w:val="auto"/>
          <w:kern w:val="0"/>
          <w:szCs w:val="21"/>
          <w:highlight w:val="none"/>
        </w:rPr>
        <w:t>执</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贰</w:t>
      </w:r>
      <w:r>
        <w:rPr>
          <w:rFonts w:ascii="宋体" w:hAnsi="宋体"/>
          <w:color w:val="auto"/>
          <w:kern w:val="0"/>
          <w:szCs w:val="21"/>
          <w:highlight w:val="none"/>
          <w:u w:val="single"/>
        </w:rPr>
        <w:t xml:space="preserve"> </w:t>
      </w:r>
      <w:r>
        <w:rPr>
          <w:rFonts w:ascii="宋体" w:hAnsi="宋体"/>
          <w:color w:val="auto"/>
          <w:kern w:val="0"/>
          <w:szCs w:val="21"/>
          <w:highlight w:val="none"/>
        </w:rPr>
        <w:t>份，设计人执</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份。</w:t>
      </w:r>
    </w:p>
    <w:p w14:paraId="404A004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合同未尽事宜，双方另行签订补充协议。补充协议是合同的组成部分。</w:t>
      </w:r>
      <w:r>
        <w:rPr>
          <w:rFonts w:hint="eastAsia" w:ascii="宋体" w:hAnsi="宋体"/>
          <w:color w:val="auto"/>
          <w:kern w:val="0"/>
          <w:szCs w:val="21"/>
          <w:highlight w:val="none"/>
        </w:rPr>
        <w:t>本合同正文若出现手写内容，手写内容未经双方盖章确认则无效。本合同载明的委托代理人未经书面授权，仅代表在本合同签名，其他单方承诺或认可内容无效。</w:t>
      </w:r>
    </w:p>
    <w:p w14:paraId="16870D55">
      <w:pPr>
        <w:pStyle w:val="17"/>
        <w:rPr>
          <w:color w:val="auto"/>
          <w:highlight w:val="none"/>
        </w:rPr>
      </w:pPr>
    </w:p>
    <w:p w14:paraId="526044AE">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发包人：     （盖单位章）                 设计人：         （盖单位章）</w:t>
      </w:r>
    </w:p>
    <w:p w14:paraId="2EB2C4D4">
      <w:pPr>
        <w:pStyle w:val="17"/>
        <w:rPr>
          <w:color w:val="auto"/>
          <w:highlight w:val="none"/>
        </w:rPr>
      </w:pPr>
    </w:p>
    <w:p w14:paraId="1793DFC0">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法定代表人或其委托代理人：                法定代表人或其委托代理人：</w:t>
      </w:r>
    </w:p>
    <w:p w14:paraId="7D7BFF80">
      <w:pPr>
        <w:widowControl/>
        <w:tabs>
          <w:tab w:val="left" w:pos="9072"/>
          <w:tab w:val="left" w:pos="9781"/>
        </w:tabs>
        <w:spacing w:line="360" w:lineRule="auto"/>
        <w:ind w:left="2289" w:leftChars="240" w:right="120" w:rightChars="57" w:hanging="1785" w:hangingChars="850"/>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签名</w:t>
      </w:r>
      <w:r>
        <w:rPr>
          <w:rFonts w:ascii="宋体" w:hAnsi="宋体"/>
          <w:color w:val="auto"/>
          <w:kern w:val="0"/>
          <w:szCs w:val="21"/>
          <w:highlight w:val="none"/>
        </w:rPr>
        <w:t>）                                    （</w:t>
      </w:r>
      <w:r>
        <w:rPr>
          <w:rFonts w:hint="eastAsia" w:ascii="宋体" w:hAnsi="宋体"/>
          <w:color w:val="auto"/>
          <w:kern w:val="0"/>
          <w:szCs w:val="21"/>
          <w:highlight w:val="none"/>
        </w:rPr>
        <w:t>签名</w:t>
      </w:r>
      <w:r>
        <w:rPr>
          <w:rFonts w:ascii="宋体" w:hAnsi="宋体"/>
          <w:color w:val="auto"/>
          <w:kern w:val="0"/>
          <w:szCs w:val="21"/>
          <w:highlight w:val="none"/>
        </w:rPr>
        <w:t>）</w:t>
      </w:r>
    </w:p>
    <w:p w14:paraId="737564D2">
      <w:pPr>
        <w:widowControl/>
        <w:tabs>
          <w:tab w:val="left" w:pos="4410"/>
        </w:tabs>
        <w:spacing w:line="360" w:lineRule="auto"/>
        <w:jc w:val="left"/>
        <w:rPr>
          <w:rFonts w:ascii="宋体" w:hAnsi="宋体"/>
          <w:color w:val="auto"/>
          <w:kern w:val="0"/>
          <w:szCs w:val="21"/>
          <w:highlight w:val="none"/>
        </w:rPr>
      </w:pPr>
      <w:r>
        <w:rPr>
          <w:rFonts w:ascii="宋体" w:hAnsi="宋体"/>
          <w:color w:val="auto"/>
          <w:kern w:val="0"/>
          <w:szCs w:val="21"/>
          <w:highlight w:val="none"/>
        </w:rPr>
        <w:t>统一社会信用代码：</w:t>
      </w:r>
      <w:r>
        <w:rPr>
          <w:rFonts w:ascii="宋体" w:hAnsi="宋体"/>
          <w:color w:val="auto"/>
          <w:kern w:val="0"/>
          <w:szCs w:val="21"/>
          <w:highlight w:val="none"/>
          <w:u w:val="single"/>
        </w:rPr>
        <w:t>  </w:t>
      </w:r>
      <w:r>
        <w:rPr>
          <w:rFonts w:ascii="宋体" w:hAnsi="宋体"/>
          <w:color w:val="auto"/>
          <w:kern w:val="0"/>
          <w:szCs w:val="21"/>
          <w:highlight w:val="none"/>
        </w:rPr>
        <w:t xml:space="preserve">                统一社会信用代码：</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w:t>
      </w:r>
    </w:p>
    <w:p w14:paraId="115A3872">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地  址：</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地  址：</w:t>
      </w:r>
      <w:r>
        <w:rPr>
          <w:rFonts w:ascii="宋体" w:hAnsi="宋体"/>
          <w:color w:val="auto"/>
          <w:kern w:val="0"/>
          <w:szCs w:val="21"/>
          <w:highlight w:val="none"/>
          <w:u w:val="single"/>
        </w:rPr>
        <w:t xml:space="preserve">         </w:t>
      </w:r>
    </w:p>
    <w:p w14:paraId="67D97529">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 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邮政编码：</w:t>
      </w:r>
      <w:r>
        <w:rPr>
          <w:rFonts w:ascii="宋体" w:hAnsi="宋体"/>
          <w:color w:val="auto"/>
          <w:kern w:val="0"/>
          <w:szCs w:val="21"/>
          <w:highlight w:val="none"/>
          <w:u w:val="single"/>
        </w:rPr>
        <w:t xml:space="preserve">    </w:t>
      </w:r>
    </w:p>
    <w:p w14:paraId="66848D42">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  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  话：</w:t>
      </w:r>
      <w:r>
        <w:rPr>
          <w:rFonts w:ascii="宋体" w:hAnsi="宋体"/>
          <w:color w:val="auto"/>
          <w:kern w:val="0"/>
          <w:szCs w:val="21"/>
          <w:highlight w:val="none"/>
          <w:u w:val="single"/>
        </w:rPr>
        <w:t xml:space="preserve">       </w:t>
      </w:r>
    </w:p>
    <w:p w14:paraId="173A8428">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传  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传  真：</w:t>
      </w:r>
      <w:r>
        <w:rPr>
          <w:rFonts w:ascii="宋体" w:hAnsi="宋体"/>
          <w:color w:val="auto"/>
          <w:kern w:val="0"/>
          <w:szCs w:val="21"/>
          <w:highlight w:val="none"/>
          <w:u w:val="single"/>
        </w:rPr>
        <w:t xml:space="preserve">       </w:t>
      </w:r>
    </w:p>
    <w:p w14:paraId="1BE7CFA3">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电子信箱：</w:t>
      </w:r>
      <w:r>
        <w:rPr>
          <w:rFonts w:ascii="宋体" w:hAnsi="宋体"/>
          <w:color w:val="auto"/>
          <w:kern w:val="0"/>
          <w:szCs w:val="21"/>
          <w:highlight w:val="none"/>
          <w:u w:val="single"/>
        </w:rPr>
        <w:t xml:space="preserve">     </w:t>
      </w:r>
    </w:p>
    <w:p w14:paraId="5DDA769E">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开户银行：</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开户银行：</w:t>
      </w:r>
      <w:r>
        <w:rPr>
          <w:rFonts w:ascii="宋体" w:hAnsi="宋体"/>
          <w:color w:val="auto"/>
          <w:kern w:val="0"/>
          <w:szCs w:val="21"/>
          <w:highlight w:val="none"/>
          <w:u w:val="single"/>
        </w:rPr>
        <w:t xml:space="preserve">     </w:t>
      </w:r>
    </w:p>
    <w:p w14:paraId="43C70812">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账  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账  号：</w:t>
      </w:r>
      <w:r>
        <w:rPr>
          <w:rFonts w:ascii="宋体" w:hAnsi="宋体"/>
          <w:color w:val="auto"/>
          <w:kern w:val="0"/>
          <w:szCs w:val="21"/>
          <w:highlight w:val="none"/>
          <w:u w:val="single"/>
        </w:rPr>
        <w:t xml:space="preserve">       </w:t>
      </w:r>
    </w:p>
    <w:p w14:paraId="4051E6D4">
      <w:pPr>
        <w:spacing w:line="360" w:lineRule="auto"/>
        <w:ind w:firstLine="210" w:firstLineChars="100"/>
        <w:rPr>
          <w:rFonts w:ascii="宋体" w:hAnsi="宋体"/>
          <w:snapToGrid w:val="0"/>
          <w:color w:val="auto"/>
          <w:kern w:val="0"/>
          <w:szCs w:val="21"/>
          <w:highlight w:val="none"/>
        </w:rPr>
      </w:pPr>
      <w:r>
        <w:rPr>
          <w:rFonts w:ascii="宋体" w:hAnsi="宋体"/>
          <w:color w:val="auto"/>
          <w:kern w:val="0"/>
          <w:szCs w:val="21"/>
          <w:highlight w:val="none"/>
        </w:rPr>
        <w:t>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                   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F13EC2E">
      <w:pPr>
        <w:pStyle w:val="2"/>
        <w:spacing w:line="360" w:lineRule="auto"/>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23" w:name="_Toc532377179"/>
      <w:bookmarkStart w:id="624" w:name="_Toc529388289"/>
      <w:bookmarkStart w:id="625" w:name="_Toc7544"/>
      <w:bookmarkStart w:id="626" w:name="_Toc532375586"/>
      <w:r>
        <w:rPr>
          <w:rFonts w:hint="eastAsia" w:ascii="宋体" w:hAnsi="宋体"/>
          <w:color w:val="auto"/>
          <w:kern w:val="0"/>
          <w:sz w:val="28"/>
          <w:szCs w:val="28"/>
          <w:highlight w:val="none"/>
        </w:rPr>
        <w:t>第二部分 通用合同条款</w:t>
      </w:r>
      <w:bookmarkEnd w:id="623"/>
      <w:bookmarkEnd w:id="624"/>
      <w:bookmarkEnd w:id="625"/>
      <w:bookmarkEnd w:id="626"/>
    </w:p>
    <w:p w14:paraId="040E3045">
      <w:pPr>
        <w:pStyle w:val="3"/>
        <w:spacing w:before="0" w:after="0" w:line="360" w:lineRule="auto"/>
        <w:rPr>
          <w:rFonts w:ascii="宋体" w:hAnsi="宋体"/>
          <w:b w:val="0"/>
          <w:snapToGrid w:val="0"/>
          <w:color w:val="auto"/>
          <w:sz w:val="24"/>
          <w:szCs w:val="24"/>
          <w:highlight w:val="none"/>
        </w:rPr>
      </w:pPr>
      <w:bookmarkStart w:id="627" w:name="_Toc532384164"/>
      <w:bookmarkStart w:id="628" w:name="_Toc531632599"/>
      <w:bookmarkStart w:id="629" w:name="_Toc26810"/>
      <w:r>
        <w:rPr>
          <w:rFonts w:ascii="宋体" w:hAnsi="宋体"/>
          <w:b w:val="0"/>
          <w:snapToGrid w:val="0"/>
          <w:color w:val="auto"/>
          <w:sz w:val="24"/>
          <w:szCs w:val="24"/>
          <w:highlight w:val="none"/>
        </w:rPr>
        <w:t>1.一般约定</w:t>
      </w:r>
      <w:bookmarkEnd w:id="627"/>
      <w:bookmarkEnd w:id="628"/>
      <w:bookmarkEnd w:id="629"/>
    </w:p>
    <w:p w14:paraId="76305786">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 词语定义</w:t>
      </w:r>
    </w:p>
    <w:p w14:paraId="1C3C8D7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通用合同条款、专用合同条款中的下列词语应具有本款所赋予的含义。</w:t>
      </w:r>
    </w:p>
    <w:p w14:paraId="22C1AD2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 合同</w:t>
      </w:r>
    </w:p>
    <w:p w14:paraId="1CA16C3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1.1.1.1 合同文件（或称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构成合同组成部分的文件。</w:t>
      </w:r>
    </w:p>
    <w:p w14:paraId="1CD9BF4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1.1.1.2 合同协议书：指发包人和设计人共同签署的合同协议书。</w:t>
      </w:r>
    </w:p>
    <w:p w14:paraId="3F37D98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1.1.1.3 中标通知书：指发包人通知设计人中标的函件。</w:t>
      </w:r>
    </w:p>
    <w:p w14:paraId="0BEC055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1.1.1.4 投标函：指由设计人填写并签署的，名为“投标函”的函件。</w:t>
      </w:r>
    </w:p>
    <w:p w14:paraId="4223586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1.1.1.5 投标函附录：指由设计人填写并签署的、附在投标函后，名为“投标函附录”的函件。</w:t>
      </w:r>
    </w:p>
    <w:p w14:paraId="3AF24DD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1.1.1.6 发包人要求：指合同文件中名为“发包人要求”的文件。</w:t>
      </w:r>
    </w:p>
    <w:p w14:paraId="7CC7F1E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1.1.1.7 技术标准：是指构成合同的设计应当遵守的或指导设计的国家、行业或地方的技术标准和要求，以及合同约定的技术标准和要求。</w:t>
      </w:r>
    </w:p>
    <w:p w14:paraId="03AD582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设计方案：指设计人提供的方案设计文件。</w:t>
      </w:r>
    </w:p>
    <w:p w14:paraId="4F700EE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设计费用清单：指设计人在投标文件中的设计费用清单。</w:t>
      </w:r>
    </w:p>
    <w:p w14:paraId="5A4E1DE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其他合同文件：指经合同双方当事人确认构成合同文件的其他文件。</w:t>
      </w:r>
    </w:p>
    <w:p w14:paraId="630CAD4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 合同当事人和人员</w:t>
      </w:r>
    </w:p>
    <w:p w14:paraId="5D4E786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1.1.2.1 合同当事人：指发包人和（或）设计人。</w:t>
      </w:r>
    </w:p>
    <w:p w14:paraId="53AEC21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1.1.2.2 发包人：指与设计人签订合同协议书的当事人，及其合法继承人。</w:t>
      </w:r>
    </w:p>
    <w:p w14:paraId="1B4AF52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1.1.2.3 设计人：指与发包人签订合同协议书的当事人，及其合法继承人。</w:t>
      </w:r>
    </w:p>
    <w:p w14:paraId="46DEC5C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1.1.2.4 发包人代表：指由发包人任命，并在授权范围和期限内代表发包人行使权利和履行义务的全权负责人。</w:t>
      </w:r>
    </w:p>
    <w:p w14:paraId="557872F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1.1.2.5 项目负责人：指由设计人任命，代表设计人行使权利和履行义务的全权负责人。</w:t>
      </w:r>
    </w:p>
    <w:p w14:paraId="0D33CB6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1.1.2.6项目协调人：指由设计人任命，并由项目负责人书面授权，代表项目负责人负责行使现场联络、协调工作等。</w:t>
      </w:r>
    </w:p>
    <w:p w14:paraId="62C1459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1.1.2.7 分包人：是指按照法律规定和合同约定，分包部分工程设计工作，并与设计人签订分包合同的具有相应资质的法人。</w:t>
      </w:r>
    </w:p>
    <w:p w14:paraId="670CF87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1.1.2.8 联合体：是指两个以上设计人联合，以一个设计人身份为发包人提供工程设计服务的临时性组织。</w:t>
      </w:r>
    </w:p>
    <w:p w14:paraId="3C0D32E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 工程和设计</w:t>
      </w:r>
    </w:p>
    <w:p w14:paraId="45DF015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1.1.3.1 工程：指专用合同条款中指明</w:t>
      </w:r>
      <w:r>
        <w:rPr>
          <w:rFonts w:hint="eastAsia" w:ascii="宋体" w:hAnsi="宋体"/>
          <w:color w:val="auto"/>
          <w:kern w:val="0"/>
          <w:szCs w:val="21"/>
          <w:highlight w:val="none"/>
        </w:rPr>
        <w:t>进行设计</w:t>
      </w:r>
      <w:r>
        <w:rPr>
          <w:rFonts w:ascii="宋体" w:hAnsi="宋体"/>
          <w:color w:val="auto"/>
          <w:kern w:val="0"/>
          <w:szCs w:val="21"/>
          <w:highlight w:val="none"/>
        </w:rPr>
        <w:t>的工程。</w:t>
      </w:r>
    </w:p>
    <w:p w14:paraId="0D663FB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1.1.3.2 设计服务：指设计人按照合同约定履行的服务，包括编制</w:t>
      </w:r>
      <w:r>
        <w:rPr>
          <w:rFonts w:ascii="宋体" w:hAnsi="宋体"/>
          <w:color w:val="auto"/>
          <w:kern w:val="0"/>
          <w:szCs w:val="21"/>
          <w:highlight w:val="none"/>
        </w:rPr>
        <w:t>设计文件和设计概算、预算、提供技术交底、施工配合、参加竣工验收或发包人委托的其他服务。</w:t>
      </w:r>
    </w:p>
    <w:p w14:paraId="66267EC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1.1.3.3 暂停设计：是指不能按照合同约定履行全部或部分义务情形而暂时中止设计服务的行为。</w:t>
      </w:r>
    </w:p>
    <w:p w14:paraId="2E69BC2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30" w:name="page50"/>
      <w:bookmarkEnd w:id="630"/>
      <w:r>
        <w:rPr>
          <w:rFonts w:ascii="宋体" w:hAnsi="宋体"/>
          <w:color w:val="auto"/>
          <w:kern w:val="0"/>
          <w:szCs w:val="21"/>
          <w:highlight w:val="none"/>
        </w:rPr>
        <w:t>1.1.3.4 设计资料：是发包人按合同约定向设计人提供的，用于完成设计服务范围与内容所需要的资料。</w:t>
      </w:r>
    </w:p>
    <w:p w14:paraId="626E607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1.1.3.5 设计文件：指设计人按合同约定向发包人提交的设计说明、图纸、图板、模型、计算书、软件和其他文件等，包括阶段性文件和最终文件，且应当采用合同中双方约定的格式和载体。</w:t>
      </w:r>
    </w:p>
    <w:p w14:paraId="1F7C7A9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 日期</w:t>
      </w:r>
    </w:p>
    <w:p w14:paraId="04D9434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1.1.4.1 开始设计通知：指发包人按第 6.1 款通知设计人开始设计的函件。</w:t>
      </w:r>
    </w:p>
    <w:p w14:paraId="6644E8E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1.1.4.2 开始设计日期：指发包人按第 6.1 款发出的开始设计通知中写明的开始设计日期。</w:t>
      </w:r>
    </w:p>
    <w:p w14:paraId="3F2CA1A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1.1.4.3 设计服务期限：指设计人在投标函中承诺的完成合同设计服务所需的期限，包括按第 6.2 款、第 6.4 款和第 6.6 款约定所作的调整。</w:t>
      </w:r>
    </w:p>
    <w:p w14:paraId="16628FF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1.1.4.4 完成设计日期：指第 1.1.4.3 目约定设计服务期限届满时的日期。</w:t>
      </w:r>
    </w:p>
    <w:p w14:paraId="01C0F8C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1.1.4.5 基准日：指投标截止时间前 28 天的日期。</w:t>
      </w:r>
    </w:p>
    <w:p w14:paraId="0095BF1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1.1.4.6 天：除特别指明外，指日历天。合同中按天计算时间的，开始当天不计入，从次日开始计算。期限最后一天的截止时间为当天 24:00。</w:t>
      </w:r>
    </w:p>
    <w:p w14:paraId="47E5928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 合同价格和费用</w:t>
      </w:r>
    </w:p>
    <w:p w14:paraId="098C729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1.1.5.1 签约合同价：指签订合同时合同协议书中写明的设计费用总金额。</w:t>
      </w:r>
    </w:p>
    <w:p w14:paraId="02BB0DA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1.1.5.2 合同价格：指设计人按合同约定完成了全部设计工作后，发包人应付给设计人的金额，包括在履行合同过程中按合同约定进行的变更和调整。</w:t>
      </w:r>
    </w:p>
    <w:p w14:paraId="2CF12D1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1.1.5.3 费用：指为履行合同所发生的或将要发生的所有合理开支，包括管理费和应分摊的其他费用，但不包括利润。</w:t>
      </w:r>
    </w:p>
    <w:p w14:paraId="2FD38FF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暂列金额：指暂时未定的，包括在合同中，并在报价清单汇总表中以此名称标明的金额，用于进行本工程可能发生的额外设计工作或作为不可预见费用，按照合同条款第 12.5 款的规定使用。</w:t>
      </w:r>
    </w:p>
    <w:p w14:paraId="41782A5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1.1.6 其他</w:t>
      </w:r>
    </w:p>
    <w:p w14:paraId="5091F43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1.1.6.1 书面形式：指合同文件、信件和数据电文（包括电报、电传、传真、电子数据交换和电子邮件）等可以有形地表现所载内容的形式。</w:t>
      </w:r>
    </w:p>
    <w:p w14:paraId="414149DC">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 语言文字</w:t>
      </w:r>
    </w:p>
    <w:p w14:paraId="4D2DF23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47BDD1D6">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 适用法律</w:t>
      </w:r>
    </w:p>
    <w:p w14:paraId="7F0031C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适用于合同的法律包括中华人民共和国法律、行政法规、部门规章，以及工程所在地的地方法规、自治条例、单行条例和地方政府规章。</w:t>
      </w:r>
    </w:p>
    <w:p w14:paraId="46F038D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本合同适用的其他规范性文件，可在专用合同条款中约定。</w:t>
      </w:r>
    </w:p>
    <w:p w14:paraId="7613BC55">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 技术标准</w:t>
      </w:r>
    </w:p>
    <w:p w14:paraId="4C1050B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1.4.1 适用于现行有效的国家标准、行业标准、工程所在地的地方性标准，以及相应的规范、规程等，合同当事人有特别要求的，应在专用合同条款中约定。</w:t>
      </w:r>
    </w:p>
    <w:p w14:paraId="3B11159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1.4.2 发包人要求使用国外技术标准的，发包人与设计人在专用合同条款中约定原文版本和中文译本提供方及提供标准的名称、份数、时间及费用承担等事项。</w:t>
      </w:r>
    </w:p>
    <w:p w14:paraId="4383D87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29AFDEF3">
      <w:pPr>
        <w:keepNext/>
        <w:keepLines/>
        <w:spacing w:before="120" w:after="120" w:line="360" w:lineRule="auto"/>
        <w:ind w:firstLine="420" w:firstLineChars="200"/>
        <w:outlineLvl w:val="4"/>
        <w:rPr>
          <w:rFonts w:ascii="宋体" w:hAnsi="宋体"/>
          <w:bCs/>
          <w:color w:val="auto"/>
          <w:szCs w:val="21"/>
          <w:highlight w:val="none"/>
        </w:rPr>
      </w:pPr>
      <w:bookmarkStart w:id="631" w:name="page51"/>
      <w:bookmarkEnd w:id="631"/>
      <w:r>
        <w:rPr>
          <w:rFonts w:ascii="宋体" w:hAnsi="宋体"/>
          <w:bCs/>
          <w:color w:val="auto"/>
          <w:szCs w:val="21"/>
          <w:highlight w:val="none"/>
        </w:rPr>
        <w:t>1.5 合同文件的优先顺序</w:t>
      </w:r>
    </w:p>
    <w:p w14:paraId="382B199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组成合同的各项文件应互相解释，互为说明。除专用合同条款另有约定外，解释合同文件的优先顺序如下：</w:t>
      </w:r>
    </w:p>
    <w:p w14:paraId="14E65809">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14:paraId="39F5F134">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（2）中标通知书；</w:t>
      </w:r>
    </w:p>
    <w:p w14:paraId="02EAF6C2">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（3）投标函及投标函附录；</w:t>
      </w:r>
    </w:p>
    <w:p w14:paraId="0F9B0814">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（4）专用合同条款及其附件；</w:t>
      </w:r>
    </w:p>
    <w:p w14:paraId="523BEE63">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（5）通用合同条款；</w:t>
      </w:r>
    </w:p>
    <w:p w14:paraId="0B833EA7">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（6）投标文件（含评标期间的澄清文件和补充资料）；</w:t>
      </w:r>
    </w:p>
    <w:p w14:paraId="15D4AFFD">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（7）招标文件及补遗文件；</w:t>
      </w:r>
    </w:p>
    <w:p w14:paraId="719FEB59">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（8）技术标准和要求；</w:t>
      </w:r>
    </w:p>
    <w:p w14:paraId="55A98B04">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（9）图纸；</w:t>
      </w:r>
    </w:p>
    <w:p w14:paraId="214AA29D">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（10）其他合同文件。</w:t>
      </w:r>
    </w:p>
    <w:p w14:paraId="2A75B65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14:paraId="76C6CCD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1.6 合同协议书</w:t>
      </w:r>
      <w:r>
        <w:rPr>
          <w:rFonts w:ascii="宋体" w:hAnsi="宋体"/>
          <w:bCs/>
          <w:color w:val="auto"/>
          <w:szCs w:val="21"/>
          <w:highlight w:val="none"/>
        </w:rPr>
        <w:tab/>
      </w:r>
    </w:p>
    <w:p w14:paraId="3676A34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设计人按中标通知书规定的时间与发包人签订合同协议书。除法律另有规定或合同另有约定外，发包人和设计人的法定代表人或其委托代理人在合同协议书上</w:t>
      </w:r>
      <w:r>
        <w:rPr>
          <w:rFonts w:hint="eastAsia" w:ascii="宋体" w:hAnsi="宋体"/>
          <w:color w:val="auto"/>
          <w:kern w:val="0"/>
          <w:szCs w:val="21"/>
          <w:highlight w:val="none"/>
        </w:rPr>
        <w:t>签名</w:t>
      </w:r>
      <w:r>
        <w:rPr>
          <w:rFonts w:ascii="宋体" w:hAnsi="宋体"/>
          <w:color w:val="auto"/>
          <w:kern w:val="0"/>
          <w:szCs w:val="21"/>
          <w:highlight w:val="none"/>
        </w:rPr>
        <w:t>并盖合同专用章或法定名称章，依法生效。</w:t>
      </w:r>
    </w:p>
    <w:p w14:paraId="21B9407B">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1.7 文件的提供</w:t>
      </w:r>
    </w:p>
    <w:p w14:paraId="1D8876C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1.7.1 设计文件的提供</w:t>
      </w:r>
    </w:p>
    <w:p w14:paraId="4142AF6B">
      <w:pPr>
        <w:widowControl/>
        <w:tabs>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除专用合同条款另有约定外，设计人应在合理的期限内按照合同约定向发包人提供设计文件。合同约定设计文件应经发包人批复的，发包人应当在合同约定的期限内批复或提出修改意见。</w:t>
      </w:r>
    </w:p>
    <w:p w14:paraId="0255D92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1.7.2 发包人提供的文件</w:t>
      </w:r>
    </w:p>
    <w:p w14:paraId="09001B4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按专用合同条款约定由发包人提供的文件，包括基础资料、勘察报告、设计任务书等，发包人应按约定的数量和期限交给设计人。由于发包人未按时提供文件造成设计服务期限延误的，按第 6.2 款约定执行。</w:t>
      </w:r>
    </w:p>
    <w:p w14:paraId="4A74D53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1.7.3 文件错误的通知</w:t>
      </w:r>
    </w:p>
    <w:p w14:paraId="25780C4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任何一方当事人发现文件中存在的明显错误或疏忽，均应及时通知对方当事人，并应立即采取适当的措施防止损失扩大。</w:t>
      </w:r>
    </w:p>
    <w:p w14:paraId="2B8DF9DC">
      <w:pPr>
        <w:keepNext/>
        <w:keepLines/>
        <w:spacing w:before="120" w:after="120" w:line="360" w:lineRule="auto"/>
        <w:ind w:firstLine="420" w:firstLineChars="200"/>
        <w:outlineLvl w:val="4"/>
        <w:rPr>
          <w:rFonts w:ascii="宋体" w:hAnsi="宋体"/>
          <w:bCs/>
          <w:color w:val="auto"/>
          <w:szCs w:val="21"/>
          <w:highlight w:val="none"/>
        </w:rPr>
      </w:pPr>
      <w:bookmarkStart w:id="632" w:name="page52"/>
      <w:bookmarkEnd w:id="632"/>
      <w:r>
        <w:rPr>
          <w:rFonts w:ascii="宋体" w:hAnsi="宋体"/>
          <w:bCs/>
          <w:color w:val="auto"/>
          <w:szCs w:val="21"/>
          <w:highlight w:val="none"/>
        </w:rPr>
        <w:t>1.8 联络</w:t>
      </w:r>
    </w:p>
    <w:p w14:paraId="7E47E81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1.8.1 与合同有关的通知、批准、证明、证书、指示、要求、请求、同意、确定和决定等，均应采用书面形式，并应在合同约定的期限内送达接收人和送达地点。</w:t>
      </w:r>
    </w:p>
    <w:p w14:paraId="0311242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1.8.2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35D4048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1.8.3 发包人和设计人应当及时签收另一方送达至送达地点和指定接收人的来往信函，如确有充分证据证明一方无正当理由拒不签收的，视为拒绝签收一方认可往来信函的内容。</w:t>
      </w:r>
    </w:p>
    <w:p w14:paraId="32F2848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1.9 转让</w:t>
      </w:r>
    </w:p>
    <w:p w14:paraId="629557D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除专用合同条款另有约定外，未经对方当事人同意，一方当事人不得将合同权利全部或部分转让给第三人，也不得全部或部分转移合同义务。</w:t>
      </w:r>
    </w:p>
    <w:p w14:paraId="7962973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1.10 严禁贿赂</w:t>
      </w:r>
    </w:p>
    <w:p w14:paraId="068542C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合同双方当事人不得以贿赂或变相贿赂的方式，谋取不当利益或损害对方权益。因贿赂造成对方当事人损失的，行为人应当赔偿损失，并承担相应的法律责任。</w:t>
      </w:r>
    </w:p>
    <w:p w14:paraId="4F3831B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 知识产权</w:t>
      </w:r>
    </w:p>
    <w:p w14:paraId="648FCB6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1.11.1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6628FA3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1.11.2除专用合同条款另有约定外，设计人为实施工程所编制的文件的著作权属于设计人，发包人可因实施工程的运行、调试、维修、改造等目的而复制、使用此类文件，但不能擅自修改或用于与合同无关的其他</w:t>
      </w:r>
      <w:r>
        <w:rPr>
          <w:rFonts w:ascii="宋体" w:hAnsi="宋体"/>
          <w:color w:val="auto"/>
          <w:kern w:val="0"/>
          <w:szCs w:val="21"/>
          <w:highlight w:val="none"/>
        </w:rPr>
        <w:t>事项。未经设计人书面同意，发包人</w:t>
      </w:r>
      <w:r>
        <w:rPr>
          <w:rFonts w:ascii="宋体" w:hAnsi="宋体"/>
          <w:color w:val="auto"/>
          <w:kern w:val="0"/>
          <w:szCs w:val="21"/>
          <w:highlight w:val="none"/>
        </w:rPr>
        <w:t>不得为了合同以外的目的而复制、使用上述文件或将之提供给任何第三方。</w:t>
      </w:r>
    </w:p>
    <w:p w14:paraId="215AD43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1.11.3设计人在从事设计活动时，不得侵犯他人的知识产权。因侵犯专利权或其他知识产权所引起的责任，由设计人自行承担。因发包人提供的设计资料导致侵权的，由发包人承担责任。 </w:t>
      </w:r>
    </w:p>
    <w:p w14:paraId="19966F5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1.11.4 设计人在</w:t>
      </w:r>
      <w:r>
        <w:rPr>
          <w:rFonts w:hint="eastAsia" w:ascii="宋体" w:hAnsi="宋体"/>
          <w:color w:val="auto"/>
          <w:kern w:val="0"/>
          <w:szCs w:val="21"/>
          <w:highlight w:val="none"/>
        </w:rPr>
        <w:t>设计</w:t>
      </w:r>
      <w:r>
        <w:rPr>
          <w:rFonts w:ascii="宋体" w:hAnsi="宋体"/>
          <w:color w:val="auto"/>
          <w:kern w:val="0"/>
          <w:szCs w:val="21"/>
          <w:highlight w:val="none"/>
        </w:rPr>
        <w:t>文件中采用专利技术、专有技术的，相应的使用费视为已包含在合同价格之中。</w:t>
      </w:r>
    </w:p>
    <w:p w14:paraId="768AB959">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 文件及信息的保密</w:t>
      </w:r>
    </w:p>
    <w:p w14:paraId="0422FBF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未经对方同意，任何一方当事人不得将有关文件、技术秘密、需要保密的资料和信息泄露给他人或公开发表与引用。</w:t>
      </w:r>
    </w:p>
    <w:p w14:paraId="6CFFC64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1.13发包人要求</w:t>
      </w:r>
    </w:p>
    <w:p w14:paraId="478E763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1.13.1 设计人应认真阅读、复核发包人要求，发现错误的，应及时书面通知发包人。无论是否存在错误，发包人均有权修改发包人要求，并在修改后 3 日内通知设计人。除专用合同条</w:t>
      </w:r>
      <w:bookmarkStart w:id="633" w:name="page53"/>
      <w:bookmarkEnd w:id="633"/>
      <w:r>
        <w:rPr>
          <w:rFonts w:ascii="宋体" w:hAnsi="宋体"/>
          <w:color w:val="auto"/>
          <w:kern w:val="0"/>
          <w:szCs w:val="21"/>
          <w:highlight w:val="none"/>
        </w:rPr>
        <w:t>款另有约定外，</w:t>
      </w:r>
      <w:r>
        <w:rPr>
          <w:rFonts w:ascii="宋体" w:hAnsi="宋体"/>
          <w:color w:val="auto"/>
          <w:kern w:val="0"/>
          <w:szCs w:val="21"/>
          <w:highlight w:val="none"/>
        </w:rPr>
        <w:t>由此导致设计人周期延误的，发包人应当相应地延长周期。</w:t>
      </w:r>
    </w:p>
    <w:p w14:paraId="0B5D08A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1.13.2 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31BA10D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1.13.3 发包人要求采用国外规范和标准进行设计时，应由发包人负责提供该规范和标准的外国文本和中文译本，提供的时间、份数和其他要求在专用合同条款中约定。</w:t>
      </w:r>
    </w:p>
    <w:p w14:paraId="7FA2A584">
      <w:pPr>
        <w:pStyle w:val="3"/>
        <w:spacing w:before="0" w:after="0" w:line="360" w:lineRule="auto"/>
        <w:rPr>
          <w:rFonts w:ascii="宋体" w:hAnsi="宋体"/>
          <w:b w:val="0"/>
          <w:snapToGrid w:val="0"/>
          <w:color w:val="auto"/>
          <w:sz w:val="24"/>
          <w:szCs w:val="24"/>
          <w:highlight w:val="none"/>
        </w:rPr>
      </w:pPr>
      <w:bookmarkStart w:id="634" w:name="_Toc532384165"/>
      <w:bookmarkStart w:id="635" w:name="_Toc531632600"/>
      <w:bookmarkStart w:id="636" w:name="_Toc31250"/>
      <w:r>
        <w:rPr>
          <w:rFonts w:ascii="宋体" w:hAnsi="宋体"/>
          <w:b w:val="0"/>
          <w:snapToGrid w:val="0"/>
          <w:color w:val="auto"/>
          <w:sz w:val="24"/>
          <w:szCs w:val="24"/>
          <w:highlight w:val="none"/>
        </w:rPr>
        <w:t>2.发包人义务</w:t>
      </w:r>
      <w:bookmarkEnd w:id="634"/>
      <w:bookmarkEnd w:id="635"/>
      <w:bookmarkEnd w:id="636"/>
    </w:p>
    <w:p w14:paraId="3A06820B">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2.1 遵守法律</w:t>
      </w:r>
    </w:p>
    <w:p w14:paraId="65B3505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发包人在履行合同过程中应遵守法律，并保证设计人免于承担因发包人违反法律而引起的任何责任。</w:t>
      </w:r>
    </w:p>
    <w:p w14:paraId="5B901F9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2.2 发出开始设计通知</w:t>
      </w:r>
    </w:p>
    <w:p w14:paraId="33E529F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发包人应按第 6.1 款的约定向设计人发出开始设计通知。</w:t>
      </w:r>
    </w:p>
    <w:p w14:paraId="5A62990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2.3 办理证件和批件</w:t>
      </w:r>
    </w:p>
    <w:p w14:paraId="485ABB1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法律规定和（或）合同约定由发包人负责办理的工程建设项目必须履行的各类审批、核准或备案手续，发包人应当按时办理，设计人应给予必要的协助。法律规定和（或）合同约定由设计人负责办理的设计所需的证件和批件，发包人应给予必要的协助。</w:t>
      </w:r>
    </w:p>
    <w:p w14:paraId="30B25E4C">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2.4 支付合同价款</w:t>
      </w:r>
    </w:p>
    <w:p w14:paraId="026C8C6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发包人应按合同约定向设计人及时支付合同价款。</w:t>
      </w:r>
    </w:p>
    <w:p w14:paraId="747D5109">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2.5 提供设计资料</w:t>
      </w:r>
    </w:p>
    <w:p w14:paraId="59C1475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发包人应按第 1.7.2 项的约定向设计人提供设计资料。</w:t>
      </w:r>
    </w:p>
    <w:p w14:paraId="1EC91280">
      <w:pPr>
        <w:keepNext/>
        <w:keepLines/>
        <w:spacing w:before="120" w:after="120" w:line="360" w:lineRule="auto"/>
        <w:ind w:firstLine="420" w:firstLineChars="200"/>
        <w:outlineLvl w:val="4"/>
        <w:rPr>
          <w:rFonts w:ascii="宋体" w:hAnsi="宋体"/>
          <w:bCs/>
          <w:color w:val="auto"/>
          <w:szCs w:val="21"/>
          <w:highlight w:val="none"/>
        </w:rPr>
      </w:pPr>
      <w:bookmarkStart w:id="637" w:name="page54"/>
      <w:bookmarkEnd w:id="637"/>
      <w:r>
        <w:rPr>
          <w:rFonts w:ascii="宋体" w:hAnsi="宋体"/>
          <w:bCs/>
          <w:color w:val="auto"/>
          <w:szCs w:val="21"/>
          <w:highlight w:val="none"/>
        </w:rPr>
        <w:t>2.6 其他义务</w:t>
      </w:r>
    </w:p>
    <w:p w14:paraId="205B115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发包人应履行合同约定的其他义务。</w:t>
      </w:r>
    </w:p>
    <w:p w14:paraId="115E2A41">
      <w:pPr>
        <w:pStyle w:val="3"/>
        <w:spacing w:before="0" w:after="0" w:line="360" w:lineRule="auto"/>
        <w:rPr>
          <w:rFonts w:ascii="宋体" w:hAnsi="宋体"/>
          <w:b w:val="0"/>
          <w:snapToGrid w:val="0"/>
          <w:color w:val="auto"/>
          <w:sz w:val="24"/>
          <w:szCs w:val="24"/>
          <w:highlight w:val="none"/>
        </w:rPr>
      </w:pPr>
      <w:bookmarkStart w:id="638" w:name="_Toc532384166"/>
      <w:bookmarkStart w:id="639" w:name="_Toc531632601"/>
      <w:bookmarkStart w:id="640" w:name="_Toc29791"/>
      <w:r>
        <w:rPr>
          <w:rFonts w:ascii="宋体" w:hAnsi="宋体"/>
          <w:b w:val="0"/>
          <w:snapToGrid w:val="0"/>
          <w:color w:val="auto"/>
          <w:sz w:val="24"/>
          <w:szCs w:val="24"/>
          <w:highlight w:val="none"/>
        </w:rPr>
        <w:t>3.发包人管理</w:t>
      </w:r>
      <w:bookmarkEnd w:id="638"/>
      <w:bookmarkEnd w:id="639"/>
      <w:bookmarkEnd w:id="640"/>
    </w:p>
    <w:p w14:paraId="56882349">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3.1 发包人代表</w:t>
      </w:r>
    </w:p>
    <w:p w14:paraId="6A89700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3.1.1 除专用合同条款另有约定外，发包人应在合同签订时，在专用合同条款中明确其负责工程设计的发包人代表的姓名、职务、联系方式、授权范围及授权期限等事项。由发包人代表在其授权范围和授权期限内，代表发包人行使权利、履行义务和处理合同履行中的具体事宜。发包人代表在授权范围内的行为由发包人承担法律责任。</w:t>
      </w:r>
    </w:p>
    <w:p w14:paraId="12DA437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3.1.2发包人代表违反法律法规、违背职业道德守则或者不按合同约定履行职责及义务，导致合同无法继续正常履行的，设计人有权通知发包人更换发包人代表。发包人收到通知后 7 天内，应当核实完毕并将处理结果通知设计人。发包人同意更换发包人代表的，按通用条款3.1.3</w:t>
      </w:r>
      <w:r>
        <w:rPr>
          <w:rFonts w:hint="eastAsia" w:ascii="宋体" w:hAnsi="宋体"/>
          <w:color w:val="auto"/>
          <w:kern w:val="0"/>
          <w:szCs w:val="21"/>
          <w:highlight w:val="none"/>
        </w:rPr>
        <w:t>项执行。发包人不同意更换发包人代表的，设计人须继续履行合同义务。</w:t>
      </w:r>
    </w:p>
    <w:p w14:paraId="69E127A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3.1.3 发包人更换发包人代表的，应提前 14 天将更换人员的姓名、职务、联系方式、授权范围和授权期限书面通知设计人。</w:t>
      </w:r>
    </w:p>
    <w:p w14:paraId="799E8B2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3.1.4 发包人代表可以授权发包人的其他人员负责执行其指派的一项或多项工作。发包人代表应将被授权人员的姓名及其授权范围以书面形式通知设计人。被授权人员在授权范围内发出的指示视为已得到发包人代表的同意，与发包人代表发出的指示具有同等效力。</w:t>
      </w:r>
    </w:p>
    <w:p w14:paraId="04A6A929">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3.2 监理人</w:t>
      </w:r>
    </w:p>
    <w:p w14:paraId="2BBB39F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1A82795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3.2.2 合同约定应由设计人承担的义务和责任，不因监理人对设计文件的审查或批准，以及为实施监理作出的指示等职务行为而减轻或解除。</w:t>
      </w:r>
    </w:p>
    <w:p w14:paraId="0F0F0A71">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3.3 发包人的指示</w:t>
      </w:r>
    </w:p>
    <w:p w14:paraId="0F71F79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3.3.1 </w:t>
      </w:r>
      <w:r>
        <w:rPr>
          <w:rFonts w:ascii="宋体" w:hAnsi="宋体"/>
          <w:color w:val="auto"/>
          <w:kern w:val="0"/>
          <w:szCs w:val="21"/>
          <w:highlight w:val="none"/>
        </w:rPr>
        <w:t>发包人应按合同约定向设计人发出指示，发包人的指示应盖有发包人单位法定名称章，并由发包人代表</w:t>
      </w:r>
      <w:r>
        <w:rPr>
          <w:rFonts w:hint="eastAsia" w:ascii="宋体" w:hAnsi="宋体"/>
          <w:color w:val="auto"/>
          <w:kern w:val="0"/>
          <w:szCs w:val="21"/>
          <w:highlight w:val="none"/>
        </w:rPr>
        <w:t>签名</w:t>
      </w:r>
      <w:r>
        <w:rPr>
          <w:rFonts w:ascii="宋体" w:hAnsi="宋体"/>
          <w:color w:val="auto"/>
          <w:kern w:val="0"/>
          <w:szCs w:val="21"/>
          <w:highlight w:val="none"/>
        </w:rPr>
        <w:t>确认。</w:t>
      </w:r>
    </w:p>
    <w:p w14:paraId="762B532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41" w:name="page55"/>
      <w:bookmarkEnd w:id="641"/>
      <w:r>
        <w:rPr>
          <w:rFonts w:ascii="宋体" w:hAnsi="宋体"/>
          <w:color w:val="auto"/>
          <w:kern w:val="0"/>
          <w:szCs w:val="21"/>
          <w:highlight w:val="none"/>
        </w:rPr>
        <w:t xml:space="preserve">3.3.2 设计人收到发包人作出的指示后应遵照执行。指示构成变更的，应按第 11 条执行。 </w:t>
      </w:r>
    </w:p>
    <w:p w14:paraId="6982E2E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3.3.3 在紧急情况下，发包人代表或其授权人员可以当场签发临时书面指示，设计人应遵照执行。</w:t>
      </w:r>
      <w:r>
        <w:rPr>
          <w:rFonts w:ascii="宋体" w:hAnsi="宋体"/>
          <w:color w:val="auto"/>
          <w:kern w:val="0"/>
          <w:szCs w:val="21"/>
          <w:highlight w:val="none"/>
        </w:rPr>
        <w:t xml:space="preserve">发包人代表应在临时书面指示发出后 </w:t>
      </w:r>
      <w:r>
        <w:rPr>
          <w:rFonts w:ascii="宋体" w:hAnsi="宋体"/>
          <w:color w:val="auto"/>
          <w:kern w:val="0"/>
          <w:szCs w:val="21"/>
          <w:highlight w:val="none"/>
        </w:rPr>
        <w:t>24</w:t>
      </w:r>
      <w:r>
        <w:rPr>
          <w:rFonts w:ascii="宋体" w:hAnsi="宋体"/>
          <w:color w:val="auto"/>
          <w:kern w:val="0"/>
          <w:szCs w:val="21"/>
          <w:highlight w:val="none"/>
        </w:rPr>
        <w:t xml:space="preserve"> 小时内发出书面确认函，逾期未发出书面确认函的，该临时书面指示应被视为发包人的正式指示。</w:t>
      </w:r>
    </w:p>
    <w:p w14:paraId="3B58D7F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3.3.4 除专用合同条款另有约定外，设计人只从发包人代表或按第 3.1.4 项约定的被授权人员处取得指示。</w:t>
      </w:r>
    </w:p>
    <w:p w14:paraId="5EE1AB6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3.3.5 由于发包人未能按合同约定发出指示、</w:t>
      </w:r>
      <w:r>
        <w:rPr>
          <w:rFonts w:ascii="宋体" w:hAnsi="宋体"/>
          <w:color w:val="auto"/>
          <w:kern w:val="0"/>
          <w:szCs w:val="21"/>
          <w:highlight w:val="none"/>
        </w:rPr>
        <w:t>指示延误或指示错误而导致设计人周期延误的，发包人应承担由此增加的周期延误。</w:t>
      </w:r>
    </w:p>
    <w:p w14:paraId="4E1D5E4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3.4 决定或答复</w:t>
      </w:r>
    </w:p>
    <w:p w14:paraId="5F2E6E0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3.4.1 发包人在法律允许的范围内有权对设计人的设计工作</w:t>
      </w:r>
      <w:r>
        <w:rPr>
          <w:rFonts w:hint="eastAsia" w:ascii="宋体" w:hAnsi="宋体"/>
          <w:color w:val="auto"/>
          <w:kern w:val="0"/>
          <w:szCs w:val="21"/>
          <w:highlight w:val="none"/>
        </w:rPr>
        <w:t>和（或）</w:t>
      </w:r>
      <w:r>
        <w:rPr>
          <w:rFonts w:ascii="宋体" w:hAnsi="宋体"/>
          <w:color w:val="auto"/>
          <w:kern w:val="0"/>
          <w:szCs w:val="21"/>
          <w:highlight w:val="none"/>
        </w:rPr>
        <w:t>设计文件作出处理决定，设计人应按照发包人的决定执行，涉及设计服务期限或设计费用等问题按第 11 条的约定处理。</w:t>
      </w:r>
    </w:p>
    <w:p w14:paraId="387F8E0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3.4.2 发包人应在专用合同条款约定的时间之内，对设计人书面提出的事项作出书面答复；逾期没有做出答复的，视为已获得发包人的批准。</w:t>
      </w:r>
    </w:p>
    <w:p w14:paraId="706FEADE">
      <w:pPr>
        <w:pStyle w:val="3"/>
        <w:spacing w:before="0" w:after="0" w:line="360" w:lineRule="auto"/>
        <w:rPr>
          <w:rFonts w:ascii="宋体" w:hAnsi="宋体"/>
          <w:b w:val="0"/>
          <w:snapToGrid w:val="0"/>
          <w:color w:val="auto"/>
          <w:sz w:val="24"/>
          <w:szCs w:val="24"/>
          <w:highlight w:val="none"/>
        </w:rPr>
      </w:pPr>
      <w:bookmarkStart w:id="642" w:name="_Toc9064"/>
      <w:bookmarkStart w:id="643" w:name="_Toc531632602"/>
      <w:bookmarkStart w:id="644" w:name="_Toc532384167"/>
      <w:r>
        <w:rPr>
          <w:rFonts w:ascii="宋体" w:hAnsi="宋体"/>
          <w:b w:val="0"/>
          <w:snapToGrid w:val="0"/>
          <w:color w:val="auto"/>
          <w:sz w:val="24"/>
          <w:szCs w:val="24"/>
          <w:highlight w:val="none"/>
        </w:rPr>
        <w:t>4.设计人义务</w:t>
      </w:r>
      <w:bookmarkEnd w:id="642"/>
      <w:bookmarkEnd w:id="643"/>
      <w:bookmarkEnd w:id="644"/>
    </w:p>
    <w:p w14:paraId="00C582E7">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4.1 设计人的一般义务</w:t>
      </w:r>
    </w:p>
    <w:p w14:paraId="5A6C1C4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4.1.1 遵守法律</w:t>
      </w:r>
    </w:p>
    <w:p w14:paraId="0E25F7C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设计人在履行合同过程中应遵守法律，并保证发包人免于承担因设计人违反法律而引起的任何责任。</w:t>
      </w:r>
    </w:p>
    <w:p w14:paraId="10BEEF8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4.1.2 依法纳税</w:t>
      </w:r>
    </w:p>
    <w:p w14:paraId="3E05F56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设计人应按有关法律规定纳税，应缴纳的税金（含增值税）包括在合同价格之中。</w:t>
      </w:r>
    </w:p>
    <w:p w14:paraId="42BF221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4.1.3 完成全部设计工作</w:t>
      </w:r>
    </w:p>
    <w:p w14:paraId="3EAE980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设计人应按合同约定以及发包人要求，完成合同约定的全部工作，并对工作中的任何缺陷进行整改、完善和修补，使其满足合同约定的目的。设计人应按合同约定提供设计文件及相关服务等。</w:t>
      </w:r>
    </w:p>
    <w:p w14:paraId="513B8AE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4.1.4 其他义务</w:t>
      </w:r>
    </w:p>
    <w:p w14:paraId="2A2585C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设计人应履行合同约定的其他义务。</w:t>
      </w:r>
    </w:p>
    <w:p w14:paraId="1A283F9E">
      <w:pPr>
        <w:keepNext/>
        <w:keepLines/>
        <w:spacing w:before="120" w:after="120" w:line="360" w:lineRule="auto"/>
        <w:ind w:firstLine="420" w:firstLineChars="200"/>
        <w:outlineLvl w:val="4"/>
        <w:rPr>
          <w:rFonts w:ascii="宋体" w:hAnsi="宋体"/>
          <w:bCs/>
          <w:color w:val="auto"/>
          <w:szCs w:val="21"/>
          <w:highlight w:val="none"/>
        </w:rPr>
      </w:pPr>
      <w:bookmarkStart w:id="645" w:name="page56"/>
      <w:bookmarkEnd w:id="645"/>
      <w:r>
        <w:rPr>
          <w:rFonts w:ascii="宋体" w:hAnsi="宋体"/>
          <w:bCs/>
          <w:color w:val="auto"/>
          <w:szCs w:val="21"/>
          <w:highlight w:val="none"/>
        </w:rPr>
        <w:t>4.2履约保证金</w:t>
      </w:r>
    </w:p>
    <w:p w14:paraId="5CDC417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w:t>
      </w:r>
      <w:r>
        <w:rPr>
          <w:rFonts w:hint="eastAsia" w:ascii="宋体" w:hAnsi="宋体"/>
          <w:color w:val="auto"/>
          <w:kern w:val="0"/>
          <w:szCs w:val="21"/>
          <w:highlight w:val="none"/>
        </w:rPr>
        <w:t>履约保证金</w:t>
      </w:r>
      <w:r>
        <w:rPr>
          <w:rFonts w:ascii="宋体" w:hAnsi="宋体"/>
          <w:color w:val="auto"/>
          <w:kern w:val="0"/>
          <w:szCs w:val="21"/>
          <w:highlight w:val="none"/>
        </w:rPr>
        <w:t>自合同生效之日起生效，在发包人签收最后一批设计成果文件之日起 28 日后失效。如果设计人不履行合同约定的义务或其履行不符合合同的约定，发包人有权从履约保证金中直接扣除相应金额的违约金。</w:t>
      </w:r>
    </w:p>
    <w:p w14:paraId="1DC967AD">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4.3 分包和不得转包</w:t>
      </w:r>
    </w:p>
    <w:p w14:paraId="494BB9E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4.3.1 设计人不得将其设计的全部工作转包给第三人。</w:t>
      </w:r>
    </w:p>
    <w:p w14:paraId="028665F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4.3.2 设计人不得将设计的主体、关键性工作分包给第三人。除专用合同条款另有约定外，未经发包人同意，设计人也不得将非主体、非关键性工作分包给第三人。</w:t>
      </w:r>
    </w:p>
    <w:p w14:paraId="5568264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4.3.3 发包人同意设计人分包工作的，设计人应向发包人提交 1 份分包合同副本</w:t>
      </w:r>
      <w:r>
        <w:rPr>
          <w:rFonts w:hint="eastAsia" w:ascii="宋体" w:hAnsi="宋体"/>
          <w:color w:val="auto"/>
          <w:kern w:val="0"/>
          <w:szCs w:val="21"/>
          <w:highlight w:val="none"/>
        </w:rPr>
        <w:t>，并</w:t>
      </w:r>
      <w:r>
        <w:rPr>
          <w:rFonts w:ascii="宋体" w:hAnsi="宋体"/>
          <w:color w:val="auto"/>
          <w:kern w:val="0"/>
          <w:szCs w:val="21"/>
          <w:highlight w:val="none"/>
        </w:rPr>
        <w:t>对分包设计工作质量承担连带责任。分包人不得再行分包</w:t>
      </w:r>
      <w:r>
        <w:rPr>
          <w:rFonts w:hint="eastAsia" w:ascii="宋体" w:hAnsi="宋体"/>
          <w:color w:val="auto"/>
          <w:kern w:val="0"/>
          <w:szCs w:val="21"/>
          <w:highlight w:val="none"/>
        </w:rPr>
        <w:t>或转包</w:t>
      </w:r>
      <w:r>
        <w:rPr>
          <w:rFonts w:ascii="宋体" w:hAnsi="宋体"/>
          <w:color w:val="auto"/>
          <w:kern w:val="0"/>
          <w:szCs w:val="21"/>
          <w:highlight w:val="none"/>
        </w:rPr>
        <w:t>设计工作。除专用合同条款另有约定外，分包人的设计费用由设计人</w:t>
      </w:r>
      <w:r>
        <w:rPr>
          <w:rFonts w:hint="eastAsia" w:ascii="宋体" w:hAnsi="宋体"/>
          <w:color w:val="auto"/>
          <w:kern w:val="0"/>
          <w:szCs w:val="21"/>
          <w:highlight w:val="none"/>
        </w:rPr>
        <w:t>向分包人自行支付</w:t>
      </w:r>
      <w:r>
        <w:rPr>
          <w:rFonts w:ascii="宋体" w:hAnsi="宋体"/>
          <w:color w:val="auto"/>
          <w:kern w:val="0"/>
          <w:szCs w:val="21"/>
          <w:highlight w:val="none"/>
        </w:rPr>
        <w:t>。</w:t>
      </w:r>
    </w:p>
    <w:p w14:paraId="383BB60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4.3.4 分包人的资格能力应与其分包工作的标准和规模相适应，包括必要的企业资质、人员、设备和类似业绩等。</w:t>
      </w:r>
    </w:p>
    <w:p w14:paraId="51E301F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4.3.5分包工程设计费</w:t>
      </w:r>
    </w:p>
    <w:p w14:paraId="1FD6717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（1）除本项第（2）目约定的情况或专用合同条款另有约定外，分包工程设计费由设计人与分包人结算，未经设计人同意，发包人不得向分包人支付分包工程设计费；</w:t>
      </w:r>
    </w:p>
    <w:p w14:paraId="0D064D1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（2）生效的法院判决书或仲裁裁决书要求发包人向分包人支付分包工程设计费的，发包人有权从应付设计人合同价款中扣除该部分费用。</w:t>
      </w:r>
    </w:p>
    <w:p w14:paraId="1050B5F3">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4.4 联合体</w:t>
      </w:r>
    </w:p>
    <w:p w14:paraId="5F6890B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4.4.1 联合体各方应共同与发包人签订合同。联合体各方应为履行合同承担连带责任。</w:t>
      </w:r>
    </w:p>
    <w:p w14:paraId="3F585B8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4.4.2 联合体协议经发包人确认后作为合同附件。在履行合同过程中，未经发包人同意，不得修改联合体协议。</w:t>
      </w:r>
    </w:p>
    <w:p w14:paraId="6C907D7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4.4.3 联合体牵头人或联合体授权的代表负责与发包人联系，并接受指示，负责组织联合体各成员全面履行合同。</w:t>
      </w:r>
    </w:p>
    <w:p w14:paraId="689E942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4.5 项目负责人</w:t>
      </w:r>
    </w:p>
    <w:p w14:paraId="143A42E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4.5.1设计人应按合同协议书的约定指派项目负责人，并在约定的期限内到职。设计人更换项目负责人应事先征得发包人同意，并应在更换 14 天前将拟更换的项目负责人的姓名和详细资料提交发包人。项目负责人 2 天内不能履行职责的，应事先征得发包人同意，并委派代表代行其职责。</w:t>
      </w:r>
    </w:p>
    <w:p w14:paraId="49662B7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4.5.2 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066E9CF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4.5.3 设计人为履行合同发出的一切函件均应盖有设计人单位法定名称章，并由设计人的项目负责人</w:t>
      </w:r>
      <w:bookmarkStart w:id="646" w:name="page57"/>
      <w:bookmarkEnd w:id="646"/>
      <w:r>
        <w:rPr>
          <w:rFonts w:hint="eastAsia" w:ascii="宋体" w:hAnsi="宋体"/>
          <w:color w:val="auto"/>
          <w:kern w:val="0"/>
          <w:szCs w:val="21"/>
          <w:highlight w:val="none"/>
        </w:rPr>
        <w:t>签名</w:t>
      </w:r>
      <w:r>
        <w:rPr>
          <w:rFonts w:ascii="宋体" w:hAnsi="宋体"/>
          <w:color w:val="auto"/>
          <w:kern w:val="0"/>
          <w:szCs w:val="21"/>
          <w:highlight w:val="none"/>
        </w:rPr>
        <w:t>确认。</w:t>
      </w:r>
    </w:p>
    <w:p w14:paraId="231D889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4.5.4 按照专用合同条款约定，项目负责人可以授权</w:t>
      </w:r>
      <w:r>
        <w:rPr>
          <w:rFonts w:hint="eastAsia" w:ascii="宋体" w:hAnsi="宋体"/>
          <w:color w:val="auto"/>
          <w:kern w:val="0"/>
          <w:szCs w:val="21"/>
          <w:highlight w:val="none"/>
        </w:rPr>
        <w:t>其下属</w:t>
      </w:r>
      <w:r>
        <w:rPr>
          <w:rFonts w:ascii="宋体" w:hAnsi="宋体"/>
          <w:color w:val="auto"/>
          <w:kern w:val="0"/>
          <w:szCs w:val="21"/>
          <w:highlight w:val="none"/>
        </w:rPr>
        <w:t xml:space="preserve">人员履行其某项职责，但事先应将这些人员的姓名和授权范围书面通知发包人。 </w:t>
      </w:r>
    </w:p>
    <w:p w14:paraId="4CB4DE9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4.6 设计人员的管理</w:t>
      </w:r>
    </w:p>
    <w:p w14:paraId="00FDA7B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4.6.1设计人应在接到开始设计通知之日起 7 天内，向发包人提交设计项目机构以及人员安排的报告，其内容应包括项目机构设置、主要设计人员和作业人员的名单及资格条件。主要设计人员应相对稳定，更换主要设计人员的，应取得发包人的同意,并向发包人提交继任人员的资格、管理经验等资料。项目负责人的更换，应按照本章第 4.5.1 项规定执行。</w:t>
      </w:r>
    </w:p>
    <w:p w14:paraId="0D8495F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4.6.2 除专用合同条款另有约定外，主要设计人员包括项目负责人、专业负责人、审核人、审定人、项目协调人等；其他人员包括各专业的设计人员、管理人员等。</w:t>
      </w:r>
    </w:p>
    <w:p w14:paraId="576F3C4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4.6.3 设计人应保证其主要设计人员（含分包人）在合同期限内的任何时候，都能按时参加发包人组织的工作会议。</w:t>
      </w:r>
    </w:p>
    <w:p w14:paraId="27A9280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4.6.4 国家规定应当持证上岗的工作人员均应持有相应的资格证明，发包人有权随时检查。发包人认为有必要时，可以进行现场考核。</w:t>
      </w:r>
    </w:p>
    <w:p w14:paraId="6F03051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4.7 撤换项目负责人和其他人员</w:t>
      </w:r>
    </w:p>
    <w:p w14:paraId="4300D58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设计人应对其项目负责人和其他人员进行有效管理。发包人要求撤换不能胜任本职工作、行为不端或玩忽职守的项目负责人和其他人员的，设计人应予以撤换。</w:t>
      </w:r>
    </w:p>
    <w:p w14:paraId="21052FF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4.8 保障人员的合法权益</w:t>
      </w:r>
    </w:p>
    <w:p w14:paraId="748C8DB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4.8.1 设计人应与其雇佣的人员签订劳动合同，并按时发放工资。</w:t>
      </w:r>
    </w:p>
    <w:p w14:paraId="24AFEB4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4.8.2 设计人应按劳动法的规定安排工作时间，保证其雇佣人员享有休息和休假的权利。因设计需要占用休假日或延长工作时间的，应不超过法律规定的限度，并按法律规定给予补休或付酬。</w:t>
      </w:r>
    </w:p>
    <w:p w14:paraId="7FD4239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4.8.3 设计人应按有关法律规定和合同约定，为其雇佣人员办理保险。</w:t>
      </w:r>
    </w:p>
    <w:p w14:paraId="645B2DE7">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4.9 合同价款应专款专用</w:t>
      </w:r>
    </w:p>
    <w:p w14:paraId="07C1267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发包人按合同约定支付给设计人的各项价款，应专用于合同设计工作。</w:t>
      </w:r>
    </w:p>
    <w:p w14:paraId="7C0CBC5F">
      <w:pPr>
        <w:pStyle w:val="3"/>
        <w:spacing w:before="0" w:after="0" w:line="360" w:lineRule="auto"/>
        <w:rPr>
          <w:rFonts w:ascii="宋体" w:hAnsi="宋体"/>
          <w:b w:val="0"/>
          <w:snapToGrid w:val="0"/>
          <w:color w:val="auto"/>
          <w:sz w:val="24"/>
          <w:szCs w:val="24"/>
          <w:highlight w:val="none"/>
        </w:rPr>
      </w:pPr>
      <w:bookmarkStart w:id="647" w:name="page58"/>
      <w:bookmarkEnd w:id="647"/>
      <w:bookmarkStart w:id="648" w:name="_Toc532384168"/>
      <w:bookmarkStart w:id="649" w:name="_Toc430"/>
      <w:bookmarkStart w:id="650" w:name="_Toc531632603"/>
      <w:r>
        <w:rPr>
          <w:rFonts w:ascii="宋体" w:hAnsi="宋体"/>
          <w:b w:val="0"/>
          <w:snapToGrid w:val="0"/>
          <w:color w:val="auto"/>
          <w:sz w:val="24"/>
          <w:szCs w:val="24"/>
          <w:highlight w:val="none"/>
        </w:rPr>
        <w:t>5.设计要求</w:t>
      </w:r>
      <w:bookmarkEnd w:id="648"/>
      <w:bookmarkEnd w:id="649"/>
      <w:bookmarkEnd w:id="650"/>
    </w:p>
    <w:p w14:paraId="596A16F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5.1 一般要求</w:t>
      </w:r>
    </w:p>
    <w:p w14:paraId="19E15A5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5.1.1 发包人应当遵守法律和规范标准，不得以任何理由要求设计人违反法律和工程质量、安全标准进行设计服务，降低工程质量。</w:t>
      </w:r>
    </w:p>
    <w:p w14:paraId="2B759A5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5.1.2 设计人应按照法律规定，以及国家、行业和地方的规范和标准完成设计工作，并应符合发包人要求。各项规范、标准和发包人要求之间如对同一内容的描述不一致时，应以描述更为严格的内容为准。</w:t>
      </w:r>
    </w:p>
    <w:p w14:paraId="2BBC897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 7 天内发出是否遵守新规定的指示。发包人指示遵守新规定的，按照第 11 条约定执行。</w:t>
      </w:r>
    </w:p>
    <w:p w14:paraId="69AAD29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5.1.4 设计人在设计服务中选用的材料、设备，应当注明其规格、型号、性能等技术指标及适应性，</w:t>
      </w:r>
      <w:r>
        <w:rPr>
          <w:rFonts w:hint="eastAsia" w:ascii="宋体" w:hAnsi="宋体"/>
          <w:color w:val="auto"/>
          <w:kern w:val="0"/>
          <w:szCs w:val="21"/>
          <w:highlight w:val="none"/>
        </w:rPr>
        <w:t>但不得指定生产厂、供应商和产品品牌，</w:t>
      </w:r>
      <w:r>
        <w:rPr>
          <w:rFonts w:ascii="宋体" w:hAnsi="宋体"/>
          <w:color w:val="auto"/>
          <w:kern w:val="0"/>
          <w:szCs w:val="21"/>
          <w:highlight w:val="none"/>
        </w:rPr>
        <w:t>满足质量、安全、节能、环保等要求。</w:t>
      </w:r>
    </w:p>
    <w:p w14:paraId="3B5388E1">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5.2 设计依据</w:t>
      </w:r>
    </w:p>
    <w:p w14:paraId="7045434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除专用合同条款另有约定外，本工程的设计依据如下：</w:t>
      </w:r>
    </w:p>
    <w:p w14:paraId="6E0530A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（1）适用的法律、行政法规及部门规章；</w:t>
      </w:r>
    </w:p>
    <w:p w14:paraId="2B09C59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（2）与工程有关的规范、标准、规程；</w:t>
      </w:r>
    </w:p>
    <w:p w14:paraId="02C11E6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（3）工程基础资料及其他文件；</w:t>
      </w:r>
    </w:p>
    <w:p w14:paraId="7F215AD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（4）本设计服务合同及补充合同；</w:t>
      </w:r>
    </w:p>
    <w:p w14:paraId="245158E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（5）本工程勘察文件和施工需求；</w:t>
      </w:r>
    </w:p>
    <w:p w14:paraId="7781635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（6）合同履行中与设计服务有关的来往函件；</w:t>
      </w:r>
    </w:p>
    <w:p w14:paraId="6164DE0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（7）其他设计依据。</w:t>
      </w:r>
    </w:p>
    <w:p w14:paraId="1D5F940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5.3 设计范围</w:t>
      </w:r>
    </w:p>
    <w:p w14:paraId="72D2ABD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5.3.1 本合同的设计范围包括工程范围、阶段范围和工作范围，具体设计范围应当根据三者之间的关联内容进行确定。</w:t>
      </w:r>
    </w:p>
    <w:p w14:paraId="2C84DC6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5.3.2 工程范围指所设计工程的建设内容，具体范围在专用合同条款中约定。</w:t>
      </w:r>
    </w:p>
    <w:p w14:paraId="50AC812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51" w:name="page59"/>
      <w:bookmarkEnd w:id="651"/>
      <w:r>
        <w:rPr>
          <w:rFonts w:ascii="宋体" w:hAnsi="宋体"/>
          <w:color w:val="auto"/>
          <w:kern w:val="0"/>
          <w:szCs w:val="21"/>
          <w:highlight w:val="none"/>
        </w:rPr>
        <w:t>5.3.3 阶段范围指工程建设程序中的方案设计、初步设计、扩大初步</w:t>
      </w:r>
      <w:r>
        <w:rPr>
          <w:rFonts w:hint="eastAsia" w:ascii="宋体" w:hAnsi="宋体"/>
          <w:color w:val="auto"/>
          <w:kern w:val="0"/>
          <w:szCs w:val="21"/>
          <w:highlight w:val="none"/>
        </w:rPr>
        <w:t>（技术）</w:t>
      </w:r>
      <w:r>
        <w:rPr>
          <w:rFonts w:ascii="宋体" w:hAnsi="宋体"/>
          <w:color w:val="auto"/>
          <w:kern w:val="0"/>
          <w:szCs w:val="21"/>
          <w:highlight w:val="none"/>
        </w:rPr>
        <w:t>设计、施工图设计等阶段中的一个或者多个阶段，具体范围在专用合同条款中约定。</w:t>
      </w:r>
    </w:p>
    <w:p w14:paraId="47D3E57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5.3.4 工作范围指编制设计文件、编制设计概算、预算、提供技术交底、施工配合、参加试车（试运行）、编制竣工图、竣工验收和发包人委托的其他服务中的一项或者多项工作，具体范围在专用合同条款中约定。</w:t>
      </w:r>
    </w:p>
    <w:p w14:paraId="7EAE4D61">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5.4 设计文件要求</w:t>
      </w:r>
    </w:p>
    <w:p w14:paraId="3122BB7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5.4.1 设计文件的编制应符合法律法规、规范标准的强制性规定和发包人要求，相关设计依据应完整、准确、可靠，设计方案论证充分，计算成果规范可靠，并能够实施。</w:t>
      </w:r>
    </w:p>
    <w:p w14:paraId="566766D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5.4.2 设计服务应当根据法律、规范标准和发包人要求，保证工程</w:t>
      </w:r>
      <w:r>
        <w:rPr>
          <w:rFonts w:hint="eastAsia" w:ascii="宋体" w:hAnsi="宋体"/>
          <w:color w:val="auto"/>
          <w:kern w:val="0"/>
          <w:szCs w:val="21"/>
          <w:highlight w:val="none"/>
        </w:rPr>
        <w:t>的</w:t>
      </w:r>
      <w:r>
        <w:rPr>
          <w:rFonts w:ascii="宋体" w:hAnsi="宋体"/>
          <w:color w:val="auto"/>
          <w:kern w:val="0"/>
          <w:szCs w:val="21"/>
          <w:highlight w:val="none"/>
        </w:rPr>
        <w:t>合理使用寿命年限，并在设计文件中予以注明。</w:t>
      </w:r>
    </w:p>
    <w:p w14:paraId="7462D20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5.4.3 设计文件的深度应满足本合同相应设计阶段的规定要求，满足发包人的下步工作需要，并应符合国家和行业现行规定。</w:t>
      </w:r>
    </w:p>
    <w:p w14:paraId="50F8B85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5.4.4 设计文件必须保证工程质量和施工安全等方面的要求，按照有关法律法规规定在设计文件中提出保障施工作业人员安全和预防生产安全事故的措施建议。</w:t>
      </w:r>
    </w:p>
    <w:p w14:paraId="47F88128">
      <w:pPr>
        <w:pStyle w:val="3"/>
        <w:spacing w:before="0" w:after="0" w:line="360" w:lineRule="auto"/>
        <w:rPr>
          <w:rFonts w:ascii="宋体" w:hAnsi="宋体"/>
          <w:b w:val="0"/>
          <w:snapToGrid w:val="0"/>
          <w:color w:val="auto"/>
          <w:sz w:val="24"/>
          <w:szCs w:val="24"/>
          <w:highlight w:val="none"/>
        </w:rPr>
      </w:pPr>
      <w:bookmarkStart w:id="652" w:name="_Toc532384169"/>
      <w:bookmarkStart w:id="653" w:name="_Toc531632604"/>
      <w:bookmarkStart w:id="654" w:name="_Toc5417"/>
      <w:r>
        <w:rPr>
          <w:rFonts w:ascii="宋体" w:hAnsi="宋体"/>
          <w:b w:val="0"/>
          <w:snapToGrid w:val="0"/>
          <w:color w:val="auto"/>
          <w:sz w:val="24"/>
          <w:szCs w:val="24"/>
          <w:highlight w:val="none"/>
        </w:rPr>
        <w:t>6.开始设计和完成设计</w:t>
      </w:r>
      <w:bookmarkEnd w:id="652"/>
      <w:bookmarkEnd w:id="653"/>
      <w:bookmarkEnd w:id="654"/>
    </w:p>
    <w:p w14:paraId="41500EC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6.1 开始设计</w:t>
      </w:r>
    </w:p>
    <w:p w14:paraId="43F3E08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6.1.1 符合专用合同条款约定的开始设计条件的，发包人应提前 7 天向设计人发出开始设计通知。设计服务期限自开始设计通知中载明的开始设计日期起计算。</w:t>
      </w:r>
    </w:p>
    <w:p w14:paraId="715F178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6.1.2 除专用合同条款另有约定外，因发包人原因造成合同签订之日起 90 天内未能发出开始设计通知的，设计人有权提出价格调整要求，或者解除合同。发包人应当承担由此增加的费用和（或）周期延误。</w:t>
      </w:r>
    </w:p>
    <w:p w14:paraId="658EEDAE">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6.2 发包人引起的周期延误</w:t>
      </w:r>
    </w:p>
    <w:p w14:paraId="2CCF23F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在履行合同过程中，由于发包人的下列原因造成设计服务期限延误的，发包人应当延长设计服务期</w:t>
      </w:r>
      <w:r>
        <w:rPr>
          <w:rFonts w:ascii="宋体" w:hAnsi="宋体"/>
          <w:color w:val="auto"/>
          <w:kern w:val="0"/>
          <w:szCs w:val="21"/>
          <w:highlight w:val="none"/>
        </w:rPr>
        <w:t>限，具</w:t>
      </w:r>
      <w:r>
        <w:rPr>
          <w:rFonts w:ascii="宋体" w:hAnsi="宋体"/>
          <w:color w:val="auto"/>
          <w:kern w:val="0"/>
          <w:szCs w:val="21"/>
          <w:highlight w:val="none"/>
        </w:rPr>
        <w:t>体方法在专用合同条款中约定。</w:t>
      </w:r>
    </w:p>
    <w:p w14:paraId="7D4D14B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（1）合同变更；</w:t>
      </w:r>
    </w:p>
    <w:p w14:paraId="2B98D39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（2）未按合同约定期限及时答复设计事项；</w:t>
      </w:r>
    </w:p>
    <w:p w14:paraId="2A5D583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（3）因发包人原因导致的暂停设计；</w:t>
      </w:r>
    </w:p>
    <w:p w14:paraId="009D856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55" w:name="page60"/>
      <w:bookmarkEnd w:id="655"/>
      <w:r>
        <w:rPr>
          <w:rFonts w:ascii="宋体" w:hAnsi="宋体"/>
          <w:color w:val="auto"/>
          <w:kern w:val="0"/>
          <w:szCs w:val="21"/>
          <w:highlight w:val="none"/>
        </w:rPr>
        <w:t>（4）未按合同约定及时支付设计费用；</w:t>
      </w:r>
    </w:p>
    <w:p w14:paraId="2DB9EB8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（5）发包人提供的基准资料错误；</w:t>
      </w:r>
    </w:p>
    <w:p w14:paraId="6F5A47A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（6）未及时按照合同约定履行相关义务；</w:t>
      </w:r>
    </w:p>
    <w:p w14:paraId="3D58EFB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（7）未能按照合同约定期限对设计文件进行审查；</w:t>
      </w:r>
    </w:p>
    <w:p w14:paraId="126C0E7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（8）发包人造成周期延误的其他原因。</w:t>
      </w:r>
    </w:p>
    <w:p w14:paraId="1CBDD371">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6.3 设计人引起的周期延误</w:t>
      </w:r>
    </w:p>
    <w:p w14:paraId="028A992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由于设计人原因造成周期延误，设计人应支付逾期违约金。逾期违约金的计算方法和最高限额在专用合同条款中约定。</w:t>
      </w:r>
    </w:p>
    <w:p w14:paraId="44E6E72C">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6.4 第三人引起的周期延误</w:t>
      </w:r>
    </w:p>
    <w:p w14:paraId="39E02DA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由于行政管理部门审查或其他第三人原因造成</w:t>
      </w:r>
      <w:r>
        <w:rPr>
          <w:rFonts w:ascii="宋体" w:hAnsi="宋体"/>
          <w:color w:val="auto"/>
          <w:kern w:val="0"/>
          <w:szCs w:val="21"/>
          <w:highlight w:val="none"/>
        </w:rPr>
        <w:t>周</w:t>
      </w:r>
      <w:r>
        <w:rPr>
          <w:rFonts w:ascii="宋体" w:hAnsi="宋体"/>
          <w:color w:val="auto"/>
          <w:kern w:val="0"/>
          <w:szCs w:val="21"/>
          <w:highlight w:val="none"/>
        </w:rPr>
        <w:t>期延误的，由发包人承担。</w:t>
      </w:r>
    </w:p>
    <w:p w14:paraId="364DF00D">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6.5 完成设计</w:t>
      </w:r>
    </w:p>
    <w:p w14:paraId="36ED21B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6.5.1 设计人完成设计服务之后，应当根据法律、规范标准、合同约定和发包人要求编制设计文件。</w:t>
      </w:r>
    </w:p>
    <w:p w14:paraId="4C4050D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6.5.2 设计文件是工程设计的最终成果和施工的重要依据，应当根据本工程的设计内容和不同阶段的设计任务、目的和要求等进行编制。设计文件的内容和深度应当满足对应阶段的规范要求。</w:t>
      </w:r>
    </w:p>
    <w:p w14:paraId="6AE8315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6.5.3 除专用合同条款另有约定外，设计文件包括纸质文件和电子文件两种形式，两者若有不一致时，应以纸质文件为准。纸质文件应当加盖单位法定名称章、单位设计资质章和国家规定的注册执业印章；电子文件应使用光盘和 U 盘分别贮存。</w:t>
      </w:r>
    </w:p>
    <w:p w14:paraId="00D964F7">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6.6 提前完成设计</w:t>
      </w:r>
    </w:p>
    <w:p w14:paraId="5339806E">
      <w:pPr>
        <w:widowControl/>
        <w:tabs>
          <w:tab w:val="left" w:pos="9072"/>
          <w:tab w:val="left" w:pos="9781"/>
          <w:tab w:val="left" w:pos="10065"/>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w:t>
      </w:r>
      <w:r>
        <w:rPr>
          <w:rFonts w:ascii="宋体" w:hAnsi="宋体"/>
          <w:color w:val="auto"/>
          <w:kern w:val="0"/>
          <w:szCs w:val="21"/>
          <w:highlight w:val="none"/>
        </w:rPr>
        <w:t>。</w:t>
      </w:r>
    </w:p>
    <w:p w14:paraId="6F9A94B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6.6.2 发包人要求提前完成设计但设计人认为无法实施的，应在收到发包人书面指示后 7 天内提出异议，说明不能提前完成的理由。发包人应在收到异议后 7 天内予以答复。</w:t>
      </w:r>
      <w:bookmarkStart w:id="656" w:name="page61"/>
      <w:bookmarkEnd w:id="656"/>
    </w:p>
    <w:p w14:paraId="38F4032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6.6.3 由于设计人提前完成设计而给发包人带来经济效益的，发包人可以在专用合同条款中约定设计人因此获得的奖励内容。</w:t>
      </w:r>
    </w:p>
    <w:p w14:paraId="7B92686E">
      <w:pPr>
        <w:pStyle w:val="3"/>
        <w:spacing w:before="0" w:after="0" w:line="360" w:lineRule="auto"/>
        <w:rPr>
          <w:rFonts w:ascii="宋体" w:hAnsi="宋体"/>
          <w:b w:val="0"/>
          <w:snapToGrid w:val="0"/>
          <w:color w:val="auto"/>
          <w:sz w:val="24"/>
          <w:szCs w:val="24"/>
          <w:highlight w:val="none"/>
        </w:rPr>
      </w:pPr>
      <w:bookmarkStart w:id="657" w:name="_Toc532384170"/>
      <w:bookmarkStart w:id="658" w:name="_Toc16003"/>
      <w:bookmarkStart w:id="659" w:name="_Toc531632605"/>
      <w:r>
        <w:rPr>
          <w:rFonts w:ascii="宋体" w:hAnsi="宋体"/>
          <w:b w:val="0"/>
          <w:snapToGrid w:val="0"/>
          <w:color w:val="auto"/>
          <w:sz w:val="24"/>
          <w:szCs w:val="24"/>
          <w:highlight w:val="none"/>
        </w:rPr>
        <w:t>7.暂停设计</w:t>
      </w:r>
      <w:bookmarkEnd w:id="657"/>
      <w:bookmarkEnd w:id="658"/>
      <w:bookmarkEnd w:id="659"/>
    </w:p>
    <w:p w14:paraId="3A6C8E3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7.1 发包人原因暂停设计</w:t>
      </w:r>
    </w:p>
    <w:p w14:paraId="75A438D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合同履行中发生下列情形之一的，设计人可向发包人发出通知，要求发包人采取有效措施予以纠正。发包人收到设计人通知后的 28 天内仍不履行合同义务时，设计人有权暂停设计并通知发包人；</w:t>
      </w:r>
      <w:r>
        <w:rPr>
          <w:rFonts w:ascii="宋体" w:hAnsi="宋体"/>
          <w:color w:val="auto"/>
          <w:kern w:val="0"/>
          <w:szCs w:val="21"/>
          <w:highlight w:val="none"/>
        </w:rPr>
        <w:t>发包人应承担由此导致的周期延误。</w:t>
      </w:r>
    </w:p>
    <w:p w14:paraId="571F8E7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（1）发包人确定暂停设计；</w:t>
      </w:r>
    </w:p>
    <w:p w14:paraId="0051155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（2）合同约定由发包人承担责任的其他情形。</w:t>
      </w:r>
    </w:p>
    <w:p w14:paraId="5C52A2A7">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7.2 设计人原因暂停设计</w:t>
      </w:r>
    </w:p>
    <w:p w14:paraId="2B2E8A9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合同履行中发生下列情形之一的，发包人可向设计人发出通知暂停设计，由此造成费用的增加和（或）周期延误由设计人承担：</w:t>
      </w:r>
    </w:p>
    <w:p w14:paraId="7F73B6D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 设计人违约；</w:t>
      </w:r>
    </w:p>
    <w:p w14:paraId="536C6DA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 设计人擅自暂停设计；</w:t>
      </w:r>
    </w:p>
    <w:p w14:paraId="38E7FFD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 合同约定由设计人承担责任的其他情形。</w:t>
      </w:r>
    </w:p>
    <w:p w14:paraId="64FAF61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7.3 暂停期间的文件照管</w:t>
      </w:r>
    </w:p>
    <w:p w14:paraId="5BB0314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不论由于何种原因引起暂停设计的，暂停期间设计人应负责妥善保护已完部分的设计文件，由此增加的费用由责任方承担。</w:t>
      </w:r>
    </w:p>
    <w:p w14:paraId="3FEECD3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7.4暂停设计后的复工</w:t>
      </w:r>
    </w:p>
    <w:p w14:paraId="356BF9F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暂停设计后，发包人和设计人应采取有效措施积极消除暂停设计的影响。当工程具备复工条件时，发包人向设计人发出复工通知，设计人应按照复工通知要求复工。</w:t>
      </w:r>
    </w:p>
    <w:p w14:paraId="66FC2C07">
      <w:pPr>
        <w:pStyle w:val="3"/>
        <w:spacing w:before="0" w:after="0" w:line="360" w:lineRule="auto"/>
        <w:rPr>
          <w:rFonts w:ascii="宋体" w:hAnsi="宋体"/>
          <w:b w:val="0"/>
          <w:snapToGrid w:val="0"/>
          <w:color w:val="auto"/>
          <w:sz w:val="24"/>
          <w:szCs w:val="24"/>
          <w:highlight w:val="none"/>
        </w:rPr>
      </w:pPr>
      <w:bookmarkStart w:id="660" w:name="_Toc531632606"/>
      <w:bookmarkStart w:id="661" w:name="_Toc2818"/>
      <w:bookmarkStart w:id="662" w:name="_Toc532384171"/>
      <w:r>
        <w:rPr>
          <w:rFonts w:ascii="宋体" w:hAnsi="宋体"/>
          <w:b w:val="0"/>
          <w:snapToGrid w:val="0"/>
          <w:color w:val="auto"/>
          <w:sz w:val="24"/>
          <w:szCs w:val="24"/>
          <w:highlight w:val="none"/>
        </w:rPr>
        <w:t>8.设计文件</w:t>
      </w:r>
      <w:bookmarkEnd w:id="660"/>
      <w:bookmarkEnd w:id="661"/>
      <w:bookmarkEnd w:id="662"/>
    </w:p>
    <w:p w14:paraId="6291D40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8.1 设计文件接收</w:t>
      </w:r>
    </w:p>
    <w:p w14:paraId="641B1F4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8.1.1 发包人应当及时接收设计人提交的设计文件。如无正当理由拒收的，视为发包人已经接收设计文件。</w:t>
      </w:r>
    </w:p>
    <w:p w14:paraId="3DF9869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63" w:name="page62"/>
      <w:bookmarkEnd w:id="663"/>
      <w:r>
        <w:rPr>
          <w:rFonts w:ascii="宋体" w:hAnsi="宋体"/>
          <w:color w:val="auto"/>
          <w:kern w:val="0"/>
          <w:szCs w:val="21"/>
          <w:highlight w:val="none"/>
        </w:rPr>
        <w:t>8.1.2 发包人接收设计文件时，应向设计人出具文件签收凭证，凭证内容包括图纸名称、图纸内容、图纸形式、份数、提交和接收日期、提交人与接收人的亲笔签名等。</w:t>
      </w:r>
    </w:p>
    <w:p w14:paraId="4D893DF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8.1.3 设计文件提交的份数、内容、纸幅、装订格式、电子文件、展板、模型、沙盘、动画等要求，在专用合同条款中约定。</w:t>
      </w:r>
    </w:p>
    <w:p w14:paraId="67F10333">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8.2 发包人审查设计文件</w:t>
      </w:r>
    </w:p>
    <w:p w14:paraId="508E1DF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8.2.1 发包人接收设计文件之后，可以自行或者组织专家会进行审查，设计人应当给予配合。审查标准应当符合法律、规范标准、合同约定和发包人要求等；审查的具体范围、明细内</w:t>
      </w:r>
      <w:r>
        <w:rPr>
          <w:rFonts w:ascii="宋体" w:hAnsi="宋体"/>
          <w:color w:val="auto"/>
          <w:kern w:val="0"/>
          <w:szCs w:val="21"/>
          <w:highlight w:val="none"/>
        </w:rPr>
        <w:t>容和费用分担，在专用合同条款中约定。</w:t>
      </w:r>
    </w:p>
    <w:p w14:paraId="6BC0A06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8.2.2 除专用合同条款另有约定外，发包人对于设计文件的审查期限，自文件接收之日起不应超过 </w:t>
      </w:r>
      <w:r>
        <w:rPr>
          <w:rFonts w:hint="eastAsia" w:ascii="宋体" w:hAnsi="宋体"/>
          <w:color w:val="auto"/>
          <w:kern w:val="0"/>
          <w:szCs w:val="21"/>
          <w:highlight w:val="none"/>
        </w:rPr>
        <w:t>28</w:t>
      </w:r>
      <w:r>
        <w:rPr>
          <w:rFonts w:ascii="宋体" w:hAnsi="宋体"/>
          <w:color w:val="auto"/>
          <w:kern w:val="0"/>
          <w:szCs w:val="21"/>
          <w:highlight w:val="none"/>
        </w:rPr>
        <w:t xml:space="preserve"> 天。发包人逾期未做出审查结论且未提出异议的，视为设计人的设计文件已经通过发包人审查。</w:t>
      </w:r>
    </w:p>
    <w:p w14:paraId="11B0BC4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8.2.3 发包人审查后不同意设计文件的，应以书面形式通知设计人，说明审查不通过的理由及其具体内容。设计人应根据发包人的审查意见修改完善设计文件，并重新报送发包人审查，审查期限重新起算。</w:t>
      </w:r>
    </w:p>
    <w:p w14:paraId="0025DC43">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8.3 审查机构审查设计文件</w:t>
      </w:r>
    </w:p>
    <w:p w14:paraId="4E32EFD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8.3.1设计文件需经政府有关部门审查或批准的，发包人应在审查同意后，按照有关主管部门要求，将设计文件和相关资料报送审查机构进行审查。发包人的审查和审查机构的审查不减免设计人因为质量问题而应承担的设计责任。</w:t>
      </w:r>
    </w:p>
    <w:p w14:paraId="3D2DBF0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14:paraId="32C78C6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8.3.3 由于自身原因造成设计文件未通过审查机构审查的，设计人应当承担违约责任，采取补救措施直至达到合同约定的质量标准，并自行承担由此导致的费用增加和（或）周期延误。</w:t>
      </w:r>
    </w:p>
    <w:p w14:paraId="4CA37F99">
      <w:pPr>
        <w:pStyle w:val="3"/>
        <w:spacing w:before="0" w:after="0" w:line="360" w:lineRule="auto"/>
        <w:rPr>
          <w:rFonts w:ascii="宋体" w:hAnsi="宋体"/>
          <w:b w:val="0"/>
          <w:snapToGrid w:val="0"/>
          <w:color w:val="auto"/>
          <w:sz w:val="24"/>
          <w:szCs w:val="24"/>
          <w:highlight w:val="none"/>
        </w:rPr>
      </w:pPr>
      <w:bookmarkStart w:id="664" w:name="_Toc12305"/>
      <w:bookmarkStart w:id="665" w:name="_Toc531632607"/>
      <w:bookmarkStart w:id="666" w:name="_Toc532384172"/>
      <w:r>
        <w:rPr>
          <w:rFonts w:ascii="宋体" w:hAnsi="宋体"/>
          <w:b w:val="0"/>
          <w:snapToGrid w:val="0"/>
          <w:color w:val="auto"/>
          <w:sz w:val="24"/>
          <w:szCs w:val="24"/>
          <w:highlight w:val="none"/>
        </w:rPr>
        <w:t>9.设计责任与保险</w:t>
      </w:r>
      <w:bookmarkEnd w:id="664"/>
      <w:bookmarkEnd w:id="665"/>
      <w:bookmarkEnd w:id="666"/>
    </w:p>
    <w:p w14:paraId="07998545">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9.1 工作质量责任</w:t>
      </w:r>
    </w:p>
    <w:p w14:paraId="72878D9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9.1.1 设计工作质量应满足法律规定、规范标准、合同约定和发包人要求等。</w:t>
      </w:r>
    </w:p>
    <w:p w14:paraId="044B5A5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9.1.2 设计人应做好设计服务的质量与技术管理工作，建立健全内部质量管理体系和质量责</w:t>
      </w:r>
      <w:bookmarkStart w:id="667" w:name="page63"/>
      <w:bookmarkEnd w:id="667"/>
      <w:r>
        <w:rPr>
          <w:rFonts w:ascii="宋体" w:hAnsi="宋体"/>
          <w:color w:val="auto"/>
          <w:kern w:val="0"/>
          <w:szCs w:val="21"/>
          <w:highlight w:val="none"/>
        </w:rPr>
        <w:t>任制度，加强设计服务全过程的质量控制，建立完整的设计文件的设计、复核、审核、会签和批准制度，明确各阶段的责任人。</w:t>
      </w:r>
    </w:p>
    <w:p w14:paraId="1C8F30F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9.1.3 设计人应按合同约定对设计服务进行全过程的质量检查和检验，并作详细记录。</w:t>
      </w:r>
    </w:p>
    <w:p w14:paraId="4EB9427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9.1.4 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14:paraId="131E17EC">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9.2 设计文件错误责任</w:t>
      </w:r>
    </w:p>
    <w:p w14:paraId="4738703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9.2.1 设计文件存在错误、遗漏、含混、矛盾、不充分之处或其他缺陷，无论设计人是否通过了发包人审查或审查机构审查，设计人均应自费对前述问题带来的缺陷和工程问题进行改正，但因第1.7.2 项约定由发包人提供的文件错误导致的除外。</w:t>
      </w:r>
    </w:p>
    <w:p w14:paraId="7984FD5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9.2.2 因设计人原因造成设计文件不合格的，发包人有权要求设计人采取补救措施，直至达到合同要求的质量标准，并按第 14.1 款的约定承担责任。</w:t>
      </w:r>
    </w:p>
    <w:p w14:paraId="6A81D4F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9.2.3 因发包人原因造成设计文件不合格的，设计人应当采取补救措施，直至达到合同要求的质量标准，由此造成的设计费用增加和（或）设计服务期限延误由发包人承担。</w:t>
      </w:r>
    </w:p>
    <w:p w14:paraId="5D1FD6A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9.3 设计责任主体</w:t>
      </w:r>
    </w:p>
    <w:p w14:paraId="65BAED2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9.3.1 设计人应运用一切合理的专业技术、知识技能和项目经验，按照职业道德准则和行业公认标准尽其全部职责，勤勉、谨慎、公正地履行其在本合同项下的责任和义务。</w:t>
      </w:r>
    </w:p>
    <w:p w14:paraId="4783491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9.3.2 设计责任为设计单位项目负责人终身责任制。项目负责人应当保证设计文件符合法律法规和工程建设强制性标准的要求，对因设计导致的工程质量事故或质量问题承担责任。</w:t>
      </w:r>
    </w:p>
    <w:p w14:paraId="0C07DA5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9.3.3 项目负责人应当在办理工程质量监督手续前签署工程质量终身责任承诺书，连同法定代表人出具的授权书，报工程质量监督机构备案。</w:t>
      </w:r>
    </w:p>
    <w:p w14:paraId="67C9196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9.4 设计责任保险</w:t>
      </w:r>
    </w:p>
    <w:p w14:paraId="0FD23B9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9.4.1 除专用合同条款另有约定外，设计人应具有发包人认可的、履行本合同所需要的工程设计责任险，于合同签订后 28 天内向发包人提交工程设计责任险的保险单副本或者其他有效证明，并在合同履行期间保持足额、有效。</w:t>
      </w:r>
    </w:p>
    <w:p w14:paraId="76139B9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9.4.2 工程设计责任险的保险范围，应当包括由于设计人的疏忽或过失而造成的工程质量事故损失，以及由于事故引发的第三者人身伤亡、财产损失或费用赔偿等。</w:t>
      </w:r>
    </w:p>
    <w:p w14:paraId="4D89F69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68" w:name="page64"/>
      <w:bookmarkEnd w:id="668"/>
      <w:r>
        <w:rPr>
          <w:rFonts w:ascii="宋体" w:hAnsi="宋体"/>
          <w:color w:val="auto"/>
          <w:kern w:val="0"/>
          <w:szCs w:val="21"/>
          <w:highlight w:val="none"/>
        </w:rPr>
        <w:t>9.4.3 发生工程设计保险事故后，设计人应按保险人要求进行报告，并负责办理保险理赔业务；保险金不足以补偿损失的，由设计人自行补偿。</w:t>
      </w:r>
    </w:p>
    <w:p w14:paraId="49F484FD">
      <w:pPr>
        <w:pStyle w:val="3"/>
        <w:spacing w:before="0" w:after="0" w:line="360" w:lineRule="auto"/>
        <w:rPr>
          <w:rFonts w:ascii="宋体" w:hAnsi="宋体"/>
          <w:b w:val="0"/>
          <w:snapToGrid w:val="0"/>
          <w:color w:val="auto"/>
          <w:sz w:val="24"/>
          <w:szCs w:val="24"/>
          <w:highlight w:val="none"/>
        </w:rPr>
      </w:pPr>
      <w:bookmarkStart w:id="669" w:name="_Toc13482"/>
      <w:bookmarkStart w:id="670" w:name="_Toc531632608"/>
      <w:bookmarkStart w:id="671" w:name="_Toc532384173"/>
      <w:r>
        <w:rPr>
          <w:rFonts w:ascii="宋体" w:hAnsi="宋体"/>
          <w:b w:val="0"/>
          <w:snapToGrid w:val="0"/>
          <w:color w:val="auto"/>
          <w:sz w:val="24"/>
          <w:szCs w:val="24"/>
          <w:highlight w:val="none"/>
        </w:rPr>
        <w:t>10.施工期间配合</w:t>
      </w:r>
      <w:bookmarkEnd w:id="669"/>
      <w:bookmarkEnd w:id="670"/>
      <w:bookmarkEnd w:id="671"/>
    </w:p>
    <w:p w14:paraId="625FBF6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10.1 施工配合指设计人配合施工承包人，在施工期间提供的设计服务或其他配合工作，直至工程通过竣工验收为止。</w:t>
      </w:r>
    </w:p>
    <w:p w14:paraId="1AD8F4F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10.2 除专用合同条款另有约定外，发包人应为设计人派赴施工现场的工作人员提供便利，包括在施工期间提供办公房间、办公桌椅、互联网接口、冷暖设施、生活设施、进出现场交通服务和其他便利条件。</w:t>
      </w:r>
    </w:p>
    <w:p w14:paraId="5FE0D0A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10.3 设计人应在本工程的施工期间，积极提供设计配合服务，包括并不限于设计技术交底、施工现场服务、参与施工过程验收、参与投产试车（试运行）、参与工程竣工验收等工作。</w:t>
      </w:r>
    </w:p>
    <w:p w14:paraId="497A314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10.4 发包人应当组织设计技术交底会，由设计人向发包人、监理人和施工承包人等进行设计交底，对本工程的设计意图、设计文件和施工要求等进行系统地说明和解释。</w:t>
      </w:r>
    </w:p>
    <w:p w14:paraId="78BF42B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10.5 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14:paraId="5E04088A">
      <w:pPr>
        <w:pStyle w:val="3"/>
        <w:spacing w:before="0" w:after="0" w:line="360" w:lineRule="auto"/>
        <w:rPr>
          <w:rFonts w:ascii="宋体" w:hAnsi="宋体"/>
          <w:b w:val="0"/>
          <w:snapToGrid w:val="0"/>
          <w:color w:val="auto"/>
          <w:sz w:val="24"/>
          <w:szCs w:val="24"/>
          <w:highlight w:val="none"/>
        </w:rPr>
      </w:pPr>
      <w:bookmarkStart w:id="672" w:name="_Toc532384174"/>
      <w:bookmarkStart w:id="673" w:name="_Toc531632609"/>
      <w:bookmarkStart w:id="674" w:name="_Toc20799"/>
      <w:r>
        <w:rPr>
          <w:rFonts w:ascii="宋体" w:hAnsi="宋体"/>
          <w:b w:val="0"/>
          <w:snapToGrid w:val="0"/>
          <w:color w:val="auto"/>
          <w:sz w:val="24"/>
          <w:szCs w:val="24"/>
          <w:highlight w:val="none"/>
        </w:rPr>
        <w:t>11.合同变更</w:t>
      </w:r>
      <w:bookmarkEnd w:id="672"/>
      <w:bookmarkEnd w:id="673"/>
      <w:bookmarkEnd w:id="674"/>
    </w:p>
    <w:p w14:paraId="0A69DBFC">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 变更情形</w:t>
      </w:r>
    </w:p>
    <w:p w14:paraId="389187B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11.1.1 合同履行中发生下述情形时，合同一方均可向对方提出变更请求，经双方协商一致后进行变更，设计服务期限和设计费用的调整方法在专用合同条款中约定。</w:t>
      </w:r>
    </w:p>
    <w:p w14:paraId="4223CFE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（1）设计范围、内容、标准发生变化；</w:t>
      </w:r>
    </w:p>
    <w:p w14:paraId="5DE28B4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（2）除不可抗力外，非设计人的原因引起的周期延误；</w:t>
      </w:r>
    </w:p>
    <w:p w14:paraId="2FB60E5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（3）非设计人的原因，对工程同一部分重复进行设计；</w:t>
      </w:r>
    </w:p>
    <w:p w14:paraId="59D8B82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（4）非设计人的原因，对工程暂停设计及恢复设计。</w:t>
      </w:r>
    </w:p>
    <w:p w14:paraId="2A1DB11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11.1.2 基准日后，因颁布新的或修订原有法律、法规、规范和标准等引发合同变更情形的，按照上述约定进行调整。</w:t>
      </w:r>
    </w:p>
    <w:p w14:paraId="5527470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w:t>
      </w:r>
      <w:r>
        <w:rPr>
          <w:rFonts w:ascii="宋体" w:hAnsi="宋体"/>
          <w:color w:val="auto"/>
          <w:kern w:val="0"/>
          <w:szCs w:val="21"/>
          <w:highlight w:val="none"/>
        </w:rPr>
        <w:t>合同双方必须严格执行经批准的设计文件，不得擅自变更。确需变更设计的，应按照相关主管部门规定办理，经批准后方可实施，重大设计变更、投资超概等应按程序报批。</w:t>
      </w:r>
    </w:p>
    <w:p w14:paraId="66EC841D">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 合理化建议</w:t>
      </w:r>
    </w:p>
    <w:p w14:paraId="4B5CB42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11.2.1 合同履行中，设计人可对发包人要求提出合理化建议。合理化建议应以书面形式提交发包人，被发包人采纳并构成变更的，执行第 11.1 款约定。</w:t>
      </w:r>
    </w:p>
    <w:p w14:paraId="69EE23B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11.2.2 设计人提出的合理化建议降低了工程投资、缩短了施工期限或者提高了工程经济效益的，发包人应按专用合同条款中的约定给予奖励。</w:t>
      </w:r>
    </w:p>
    <w:p w14:paraId="0BB93FD6">
      <w:pPr>
        <w:pStyle w:val="3"/>
        <w:spacing w:before="0" w:after="0" w:line="360" w:lineRule="auto"/>
        <w:rPr>
          <w:rFonts w:ascii="宋体" w:hAnsi="宋体"/>
          <w:b w:val="0"/>
          <w:snapToGrid w:val="0"/>
          <w:color w:val="auto"/>
          <w:sz w:val="24"/>
          <w:szCs w:val="24"/>
          <w:highlight w:val="none"/>
        </w:rPr>
      </w:pPr>
      <w:bookmarkStart w:id="675" w:name="_Toc531632610"/>
      <w:bookmarkStart w:id="676" w:name="_Toc11091"/>
      <w:bookmarkStart w:id="677" w:name="_Toc532384175"/>
      <w:r>
        <w:rPr>
          <w:rFonts w:ascii="宋体" w:hAnsi="宋体"/>
          <w:b w:val="0"/>
          <w:snapToGrid w:val="0"/>
          <w:color w:val="auto"/>
          <w:sz w:val="24"/>
          <w:szCs w:val="24"/>
          <w:highlight w:val="none"/>
        </w:rPr>
        <w:t>12.合同价格与支付</w:t>
      </w:r>
      <w:bookmarkEnd w:id="675"/>
      <w:bookmarkEnd w:id="676"/>
      <w:bookmarkEnd w:id="677"/>
    </w:p>
    <w:p w14:paraId="0627490B">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12.1 合同价格</w:t>
      </w:r>
    </w:p>
    <w:p w14:paraId="0A075EA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12.1.1 本合同的价款计算方式、支付方式、调整方式和风险范围划分，在专用合同条款中约定。</w:t>
      </w:r>
    </w:p>
    <w:p w14:paraId="6860572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12.1.2 本合同的价款实行分阶段支付，即设计人完成阶段设计文件后，发包人按专用条款约定方式支付。</w:t>
      </w:r>
    </w:p>
    <w:p w14:paraId="213AFF7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12.1.3 除专用合同条款另有约定外，合同设计费应当包括收集资料、踏勘现场、设计、编制设计文件、施工配合等合同约定范围内的设计工作费用和国家规定的增值税税金。</w:t>
      </w:r>
    </w:p>
    <w:p w14:paraId="29C5EAF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12.1.4除专用合同条款另有约定外，发包人要求设计人进行外出考察、试验检测、专项咨询或专家评审时，相应费用不含在合同价格之中，由发包人另行支付。</w:t>
      </w:r>
    </w:p>
    <w:p w14:paraId="075F1AB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12.2 定金或预付款</w:t>
      </w:r>
    </w:p>
    <w:p w14:paraId="0635CFA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12.2.1 定金或预付款应专用于本工程的设计。定金或预付款的额度、支付方式及抵扣方式在专用合同条款中约定。</w:t>
      </w:r>
    </w:p>
    <w:p w14:paraId="1DF563D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12.2.2 发包人应在收到定金或预付款支付申请后 28 天内，将定金或预付款支付给设计人；设计人应当提供等额的增值税发票。</w:t>
      </w:r>
    </w:p>
    <w:p w14:paraId="1DD9D88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12.2.3 设计服务完成之前，由于不可抗力或其他非设计人的原因解除合同时，定金不予退还。</w:t>
      </w:r>
    </w:p>
    <w:p w14:paraId="31F7CE93">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12.3 中期支付</w:t>
      </w:r>
    </w:p>
    <w:p w14:paraId="5A98A32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12.3.1 设计人应按发包人批准或专用合同条款约定的格式及份数，向发包人提交中期支付申请，并附相应的支持性证明文件。</w:t>
      </w:r>
    </w:p>
    <w:p w14:paraId="5FF8B91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12.3.2 发包人应在收到中期支付申请后的 28 天内，将应付款项支付给设计人；设计人应当</w:t>
      </w:r>
      <w:bookmarkStart w:id="678" w:name="page66"/>
      <w:bookmarkEnd w:id="678"/>
      <w:r>
        <w:rPr>
          <w:rFonts w:ascii="宋体" w:hAnsi="宋体"/>
          <w:color w:val="auto"/>
          <w:kern w:val="0"/>
          <w:szCs w:val="21"/>
          <w:highlight w:val="none"/>
        </w:rPr>
        <w:t>提供等额的增值税发票。发包人未能在前述时间内完成审批或不予答复的，视为发包人同意中期支付申请。发包人不按期支付的，按专用合同条款的约定支付逾期付款违约金。</w:t>
      </w:r>
    </w:p>
    <w:p w14:paraId="1D25F0A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12.3.3 中期支付涉及政府投资资金的，按照国库集中支付等国家相关规定和专用合同条款的约定执行。</w:t>
      </w:r>
    </w:p>
    <w:p w14:paraId="799EFE9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12.4 费用结算</w:t>
      </w:r>
    </w:p>
    <w:p w14:paraId="265E756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12.4.1 合同工作完成后，设计人可按专用合同条款约定的份数和期限，向发包人提交设计费用结算申请，并提供相关证明材料。</w:t>
      </w:r>
    </w:p>
    <w:p w14:paraId="3444EC6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12.4.2 发包人应在收到费用结算申请后的 28 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14:paraId="734D02E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12.4.3 发包人对费用结算申请内容有异议的，有权要求设计人进行修正和提供补充资料，由设计人重新提交。设计人对此有异议的，按第 15 条的约定执行。</w:t>
      </w:r>
    </w:p>
    <w:p w14:paraId="2C0CD92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12.4.4 最终结清付款涉及政府投资资金的，按第 12.3.3 项的约定执行。</w:t>
      </w:r>
    </w:p>
    <w:p w14:paraId="3E02CC0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 暂列金额</w:t>
      </w:r>
    </w:p>
    <w:p w14:paraId="106006C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12.5.1 本合同的暂列金额在专用合同条款中约定。暂列金额应按发包人的书面指示全部或部分地使用，或根本不予动用。</w:t>
      </w:r>
    </w:p>
    <w:p w14:paraId="0DF5AAD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12.5.2 如果使用暂列金额进行某项额外设计工作、专题研究、审查和会务工作，其费用应按实际发生的工作费用经发包人核实后支付。</w:t>
      </w:r>
    </w:p>
    <w:p w14:paraId="0492DB7E">
      <w:pPr>
        <w:pStyle w:val="3"/>
        <w:spacing w:before="0" w:after="0" w:line="360" w:lineRule="auto"/>
        <w:rPr>
          <w:rFonts w:ascii="宋体" w:hAnsi="宋体"/>
          <w:b w:val="0"/>
          <w:snapToGrid w:val="0"/>
          <w:color w:val="auto"/>
          <w:sz w:val="24"/>
          <w:szCs w:val="24"/>
          <w:highlight w:val="none"/>
        </w:rPr>
      </w:pPr>
      <w:bookmarkStart w:id="679" w:name="_Toc531632611"/>
      <w:bookmarkStart w:id="680" w:name="_Toc532384176"/>
      <w:bookmarkStart w:id="681" w:name="_Toc16589"/>
      <w:r>
        <w:rPr>
          <w:rFonts w:ascii="宋体" w:hAnsi="宋体"/>
          <w:b w:val="0"/>
          <w:snapToGrid w:val="0"/>
          <w:color w:val="auto"/>
          <w:sz w:val="24"/>
          <w:szCs w:val="24"/>
          <w:highlight w:val="none"/>
        </w:rPr>
        <w:t>13.不可抗力</w:t>
      </w:r>
      <w:bookmarkEnd w:id="679"/>
      <w:bookmarkEnd w:id="680"/>
      <w:bookmarkEnd w:id="681"/>
    </w:p>
    <w:p w14:paraId="2411404E">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13.1 不可抗力的确认</w:t>
      </w:r>
    </w:p>
    <w:p w14:paraId="44084B9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13.1.1 不可抗力是指设计人和发包人在订立合同时不可预见，在履行合同过程中不可避免发生并不能克服的自然灾害和社会性突发事件，如地震、海啸、瘟疫、水灾、骚乱、暴动、战争和专用合同条款约定的其他情形。</w:t>
      </w:r>
    </w:p>
    <w:p w14:paraId="546BC4B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13.1.2 不可抗力发生后，发包人和设计人应及时认真统计所造成的损失，收集不可抗力造成损失的证据。合同双方对是否属于不可抗力或其损失的意见不一致的，由合同双方协商确定。</w:t>
      </w:r>
    </w:p>
    <w:p w14:paraId="76FA52ED">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13.2 不可抗力的通知</w:t>
      </w:r>
    </w:p>
    <w:p w14:paraId="0C302E8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13.2.1 合同一方当事人遇到不可抗力事件，使其履行合同义务受到阻碍时，应立即通知合同另一方当事人，书面说明不可抗力和受阻碍的详细情况，并提供必要的证明。</w:t>
      </w:r>
    </w:p>
    <w:p w14:paraId="72FBFCA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13.2.2 如不可抗力持续发生，合同一方当事人应及时向合同另一方当事人提交中间报告，说明不可抗力和履行合同受阻的情况，并于不可抗力事件结束后 28 天内提交最终报告及有关资料。</w:t>
      </w:r>
    </w:p>
    <w:p w14:paraId="597BA46F">
      <w:pPr>
        <w:keepNext/>
        <w:keepLines/>
        <w:spacing w:before="120" w:after="120" w:line="360" w:lineRule="auto"/>
        <w:ind w:firstLine="420" w:firstLineChars="200"/>
        <w:outlineLvl w:val="4"/>
        <w:rPr>
          <w:rFonts w:ascii="宋体" w:hAnsi="宋体"/>
          <w:bCs/>
          <w:color w:val="auto"/>
          <w:szCs w:val="21"/>
          <w:highlight w:val="none"/>
        </w:rPr>
      </w:pPr>
      <w:bookmarkStart w:id="682" w:name="page67"/>
      <w:bookmarkEnd w:id="682"/>
      <w:r>
        <w:rPr>
          <w:rFonts w:ascii="宋体" w:hAnsi="宋体"/>
          <w:bCs/>
          <w:color w:val="auto"/>
          <w:szCs w:val="21"/>
          <w:highlight w:val="none"/>
        </w:rPr>
        <w:t>13.3 不可抗力后果及其处理</w:t>
      </w:r>
    </w:p>
    <w:p w14:paraId="57094A7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13.3.1 不可抗力引起的后果及其损失，应由合同当事人依据法律规定各自承担。不可抗力发生前已完成的设计工作，应当按照合同约定进行支付。</w:t>
      </w:r>
    </w:p>
    <w:p w14:paraId="6235E0E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13.3.2 不可抗力发生后，合同当事人应当采取有效措施避免损失进一步扩大，如未采取有效措施致使损失扩大的，应当自行承担扩大部分的损失。</w:t>
      </w:r>
    </w:p>
    <w:p w14:paraId="57D5C11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13.3.3 因一方当事人迟延履行合同义务，致使迟延履行期间遭遇不可抗力的，应由该当事人承担全部损失。</w:t>
      </w:r>
    </w:p>
    <w:p w14:paraId="48A42806">
      <w:pPr>
        <w:pStyle w:val="3"/>
        <w:spacing w:before="0" w:after="0" w:line="360" w:lineRule="auto"/>
        <w:rPr>
          <w:rFonts w:ascii="宋体" w:hAnsi="宋体"/>
          <w:b w:val="0"/>
          <w:snapToGrid w:val="0"/>
          <w:color w:val="auto"/>
          <w:sz w:val="24"/>
          <w:szCs w:val="24"/>
          <w:highlight w:val="none"/>
        </w:rPr>
      </w:pPr>
      <w:bookmarkStart w:id="683" w:name="_Toc531632612"/>
      <w:bookmarkStart w:id="684" w:name="_Toc532384177"/>
      <w:bookmarkStart w:id="685" w:name="_Toc15275"/>
      <w:r>
        <w:rPr>
          <w:rFonts w:ascii="宋体" w:hAnsi="宋体"/>
          <w:b w:val="0"/>
          <w:snapToGrid w:val="0"/>
          <w:color w:val="auto"/>
          <w:sz w:val="24"/>
          <w:szCs w:val="24"/>
          <w:highlight w:val="none"/>
        </w:rPr>
        <w:t>14.违约</w:t>
      </w:r>
      <w:bookmarkEnd w:id="683"/>
      <w:bookmarkEnd w:id="684"/>
      <w:bookmarkEnd w:id="685"/>
    </w:p>
    <w:p w14:paraId="20F43AE7">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14.1 设计人违约</w:t>
      </w:r>
    </w:p>
    <w:p w14:paraId="7B711B0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14.1.1合同履行中发生下列情况之一的，属设计人违约：</w:t>
      </w:r>
    </w:p>
    <w:p w14:paraId="2D46332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（1）设计文件不符合法律、行政法规等规定；</w:t>
      </w:r>
    </w:p>
    <w:p w14:paraId="442A2A7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（2）设计文件不符合合同约定； </w:t>
      </w:r>
    </w:p>
    <w:p w14:paraId="099D504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（3）设计人转包、违法分包或者未经发包人同意擅自分包；</w:t>
      </w:r>
    </w:p>
    <w:p w14:paraId="0F9A8B2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（4）设计人未按合同计划完成设计，从而造成工程损失；</w:t>
      </w:r>
    </w:p>
    <w:p w14:paraId="3F43A26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（5）设计人无故停止履行合同的；</w:t>
      </w:r>
    </w:p>
    <w:p w14:paraId="14AC27F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（6）因设计人原因，导致合同无法继续履行；</w:t>
      </w:r>
    </w:p>
    <w:p w14:paraId="0120FBF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（7）设计人不履行合同约定的其他义务。</w:t>
      </w:r>
    </w:p>
    <w:p w14:paraId="5B82580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14.1.2 </w:t>
      </w:r>
      <w:r>
        <w:rPr>
          <w:rFonts w:hint="eastAsia" w:ascii="宋体" w:hAnsi="宋体"/>
          <w:color w:val="auto"/>
          <w:kern w:val="0"/>
          <w:szCs w:val="21"/>
          <w:highlight w:val="none"/>
        </w:rPr>
        <w:t>合同履行中发生14.1.1项之一的，发包人可向设计人发出整改通知，设计人应按照发包人的要求在限定期限内整改并向发包人支付违约金；设计人在发包人限定整改期限内未完成整改的，发包人未解除合同的，设计人的违约状态持续的，设计人应向发包人支付违约金；设计人在发包人限定整改期限内拒不整改的，发包人有权单方解除合同并向设计人发出解除合同通知，设计人应向发包人支付违约金。设计人应当承担由于违约所造成的费用增加、周期延误和发包人损失等。设计人向发包人支付的违约金在专用合同条款中约定</w:t>
      </w:r>
      <w:r>
        <w:rPr>
          <w:rFonts w:ascii="宋体" w:hAnsi="宋体"/>
          <w:color w:val="auto"/>
          <w:kern w:val="0"/>
          <w:szCs w:val="21"/>
          <w:highlight w:val="none"/>
        </w:rPr>
        <w:t>。</w:t>
      </w:r>
    </w:p>
    <w:p w14:paraId="5E6342F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14.1.3合同生效后，设计人因自身原因要求终止或解除合同，设计人应按发包人已支付的定金金额双倍返还给发包人。</w:t>
      </w:r>
    </w:p>
    <w:p w14:paraId="7D53043D">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14.2 发包人违约</w:t>
      </w:r>
    </w:p>
    <w:p w14:paraId="6C0D78D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14.2.1 合同履行中发生下列情况之一的，属发包人违约：</w:t>
      </w:r>
    </w:p>
    <w:p w14:paraId="6BAE431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（1）发包人要求违反法律规定；</w:t>
      </w:r>
    </w:p>
    <w:p w14:paraId="2DAEB44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（2）发包人未按合同约定支付设计费用；</w:t>
      </w:r>
    </w:p>
    <w:p w14:paraId="2E21887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（3）发包人原因造成设计停止；</w:t>
      </w:r>
    </w:p>
    <w:p w14:paraId="7880463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（4）因发包人原因，导致合同无法继续履行；</w:t>
      </w:r>
    </w:p>
    <w:p w14:paraId="3952C58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（5）发包人不履行合同约定的其他义务。</w:t>
      </w:r>
    </w:p>
    <w:p w14:paraId="06474F8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14.2.2 发包人发生违约情况时，设计人可向发包人发出履约通知，要求其在限定期限内履行合同；限期内仍未履行合同的，设计人有权解除合同并向发包人发出解除合同通知。发包人应当承担由于违约</w:t>
      </w:r>
      <w:r>
        <w:rPr>
          <w:rFonts w:ascii="宋体" w:hAnsi="宋体"/>
          <w:color w:val="auto"/>
          <w:kern w:val="0"/>
          <w:szCs w:val="21"/>
          <w:highlight w:val="none"/>
        </w:rPr>
        <w:t>所造成的周期延误等。</w:t>
      </w:r>
    </w:p>
    <w:p w14:paraId="48B2BBA0">
      <w:pPr>
        <w:keepNext/>
        <w:keepLines/>
        <w:spacing w:before="120" w:after="120" w:line="360" w:lineRule="auto"/>
        <w:ind w:firstLine="420" w:firstLineChars="200"/>
        <w:outlineLvl w:val="4"/>
        <w:rPr>
          <w:rFonts w:ascii="宋体" w:hAnsi="宋体"/>
          <w:bCs/>
          <w:color w:val="auto"/>
          <w:szCs w:val="21"/>
          <w:highlight w:val="none"/>
        </w:rPr>
      </w:pPr>
      <w:bookmarkStart w:id="686" w:name="page68"/>
      <w:bookmarkEnd w:id="686"/>
      <w:r>
        <w:rPr>
          <w:rFonts w:ascii="宋体" w:hAnsi="宋体"/>
          <w:bCs/>
          <w:color w:val="auto"/>
          <w:szCs w:val="21"/>
          <w:highlight w:val="none"/>
        </w:rPr>
        <w:t>14.3 第三人造成的违约</w:t>
      </w:r>
    </w:p>
    <w:p w14:paraId="3C799BB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18AB09A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14.4任何一方按照前述约定行使合同解除权的，应提前30天书面通知对方。</w:t>
      </w:r>
    </w:p>
    <w:p w14:paraId="3C74DE21">
      <w:pPr>
        <w:pStyle w:val="3"/>
        <w:spacing w:before="0" w:after="0" w:line="360" w:lineRule="auto"/>
        <w:rPr>
          <w:rFonts w:ascii="宋体" w:hAnsi="宋体"/>
          <w:b w:val="0"/>
          <w:snapToGrid w:val="0"/>
          <w:color w:val="auto"/>
          <w:sz w:val="24"/>
          <w:szCs w:val="24"/>
          <w:highlight w:val="none"/>
        </w:rPr>
      </w:pPr>
      <w:bookmarkStart w:id="687" w:name="_Toc531632613"/>
      <w:bookmarkStart w:id="688" w:name="_Toc26078"/>
      <w:r>
        <w:rPr>
          <w:rFonts w:ascii="宋体" w:hAnsi="宋体"/>
          <w:b w:val="0"/>
          <w:snapToGrid w:val="0"/>
          <w:color w:val="auto"/>
          <w:sz w:val="24"/>
          <w:szCs w:val="24"/>
          <w:highlight w:val="none"/>
        </w:rPr>
        <w:t>15.争议的解决</w:t>
      </w:r>
      <w:bookmarkEnd w:id="687"/>
      <w:bookmarkEnd w:id="688"/>
    </w:p>
    <w:p w14:paraId="6D4ECA0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发包人和设计人在履行合同中发生争议的，可以友好协商解决。合同当事人友好协商解决不成的，可在专用合同条款中约定下列一种方式解决：</w:t>
      </w:r>
    </w:p>
    <w:p w14:paraId="1E100D3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（1）向约定的仲裁委员会申请仲裁；</w:t>
      </w:r>
    </w:p>
    <w:p w14:paraId="7C0115CE">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（2）向有管辖权的人民法院提起诉讼。</w:t>
      </w:r>
    </w:p>
    <w:p w14:paraId="3E6A36C6">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14:paraId="609CDB2C">
      <w:pPr>
        <w:pStyle w:val="2"/>
        <w:spacing w:line="360" w:lineRule="auto"/>
        <w:jc w:val="center"/>
        <w:rPr>
          <w:rFonts w:ascii="宋体" w:hAnsi="宋体"/>
          <w:color w:val="auto"/>
          <w:kern w:val="0"/>
          <w:sz w:val="28"/>
          <w:szCs w:val="28"/>
          <w:highlight w:val="none"/>
        </w:rPr>
      </w:pPr>
      <w:bookmarkStart w:id="689" w:name="_Toc532377320"/>
      <w:bookmarkStart w:id="690" w:name="_Toc532375607"/>
      <w:bookmarkStart w:id="691" w:name="_Toc28878"/>
      <w:bookmarkStart w:id="692" w:name="_Toc529388290"/>
      <w:r>
        <w:rPr>
          <w:rFonts w:hint="eastAsia" w:ascii="宋体" w:hAnsi="宋体"/>
          <w:color w:val="auto"/>
          <w:kern w:val="0"/>
          <w:sz w:val="28"/>
          <w:szCs w:val="28"/>
          <w:highlight w:val="none"/>
        </w:rPr>
        <w:t>第三部分 专用合同条款</w:t>
      </w:r>
      <w:bookmarkEnd w:id="689"/>
      <w:bookmarkEnd w:id="690"/>
      <w:bookmarkEnd w:id="691"/>
      <w:bookmarkEnd w:id="692"/>
    </w:p>
    <w:p w14:paraId="0DCA1331">
      <w:pPr>
        <w:pStyle w:val="3"/>
        <w:spacing w:before="0" w:after="0" w:line="360" w:lineRule="auto"/>
        <w:rPr>
          <w:rFonts w:ascii="宋体" w:hAnsi="宋体"/>
          <w:b w:val="0"/>
          <w:snapToGrid w:val="0"/>
          <w:color w:val="auto"/>
          <w:sz w:val="24"/>
          <w:szCs w:val="24"/>
          <w:highlight w:val="none"/>
        </w:rPr>
      </w:pPr>
      <w:bookmarkStart w:id="693" w:name="_Toc532384179"/>
      <w:bookmarkStart w:id="694" w:name="_Toc26009"/>
      <w:bookmarkStart w:id="695" w:name="_Toc531632615"/>
      <w:r>
        <w:rPr>
          <w:rFonts w:ascii="宋体" w:hAnsi="宋体"/>
          <w:b w:val="0"/>
          <w:snapToGrid w:val="0"/>
          <w:color w:val="auto"/>
          <w:sz w:val="24"/>
          <w:szCs w:val="24"/>
          <w:highlight w:val="none"/>
        </w:rPr>
        <w:t>1.一般约定</w:t>
      </w:r>
      <w:bookmarkEnd w:id="693"/>
      <w:bookmarkEnd w:id="694"/>
      <w:bookmarkEnd w:id="695"/>
    </w:p>
    <w:p w14:paraId="6A766C2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1.1词语定义</w:t>
      </w:r>
    </w:p>
    <w:p w14:paraId="451B84F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1.1.3.1 工程名称：</w:t>
      </w:r>
      <w:r>
        <w:rPr>
          <w:rFonts w:ascii="宋体" w:hAnsi="宋体"/>
          <w:color w:val="auto"/>
          <w:kern w:val="0"/>
          <w:szCs w:val="21"/>
          <w:highlight w:val="none"/>
          <w:u w:val="single"/>
        </w:rPr>
        <w:tab/>
      </w:r>
      <w:r>
        <w:rPr>
          <w:rFonts w:ascii="宋体" w:hAnsi="宋体"/>
          <w:color w:val="auto"/>
          <w:kern w:val="0"/>
          <w:szCs w:val="21"/>
          <w:highlight w:val="none"/>
        </w:rPr>
        <w:t>。</w:t>
      </w:r>
    </w:p>
    <w:p w14:paraId="72EAAB8B">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1.1.3.2 设计服务：</w:t>
      </w:r>
      <w:r>
        <w:rPr>
          <w:rFonts w:hint="eastAsia" w:ascii="宋体" w:hAnsi="宋体"/>
          <w:color w:val="auto"/>
          <w:kern w:val="0"/>
          <w:szCs w:val="21"/>
          <w:highlight w:val="none"/>
          <w:u w:val="single"/>
        </w:rPr>
        <w:t xml:space="preserve">初步设计阶段（工作内容含概算、现场勘查、初设图纸绘制）、施工图设计阶段（工作内容含现场复测、施工图绘制）等工程的设计工作及后期服务。施工招标期内招标人的答疑资料、澄清资料、其他补遗资料、技术交底等 </w:t>
      </w:r>
      <w:r>
        <w:rPr>
          <w:rFonts w:ascii="宋体" w:hAnsi="宋体"/>
          <w:color w:val="auto"/>
          <w:kern w:val="0"/>
          <w:szCs w:val="21"/>
          <w:highlight w:val="none"/>
        </w:rPr>
        <w:t>。</w:t>
      </w:r>
    </w:p>
    <w:p w14:paraId="13C22BCF">
      <w:pPr>
        <w:widowControl/>
        <w:tabs>
          <w:tab w:val="left" w:pos="9072"/>
          <w:tab w:val="left" w:pos="9781"/>
        </w:tabs>
        <w:spacing w:line="360" w:lineRule="auto"/>
        <w:ind w:firstLine="420" w:firstLineChars="200"/>
        <w:jc w:val="left"/>
        <w:outlineLvl w:val="4"/>
        <w:rPr>
          <w:rFonts w:ascii="宋体" w:hAnsi="宋体"/>
          <w:color w:val="auto"/>
          <w:kern w:val="0"/>
          <w:szCs w:val="21"/>
          <w:highlight w:val="none"/>
        </w:rPr>
      </w:pPr>
      <w:r>
        <w:rPr>
          <w:rFonts w:ascii="宋体" w:hAnsi="宋体"/>
          <w:bCs/>
          <w:color w:val="auto"/>
          <w:szCs w:val="21"/>
          <w:highlight w:val="none"/>
        </w:rPr>
        <w:t>1.3适用法律</w:t>
      </w:r>
      <w:r>
        <w:rPr>
          <w:rFonts w:ascii="宋体" w:hAnsi="宋体"/>
          <w:color w:val="auto"/>
          <w:kern w:val="0"/>
          <w:szCs w:val="21"/>
          <w:highlight w:val="none"/>
        </w:rPr>
        <w:t>：</w:t>
      </w:r>
      <w:r>
        <w:rPr>
          <w:rFonts w:hint="eastAsia" w:ascii="宋体" w:hAnsi="宋体"/>
          <w:color w:val="auto"/>
          <w:kern w:val="0"/>
          <w:szCs w:val="21"/>
          <w:highlight w:val="none"/>
          <w:u w:val="single"/>
        </w:rPr>
        <w:t>《中华人民共和国民法典》《中华人民共和国建筑法》《建设工程勘察设计合同条例》</w:t>
      </w:r>
      <w:r>
        <w:rPr>
          <w:rFonts w:ascii="宋体" w:hAnsi="宋体"/>
          <w:color w:val="auto"/>
          <w:kern w:val="0"/>
          <w:szCs w:val="21"/>
          <w:highlight w:val="none"/>
        </w:rPr>
        <w:t>。</w:t>
      </w:r>
    </w:p>
    <w:p w14:paraId="72BA2191">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 技术标准</w:t>
      </w:r>
    </w:p>
    <w:p w14:paraId="68BB880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ascii="宋体" w:hAnsi="宋体"/>
          <w:color w:val="auto"/>
          <w:kern w:val="0"/>
          <w:szCs w:val="21"/>
          <w:highlight w:val="none"/>
          <w:u w:val="single"/>
        </w:rPr>
        <w:t>（本工程的国家标准、行业标准、工程所在地的地方性标准等</w:t>
      </w:r>
      <w:r>
        <w:rPr>
          <w:rFonts w:hint="eastAsia" w:ascii="宋体" w:hAnsi="宋体"/>
          <w:color w:val="auto"/>
          <w:kern w:val="0"/>
          <w:szCs w:val="21"/>
          <w:highlight w:val="none"/>
          <w:u w:val="single"/>
        </w:rPr>
        <w:t>及发包人提出的设计要求进行工程设计</w:t>
      </w:r>
      <w:r>
        <w:rPr>
          <w:rFonts w:ascii="宋体" w:hAnsi="宋体"/>
          <w:color w:val="auto"/>
          <w:kern w:val="0"/>
          <w:szCs w:val="21"/>
          <w:highlight w:val="none"/>
          <w:u w:val="single"/>
        </w:rPr>
        <w:t>）</w:t>
      </w:r>
      <w:r>
        <w:rPr>
          <w:rFonts w:ascii="宋体" w:hAnsi="宋体"/>
          <w:color w:val="auto"/>
          <w:kern w:val="0"/>
          <w:szCs w:val="21"/>
          <w:highlight w:val="none"/>
        </w:rPr>
        <w:t>。</w:t>
      </w:r>
    </w:p>
    <w:p w14:paraId="6106C9B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1.4.2：国外技术标准原文版本和中文译本的提供方：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875C7BB">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提供国外技术标准的名称：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8E3C43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提供国外技术标准的份数：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52F1541">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提供国外技术标准的时间：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368DE2A">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提供国外技术标准的费用承担：</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27B014E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1.4.3：</w:t>
      </w:r>
      <w:r>
        <w:rPr>
          <w:rFonts w:ascii="宋体" w:hAnsi="宋体"/>
          <w:color w:val="auto"/>
          <w:kern w:val="0"/>
          <w:szCs w:val="21"/>
          <w:highlight w:val="none"/>
          <w:u w:val="single"/>
        </w:rPr>
        <w:t>（本工程的特殊技术标准、功能要求）</w:t>
      </w:r>
      <w:r>
        <w:rPr>
          <w:rFonts w:ascii="宋体" w:hAnsi="宋体"/>
          <w:color w:val="auto"/>
          <w:kern w:val="0"/>
          <w:szCs w:val="21"/>
          <w:highlight w:val="none"/>
          <w:u w:val="single"/>
        </w:rPr>
        <w:tab/>
      </w:r>
      <w:r>
        <w:rPr>
          <w:rFonts w:ascii="宋体" w:hAnsi="宋体"/>
          <w:color w:val="auto"/>
          <w:kern w:val="0"/>
          <w:szCs w:val="21"/>
          <w:highlight w:val="none"/>
        </w:rPr>
        <w:t>。</w:t>
      </w:r>
    </w:p>
    <w:p w14:paraId="6C5CDE6D">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1.7文件的提供</w:t>
      </w:r>
    </w:p>
    <w:p w14:paraId="4AE701C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1.7.2 发包人提供的文件</w:t>
      </w:r>
    </w:p>
    <w:p w14:paraId="0507DE10">
      <w:pPr>
        <w:widowControl/>
        <w:tabs>
          <w:tab w:val="left" w:pos="9072"/>
          <w:tab w:val="left" w:pos="9781"/>
        </w:tabs>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发包人提供的文件名称、份数、提交时间见下表（市政公用工程）：</w:t>
      </w:r>
    </w:p>
    <w:tbl>
      <w:tblPr>
        <w:tblStyle w:val="4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436"/>
        <w:gridCol w:w="1134"/>
        <w:gridCol w:w="2609"/>
        <w:gridCol w:w="1371"/>
      </w:tblGrid>
      <w:tr w14:paraId="6684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D14A4EF">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序号</w:t>
            </w:r>
          </w:p>
        </w:tc>
        <w:tc>
          <w:tcPr>
            <w:tcW w:w="3436" w:type="dxa"/>
            <w:vAlign w:val="center"/>
          </w:tcPr>
          <w:p w14:paraId="1D99F6A4">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发包人提供的文件名称</w:t>
            </w:r>
          </w:p>
        </w:tc>
        <w:tc>
          <w:tcPr>
            <w:tcW w:w="1134" w:type="dxa"/>
            <w:vAlign w:val="center"/>
          </w:tcPr>
          <w:p w14:paraId="1C09D838">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份数</w:t>
            </w:r>
          </w:p>
        </w:tc>
        <w:tc>
          <w:tcPr>
            <w:tcW w:w="2609" w:type="dxa"/>
            <w:vAlign w:val="center"/>
          </w:tcPr>
          <w:p w14:paraId="4E3B326C">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提交时间</w:t>
            </w:r>
          </w:p>
        </w:tc>
        <w:tc>
          <w:tcPr>
            <w:tcW w:w="1371" w:type="dxa"/>
            <w:vAlign w:val="center"/>
          </w:tcPr>
          <w:p w14:paraId="597AA364">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备注</w:t>
            </w:r>
          </w:p>
        </w:tc>
      </w:tr>
      <w:tr w14:paraId="1754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C3C2046">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3436" w:type="dxa"/>
            <w:vAlign w:val="center"/>
          </w:tcPr>
          <w:p w14:paraId="4649516F">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项目立项报告和审批文件</w:t>
            </w:r>
          </w:p>
        </w:tc>
        <w:tc>
          <w:tcPr>
            <w:tcW w:w="1134" w:type="dxa"/>
            <w:vAlign w:val="center"/>
          </w:tcPr>
          <w:p w14:paraId="2549F126">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 xml:space="preserve"> </w:t>
            </w:r>
          </w:p>
        </w:tc>
        <w:tc>
          <w:tcPr>
            <w:tcW w:w="2609" w:type="dxa"/>
            <w:vAlign w:val="center"/>
          </w:tcPr>
          <w:p w14:paraId="383EA18D">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56A7E70F">
            <w:pPr>
              <w:widowControl/>
              <w:tabs>
                <w:tab w:val="left" w:pos="9072"/>
                <w:tab w:val="left" w:pos="9781"/>
              </w:tabs>
              <w:spacing w:line="360" w:lineRule="auto"/>
              <w:jc w:val="center"/>
              <w:rPr>
                <w:rFonts w:ascii="宋体" w:hAnsi="宋体"/>
                <w:color w:val="auto"/>
                <w:kern w:val="0"/>
                <w:szCs w:val="21"/>
                <w:highlight w:val="none"/>
              </w:rPr>
            </w:pPr>
          </w:p>
        </w:tc>
      </w:tr>
      <w:tr w14:paraId="2B81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252842F">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3436" w:type="dxa"/>
            <w:vAlign w:val="center"/>
          </w:tcPr>
          <w:p w14:paraId="2033367A">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发包人要求即设计任务书（含对工艺、土建、设备等专业的具体要求）</w:t>
            </w:r>
          </w:p>
        </w:tc>
        <w:tc>
          <w:tcPr>
            <w:tcW w:w="1134" w:type="dxa"/>
            <w:vAlign w:val="center"/>
          </w:tcPr>
          <w:p w14:paraId="332A7E7D">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 xml:space="preserve"> </w:t>
            </w:r>
          </w:p>
        </w:tc>
        <w:tc>
          <w:tcPr>
            <w:tcW w:w="2609" w:type="dxa"/>
            <w:vAlign w:val="center"/>
          </w:tcPr>
          <w:p w14:paraId="550413E4">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45F43FF2">
            <w:pPr>
              <w:widowControl/>
              <w:tabs>
                <w:tab w:val="left" w:pos="9072"/>
                <w:tab w:val="left" w:pos="9781"/>
              </w:tabs>
              <w:spacing w:line="360" w:lineRule="auto"/>
              <w:jc w:val="center"/>
              <w:rPr>
                <w:rFonts w:ascii="宋体" w:hAnsi="宋体"/>
                <w:color w:val="auto"/>
                <w:kern w:val="0"/>
                <w:szCs w:val="21"/>
                <w:highlight w:val="none"/>
              </w:rPr>
            </w:pPr>
          </w:p>
        </w:tc>
      </w:tr>
      <w:tr w14:paraId="1EA5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070DC52C">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3436" w:type="dxa"/>
            <w:vAlign w:val="center"/>
          </w:tcPr>
          <w:p w14:paraId="26B93985">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厂址选择报告、土地使用协议、建筑红线图，建筑钉桩图</w:t>
            </w:r>
          </w:p>
        </w:tc>
        <w:tc>
          <w:tcPr>
            <w:tcW w:w="1134" w:type="dxa"/>
            <w:vAlign w:val="center"/>
          </w:tcPr>
          <w:p w14:paraId="5EC5EC88">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 xml:space="preserve"> </w:t>
            </w:r>
          </w:p>
        </w:tc>
        <w:tc>
          <w:tcPr>
            <w:tcW w:w="2609" w:type="dxa"/>
            <w:vAlign w:val="center"/>
          </w:tcPr>
          <w:p w14:paraId="10CAE921">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3F659337">
            <w:pPr>
              <w:widowControl/>
              <w:tabs>
                <w:tab w:val="left" w:pos="9072"/>
                <w:tab w:val="left" w:pos="9781"/>
              </w:tabs>
              <w:spacing w:line="360" w:lineRule="auto"/>
              <w:jc w:val="center"/>
              <w:rPr>
                <w:rFonts w:ascii="宋体" w:hAnsi="宋体"/>
                <w:color w:val="auto"/>
                <w:kern w:val="0"/>
                <w:szCs w:val="21"/>
                <w:highlight w:val="none"/>
              </w:rPr>
            </w:pPr>
          </w:p>
        </w:tc>
      </w:tr>
      <w:tr w14:paraId="3BF8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04056122">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3436" w:type="dxa"/>
            <w:vAlign w:val="center"/>
          </w:tcPr>
          <w:p w14:paraId="7C77C5CA">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当地规划部门的规划意见书</w:t>
            </w:r>
          </w:p>
        </w:tc>
        <w:tc>
          <w:tcPr>
            <w:tcW w:w="1134" w:type="dxa"/>
            <w:vAlign w:val="center"/>
          </w:tcPr>
          <w:p w14:paraId="1B6C8AC5">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2A969F1C">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6963FA78">
            <w:pPr>
              <w:widowControl/>
              <w:tabs>
                <w:tab w:val="left" w:pos="9072"/>
                <w:tab w:val="left" w:pos="9781"/>
              </w:tabs>
              <w:spacing w:line="360" w:lineRule="auto"/>
              <w:jc w:val="center"/>
              <w:rPr>
                <w:rFonts w:ascii="宋体" w:hAnsi="宋体"/>
                <w:color w:val="auto"/>
                <w:kern w:val="0"/>
                <w:szCs w:val="21"/>
                <w:highlight w:val="none"/>
              </w:rPr>
            </w:pPr>
          </w:p>
        </w:tc>
      </w:tr>
      <w:tr w14:paraId="48A8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3B9E1C2E">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3436" w:type="dxa"/>
            <w:vAlign w:val="center"/>
          </w:tcPr>
          <w:p w14:paraId="673D2F74">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自然资源、气象条件、地形地貌、水文及工程详细地质勘察报告</w:t>
            </w:r>
          </w:p>
        </w:tc>
        <w:tc>
          <w:tcPr>
            <w:tcW w:w="1134" w:type="dxa"/>
            <w:vAlign w:val="center"/>
          </w:tcPr>
          <w:p w14:paraId="0F6B5EA4">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71A26066">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582899DB">
            <w:pPr>
              <w:widowControl/>
              <w:tabs>
                <w:tab w:val="left" w:pos="9072"/>
                <w:tab w:val="left" w:pos="9781"/>
              </w:tabs>
              <w:spacing w:line="360" w:lineRule="auto"/>
              <w:jc w:val="center"/>
              <w:rPr>
                <w:rFonts w:ascii="宋体" w:hAnsi="宋体"/>
                <w:color w:val="auto"/>
                <w:kern w:val="0"/>
                <w:szCs w:val="21"/>
                <w:highlight w:val="none"/>
              </w:rPr>
            </w:pPr>
          </w:p>
        </w:tc>
      </w:tr>
      <w:tr w14:paraId="365F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6C55FD7F">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3436" w:type="dxa"/>
            <w:vAlign w:val="center"/>
          </w:tcPr>
          <w:p w14:paraId="5B6CEB13">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各阶段主管部门的审批意见</w:t>
            </w:r>
          </w:p>
        </w:tc>
        <w:tc>
          <w:tcPr>
            <w:tcW w:w="1134" w:type="dxa"/>
            <w:vAlign w:val="center"/>
          </w:tcPr>
          <w:p w14:paraId="0A38A05B">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730CEC01">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70CF8FBD">
            <w:pPr>
              <w:widowControl/>
              <w:tabs>
                <w:tab w:val="left" w:pos="9072"/>
                <w:tab w:val="left" w:pos="9781"/>
              </w:tabs>
              <w:spacing w:line="360" w:lineRule="auto"/>
              <w:jc w:val="center"/>
              <w:rPr>
                <w:rFonts w:ascii="宋体" w:hAnsi="宋体"/>
                <w:color w:val="auto"/>
                <w:kern w:val="0"/>
                <w:szCs w:val="21"/>
                <w:highlight w:val="none"/>
              </w:rPr>
            </w:pPr>
          </w:p>
        </w:tc>
      </w:tr>
      <w:tr w14:paraId="381A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6E23AA70">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3436" w:type="dxa"/>
            <w:vAlign w:val="center"/>
          </w:tcPr>
          <w:p w14:paraId="355AC148">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初步设计确认单</w:t>
            </w:r>
          </w:p>
        </w:tc>
        <w:tc>
          <w:tcPr>
            <w:tcW w:w="1134" w:type="dxa"/>
            <w:vAlign w:val="center"/>
          </w:tcPr>
          <w:p w14:paraId="6D0A74F5">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7BC4FE97">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1F03A37A">
            <w:pPr>
              <w:widowControl/>
              <w:tabs>
                <w:tab w:val="left" w:pos="9072"/>
                <w:tab w:val="left" w:pos="9781"/>
              </w:tabs>
              <w:spacing w:line="360" w:lineRule="auto"/>
              <w:jc w:val="center"/>
              <w:rPr>
                <w:rFonts w:ascii="宋体" w:hAnsi="宋体"/>
                <w:color w:val="auto"/>
                <w:kern w:val="0"/>
                <w:szCs w:val="21"/>
                <w:highlight w:val="none"/>
              </w:rPr>
            </w:pPr>
          </w:p>
        </w:tc>
      </w:tr>
      <w:tr w14:paraId="7FB5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70F24DC5">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3436" w:type="dxa"/>
            <w:vAlign w:val="center"/>
          </w:tcPr>
          <w:p w14:paraId="370BD5E1">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工程所在地地形图（1/500）电子版及区域位置图</w:t>
            </w:r>
          </w:p>
        </w:tc>
        <w:tc>
          <w:tcPr>
            <w:tcW w:w="1134" w:type="dxa"/>
            <w:vAlign w:val="center"/>
          </w:tcPr>
          <w:p w14:paraId="7EA8105B">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4AFDA867">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1F8B8549">
            <w:pPr>
              <w:widowControl/>
              <w:tabs>
                <w:tab w:val="left" w:pos="9072"/>
                <w:tab w:val="left" w:pos="9781"/>
              </w:tabs>
              <w:spacing w:line="360" w:lineRule="auto"/>
              <w:jc w:val="center"/>
              <w:rPr>
                <w:rFonts w:ascii="宋体" w:hAnsi="宋体"/>
                <w:color w:val="auto"/>
                <w:kern w:val="0"/>
                <w:szCs w:val="21"/>
                <w:highlight w:val="none"/>
              </w:rPr>
            </w:pPr>
          </w:p>
        </w:tc>
      </w:tr>
      <w:tr w14:paraId="5B5C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3C8258D2">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9</w:t>
            </w:r>
          </w:p>
        </w:tc>
        <w:tc>
          <w:tcPr>
            <w:tcW w:w="3436" w:type="dxa"/>
            <w:vAlign w:val="center"/>
          </w:tcPr>
          <w:p w14:paraId="350AE082">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交通、原料、外部供水、排水、供电、电信等位置、标高、坐标、管径或能力等资料</w:t>
            </w:r>
          </w:p>
        </w:tc>
        <w:tc>
          <w:tcPr>
            <w:tcW w:w="1134" w:type="dxa"/>
            <w:vAlign w:val="center"/>
          </w:tcPr>
          <w:p w14:paraId="03B4483C">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1CAFC110">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1572FD57">
            <w:pPr>
              <w:widowControl/>
              <w:tabs>
                <w:tab w:val="left" w:pos="9072"/>
                <w:tab w:val="left" w:pos="9781"/>
              </w:tabs>
              <w:spacing w:line="360" w:lineRule="auto"/>
              <w:jc w:val="center"/>
              <w:rPr>
                <w:rFonts w:ascii="宋体" w:hAnsi="宋体"/>
                <w:color w:val="auto"/>
                <w:kern w:val="0"/>
                <w:szCs w:val="21"/>
                <w:highlight w:val="none"/>
              </w:rPr>
            </w:pPr>
          </w:p>
        </w:tc>
      </w:tr>
      <w:tr w14:paraId="3281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221582AE">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10</w:t>
            </w:r>
          </w:p>
        </w:tc>
        <w:tc>
          <w:tcPr>
            <w:tcW w:w="3436" w:type="dxa"/>
            <w:vAlign w:val="center"/>
          </w:tcPr>
          <w:p w14:paraId="11968535">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1134" w:type="dxa"/>
            <w:vAlign w:val="center"/>
          </w:tcPr>
          <w:p w14:paraId="502DFC66">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021B09E4">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24CEB55C">
            <w:pPr>
              <w:widowControl/>
              <w:tabs>
                <w:tab w:val="left" w:pos="9072"/>
                <w:tab w:val="left" w:pos="9781"/>
              </w:tabs>
              <w:spacing w:line="360" w:lineRule="auto"/>
              <w:jc w:val="center"/>
              <w:rPr>
                <w:rFonts w:ascii="宋体" w:hAnsi="宋体"/>
                <w:color w:val="auto"/>
                <w:kern w:val="0"/>
                <w:szCs w:val="21"/>
                <w:highlight w:val="none"/>
              </w:rPr>
            </w:pPr>
          </w:p>
        </w:tc>
      </w:tr>
      <w:tr w14:paraId="5E06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6533ADCA">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11</w:t>
            </w:r>
          </w:p>
        </w:tc>
        <w:tc>
          <w:tcPr>
            <w:tcW w:w="3436" w:type="dxa"/>
            <w:vAlign w:val="center"/>
          </w:tcPr>
          <w:p w14:paraId="704A8CD0">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1134" w:type="dxa"/>
            <w:vAlign w:val="center"/>
          </w:tcPr>
          <w:p w14:paraId="5DE2D6DE">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493DFBFA">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0045E01F">
            <w:pPr>
              <w:widowControl/>
              <w:tabs>
                <w:tab w:val="left" w:pos="9072"/>
                <w:tab w:val="left" w:pos="9781"/>
              </w:tabs>
              <w:spacing w:line="360" w:lineRule="auto"/>
              <w:jc w:val="center"/>
              <w:rPr>
                <w:rFonts w:ascii="宋体" w:hAnsi="宋体"/>
                <w:color w:val="auto"/>
                <w:kern w:val="0"/>
                <w:szCs w:val="21"/>
                <w:highlight w:val="none"/>
              </w:rPr>
            </w:pPr>
          </w:p>
        </w:tc>
      </w:tr>
      <w:tr w14:paraId="6AFA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39DB45C0">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12</w:t>
            </w:r>
          </w:p>
        </w:tc>
        <w:tc>
          <w:tcPr>
            <w:tcW w:w="3436" w:type="dxa"/>
            <w:vAlign w:val="center"/>
          </w:tcPr>
          <w:p w14:paraId="0CF8FF54">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1134" w:type="dxa"/>
            <w:vAlign w:val="center"/>
          </w:tcPr>
          <w:p w14:paraId="4382141F">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714B320C">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2200A69D">
            <w:pPr>
              <w:widowControl/>
              <w:tabs>
                <w:tab w:val="left" w:pos="9072"/>
                <w:tab w:val="left" w:pos="9781"/>
              </w:tabs>
              <w:spacing w:line="360" w:lineRule="auto"/>
              <w:jc w:val="center"/>
              <w:rPr>
                <w:rFonts w:ascii="宋体" w:hAnsi="宋体"/>
                <w:color w:val="auto"/>
                <w:kern w:val="0"/>
                <w:szCs w:val="21"/>
                <w:highlight w:val="none"/>
              </w:rPr>
            </w:pPr>
          </w:p>
        </w:tc>
      </w:tr>
      <w:tr w14:paraId="0110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14:paraId="17B15360">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说明</w:t>
            </w:r>
          </w:p>
        </w:tc>
        <w:tc>
          <w:tcPr>
            <w:tcW w:w="8550" w:type="dxa"/>
            <w:gridSpan w:val="4"/>
          </w:tcPr>
          <w:p w14:paraId="4EAC18F4">
            <w:pPr>
              <w:widowControl/>
              <w:tabs>
                <w:tab w:val="left" w:pos="9072"/>
                <w:tab w:val="left" w:pos="9781"/>
              </w:tabs>
              <w:spacing w:line="360" w:lineRule="auto"/>
              <w:jc w:val="left"/>
              <w:rPr>
                <w:rFonts w:ascii="宋体" w:hAnsi="宋体"/>
                <w:color w:val="auto"/>
                <w:kern w:val="0"/>
                <w:szCs w:val="21"/>
                <w:highlight w:val="none"/>
              </w:rPr>
            </w:pPr>
          </w:p>
        </w:tc>
      </w:tr>
    </w:tbl>
    <w:p w14:paraId="24A79A1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（上表内容仅供参考，发包人和设计人应当根据项目具体情况详细列举）</w:t>
      </w:r>
    </w:p>
    <w:p w14:paraId="1CC46228">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注：</w:t>
      </w:r>
      <w:r>
        <w:rPr>
          <w:rFonts w:ascii="宋体" w:hAnsi="宋体"/>
          <w:b/>
          <w:bCs/>
          <w:color w:val="auto"/>
          <w:kern w:val="0"/>
          <w:szCs w:val="21"/>
          <w:highlight w:val="none"/>
        </w:rPr>
        <w:t>以上资料</w:t>
      </w:r>
      <w:r>
        <w:rPr>
          <w:rFonts w:hint="eastAsia" w:ascii="宋体" w:hAnsi="宋体"/>
          <w:b/>
          <w:bCs/>
          <w:color w:val="auto"/>
          <w:kern w:val="0"/>
          <w:szCs w:val="21"/>
          <w:highlight w:val="none"/>
        </w:rPr>
        <w:t>发包人</w:t>
      </w:r>
      <w:r>
        <w:rPr>
          <w:rFonts w:ascii="宋体" w:hAnsi="宋体"/>
          <w:b/>
          <w:bCs/>
          <w:color w:val="auto"/>
          <w:kern w:val="0"/>
          <w:szCs w:val="21"/>
          <w:highlight w:val="none"/>
        </w:rPr>
        <w:t>如有时，设计人向发包人处索取</w:t>
      </w:r>
      <w:r>
        <w:rPr>
          <w:rFonts w:hint="eastAsia" w:ascii="宋体" w:hAnsi="宋体"/>
          <w:b/>
          <w:bCs/>
          <w:color w:val="auto"/>
          <w:kern w:val="0"/>
          <w:szCs w:val="21"/>
          <w:highlight w:val="none"/>
        </w:rPr>
        <w:t>。若发包人已书面告知设计人部分资料无法提供或已经提供完毕，设计人未提出异议，则视为发包人已经提供完整有效的资料，设计人应按期履行完义务。</w:t>
      </w:r>
    </w:p>
    <w:p w14:paraId="16644003">
      <w:pPr>
        <w:keepNext/>
        <w:keepLines/>
        <w:spacing w:before="120" w:after="120" w:line="360" w:lineRule="auto"/>
        <w:ind w:firstLine="420" w:firstLineChars="200"/>
        <w:outlineLvl w:val="4"/>
        <w:rPr>
          <w:rFonts w:ascii="宋体" w:hAnsi="宋体"/>
          <w:bCs/>
          <w:color w:val="auto"/>
          <w:szCs w:val="21"/>
          <w:highlight w:val="none"/>
        </w:rPr>
      </w:pPr>
      <w:r>
        <w:rPr>
          <w:rFonts w:hint="eastAsia" w:ascii="宋体" w:hAnsi="宋体"/>
          <w:bCs/>
          <w:color w:val="auto"/>
          <w:szCs w:val="21"/>
          <w:highlight w:val="none"/>
        </w:rPr>
        <w:t>1.8 联络</w:t>
      </w:r>
    </w:p>
    <w:p w14:paraId="6A92D90A">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1.8.2发包人指定的接收人：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送达地点：</w:t>
      </w:r>
      <w:r>
        <w:rPr>
          <w:rFonts w:ascii="宋体" w:hAnsi="宋体"/>
          <w:color w:val="auto"/>
          <w:kern w:val="0"/>
          <w:szCs w:val="21"/>
          <w:highlight w:val="none"/>
          <w:u w:val="single"/>
        </w:rPr>
        <w:t xml:space="preserve">         </w:t>
      </w:r>
      <w:r>
        <w:rPr>
          <w:rFonts w:ascii="宋体" w:hAnsi="宋体"/>
          <w:color w:val="auto"/>
          <w:kern w:val="0"/>
          <w:szCs w:val="21"/>
          <w:highlight w:val="none"/>
        </w:rPr>
        <w:t>电子邮箱：</w:t>
      </w:r>
      <w:r>
        <w:rPr>
          <w:rFonts w:ascii="宋体" w:hAnsi="宋体"/>
          <w:color w:val="auto"/>
          <w:kern w:val="0"/>
          <w:szCs w:val="21"/>
          <w:highlight w:val="none"/>
          <w:u w:val="single"/>
        </w:rPr>
        <w:t xml:space="preserve">     </w:t>
      </w:r>
      <w:r>
        <w:rPr>
          <w:rFonts w:ascii="宋体" w:hAnsi="宋体"/>
          <w:color w:val="auto"/>
          <w:kern w:val="0"/>
          <w:szCs w:val="21"/>
          <w:highlight w:val="none"/>
        </w:rPr>
        <w:t>电话：</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8C39BA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设计人指定的接收人：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送达地点：</w:t>
      </w:r>
      <w:r>
        <w:rPr>
          <w:rFonts w:ascii="宋体" w:hAnsi="宋体"/>
          <w:color w:val="auto"/>
          <w:kern w:val="0"/>
          <w:szCs w:val="21"/>
          <w:highlight w:val="none"/>
          <w:u w:val="single"/>
        </w:rPr>
        <w:t xml:space="preserve">         </w:t>
      </w:r>
      <w:r>
        <w:rPr>
          <w:rFonts w:ascii="宋体" w:hAnsi="宋体"/>
          <w:color w:val="auto"/>
          <w:kern w:val="0"/>
          <w:szCs w:val="21"/>
          <w:highlight w:val="none"/>
        </w:rPr>
        <w:t>电子邮箱：</w:t>
      </w:r>
      <w:r>
        <w:rPr>
          <w:rFonts w:ascii="宋体" w:hAnsi="宋体"/>
          <w:color w:val="auto"/>
          <w:kern w:val="0"/>
          <w:szCs w:val="21"/>
          <w:highlight w:val="none"/>
          <w:u w:val="single"/>
        </w:rPr>
        <w:t xml:space="preserve">     </w:t>
      </w:r>
      <w:r>
        <w:rPr>
          <w:rFonts w:ascii="宋体" w:hAnsi="宋体"/>
          <w:color w:val="auto"/>
          <w:kern w:val="0"/>
          <w:szCs w:val="21"/>
          <w:highlight w:val="none"/>
        </w:rPr>
        <w:t>电话：</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D3894C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1.8.3 上述地址为双方履行合同义务、解决合同争议时接收其他方文件信函或司法机关（法院、仲裁机构）诉讼、仲裁文书的唯一送达地址及联系方式。若一方送达地址、联系人、联系电话发生变更，应书面告知另一方。变更通知送达前，另一方按前述方式送达的文书均视为有效送达，并产生相应法律效力。按照前述方式送达时，自寄出五日起，则视为有效送达。在因本合同及本合同相关事宜发生诉讼/仲裁的情形下，上述约定的各方地址，同时作为各方的诉讼/仲裁文书送达地址，该通讯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370D3DC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1.8.4若地址为空白，则以国家企业信用信息公示系统查询的住所作为通讯地址。</w:t>
      </w:r>
    </w:p>
    <w:p w14:paraId="281A6F3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1.9</w:t>
      </w:r>
      <w:r>
        <w:rPr>
          <w:rFonts w:hint="eastAsia" w:ascii="宋体" w:hAnsi="宋体"/>
          <w:bCs/>
          <w:color w:val="auto"/>
          <w:szCs w:val="21"/>
          <w:highlight w:val="none"/>
        </w:rPr>
        <w:t xml:space="preserve"> 转让</w:t>
      </w:r>
    </w:p>
    <w:p w14:paraId="095AA05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设计人不得将合同义务转让给第三人。</w:t>
      </w:r>
      <w:bookmarkStart w:id="696" w:name="_Toc531632616"/>
    </w:p>
    <w:p w14:paraId="6BB9B15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1.11知识产权</w:t>
      </w:r>
    </w:p>
    <w:p w14:paraId="34104FBC">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1.11.1关于发包人提供给设计人的图纸、发包人为实施工程自行编制或委托编制的技术规格以及反映发包人关于合同要求或其他类似性质的文件的著作权的归属：</w:t>
      </w:r>
      <w:r>
        <w:rPr>
          <w:rFonts w:ascii="宋体" w:hAnsi="宋体"/>
          <w:color w:val="auto"/>
          <w:kern w:val="0"/>
          <w:szCs w:val="21"/>
          <w:highlight w:val="none"/>
          <w:u w:val="single"/>
        </w:rPr>
        <w:t></w:t>
      </w:r>
      <w:r>
        <w:rPr>
          <w:rFonts w:hint="eastAsia" w:ascii="宋体" w:hAnsi="宋体"/>
          <w:color w:val="auto"/>
          <w:kern w:val="0"/>
          <w:szCs w:val="21"/>
          <w:highlight w:val="none"/>
          <w:u w:val="single"/>
        </w:rPr>
        <w:t xml:space="preserve">发包人  </w:t>
      </w:r>
      <w:r>
        <w:rPr>
          <w:rFonts w:ascii="宋体" w:hAnsi="宋体"/>
          <w:color w:val="auto"/>
          <w:kern w:val="0"/>
          <w:szCs w:val="21"/>
          <w:highlight w:val="none"/>
        </w:rPr>
        <w:t>。</w:t>
      </w:r>
    </w:p>
    <w:p w14:paraId="73489533">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关于发包人提供的上述文件的使用限制的要求：</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至</w:t>
      </w:r>
      <w:r>
        <w:rPr>
          <w:rFonts w:ascii="宋体" w:hAnsi="宋体"/>
          <w:color w:val="auto"/>
          <w:kern w:val="0"/>
          <w:szCs w:val="21"/>
          <w:highlight w:val="none"/>
          <w:u w:val="single"/>
        </w:rPr>
        <w:t xml:space="preserve">本工程竣工验收备案止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315BE143">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1.11.2关于设计人为实施工程所编制文件的著作权的归属：</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发包人  </w:t>
      </w:r>
      <w:r>
        <w:rPr>
          <w:rFonts w:ascii="宋体" w:hAnsi="宋体"/>
          <w:color w:val="auto"/>
          <w:kern w:val="0"/>
          <w:szCs w:val="21"/>
          <w:highlight w:val="none"/>
        </w:rPr>
        <w:t>。</w:t>
      </w:r>
    </w:p>
    <w:p w14:paraId="770D73B4">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关于设计人提供的上述文件的使用限制的要求：</w:t>
      </w:r>
      <w:r>
        <w:rPr>
          <w:rFonts w:ascii="宋体" w:hAnsi="宋体"/>
          <w:color w:val="auto"/>
          <w:kern w:val="0"/>
          <w:szCs w:val="21"/>
          <w:highlight w:val="none"/>
          <w:u w:val="single"/>
        </w:rPr>
        <w:t></w:t>
      </w:r>
      <w:r>
        <w:rPr>
          <w:rFonts w:hint="eastAsia" w:ascii="宋体" w:hAnsi="宋体"/>
          <w:color w:val="auto"/>
          <w:kern w:val="0"/>
          <w:szCs w:val="21"/>
          <w:highlight w:val="none"/>
          <w:u w:val="single"/>
        </w:rPr>
        <w:t>发包人可</w:t>
      </w:r>
      <w:r>
        <w:rPr>
          <w:rFonts w:ascii="宋体" w:hAnsi="宋体"/>
          <w:color w:val="auto"/>
          <w:kern w:val="0"/>
          <w:szCs w:val="21"/>
          <w:highlight w:val="none"/>
          <w:u w:val="single"/>
        </w:rPr>
        <w:t xml:space="preserve">长期使用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0A302D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1.11.4设计人在设计过程中所采用的专利、专有技术的使用费的承担方式：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由设计人承担  </w:t>
      </w:r>
      <w:r>
        <w:rPr>
          <w:rFonts w:ascii="宋体" w:hAnsi="宋体"/>
          <w:color w:val="auto"/>
          <w:kern w:val="0"/>
          <w:szCs w:val="21"/>
          <w:highlight w:val="none"/>
        </w:rPr>
        <w:t>。</w:t>
      </w:r>
    </w:p>
    <w:p w14:paraId="542726B3">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1.12文件及信息的保密</w:t>
      </w:r>
    </w:p>
    <w:p w14:paraId="77915920">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保密期限：</w:t>
      </w:r>
      <w:r>
        <w:rPr>
          <w:rFonts w:ascii="宋体" w:hAnsi="宋体"/>
          <w:color w:val="auto"/>
          <w:kern w:val="0"/>
          <w:szCs w:val="21"/>
          <w:highlight w:val="none"/>
          <w:u w:val="single"/>
        </w:rPr>
        <w:t xml:space="preserve">   </w:t>
      </w:r>
      <w:r>
        <w:rPr>
          <w:rFonts w:ascii="宋体" w:hAnsi="宋体"/>
          <w:color w:val="auto"/>
          <w:kern w:val="0"/>
          <w:szCs w:val="21"/>
          <w:highlight w:val="none"/>
          <w:u w:val="single"/>
        </w:rPr>
        <w:t>（根据项目情况设置）</w:t>
      </w:r>
      <w:r>
        <w:rPr>
          <w:rFonts w:ascii="宋体" w:hAnsi="宋体"/>
          <w:color w:val="auto"/>
          <w:kern w:val="0"/>
          <w:szCs w:val="21"/>
          <w:highlight w:val="none"/>
          <w:u w:val="single"/>
        </w:rPr>
        <w:t xml:space="preserve"> </w:t>
      </w:r>
      <w:r>
        <w:rPr>
          <w:rFonts w:ascii="宋体" w:hAnsi="宋体"/>
          <w:color w:val="auto"/>
          <w:kern w:val="0"/>
          <w:szCs w:val="21"/>
          <w:highlight w:val="none"/>
        </w:rPr>
        <w:t>年，保密费已包含在合同价格中。</w:t>
      </w:r>
    </w:p>
    <w:p w14:paraId="74B71FB7">
      <w:pPr>
        <w:pStyle w:val="3"/>
        <w:spacing w:before="0" w:after="0" w:line="360" w:lineRule="auto"/>
        <w:rPr>
          <w:rFonts w:ascii="宋体" w:hAnsi="宋体"/>
          <w:b w:val="0"/>
          <w:snapToGrid w:val="0"/>
          <w:color w:val="auto"/>
          <w:sz w:val="24"/>
          <w:szCs w:val="24"/>
          <w:highlight w:val="none"/>
        </w:rPr>
      </w:pPr>
      <w:bookmarkStart w:id="697" w:name="_Toc28628"/>
      <w:bookmarkStart w:id="698" w:name="_Toc532384180"/>
      <w:r>
        <w:rPr>
          <w:rFonts w:ascii="宋体" w:hAnsi="宋体"/>
          <w:b w:val="0"/>
          <w:snapToGrid w:val="0"/>
          <w:color w:val="auto"/>
          <w:sz w:val="24"/>
          <w:szCs w:val="24"/>
          <w:highlight w:val="none"/>
        </w:rPr>
        <w:t>2.发包人义务</w:t>
      </w:r>
      <w:bookmarkEnd w:id="696"/>
      <w:bookmarkEnd w:id="697"/>
      <w:bookmarkEnd w:id="698"/>
    </w:p>
    <w:p w14:paraId="6FA7C2C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2.3办理证件和批件：</w:t>
      </w:r>
    </w:p>
    <w:p w14:paraId="56E22BBB">
      <w:pPr>
        <w:widowControl/>
        <w:autoSpaceDE w:val="0"/>
        <w:autoSpaceDN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发包人应遵守法律法规等规定，并办理规定由其办理的许可、核准或备案，包括但不限于</w:t>
      </w:r>
      <w:r>
        <w:rPr>
          <w:rFonts w:hint="eastAsia" w:ascii="宋体" w:hAnsi="宋体"/>
          <w:color w:val="auto"/>
          <w:kern w:val="0"/>
          <w:szCs w:val="21"/>
          <w:highlight w:val="none"/>
        </w:rPr>
        <w:t>(</w:t>
      </w:r>
      <w:r>
        <w:rPr>
          <w:rFonts w:ascii="宋体" w:hAnsi="宋体"/>
          <w:color w:val="auto"/>
          <w:kern w:val="0"/>
          <w:szCs w:val="21"/>
          <w:highlight w:val="none"/>
          <w:u w:val="single"/>
        </w:rPr>
        <w:t>建设用地规划许可证、建设工程规划许可证、建设工程方案设计批准、施工图设计审查</w:t>
      </w:r>
      <w:r>
        <w:rPr>
          <w:rFonts w:hint="eastAsia" w:ascii="宋体" w:hAnsi="宋体"/>
          <w:color w:val="auto"/>
          <w:kern w:val="0"/>
          <w:szCs w:val="21"/>
          <w:highlight w:val="none"/>
          <w:u w:val="single"/>
        </w:rPr>
        <w:t>)</w:t>
      </w:r>
      <w:r>
        <w:rPr>
          <w:rFonts w:ascii="宋体" w:hAnsi="宋体"/>
          <w:color w:val="auto"/>
          <w:kern w:val="0"/>
          <w:szCs w:val="21"/>
          <w:highlight w:val="none"/>
        </w:rPr>
        <w:t>等许可、核准或备案。</w:t>
      </w:r>
    </w:p>
    <w:p w14:paraId="0E0CBB5E">
      <w:pPr>
        <w:widowControl/>
        <w:autoSpaceDE w:val="0"/>
        <w:autoSpaceDN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发包人负责本项目各阶段设计文件向规划设计管理部门的送审报批工作，并负责将报批结果书面通知设计人，</w:t>
      </w:r>
      <w:r>
        <w:rPr>
          <w:rFonts w:ascii="宋体" w:hAnsi="宋体"/>
          <w:color w:val="auto"/>
          <w:kern w:val="0"/>
          <w:szCs w:val="21"/>
          <w:highlight w:val="none"/>
        </w:rPr>
        <w:t>设计人无条件配合发包人办理</w:t>
      </w:r>
      <w:r>
        <w:rPr>
          <w:rFonts w:ascii="宋体" w:hAnsi="宋体"/>
          <w:color w:val="auto"/>
          <w:kern w:val="0"/>
          <w:szCs w:val="21"/>
          <w:highlight w:val="none"/>
        </w:rPr>
        <w:t>。</w:t>
      </w:r>
    </w:p>
    <w:p w14:paraId="510C852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2.6 其他义务</w:t>
      </w:r>
    </w:p>
    <w:p w14:paraId="572ACB3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2.6.1合同期内，发包人应提前(</w:t>
      </w:r>
      <w:r>
        <w:rPr>
          <w:rFonts w:hint="eastAsia" w:ascii="宋体" w:hAnsi="宋体"/>
          <w:color w:val="auto"/>
          <w:kern w:val="0"/>
          <w:szCs w:val="21"/>
          <w:highlight w:val="none"/>
          <w:u w:val="single"/>
        </w:rPr>
        <w:t xml:space="preserve"> 6 </w:t>
      </w:r>
      <w:r>
        <w:rPr>
          <w:rFonts w:ascii="宋体" w:hAnsi="宋体"/>
          <w:color w:val="auto"/>
          <w:kern w:val="0"/>
          <w:szCs w:val="21"/>
          <w:highlight w:val="none"/>
          <w:u w:val="single"/>
        </w:rPr>
        <w:t>)</w:t>
      </w:r>
      <w:r>
        <w:rPr>
          <w:rFonts w:ascii="宋体" w:hAnsi="宋体"/>
          <w:color w:val="auto"/>
          <w:kern w:val="0"/>
          <w:szCs w:val="21"/>
          <w:highlight w:val="none"/>
        </w:rPr>
        <w:t xml:space="preserve">小时通知设计人到达现场或会场。 </w:t>
      </w:r>
    </w:p>
    <w:p w14:paraId="28AEF82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2.6.2合同期内，如需更换主要设计人员，发包人应提前</w:t>
      </w:r>
      <w:r>
        <w:rPr>
          <w:rFonts w:ascii="宋体" w:hAnsi="宋体"/>
          <w:color w:val="auto"/>
          <w:kern w:val="0"/>
          <w:szCs w:val="21"/>
          <w:highlight w:val="none"/>
          <w:u w:val="single"/>
        </w:rPr>
        <w:t>(</w:t>
      </w:r>
      <w:r>
        <w:rPr>
          <w:rFonts w:hint="eastAsia" w:ascii="宋体" w:hAnsi="宋体"/>
          <w:color w:val="auto"/>
          <w:kern w:val="0"/>
          <w:szCs w:val="21"/>
          <w:highlight w:val="none"/>
          <w:u w:val="single"/>
        </w:rPr>
        <w:t xml:space="preserve"> 5 </w:t>
      </w:r>
      <w:r>
        <w:rPr>
          <w:rFonts w:ascii="宋体" w:hAnsi="宋体"/>
          <w:color w:val="auto"/>
          <w:kern w:val="0"/>
          <w:szCs w:val="21"/>
          <w:highlight w:val="none"/>
          <w:u w:val="single"/>
        </w:rPr>
        <w:t>)</w:t>
      </w:r>
      <w:r>
        <w:rPr>
          <w:rFonts w:ascii="宋体" w:hAnsi="宋体"/>
          <w:color w:val="auto"/>
          <w:kern w:val="0"/>
          <w:szCs w:val="21"/>
          <w:highlight w:val="none"/>
        </w:rPr>
        <w:t>天通知。</w:t>
      </w:r>
    </w:p>
    <w:p w14:paraId="4792479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2.6.3合同期内，发包人为设计人派赴现场的设计服务人员，提供必要的工作方便（含沟通、协调等）条件。</w:t>
      </w:r>
    </w:p>
    <w:p w14:paraId="3339EE3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2.6.4发包人按本合同规定的内容，在规定的时间内向设计人提交资料及文件，并对其完整性、正确性、及时性负责，发包人不得要求设计人违反国家有关标准进行设计。 </w:t>
      </w:r>
    </w:p>
    <w:p w14:paraId="53D1B27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2.6.5发包人应组织专家或委托咨询单位对设计文件和为了满足设计需要而进行的各种研究试验成果进行审查，并负责设计文件的报审工作，向设计人提供行业主管部门对设计文件进行审查后的批复意见。对设计人在贯彻落实审查意见时提出的有关问题应及时予以认真解答，但并不免除设计人根据本合同规定应负的责任。</w:t>
      </w:r>
    </w:p>
    <w:p w14:paraId="6B5304A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2.6.6发包人不应对设计人提出不符合工程安全生产法律、法规和工程建设强制性标准规定的要求。发包人不应随意压缩合同规定的设计周期。</w:t>
      </w:r>
    </w:p>
    <w:p w14:paraId="3593AA4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2.6.7由于执行发包人的书面指令而造成的设计质量事故应由发包人承担责任。但不免除设计人根据《建设工程勘察设计管理条例》及相关规定应负的责任。</w:t>
      </w:r>
    </w:p>
    <w:p w14:paraId="37829AA5">
      <w:pPr>
        <w:pStyle w:val="3"/>
        <w:spacing w:before="0" w:after="0" w:line="360" w:lineRule="auto"/>
        <w:rPr>
          <w:rFonts w:ascii="宋体" w:hAnsi="宋体"/>
          <w:b w:val="0"/>
          <w:snapToGrid w:val="0"/>
          <w:color w:val="auto"/>
          <w:sz w:val="24"/>
          <w:szCs w:val="24"/>
          <w:highlight w:val="none"/>
        </w:rPr>
      </w:pPr>
      <w:bookmarkStart w:id="699" w:name="_Toc532384181"/>
      <w:bookmarkStart w:id="700" w:name="_Toc23291"/>
      <w:bookmarkStart w:id="701" w:name="_Toc531632617"/>
      <w:r>
        <w:rPr>
          <w:rFonts w:ascii="宋体" w:hAnsi="宋体"/>
          <w:b w:val="0"/>
          <w:snapToGrid w:val="0"/>
          <w:color w:val="auto"/>
          <w:sz w:val="24"/>
          <w:szCs w:val="24"/>
          <w:highlight w:val="none"/>
        </w:rPr>
        <w:t>3.发包人管理</w:t>
      </w:r>
      <w:bookmarkEnd w:id="699"/>
      <w:bookmarkEnd w:id="700"/>
      <w:bookmarkEnd w:id="701"/>
    </w:p>
    <w:p w14:paraId="5E31B09C">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3.1 发包人代表</w:t>
      </w:r>
    </w:p>
    <w:p w14:paraId="1D90791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姓    名：</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37EEFF90">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职    务：</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26E544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7FE4AB92">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8BBB83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9ED7CB0">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3.1.1发包人对发包人代表的授权范围及授权期限如下：</w:t>
      </w:r>
      <w:r>
        <w:rPr>
          <w:rFonts w:ascii="宋体" w:hAnsi="宋体"/>
          <w:color w:val="auto"/>
          <w:kern w:val="0"/>
          <w:szCs w:val="21"/>
          <w:highlight w:val="none"/>
          <w:u w:val="single"/>
        </w:rPr>
        <w:t xml:space="preserve">业务沟通、提供资料、发布指示指令、解决设计问题等  </w:t>
      </w:r>
      <w:r>
        <w:rPr>
          <w:rFonts w:ascii="宋体" w:hAnsi="宋体"/>
          <w:color w:val="auto"/>
          <w:kern w:val="0"/>
          <w:szCs w:val="21"/>
          <w:highlight w:val="none"/>
        </w:rPr>
        <w:t>。</w:t>
      </w:r>
    </w:p>
    <w:p w14:paraId="0A23453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bCs/>
          <w:color w:val="auto"/>
          <w:szCs w:val="21"/>
          <w:highlight w:val="none"/>
        </w:rPr>
        <w:t>3.2 监理人</w:t>
      </w:r>
      <w:r>
        <w:rPr>
          <w:rFonts w:ascii="宋体" w:hAnsi="宋体"/>
          <w:color w:val="auto"/>
          <w:kern w:val="0"/>
          <w:szCs w:val="21"/>
          <w:highlight w:val="none"/>
        </w:rPr>
        <w:t xml:space="preserve">（如有）： </w:t>
      </w:r>
    </w:p>
    <w:p w14:paraId="1CCE674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总监理工程师：</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73FABD7E">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执业资格及等级：</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1D58FE2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注册证书号：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18BED073">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52E422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8AD8D09">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15BFDEC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监理范围：</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4F6F589B">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职责权限：</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30404C4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3.3 发包人的指示</w:t>
      </w:r>
    </w:p>
    <w:p w14:paraId="293C8010">
      <w:pPr>
        <w:widowControl/>
        <w:tabs>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3.3.4监理人（如有）指示：</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57002E7">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3.4 决定或答复</w:t>
      </w:r>
    </w:p>
    <w:p w14:paraId="33CC46D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3.4.2发包人应在</w:t>
      </w:r>
      <w:r>
        <w:rPr>
          <w:rFonts w:hint="eastAsia" w:ascii="宋体" w:hAnsi="宋体"/>
          <w:color w:val="auto"/>
          <w:kern w:val="0"/>
          <w:szCs w:val="21"/>
          <w:highlight w:val="none"/>
        </w:rPr>
        <w:t>（7）</w:t>
      </w:r>
      <w:r>
        <w:rPr>
          <w:rFonts w:ascii="宋体" w:hAnsi="宋体"/>
          <w:color w:val="auto"/>
          <w:kern w:val="0"/>
          <w:szCs w:val="21"/>
          <w:highlight w:val="none"/>
        </w:rPr>
        <w:t>日内，对设计人书面提出的事项作出明确答复</w:t>
      </w:r>
      <w:r>
        <w:rPr>
          <w:rFonts w:hint="eastAsia" w:ascii="宋体" w:hAnsi="宋体"/>
          <w:color w:val="auto"/>
          <w:kern w:val="0"/>
          <w:szCs w:val="21"/>
          <w:highlight w:val="none"/>
        </w:rPr>
        <w:t>。</w:t>
      </w:r>
    </w:p>
    <w:p w14:paraId="7437A11F">
      <w:pPr>
        <w:pStyle w:val="3"/>
        <w:spacing w:before="0" w:after="0" w:line="360" w:lineRule="auto"/>
        <w:rPr>
          <w:rFonts w:ascii="宋体" w:hAnsi="宋体"/>
          <w:b w:val="0"/>
          <w:snapToGrid w:val="0"/>
          <w:color w:val="auto"/>
          <w:sz w:val="24"/>
          <w:szCs w:val="24"/>
          <w:highlight w:val="none"/>
        </w:rPr>
      </w:pPr>
      <w:bookmarkStart w:id="702" w:name="_Toc532384182"/>
      <w:bookmarkStart w:id="703" w:name="_Toc531632618"/>
      <w:bookmarkStart w:id="704" w:name="_Toc28910"/>
      <w:r>
        <w:rPr>
          <w:rFonts w:ascii="宋体" w:hAnsi="宋体"/>
          <w:b w:val="0"/>
          <w:snapToGrid w:val="0"/>
          <w:color w:val="auto"/>
          <w:sz w:val="24"/>
          <w:szCs w:val="24"/>
          <w:highlight w:val="none"/>
        </w:rPr>
        <w:t>4.设计人义务</w:t>
      </w:r>
      <w:bookmarkEnd w:id="702"/>
      <w:bookmarkEnd w:id="703"/>
      <w:bookmarkEnd w:id="704"/>
    </w:p>
    <w:p w14:paraId="5D4C58F5">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4.1.4其他义务</w:t>
      </w:r>
    </w:p>
    <w:p w14:paraId="3A029BBB">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4.1.4.1设计人应在满足国家技术规范、标准、规程及地方的设计规范基础上，根据发包人提出的设计要求，进行工程设计提交全部设计成果，并对其及时性、规范性、完整性、准确性、真实性负责。</w:t>
      </w:r>
    </w:p>
    <w:p w14:paraId="02BF7E2F">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4.1.4.2在设计过程中，设计人应</w:t>
      </w:r>
      <w:r>
        <w:rPr>
          <w:rFonts w:hint="eastAsia" w:ascii="宋体" w:hAnsi="宋体" w:cs="Arial"/>
          <w:color w:val="auto"/>
          <w:kern w:val="0"/>
          <w:szCs w:val="21"/>
          <w:highlight w:val="none"/>
        </w:rPr>
        <w:t>积极配合并协助发包人</w:t>
      </w:r>
      <w:r>
        <w:rPr>
          <w:rFonts w:ascii="宋体" w:hAnsi="宋体"/>
          <w:color w:val="auto"/>
          <w:kern w:val="0"/>
          <w:szCs w:val="21"/>
          <w:highlight w:val="none"/>
        </w:rPr>
        <w:t xml:space="preserve">与项目相干扰的铁路、航道、水利、管线、电力电信及其他相关建筑设施或特殊保护区域的主管部门进行协商，获得项目相干扰部门的认同意见、协议、批准文件或纪要等，以确保本项目顺利实施。 </w:t>
      </w:r>
    </w:p>
    <w:p w14:paraId="71C6D875">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4.1.4.3设计人在进行设计时，应采取相应的安全、保卫和环境保护措施</w:t>
      </w:r>
      <w:r>
        <w:rPr>
          <w:rFonts w:hint="eastAsia" w:ascii="宋体" w:hAnsi="宋体"/>
          <w:color w:val="auto"/>
          <w:kern w:val="0"/>
          <w:szCs w:val="21"/>
          <w:highlight w:val="none"/>
        </w:rPr>
        <w:t>。对于设计人在设计过程中发生的人员伤亡或财产损失，或造成第三方的人员伤亡、财产损失，或由此而引起的其他一切损害和损失，发包人均不承担责任。</w:t>
      </w:r>
    </w:p>
    <w:p w14:paraId="54514C7E">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4.1.4.4设计人为</w:t>
      </w:r>
      <w:r>
        <w:rPr>
          <w:rFonts w:hint="eastAsia" w:ascii="宋体" w:hAnsi="宋体"/>
          <w:color w:val="auto"/>
          <w:kern w:val="0"/>
          <w:szCs w:val="21"/>
          <w:highlight w:val="none"/>
        </w:rPr>
        <w:t>完成设计任务</w:t>
      </w:r>
      <w:r>
        <w:rPr>
          <w:rFonts w:ascii="宋体" w:hAnsi="宋体"/>
          <w:color w:val="auto"/>
          <w:kern w:val="0"/>
          <w:szCs w:val="21"/>
          <w:highlight w:val="none"/>
        </w:rPr>
        <w:t>，应</w:t>
      </w:r>
      <w:r>
        <w:rPr>
          <w:rFonts w:hint="eastAsia" w:ascii="宋体" w:hAnsi="宋体"/>
          <w:color w:val="auto"/>
          <w:kern w:val="0"/>
          <w:szCs w:val="21"/>
          <w:highlight w:val="none"/>
        </w:rPr>
        <w:t>购买</w:t>
      </w:r>
      <w:r>
        <w:rPr>
          <w:rFonts w:ascii="宋体" w:hAnsi="宋体"/>
          <w:color w:val="auto"/>
          <w:kern w:val="0"/>
          <w:szCs w:val="21"/>
          <w:highlight w:val="none"/>
        </w:rPr>
        <w:t>发包人</w:t>
      </w:r>
      <w:r>
        <w:rPr>
          <w:rFonts w:hint="eastAsia" w:ascii="宋体" w:hAnsi="宋体"/>
          <w:color w:val="auto"/>
          <w:kern w:val="0"/>
          <w:szCs w:val="21"/>
          <w:highlight w:val="none"/>
        </w:rPr>
        <w:t>所投保险以外的</w:t>
      </w:r>
      <w:r>
        <w:rPr>
          <w:rFonts w:ascii="宋体" w:hAnsi="宋体"/>
          <w:color w:val="auto"/>
          <w:kern w:val="0"/>
          <w:szCs w:val="21"/>
          <w:highlight w:val="none"/>
        </w:rPr>
        <w:t>其他有关的雇主责任保险，以使</w:t>
      </w:r>
      <w:r>
        <w:rPr>
          <w:rFonts w:hint="eastAsia" w:ascii="宋体" w:hAnsi="宋体"/>
          <w:color w:val="auto"/>
          <w:kern w:val="0"/>
          <w:szCs w:val="21"/>
          <w:highlight w:val="none"/>
        </w:rPr>
        <w:t>设计任务</w:t>
      </w:r>
      <w:r>
        <w:rPr>
          <w:rFonts w:ascii="宋体" w:hAnsi="宋体"/>
          <w:color w:val="auto"/>
          <w:kern w:val="0"/>
          <w:szCs w:val="21"/>
          <w:highlight w:val="none"/>
        </w:rPr>
        <w:t xml:space="preserve">顺利进行。设计人将全部保险费（如工程设计的人身安全险和设备险等）计入合同报价中，发包人不另行支付。 </w:t>
      </w:r>
    </w:p>
    <w:p w14:paraId="45BAA0B5">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4.1.4.5施工服务期内，设计人指定现场设计服务人员，定期负责到施工现场提供设计技术服务；积极配合解决施工中涉及的设计问题和现场的相关技术问题。</w:t>
      </w:r>
    </w:p>
    <w:p w14:paraId="444AE814">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4.1.4.6项目负责人在施工关键节点和出现关键性技术问题时，应及时赶到现场。</w:t>
      </w:r>
    </w:p>
    <w:p w14:paraId="00CFDF5F">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4.1.4.7设计开始至保修期内，设计人须配合工程建设的有关检查、审查、稽察、审计、事故调查处理、后评估等；</w:t>
      </w:r>
    </w:p>
    <w:p w14:paraId="7979D005">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8设计人交付设计资料及文件后，按规定参加有关的设计审查，并根据审查结论负责对不超出原定范围的内容做必要调整补充。设计人按合同规定时限交付设计资料及文件。配合发包人招标采购并做好招标采购方面的招标答疑；负责向发包人及施工单位进行设计交底、处理有关设计问题和参加竣工验收。</w:t>
      </w:r>
    </w:p>
    <w:p w14:paraId="1DF38D9D">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4.1.4.9设计人应充分依据项目实际情况开展设计工作，对设计成果的质量及可实施性负责。设计人应负责根据工程现场情况按发包人要求对设计文件修改、设计变更等工作，该工作不得影响工程施工进度。一次或多次设计修改，已包含在合同金额内不再另行收设计费。 若设计质量出现较大问题，设计人按照本合同14.1.2.3条对发包人承担违约责任。</w:t>
      </w:r>
    </w:p>
    <w:p w14:paraId="22016D2C">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10设计人应当依照法律法规、设计规范和概算文件，履行概算控制责任。初步设计及概算应当符合可行性研究报告批复文件的要求，并达到相应的深度和质量要求。初步设计及概算批复核定后，项目实行限额设计的，施工图设计应当符合初步设计及概算，若设计成果超出委托人设计限额的，设计人应无条件修订设计成果文件直至满足设计限额要求，且设计周期不延长，造成委托人经济损失的应承担违约责任。</w:t>
      </w:r>
    </w:p>
    <w:p w14:paraId="12363B5B">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11</w:t>
      </w:r>
      <w:r>
        <w:rPr>
          <w:rFonts w:ascii="宋体" w:hAnsi="宋体"/>
          <w:color w:val="auto"/>
          <w:kern w:val="0"/>
          <w:szCs w:val="21"/>
          <w:highlight w:val="none"/>
        </w:rPr>
        <w:t>发包人在办理专用合同条款的相关证件和批件时，设计人应履行协助义务</w:t>
      </w:r>
      <w:r>
        <w:rPr>
          <w:rFonts w:hint="eastAsia" w:ascii="宋体" w:hAnsi="宋体"/>
          <w:color w:val="auto"/>
          <w:kern w:val="0"/>
          <w:szCs w:val="21"/>
          <w:highlight w:val="none"/>
        </w:rPr>
        <w:t>。</w:t>
      </w:r>
    </w:p>
    <w:p w14:paraId="1195DE27">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4.1.4.12若发包人申报项目所需资料与本合同服务有关，则由设计人免费向发包人提供，若设计人未提供，则发包人有权委托第三人提供，委托第三人产生的费用由设计人承担。</w:t>
      </w:r>
    </w:p>
    <w:p w14:paraId="53D7FA83">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4.1.4.13本合同履行过程中，设计人为履行本合同所安排员工的安全责任由设计人承担，若发包人承担责任，有权向设计人追偿。</w:t>
      </w:r>
    </w:p>
    <w:p w14:paraId="7223A32F">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4.1.4.14发包人有权要求设计人更换为履行本合同义务所安排的员工，未更换，则视为设计人违约。</w:t>
      </w:r>
    </w:p>
    <w:p w14:paraId="7ECA22B4">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4.1.4.15若出现设计人员工因欠付工资向发包人讨薪或信访、上访情形的，视为设计人违约，同时，发包人有权选择将设计人欠付的工资支付并有权从应支付给设计人的费用中扣除。</w:t>
      </w:r>
    </w:p>
    <w:p w14:paraId="31B4188E">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4.1.4.16对于发包人提出的合理整改意见，设计人应进行整改，未整改，则视为设计人违约。</w:t>
      </w:r>
    </w:p>
    <w:p w14:paraId="27911134">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4.1.4.17设计人对设计文件出现的遗漏或错误或不合格负责修改或补充。由于设计人设计错误造成工程质量事故损失，设计人除负责采取补救措施外，应免收受损失部分的设计费，并根据损失程度向发包人支付赔偿金。若设计人未进行修改或补充，则视为设计人违约。</w:t>
      </w:r>
    </w:p>
    <w:p w14:paraId="77EDB9AD">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4.1.4.18设计人免费向发包人提供口头或现场咨询服务，否则视为设计人违约。</w:t>
      </w:r>
    </w:p>
    <w:p w14:paraId="6012BCB8">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4.1.4.19设计人交付设计文件后，按规定参加有关上级的设计审查，并根据审查结论做必要调整补充。设计人按合同规定时限交付设计文件一年内项目开始施工，负责向发包人及施工单位进行设计交底、处理有关设计问题和参加竣工验收。在一年内项目尚未开始施工，设计人仍负责上述工作。</w:t>
      </w:r>
    </w:p>
    <w:p w14:paraId="3A752707">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4.1.4.20设计人不得将本合同权利义务部分或者全部转让给第三方，否则视为设计人违约。</w:t>
      </w:r>
    </w:p>
    <w:p w14:paraId="1FF40355">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4.1.4.21设计人保证为履行本合同形成的知识成果归发包人所有，并保证未侵害第三方权益，否则视为设计人违约</w:t>
      </w:r>
      <w:r>
        <w:rPr>
          <w:rFonts w:ascii="宋体" w:hAnsi="宋体"/>
          <w:color w:val="auto"/>
          <w:kern w:val="0"/>
          <w:szCs w:val="21"/>
          <w:highlight w:val="none"/>
        </w:rPr>
        <w:t>。</w:t>
      </w:r>
    </w:p>
    <w:p w14:paraId="490B276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4.2履约保证金</w:t>
      </w:r>
    </w:p>
    <w:p w14:paraId="273A72A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履约保证金</w:t>
      </w:r>
      <w:r>
        <w:rPr>
          <w:rFonts w:ascii="宋体" w:hAnsi="宋体"/>
          <w:color w:val="auto"/>
          <w:kern w:val="0"/>
          <w:szCs w:val="21"/>
          <w:highlight w:val="none"/>
        </w:rPr>
        <w:t>形式：</w:t>
      </w:r>
      <w:r>
        <w:rPr>
          <w:rFonts w:hint="eastAsia" w:ascii="宋体" w:hAnsi="宋体"/>
          <w:color w:val="auto"/>
          <w:kern w:val="0"/>
          <w:szCs w:val="21"/>
          <w:highlight w:val="none"/>
        </w:rPr>
        <w:t>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ascii="宋体" w:hAnsi="宋体"/>
          <w:color w:val="auto"/>
          <w:kern w:val="0"/>
          <w:szCs w:val="21"/>
          <w:highlight w:val="none"/>
        </w:rPr>
        <w:t>。</w:t>
      </w:r>
    </w:p>
    <w:p w14:paraId="0A5C184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w:t>
      </w:r>
      <w:r>
        <w:rPr>
          <w:rFonts w:ascii="宋体" w:hAnsi="宋体"/>
          <w:color w:val="auto"/>
          <w:kern w:val="0"/>
          <w:szCs w:val="21"/>
          <w:highlight w:val="none"/>
        </w:rPr>
        <w:t>保证</w:t>
      </w:r>
      <w:r>
        <w:rPr>
          <w:rFonts w:hint="eastAsia" w:ascii="宋体" w:hAnsi="宋体"/>
          <w:color w:val="auto"/>
          <w:kern w:val="0"/>
          <w:szCs w:val="21"/>
          <w:highlight w:val="none"/>
        </w:rPr>
        <w:t>金的</w:t>
      </w:r>
      <w:r>
        <w:rPr>
          <w:rFonts w:ascii="宋体" w:hAnsi="宋体"/>
          <w:color w:val="auto"/>
          <w:kern w:val="0"/>
          <w:szCs w:val="21"/>
          <w:highlight w:val="none"/>
        </w:rPr>
        <w:t>金额：为</w:t>
      </w:r>
      <w:r>
        <w:rPr>
          <w:rFonts w:hint="eastAsia" w:ascii="宋体" w:hAnsi="宋体"/>
          <w:color w:val="auto"/>
          <w:kern w:val="0"/>
          <w:szCs w:val="21"/>
          <w:highlight w:val="none"/>
        </w:rPr>
        <w:t>签约</w:t>
      </w:r>
      <w:r>
        <w:rPr>
          <w:rFonts w:ascii="宋体" w:hAnsi="宋体"/>
          <w:color w:val="auto"/>
          <w:kern w:val="0"/>
          <w:szCs w:val="21"/>
          <w:highlight w:val="none"/>
        </w:rPr>
        <w:t>合同价的</w:t>
      </w:r>
      <w:r>
        <w:rPr>
          <w:rFonts w:ascii="宋体" w:hAnsi="宋体"/>
          <w:color w:val="auto"/>
          <w:kern w:val="0"/>
          <w:szCs w:val="21"/>
          <w:highlight w:val="none"/>
          <w:u w:val="single"/>
        </w:rPr>
        <w:t xml:space="preserve"> 10 </w:t>
      </w:r>
      <w:r>
        <w:rPr>
          <w:rFonts w:ascii="宋体" w:hAnsi="宋体"/>
          <w:color w:val="auto"/>
          <w:kern w:val="0"/>
          <w:szCs w:val="21"/>
          <w:highlight w:val="none"/>
        </w:rPr>
        <w:t>%。</w:t>
      </w:r>
    </w:p>
    <w:p w14:paraId="5D648C5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履约保证金的提交</w:t>
      </w:r>
      <w:r>
        <w:rPr>
          <w:rFonts w:ascii="宋体" w:hAnsi="宋体"/>
          <w:color w:val="auto"/>
          <w:kern w:val="0"/>
          <w:szCs w:val="21"/>
          <w:highlight w:val="none"/>
        </w:rPr>
        <w:t>时间：</w:t>
      </w:r>
      <w:r>
        <w:rPr>
          <w:rFonts w:ascii="宋体" w:hAnsi="宋体"/>
          <w:color w:val="auto"/>
          <w:kern w:val="0"/>
          <w:szCs w:val="21"/>
          <w:highlight w:val="none"/>
          <w:u w:val="single"/>
        </w:rPr>
        <w:t>合同签订</w:t>
      </w:r>
      <w:r>
        <w:rPr>
          <w:rFonts w:hint="eastAsia" w:ascii="宋体" w:hAnsi="宋体"/>
          <w:color w:val="auto"/>
          <w:kern w:val="0"/>
          <w:szCs w:val="21"/>
          <w:highlight w:val="none"/>
          <w:u w:val="single"/>
        </w:rPr>
        <w:t>前</w:t>
      </w:r>
      <w:r>
        <w:rPr>
          <w:rFonts w:ascii="宋体" w:hAnsi="宋体"/>
          <w:color w:val="auto"/>
          <w:kern w:val="0"/>
          <w:szCs w:val="21"/>
          <w:highlight w:val="none"/>
        </w:rPr>
        <w:t>。</w:t>
      </w:r>
    </w:p>
    <w:p w14:paraId="3798ABD3">
      <w:pPr>
        <w:widowControl/>
        <w:tabs>
          <w:tab w:val="left" w:pos="9072"/>
          <w:tab w:val="left" w:pos="9660"/>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履约保证金的期限</w:t>
      </w:r>
      <w:r>
        <w:rPr>
          <w:rFonts w:ascii="宋体" w:hAnsi="宋体"/>
          <w:color w:val="auto"/>
          <w:kern w:val="0"/>
          <w:szCs w:val="21"/>
          <w:highlight w:val="none"/>
        </w:rPr>
        <w:t>：</w:t>
      </w:r>
      <w:r>
        <w:rPr>
          <w:rFonts w:hint="eastAsia" w:ascii="宋体" w:hAnsi="宋体"/>
          <w:color w:val="auto"/>
          <w:kern w:val="0"/>
          <w:szCs w:val="21"/>
          <w:highlight w:val="none"/>
          <w:u w:val="single"/>
        </w:rPr>
        <w:t>自本合同加盖公章之日起至通过</w:t>
      </w:r>
      <w:r>
        <w:rPr>
          <w:rFonts w:ascii="宋体" w:hAnsi="宋体"/>
          <w:color w:val="auto"/>
          <w:kern w:val="0"/>
          <w:szCs w:val="21"/>
          <w:highlight w:val="none"/>
          <w:u w:val="single"/>
        </w:rPr>
        <w:t>施工图审查合格之日</w:t>
      </w:r>
      <w:r>
        <w:rPr>
          <w:rFonts w:ascii="宋体" w:hAnsi="宋体"/>
          <w:color w:val="auto"/>
          <w:kern w:val="0"/>
          <w:szCs w:val="21"/>
          <w:highlight w:val="none"/>
        </w:rPr>
        <w:t>。</w:t>
      </w:r>
    </w:p>
    <w:p w14:paraId="1637634C">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履约保证金的退还时间：</w:t>
      </w:r>
    </w:p>
    <w:p w14:paraId="07BDC205">
      <w:pPr>
        <w:pStyle w:val="329"/>
        <w:widowControl/>
        <w:numPr>
          <w:ilvl w:val="0"/>
          <w:numId w:val="0"/>
        </w:numPr>
        <w:tabs>
          <w:tab w:val="left" w:pos="9072"/>
          <w:tab w:val="left" w:pos="9781"/>
        </w:tabs>
        <w:spacing w:line="360" w:lineRule="auto"/>
        <w:ind w:left="420" w:leftChars="0"/>
        <w:jc w:val="left"/>
        <w:rPr>
          <w:rFonts w:ascii="宋体" w:hAnsi="宋体"/>
          <w:color w:val="auto"/>
          <w:kern w:val="0"/>
          <w:szCs w:val="21"/>
          <w:highlight w:val="none"/>
        </w:rPr>
      </w:pPr>
      <w:r>
        <w:rPr>
          <w:rFonts w:hint="eastAsia" w:ascii="宋体" w:hAnsi="宋体"/>
          <w:color w:val="auto"/>
          <w:kern w:val="0"/>
          <w:szCs w:val="21"/>
          <w:highlight w:val="none"/>
          <w:lang w:val="en-US" w:eastAsia="zh-CN"/>
        </w:rPr>
        <w:t>1.</w:t>
      </w:r>
      <w:r>
        <w:rPr>
          <w:rFonts w:ascii="宋体" w:hAnsi="宋体"/>
          <w:color w:val="auto"/>
          <w:kern w:val="0"/>
          <w:szCs w:val="21"/>
          <w:highlight w:val="none"/>
        </w:rPr>
        <w:t>现金担保，合同履行期间设计人无违约，通过</w:t>
      </w:r>
      <w:r>
        <w:rPr>
          <w:rFonts w:ascii="宋体" w:hAnsi="宋体"/>
          <w:color w:val="auto"/>
          <w:kern w:val="0"/>
          <w:szCs w:val="21"/>
          <w:highlight w:val="none"/>
          <w:u w:val="single"/>
        </w:rPr>
        <w:t>施工图审查合格</w:t>
      </w:r>
      <w:r>
        <w:rPr>
          <w:rFonts w:ascii="宋体" w:hAnsi="宋体"/>
          <w:color w:val="auto"/>
          <w:kern w:val="0"/>
          <w:szCs w:val="21"/>
          <w:highlight w:val="none"/>
        </w:rPr>
        <w:t>之日起28日内无息退还。</w:t>
      </w:r>
    </w:p>
    <w:p w14:paraId="02ED4553">
      <w:pPr>
        <w:pStyle w:val="329"/>
        <w:widowControl/>
        <w:numPr>
          <w:ilvl w:val="0"/>
          <w:numId w:val="0"/>
        </w:numPr>
        <w:tabs>
          <w:tab w:val="left" w:pos="9072"/>
          <w:tab w:val="left" w:pos="9781"/>
        </w:tabs>
        <w:spacing w:line="360" w:lineRule="auto"/>
        <w:ind w:left="420" w:leftChars="0"/>
        <w:jc w:val="left"/>
        <w:rPr>
          <w:rFonts w:ascii="宋体" w:hAnsi="宋体"/>
          <w:color w:val="auto"/>
          <w:kern w:val="0"/>
          <w:szCs w:val="21"/>
          <w:highlight w:val="none"/>
        </w:rPr>
      </w:pPr>
      <w:r>
        <w:rPr>
          <w:rFonts w:hint="eastAsia" w:ascii="宋体" w:hAnsi="宋体"/>
          <w:color w:val="auto"/>
          <w:kern w:val="0"/>
          <w:szCs w:val="21"/>
          <w:highlight w:val="none"/>
          <w:lang w:val="en-US" w:eastAsia="zh-CN"/>
        </w:rPr>
        <w:t>2.</w:t>
      </w:r>
      <w:r>
        <w:rPr>
          <w:rFonts w:ascii="宋体" w:hAnsi="宋体"/>
          <w:color w:val="auto"/>
          <w:kern w:val="0"/>
          <w:szCs w:val="21"/>
          <w:highlight w:val="none"/>
        </w:rPr>
        <w:t>保函担保，合同履行期间设计人无违约，通过</w:t>
      </w:r>
      <w:r>
        <w:rPr>
          <w:rFonts w:ascii="宋体" w:hAnsi="宋体"/>
          <w:color w:val="auto"/>
          <w:kern w:val="0"/>
          <w:szCs w:val="21"/>
          <w:highlight w:val="none"/>
          <w:u w:val="single"/>
        </w:rPr>
        <w:t>施工图审查合格</w:t>
      </w:r>
      <w:r>
        <w:rPr>
          <w:rFonts w:ascii="宋体" w:hAnsi="宋体"/>
          <w:color w:val="auto"/>
          <w:kern w:val="0"/>
          <w:szCs w:val="21"/>
          <w:highlight w:val="none"/>
        </w:rPr>
        <w:t>之日起 28 日后失效。</w:t>
      </w:r>
    </w:p>
    <w:p w14:paraId="31A5D9F6">
      <w:pPr>
        <w:keepNext/>
        <w:keepLines/>
        <w:widowControl/>
        <w:spacing w:before="120" w:after="120" w:line="360" w:lineRule="auto"/>
        <w:ind w:firstLine="420" w:firstLineChars="200"/>
        <w:jc w:val="left"/>
        <w:outlineLvl w:val="4"/>
        <w:rPr>
          <w:rFonts w:ascii="宋体" w:hAnsi="宋体"/>
          <w:bCs/>
          <w:color w:val="auto"/>
          <w:szCs w:val="21"/>
          <w:highlight w:val="none"/>
        </w:rPr>
      </w:pPr>
      <w:r>
        <w:rPr>
          <w:rFonts w:hint="eastAsia" w:ascii="宋体" w:hAnsi="宋体"/>
          <w:bCs/>
          <w:color w:val="auto"/>
          <w:szCs w:val="21"/>
          <w:highlight w:val="none"/>
          <w:lang w:bidi="ar"/>
        </w:rPr>
        <w:t>增加：低价风险担保</w:t>
      </w:r>
    </w:p>
    <w:p w14:paraId="71FF6D3C">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设计人提供低价风险担保的情形：</w:t>
      </w:r>
      <w:r>
        <w:rPr>
          <w:rFonts w:hint="eastAsia" w:ascii="宋体" w:hAnsi="宋体" w:cs="宋体"/>
          <w:color w:val="auto"/>
          <w:kern w:val="0"/>
          <w:szCs w:val="21"/>
          <w:highlight w:val="none"/>
          <w:lang w:val="en-US" w:eastAsia="zh-CN" w:bidi="ar"/>
        </w:rPr>
        <w:t>中标报价</w:t>
      </w:r>
      <w:r>
        <w:rPr>
          <w:rFonts w:hint="eastAsia" w:ascii="宋体" w:hAnsi="宋体" w:cs="宋体"/>
          <w:color w:val="auto"/>
          <w:kern w:val="0"/>
          <w:szCs w:val="21"/>
          <w:highlight w:val="none"/>
          <w:lang w:bidi="ar"/>
        </w:rPr>
        <w:t>低于最高限价85%时。</w:t>
      </w:r>
    </w:p>
    <w:p w14:paraId="3CD630D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lang w:bidi="ar"/>
        </w:rPr>
        <w:t>低价风险担保形式：</w:t>
      </w:r>
      <w:r>
        <w:rPr>
          <w:rFonts w:hint="eastAsia" w:ascii="宋体" w:hAnsi="宋体"/>
          <w:color w:val="auto"/>
          <w:kern w:val="0"/>
          <w:szCs w:val="21"/>
          <w:highlight w:val="none"/>
        </w:rPr>
        <w:t>现金或保函；采用保函形式的,保函的开立人应当是具有相应资格的且发包人认可的银行、保险机构、融资担保公司，其信用资质、履约能力、担保能力、赔付流程、安全保密等应符合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ascii="宋体" w:hAnsi="宋体"/>
          <w:color w:val="auto"/>
          <w:kern w:val="0"/>
          <w:szCs w:val="21"/>
          <w:highlight w:val="none"/>
        </w:rPr>
        <w:t>。</w:t>
      </w:r>
    </w:p>
    <w:p w14:paraId="55C68D2F">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低价风险担保的金额：</w:t>
      </w:r>
      <w:r>
        <w:rPr>
          <w:rFonts w:hint="eastAsia" w:ascii="宋体" w:hAnsi="宋体" w:cs="宋体"/>
          <w:color w:val="auto"/>
          <w:kern w:val="0"/>
          <w:szCs w:val="21"/>
          <w:highlight w:val="none"/>
          <w:u w:val="single"/>
          <w:lang w:bidi="ar"/>
        </w:rPr>
        <w:t>（最高限价85%时-中标合同价）×3</w:t>
      </w:r>
      <w:r>
        <w:rPr>
          <w:rFonts w:hint="eastAsia" w:ascii="宋体" w:hAnsi="宋体" w:cs="宋体"/>
          <w:color w:val="auto"/>
          <w:kern w:val="0"/>
          <w:szCs w:val="21"/>
          <w:highlight w:val="none"/>
          <w:lang w:bidi="ar"/>
        </w:rPr>
        <w:t>。</w:t>
      </w:r>
    </w:p>
    <w:p w14:paraId="5BE92431">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低价风险担保的提交时间：</w:t>
      </w:r>
      <w:r>
        <w:rPr>
          <w:rFonts w:ascii="宋体" w:hAnsi="宋体"/>
          <w:color w:val="auto"/>
          <w:kern w:val="0"/>
          <w:szCs w:val="21"/>
          <w:highlight w:val="none"/>
          <w:u w:val="single"/>
        </w:rPr>
        <w:t>合同签订</w:t>
      </w:r>
      <w:r>
        <w:rPr>
          <w:rFonts w:hint="eastAsia" w:ascii="宋体" w:hAnsi="宋体"/>
          <w:color w:val="auto"/>
          <w:kern w:val="0"/>
          <w:szCs w:val="21"/>
          <w:highlight w:val="none"/>
          <w:u w:val="single"/>
        </w:rPr>
        <w:t>前</w:t>
      </w:r>
      <w:r>
        <w:rPr>
          <w:rFonts w:hint="eastAsia" w:ascii="宋体" w:hAnsi="宋体" w:cs="宋体"/>
          <w:color w:val="auto"/>
          <w:kern w:val="0"/>
          <w:szCs w:val="21"/>
          <w:highlight w:val="none"/>
          <w:lang w:bidi="ar"/>
        </w:rPr>
        <w:t>。</w:t>
      </w:r>
    </w:p>
    <w:p w14:paraId="2D93943E">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低价风险担保的期限：自提交低价风险担保之日起至通过</w:t>
      </w:r>
      <w:r>
        <w:rPr>
          <w:rFonts w:ascii="宋体" w:hAnsi="宋体"/>
          <w:color w:val="auto"/>
          <w:kern w:val="0"/>
          <w:szCs w:val="21"/>
          <w:highlight w:val="none"/>
          <w:u w:val="single"/>
        </w:rPr>
        <w:t>施工图审查合格</w:t>
      </w:r>
      <w:r>
        <w:rPr>
          <w:rFonts w:hint="eastAsia" w:ascii="宋体" w:hAnsi="宋体" w:cs="宋体"/>
          <w:color w:val="auto"/>
          <w:kern w:val="0"/>
          <w:szCs w:val="21"/>
          <w:highlight w:val="none"/>
          <w:lang w:bidi="ar"/>
        </w:rPr>
        <w:t>之日止。</w:t>
      </w:r>
    </w:p>
    <w:p w14:paraId="3C0B3FEC">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低价风险担保的退还时间：采用现金担保的，通过</w:t>
      </w:r>
      <w:r>
        <w:rPr>
          <w:rFonts w:ascii="宋体" w:hAnsi="宋体"/>
          <w:color w:val="auto"/>
          <w:kern w:val="0"/>
          <w:szCs w:val="21"/>
          <w:highlight w:val="none"/>
          <w:u w:val="single"/>
        </w:rPr>
        <w:t>施工图审查合格</w:t>
      </w:r>
      <w:r>
        <w:rPr>
          <w:rFonts w:hint="eastAsia" w:ascii="宋体" w:hAnsi="宋体" w:cs="宋体"/>
          <w:color w:val="auto"/>
          <w:kern w:val="0"/>
          <w:szCs w:val="21"/>
          <w:highlight w:val="none"/>
          <w:lang w:bidi="ar"/>
        </w:rPr>
        <w:t>之日起28天内无息退还；采用银行保函的，工程竣工验收合格之日起28天后失效。</w:t>
      </w:r>
    </w:p>
    <w:p w14:paraId="7CD8848E">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低价风险担保的扣减：</w:t>
      </w:r>
    </w:p>
    <w:p w14:paraId="7BA9DA43">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①因设计人原因导致设计工作停止或未在规定期限内交出设计成果文件，给发包人造成直接经济损失且拒绝承担的，按低价风险担保金额的50～100%扣减，直至解除合同；</w:t>
      </w:r>
    </w:p>
    <w:p w14:paraId="6C75E22D">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②设计成果文件不符合发包人要求，且拒绝整改或整改后仍不符合要求的，按低价风险担保金额的50～100%扣减，直至解除合同；</w:t>
      </w:r>
    </w:p>
    <w:p w14:paraId="34A26E52">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③因设计人原因被解除合同的，低价风险担保将全额扣除；</w:t>
      </w:r>
    </w:p>
    <w:p w14:paraId="7CDEAE0F">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 xml:space="preserve">④因承包人过错导致的其他情形：      </w:t>
      </w:r>
      <w:r>
        <w:rPr>
          <w:rFonts w:hint="eastAsia" w:ascii="宋体" w:hAnsi="宋体" w:cs="宋体"/>
          <w:color w:val="auto"/>
          <w:kern w:val="0"/>
          <w:szCs w:val="21"/>
          <w:highlight w:val="none"/>
        </w:rPr>
        <w:t xml:space="preserve"> </w:t>
      </w:r>
    </w:p>
    <w:p w14:paraId="234572EB">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4.3 分包和不得转包</w:t>
      </w:r>
    </w:p>
    <w:p w14:paraId="6DB0C335">
      <w:pPr>
        <w:widowControl/>
        <w:tabs>
          <w:tab w:val="left" w:pos="9214"/>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4.3.2禁止分包的工程设计包括：</w:t>
      </w:r>
      <w:r>
        <w:rPr>
          <w:rFonts w:hint="eastAsia" w:ascii="宋体" w:hAnsi="宋体"/>
          <w:color w:val="auto"/>
          <w:kern w:val="0"/>
          <w:szCs w:val="21"/>
          <w:highlight w:val="none"/>
          <w:u w:val="single"/>
        </w:rPr>
        <w:t>全部设计内容</w:t>
      </w:r>
      <w:r>
        <w:rPr>
          <w:rFonts w:hint="eastAsia" w:ascii="宋体" w:hAnsi="宋体"/>
          <w:color w:val="auto"/>
          <w:kern w:val="0"/>
          <w:szCs w:val="21"/>
          <w:highlight w:val="none"/>
        </w:rPr>
        <w:t>。</w:t>
      </w:r>
    </w:p>
    <w:p w14:paraId="02260F95">
      <w:pPr>
        <w:widowControl/>
        <w:tabs>
          <w:tab w:val="left" w:pos="9214"/>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主体结构、关键性工作的范围：</w:t>
      </w:r>
      <w:r>
        <w:rPr>
          <w:rFonts w:hint="eastAsia" w:ascii="宋体" w:hAnsi="宋体"/>
          <w:color w:val="auto"/>
          <w:kern w:val="0"/>
          <w:szCs w:val="21"/>
          <w:highlight w:val="none"/>
          <w:u w:val="single"/>
        </w:rPr>
        <w:t>/</w:t>
      </w:r>
      <w:r>
        <w:rPr>
          <w:rFonts w:hint="eastAsia" w:ascii="宋体" w:hAnsi="宋体"/>
          <w:color w:val="auto"/>
          <w:kern w:val="0"/>
          <w:szCs w:val="21"/>
          <w:highlight w:val="none"/>
        </w:rPr>
        <w:t>。</w:t>
      </w:r>
    </w:p>
    <w:p w14:paraId="6F670C82">
      <w:pPr>
        <w:widowControl/>
        <w:tabs>
          <w:tab w:val="left" w:pos="9214"/>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4.3.3允许分包的专业工程设计包括：</w:t>
      </w:r>
      <w:r>
        <w:rPr>
          <w:rFonts w:hint="eastAsia" w:ascii="宋体" w:hAnsi="宋体"/>
          <w:color w:val="auto"/>
          <w:kern w:val="0"/>
          <w:szCs w:val="21"/>
          <w:highlight w:val="none"/>
          <w:u w:val="single"/>
        </w:rPr>
        <w:t>不允许</w:t>
      </w:r>
      <w:r>
        <w:rPr>
          <w:rFonts w:hint="eastAsia" w:ascii="宋体" w:hAnsi="宋体"/>
          <w:color w:val="auto"/>
          <w:kern w:val="0"/>
          <w:szCs w:val="21"/>
          <w:highlight w:val="none"/>
        </w:rPr>
        <w:t>。</w:t>
      </w:r>
    </w:p>
    <w:p w14:paraId="4105183C">
      <w:pPr>
        <w:widowControl/>
        <w:tabs>
          <w:tab w:val="left" w:pos="9214"/>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其他关于分包的约定：</w:t>
      </w:r>
      <w:r>
        <w:rPr>
          <w:rFonts w:hint="eastAsia" w:ascii="宋体" w:hAnsi="宋体"/>
          <w:color w:val="auto"/>
          <w:kern w:val="0"/>
          <w:szCs w:val="21"/>
          <w:highlight w:val="none"/>
          <w:u w:val="single"/>
        </w:rPr>
        <w:t>/</w:t>
      </w:r>
      <w:r>
        <w:rPr>
          <w:rFonts w:hint="eastAsia" w:ascii="宋体" w:hAnsi="宋体"/>
          <w:color w:val="auto"/>
          <w:kern w:val="0"/>
          <w:szCs w:val="21"/>
          <w:highlight w:val="none"/>
        </w:rPr>
        <w:t>。</w:t>
      </w:r>
    </w:p>
    <w:p w14:paraId="0D1B269C">
      <w:pPr>
        <w:widowControl/>
        <w:tabs>
          <w:tab w:val="left" w:pos="876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分包工程设计费支付方式：</w:t>
      </w:r>
      <w:r>
        <w:rPr>
          <w:rFonts w:hint="eastAsia" w:ascii="宋体" w:hAnsi="宋体"/>
          <w:color w:val="auto"/>
          <w:kern w:val="0"/>
          <w:szCs w:val="21"/>
          <w:highlight w:val="none"/>
          <w:u w:val="single"/>
        </w:rPr>
        <w:t xml:space="preserve">  /     支付</w:t>
      </w:r>
      <w:r>
        <w:rPr>
          <w:rFonts w:hint="eastAsia" w:ascii="宋体" w:hAnsi="宋体"/>
          <w:color w:val="auto"/>
          <w:kern w:val="0"/>
          <w:szCs w:val="21"/>
          <w:highlight w:val="none"/>
        </w:rPr>
        <w:t>。</w:t>
      </w:r>
    </w:p>
    <w:p w14:paraId="5A925367">
      <w:pPr>
        <w:widowControl/>
        <w:tabs>
          <w:tab w:val="left" w:pos="9214"/>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4.3.4设计人向发包人提交有关分包人资料包括：</w:t>
      </w:r>
      <w:r>
        <w:rPr>
          <w:rFonts w:hint="eastAsia" w:ascii="宋体" w:hAnsi="宋体"/>
          <w:color w:val="auto"/>
          <w:kern w:val="0"/>
          <w:szCs w:val="21"/>
          <w:highlight w:val="none"/>
          <w:u w:val="single"/>
        </w:rPr>
        <w:t>/</w:t>
      </w:r>
      <w:r>
        <w:rPr>
          <w:rFonts w:hint="eastAsia" w:ascii="宋体" w:hAnsi="宋体"/>
          <w:color w:val="auto"/>
          <w:kern w:val="0"/>
          <w:szCs w:val="21"/>
          <w:highlight w:val="none"/>
        </w:rPr>
        <w:t>。</w:t>
      </w:r>
    </w:p>
    <w:p w14:paraId="28675813">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4.4 联合体</w:t>
      </w:r>
    </w:p>
    <w:p w14:paraId="1799F0CA">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4.4.4发包人向联合体支付设计费用的方式：</w:t>
      </w:r>
      <w:r>
        <w:rPr>
          <w:rFonts w:ascii="宋体" w:hAnsi="宋体"/>
          <w:color w:val="auto"/>
          <w:kern w:val="0"/>
          <w:szCs w:val="21"/>
          <w:highlight w:val="none"/>
          <w:u w:val="single"/>
        </w:rPr>
        <w:t xml:space="preserve">(此处由发包人结合项目实际情况自行确定向联合体牵头人或成员支付设计费用)。   </w:t>
      </w:r>
    </w:p>
    <w:p w14:paraId="142EA34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4.5 项目负责人</w:t>
      </w:r>
    </w:p>
    <w:p w14:paraId="4E0307B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姓    名：</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93B6B4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B9AB940">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职称及专业：</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E0A83A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执业资格及等级：</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04D6081A">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注册证书号：</w:t>
      </w:r>
      <w:r>
        <w:rPr>
          <w:rFonts w:ascii="宋体" w:hAnsi="宋体"/>
          <w:color w:val="auto"/>
          <w:kern w:val="0"/>
          <w:szCs w:val="21"/>
          <w:highlight w:val="none"/>
          <w:u w:val="single"/>
        </w:rPr>
        <w:t xml:space="preserve">               </w:t>
      </w:r>
      <w:r>
        <w:rPr>
          <w:rFonts w:ascii="宋体" w:hAnsi="宋体"/>
          <w:color w:val="auto"/>
          <w:kern w:val="0"/>
          <w:szCs w:val="21"/>
          <w:highlight w:val="none"/>
        </w:rPr>
        <w:t>；</w:t>
      </w:r>
    </w:p>
    <w:p w14:paraId="70A2067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w:t>
      </w:r>
      <w:r>
        <w:rPr>
          <w:rFonts w:ascii="宋体" w:hAnsi="宋体"/>
          <w:color w:val="auto"/>
          <w:kern w:val="0"/>
          <w:szCs w:val="21"/>
          <w:highlight w:val="none"/>
        </w:rPr>
        <w:t>；</w:t>
      </w:r>
    </w:p>
    <w:p w14:paraId="357F8D17">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w:t>
      </w:r>
      <w:r>
        <w:rPr>
          <w:rFonts w:ascii="宋体" w:hAnsi="宋体"/>
          <w:color w:val="auto"/>
          <w:kern w:val="0"/>
          <w:szCs w:val="21"/>
          <w:highlight w:val="none"/>
        </w:rPr>
        <w:t>；</w:t>
      </w:r>
    </w:p>
    <w:p w14:paraId="4C67F045">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ascii="宋体" w:hAnsi="宋体"/>
          <w:color w:val="auto"/>
          <w:kern w:val="0"/>
          <w:szCs w:val="21"/>
          <w:highlight w:val="none"/>
        </w:rPr>
        <w:t>。</w:t>
      </w:r>
    </w:p>
    <w:p w14:paraId="43713AF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4.5.1 设计人应按合同协议书的约定指派项目负责人，并在约定的期限内到职。设计人更换项目负责人应事先征得发包人同意，并应在更换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（3）</w:t>
      </w:r>
      <w:r>
        <w:rPr>
          <w:rFonts w:ascii="宋体" w:hAnsi="宋体"/>
          <w:color w:val="auto"/>
          <w:kern w:val="0"/>
          <w:szCs w:val="21"/>
          <w:highlight w:val="none"/>
        </w:rPr>
        <w:t>天前将拟更换的项目负责人的姓名和详细资料提交发包人。项目负责人连续</w:t>
      </w:r>
      <w:r>
        <w:rPr>
          <w:rFonts w:hint="eastAsia" w:ascii="宋体" w:hAnsi="宋体"/>
          <w:color w:val="auto"/>
          <w:kern w:val="0"/>
          <w:szCs w:val="21"/>
          <w:highlight w:val="none"/>
          <w:u w:val="single"/>
        </w:rPr>
        <w:t>（</w:t>
      </w:r>
      <w:r>
        <w:rPr>
          <w:rFonts w:ascii="宋体" w:hAnsi="宋体"/>
          <w:color w:val="auto"/>
          <w:kern w:val="0"/>
          <w:szCs w:val="21"/>
          <w:highlight w:val="none"/>
          <w:u w:val="single"/>
        </w:rPr>
        <w:t>2</w:t>
      </w:r>
      <w:r>
        <w:rPr>
          <w:rFonts w:hint="eastAsia" w:ascii="宋体" w:hAnsi="宋体"/>
          <w:color w:val="auto"/>
          <w:kern w:val="0"/>
          <w:szCs w:val="21"/>
          <w:highlight w:val="none"/>
          <w:u w:val="single"/>
        </w:rPr>
        <w:t>）</w:t>
      </w:r>
      <w:r>
        <w:rPr>
          <w:rFonts w:ascii="宋体" w:hAnsi="宋体"/>
          <w:color w:val="auto"/>
          <w:kern w:val="0"/>
          <w:szCs w:val="21"/>
          <w:highlight w:val="none"/>
        </w:rPr>
        <w:t>天不能履行职责的，应事先征得发包人同意，并委派代表代行其职责。项目负责人连续</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（3）</w:t>
      </w:r>
      <w:r>
        <w:rPr>
          <w:rFonts w:ascii="宋体" w:hAnsi="宋体"/>
          <w:color w:val="auto"/>
          <w:kern w:val="0"/>
          <w:szCs w:val="21"/>
          <w:highlight w:val="none"/>
          <w:u w:val="single"/>
        </w:rPr>
        <w:t xml:space="preserve"> </w:t>
      </w:r>
      <w:r>
        <w:rPr>
          <w:rFonts w:ascii="宋体" w:hAnsi="宋体"/>
          <w:color w:val="auto"/>
          <w:kern w:val="0"/>
          <w:szCs w:val="21"/>
          <w:highlight w:val="none"/>
        </w:rPr>
        <w:t>天不能履行职责的，发包人可以要求设计人更换项目负责人。项目负责人连续</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（5）</w:t>
      </w:r>
      <w:r>
        <w:rPr>
          <w:rFonts w:ascii="宋体" w:hAnsi="宋体"/>
          <w:color w:val="auto"/>
          <w:kern w:val="0"/>
          <w:szCs w:val="21"/>
          <w:highlight w:val="none"/>
          <w:u w:val="single"/>
        </w:rPr>
        <w:t xml:space="preserve"> </w:t>
      </w:r>
      <w:r>
        <w:rPr>
          <w:rFonts w:ascii="宋体" w:hAnsi="宋体"/>
          <w:color w:val="auto"/>
          <w:kern w:val="0"/>
          <w:szCs w:val="21"/>
          <w:highlight w:val="none"/>
        </w:rPr>
        <w:t>天及以上不能履行职责，且设计人不更换项目负责人的，该状态每持续</w:t>
      </w:r>
      <w:r>
        <w:rPr>
          <w:rFonts w:hint="eastAsia" w:ascii="宋体" w:hAnsi="宋体"/>
          <w:color w:val="auto"/>
          <w:kern w:val="0"/>
          <w:szCs w:val="21"/>
          <w:highlight w:val="none"/>
          <w:u w:val="single"/>
        </w:rPr>
        <w:t>（</w:t>
      </w:r>
      <w:r>
        <w:rPr>
          <w:rFonts w:ascii="宋体" w:hAnsi="宋体"/>
          <w:color w:val="auto"/>
          <w:kern w:val="0"/>
          <w:szCs w:val="21"/>
          <w:highlight w:val="none"/>
          <w:u w:val="single"/>
        </w:rPr>
        <w:t>1</w:t>
      </w:r>
      <w:r>
        <w:rPr>
          <w:rFonts w:hint="eastAsia" w:ascii="宋体" w:hAnsi="宋体"/>
          <w:color w:val="auto"/>
          <w:kern w:val="0"/>
          <w:szCs w:val="21"/>
          <w:highlight w:val="none"/>
          <w:u w:val="single"/>
        </w:rPr>
        <w:t>）</w:t>
      </w:r>
      <w:r>
        <w:rPr>
          <w:rFonts w:ascii="宋体" w:hAnsi="宋体"/>
          <w:color w:val="auto"/>
          <w:kern w:val="0"/>
          <w:szCs w:val="21"/>
          <w:highlight w:val="none"/>
        </w:rPr>
        <w:t>天，设计人减收</w:t>
      </w:r>
      <w:r>
        <w:rPr>
          <w:rFonts w:hint="eastAsia" w:ascii="宋体" w:hAnsi="宋体"/>
          <w:color w:val="auto"/>
          <w:kern w:val="0"/>
          <w:szCs w:val="21"/>
          <w:highlight w:val="none"/>
        </w:rPr>
        <w:t>签约</w:t>
      </w:r>
      <w:r>
        <w:rPr>
          <w:rFonts w:ascii="宋体" w:hAnsi="宋体"/>
          <w:color w:val="auto"/>
          <w:kern w:val="0"/>
          <w:szCs w:val="21"/>
          <w:highlight w:val="none"/>
        </w:rPr>
        <w:t>合同价的(</w:t>
      </w:r>
      <w:r>
        <w:rPr>
          <w:rFonts w:ascii="宋体" w:hAnsi="宋体"/>
          <w:color w:val="auto"/>
          <w:kern w:val="0"/>
          <w:szCs w:val="21"/>
          <w:highlight w:val="none"/>
          <w:u w:val="single"/>
        </w:rPr>
        <w:t>0.2%</w:t>
      </w:r>
      <w:r>
        <w:rPr>
          <w:rFonts w:ascii="宋体" w:hAnsi="宋体"/>
          <w:color w:val="auto"/>
          <w:kern w:val="0"/>
          <w:szCs w:val="21"/>
          <w:highlight w:val="none"/>
        </w:rPr>
        <w:t>)。该状态持续</w:t>
      </w:r>
      <w:r>
        <w:rPr>
          <w:rFonts w:hint="eastAsia" w:ascii="宋体" w:hAnsi="宋体"/>
          <w:color w:val="auto"/>
          <w:kern w:val="0"/>
          <w:szCs w:val="21"/>
          <w:highlight w:val="none"/>
          <w:u w:val="single"/>
        </w:rPr>
        <w:t>（7）</w:t>
      </w:r>
      <w:r>
        <w:rPr>
          <w:rFonts w:ascii="宋体" w:hAnsi="宋体"/>
          <w:color w:val="auto"/>
          <w:kern w:val="0"/>
          <w:szCs w:val="21"/>
          <w:highlight w:val="none"/>
        </w:rPr>
        <w:t>天以上时，发包人有权解除本合同，设计人应当赔偿发包人因此所遭受的损失。</w:t>
      </w:r>
    </w:p>
    <w:p w14:paraId="7E56547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4.5.4项目负责人不可以授权其他人员履行的职责：</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1EEB33E">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4.6 设计人员的管理</w:t>
      </w:r>
    </w:p>
    <w:p w14:paraId="34609D9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设计人员基本情况表</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41"/>
        <w:gridCol w:w="1241"/>
        <w:gridCol w:w="1020"/>
        <w:gridCol w:w="993"/>
        <w:gridCol w:w="2042"/>
        <w:gridCol w:w="971"/>
        <w:gridCol w:w="1169"/>
      </w:tblGrid>
      <w:tr w14:paraId="7651F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3" w:type="dxa"/>
            <w:vAlign w:val="center"/>
          </w:tcPr>
          <w:p w14:paraId="0D1E458D">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序号</w:t>
            </w:r>
          </w:p>
        </w:tc>
        <w:tc>
          <w:tcPr>
            <w:tcW w:w="1241" w:type="dxa"/>
            <w:vAlign w:val="center"/>
          </w:tcPr>
          <w:p w14:paraId="431BD8B6">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姓名</w:t>
            </w:r>
          </w:p>
        </w:tc>
        <w:tc>
          <w:tcPr>
            <w:tcW w:w="1241" w:type="dxa"/>
            <w:vAlign w:val="center"/>
          </w:tcPr>
          <w:p w14:paraId="622AD6E7">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性别</w:t>
            </w:r>
          </w:p>
        </w:tc>
        <w:tc>
          <w:tcPr>
            <w:tcW w:w="1020" w:type="dxa"/>
            <w:vAlign w:val="center"/>
          </w:tcPr>
          <w:p w14:paraId="76F7AB72">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专业</w:t>
            </w:r>
          </w:p>
        </w:tc>
        <w:tc>
          <w:tcPr>
            <w:tcW w:w="993" w:type="dxa"/>
            <w:vAlign w:val="center"/>
          </w:tcPr>
          <w:p w14:paraId="0539A512">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职务</w:t>
            </w:r>
          </w:p>
        </w:tc>
        <w:tc>
          <w:tcPr>
            <w:tcW w:w="2042" w:type="dxa"/>
            <w:vAlign w:val="center"/>
          </w:tcPr>
          <w:p w14:paraId="056D9712">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注 册 情 况</w:t>
            </w:r>
          </w:p>
          <w:p w14:paraId="1B70A4EA">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职 称 情 况</w:t>
            </w:r>
          </w:p>
        </w:tc>
        <w:tc>
          <w:tcPr>
            <w:tcW w:w="971" w:type="dxa"/>
            <w:vAlign w:val="center"/>
          </w:tcPr>
          <w:p w14:paraId="7E666F30">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联系电话</w:t>
            </w:r>
          </w:p>
        </w:tc>
        <w:tc>
          <w:tcPr>
            <w:tcW w:w="1169" w:type="dxa"/>
            <w:vAlign w:val="center"/>
          </w:tcPr>
          <w:p w14:paraId="42AF7BA9">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本项目</w:t>
            </w:r>
          </w:p>
          <w:p w14:paraId="23FA9363">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拟任职务</w:t>
            </w:r>
          </w:p>
        </w:tc>
      </w:tr>
      <w:tr w14:paraId="2E769C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6D291D27">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7A709809">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6B68FCF4">
            <w:pPr>
              <w:widowControl/>
              <w:tabs>
                <w:tab w:val="left" w:pos="9072"/>
              </w:tabs>
              <w:spacing w:line="360" w:lineRule="auto"/>
              <w:jc w:val="center"/>
              <w:rPr>
                <w:rFonts w:ascii="宋体" w:hAnsi="宋体"/>
                <w:color w:val="auto"/>
                <w:kern w:val="0"/>
                <w:szCs w:val="21"/>
                <w:highlight w:val="none"/>
              </w:rPr>
            </w:pPr>
          </w:p>
        </w:tc>
        <w:tc>
          <w:tcPr>
            <w:tcW w:w="1020" w:type="dxa"/>
            <w:vAlign w:val="center"/>
          </w:tcPr>
          <w:p w14:paraId="7F2B6309">
            <w:pPr>
              <w:widowControl/>
              <w:tabs>
                <w:tab w:val="left" w:pos="9072"/>
              </w:tabs>
              <w:spacing w:line="360" w:lineRule="auto"/>
              <w:jc w:val="center"/>
              <w:rPr>
                <w:rFonts w:ascii="宋体" w:hAnsi="宋体"/>
                <w:color w:val="auto"/>
                <w:kern w:val="0"/>
                <w:szCs w:val="21"/>
                <w:highlight w:val="none"/>
              </w:rPr>
            </w:pPr>
          </w:p>
        </w:tc>
        <w:tc>
          <w:tcPr>
            <w:tcW w:w="993" w:type="dxa"/>
            <w:vAlign w:val="center"/>
          </w:tcPr>
          <w:p w14:paraId="7BD77A2B">
            <w:pPr>
              <w:widowControl/>
              <w:tabs>
                <w:tab w:val="left" w:pos="9072"/>
              </w:tabs>
              <w:spacing w:line="360" w:lineRule="auto"/>
              <w:jc w:val="center"/>
              <w:rPr>
                <w:rFonts w:ascii="宋体" w:hAnsi="宋体"/>
                <w:color w:val="auto"/>
                <w:kern w:val="0"/>
                <w:szCs w:val="21"/>
                <w:highlight w:val="none"/>
              </w:rPr>
            </w:pPr>
          </w:p>
        </w:tc>
        <w:tc>
          <w:tcPr>
            <w:tcW w:w="2042" w:type="dxa"/>
            <w:vAlign w:val="center"/>
          </w:tcPr>
          <w:p w14:paraId="5BCB1E0C">
            <w:pPr>
              <w:widowControl/>
              <w:tabs>
                <w:tab w:val="left" w:pos="9072"/>
              </w:tabs>
              <w:spacing w:line="360" w:lineRule="auto"/>
              <w:jc w:val="center"/>
              <w:rPr>
                <w:rFonts w:ascii="宋体" w:hAnsi="宋体"/>
                <w:color w:val="auto"/>
                <w:kern w:val="0"/>
                <w:szCs w:val="21"/>
                <w:highlight w:val="none"/>
              </w:rPr>
            </w:pPr>
          </w:p>
        </w:tc>
        <w:tc>
          <w:tcPr>
            <w:tcW w:w="971" w:type="dxa"/>
            <w:vAlign w:val="center"/>
          </w:tcPr>
          <w:p w14:paraId="469946C5">
            <w:pPr>
              <w:widowControl/>
              <w:tabs>
                <w:tab w:val="left" w:pos="9072"/>
              </w:tabs>
              <w:spacing w:line="360" w:lineRule="auto"/>
              <w:jc w:val="center"/>
              <w:rPr>
                <w:rFonts w:ascii="宋体" w:hAnsi="宋体"/>
                <w:color w:val="auto"/>
                <w:kern w:val="0"/>
                <w:szCs w:val="21"/>
                <w:highlight w:val="none"/>
              </w:rPr>
            </w:pPr>
          </w:p>
        </w:tc>
        <w:tc>
          <w:tcPr>
            <w:tcW w:w="1169" w:type="dxa"/>
            <w:vAlign w:val="center"/>
          </w:tcPr>
          <w:p w14:paraId="16D7119B">
            <w:pPr>
              <w:widowControl/>
              <w:tabs>
                <w:tab w:val="left" w:pos="9072"/>
              </w:tabs>
              <w:spacing w:line="360" w:lineRule="auto"/>
              <w:jc w:val="center"/>
              <w:rPr>
                <w:rFonts w:ascii="宋体" w:hAnsi="宋体"/>
                <w:color w:val="auto"/>
                <w:kern w:val="0"/>
                <w:szCs w:val="21"/>
                <w:highlight w:val="none"/>
              </w:rPr>
            </w:pPr>
          </w:p>
        </w:tc>
      </w:tr>
      <w:tr w14:paraId="24E240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6C627615">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395D8F15">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0DD4DDB8">
            <w:pPr>
              <w:widowControl/>
              <w:tabs>
                <w:tab w:val="left" w:pos="9072"/>
              </w:tabs>
              <w:spacing w:line="360" w:lineRule="auto"/>
              <w:jc w:val="center"/>
              <w:rPr>
                <w:rFonts w:ascii="宋体" w:hAnsi="宋体"/>
                <w:color w:val="auto"/>
                <w:kern w:val="0"/>
                <w:szCs w:val="21"/>
                <w:highlight w:val="none"/>
              </w:rPr>
            </w:pPr>
          </w:p>
        </w:tc>
        <w:tc>
          <w:tcPr>
            <w:tcW w:w="1020" w:type="dxa"/>
            <w:vAlign w:val="center"/>
          </w:tcPr>
          <w:p w14:paraId="125E1827">
            <w:pPr>
              <w:widowControl/>
              <w:tabs>
                <w:tab w:val="left" w:pos="9072"/>
              </w:tabs>
              <w:spacing w:line="360" w:lineRule="auto"/>
              <w:jc w:val="center"/>
              <w:rPr>
                <w:rFonts w:ascii="宋体" w:hAnsi="宋体"/>
                <w:color w:val="auto"/>
                <w:kern w:val="0"/>
                <w:szCs w:val="21"/>
                <w:highlight w:val="none"/>
              </w:rPr>
            </w:pPr>
          </w:p>
        </w:tc>
        <w:tc>
          <w:tcPr>
            <w:tcW w:w="993" w:type="dxa"/>
            <w:vAlign w:val="center"/>
          </w:tcPr>
          <w:p w14:paraId="47A1F18A">
            <w:pPr>
              <w:widowControl/>
              <w:tabs>
                <w:tab w:val="left" w:pos="9072"/>
              </w:tabs>
              <w:spacing w:line="360" w:lineRule="auto"/>
              <w:jc w:val="center"/>
              <w:rPr>
                <w:rFonts w:ascii="宋体" w:hAnsi="宋体"/>
                <w:color w:val="auto"/>
                <w:kern w:val="0"/>
                <w:szCs w:val="21"/>
                <w:highlight w:val="none"/>
              </w:rPr>
            </w:pPr>
          </w:p>
        </w:tc>
        <w:tc>
          <w:tcPr>
            <w:tcW w:w="2042" w:type="dxa"/>
            <w:vAlign w:val="center"/>
          </w:tcPr>
          <w:p w14:paraId="316D715B">
            <w:pPr>
              <w:widowControl/>
              <w:tabs>
                <w:tab w:val="left" w:pos="9072"/>
              </w:tabs>
              <w:spacing w:line="360" w:lineRule="auto"/>
              <w:jc w:val="center"/>
              <w:rPr>
                <w:rFonts w:ascii="宋体" w:hAnsi="宋体"/>
                <w:color w:val="auto"/>
                <w:kern w:val="0"/>
                <w:szCs w:val="21"/>
                <w:highlight w:val="none"/>
              </w:rPr>
            </w:pPr>
          </w:p>
        </w:tc>
        <w:tc>
          <w:tcPr>
            <w:tcW w:w="971" w:type="dxa"/>
            <w:vAlign w:val="center"/>
          </w:tcPr>
          <w:p w14:paraId="60C01838">
            <w:pPr>
              <w:widowControl/>
              <w:tabs>
                <w:tab w:val="left" w:pos="9072"/>
              </w:tabs>
              <w:spacing w:line="360" w:lineRule="auto"/>
              <w:jc w:val="center"/>
              <w:rPr>
                <w:rFonts w:ascii="宋体" w:hAnsi="宋体"/>
                <w:color w:val="auto"/>
                <w:kern w:val="0"/>
                <w:szCs w:val="21"/>
                <w:highlight w:val="none"/>
              </w:rPr>
            </w:pPr>
          </w:p>
        </w:tc>
        <w:tc>
          <w:tcPr>
            <w:tcW w:w="1169" w:type="dxa"/>
            <w:vAlign w:val="center"/>
          </w:tcPr>
          <w:p w14:paraId="3B14E18A">
            <w:pPr>
              <w:widowControl/>
              <w:tabs>
                <w:tab w:val="left" w:pos="9072"/>
              </w:tabs>
              <w:spacing w:line="360" w:lineRule="auto"/>
              <w:jc w:val="center"/>
              <w:rPr>
                <w:rFonts w:ascii="宋体" w:hAnsi="宋体"/>
                <w:color w:val="auto"/>
                <w:kern w:val="0"/>
                <w:szCs w:val="21"/>
                <w:highlight w:val="none"/>
              </w:rPr>
            </w:pPr>
          </w:p>
        </w:tc>
      </w:tr>
      <w:tr w14:paraId="5ED8CD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31D34E27">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5F2A6806">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528469BD">
            <w:pPr>
              <w:widowControl/>
              <w:tabs>
                <w:tab w:val="left" w:pos="9072"/>
              </w:tabs>
              <w:spacing w:line="360" w:lineRule="auto"/>
              <w:jc w:val="center"/>
              <w:rPr>
                <w:rFonts w:ascii="宋体" w:hAnsi="宋体"/>
                <w:color w:val="auto"/>
                <w:kern w:val="0"/>
                <w:szCs w:val="21"/>
                <w:highlight w:val="none"/>
              </w:rPr>
            </w:pPr>
          </w:p>
        </w:tc>
        <w:tc>
          <w:tcPr>
            <w:tcW w:w="1020" w:type="dxa"/>
            <w:vAlign w:val="center"/>
          </w:tcPr>
          <w:p w14:paraId="0A5F52BD">
            <w:pPr>
              <w:widowControl/>
              <w:tabs>
                <w:tab w:val="left" w:pos="9072"/>
              </w:tabs>
              <w:spacing w:line="360" w:lineRule="auto"/>
              <w:jc w:val="center"/>
              <w:rPr>
                <w:rFonts w:ascii="宋体" w:hAnsi="宋体"/>
                <w:color w:val="auto"/>
                <w:kern w:val="0"/>
                <w:szCs w:val="21"/>
                <w:highlight w:val="none"/>
              </w:rPr>
            </w:pPr>
          </w:p>
        </w:tc>
        <w:tc>
          <w:tcPr>
            <w:tcW w:w="993" w:type="dxa"/>
            <w:vAlign w:val="center"/>
          </w:tcPr>
          <w:p w14:paraId="17D0DAA2">
            <w:pPr>
              <w:widowControl/>
              <w:tabs>
                <w:tab w:val="left" w:pos="9072"/>
              </w:tabs>
              <w:spacing w:line="360" w:lineRule="auto"/>
              <w:jc w:val="center"/>
              <w:rPr>
                <w:rFonts w:ascii="宋体" w:hAnsi="宋体"/>
                <w:color w:val="auto"/>
                <w:kern w:val="0"/>
                <w:szCs w:val="21"/>
                <w:highlight w:val="none"/>
              </w:rPr>
            </w:pPr>
          </w:p>
        </w:tc>
        <w:tc>
          <w:tcPr>
            <w:tcW w:w="2042" w:type="dxa"/>
            <w:vAlign w:val="center"/>
          </w:tcPr>
          <w:p w14:paraId="4C5BE272">
            <w:pPr>
              <w:widowControl/>
              <w:tabs>
                <w:tab w:val="left" w:pos="9072"/>
              </w:tabs>
              <w:spacing w:line="360" w:lineRule="auto"/>
              <w:jc w:val="center"/>
              <w:rPr>
                <w:rFonts w:ascii="宋体" w:hAnsi="宋体"/>
                <w:color w:val="auto"/>
                <w:kern w:val="0"/>
                <w:szCs w:val="21"/>
                <w:highlight w:val="none"/>
              </w:rPr>
            </w:pPr>
          </w:p>
        </w:tc>
        <w:tc>
          <w:tcPr>
            <w:tcW w:w="971" w:type="dxa"/>
            <w:vAlign w:val="center"/>
          </w:tcPr>
          <w:p w14:paraId="7387E9F2">
            <w:pPr>
              <w:widowControl/>
              <w:tabs>
                <w:tab w:val="left" w:pos="9072"/>
              </w:tabs>
              <w:spacing w:line="360" w:lineRule="auto"/>
              <w:jc w:val="center"/>
              <w:rPr>
                <w:rFonts w:ascii="宋体" w:hAnsi="宋体"/>
                <w:color w:val="auto"/>
                <w:kern w:val="0"/>
                <w:szCs w:val="21"/>
                <w:highlight w:val="none"/>
              </w:rPr>
            </w:pPr>
          </w:p>
        </w:tc>
        <w:tc>
          <w:tcPr>
            <w:tcW w:w="1169" w:type="dxa"/>
            <w:vAlign w:val="center"/>
          </w:tcPr>
          <w:p w14:paraId="2E838346">
            <w:pPr>
              <w:widowControl/>
              <w:tabs>
                <w:tab w:val="left" w:pos="9072"/>
              </w:tabs>
              <w:spacing w:line="360" w:lineRule="auto"/>
              <w:jc w:val="center"/>
              <w:rPr>
                <w:rFonts w:ascii="宋体" w:hAnsi="宋体"/>
                <w:color w:val="auto"/>
                <w:kern w:val="0"/>
                <w:szCs w:val="21"/>
                <w:highlight w:val="none"/>
              </w:rPr>
            </w:pPr>
          </w:p>
        </w:tc>
      </w:tr>
    </w:tbl>
    <w:p w14:paraId="6D1C148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设计项目机构组成人员可按照合同约定进行更换，但更换后人员不得低于设计人合同签订时</w:t>
      </w:r>
      <w:r>
        <w:rPr>
          <w:rFonts w:hint="eastAsia" w:ascii="宋体" w:hAnsi="宋体"/>
          <w:color w:val="auto"/>
          <w:kern w:val="0"/>
          <w:szCs w:val="21"/>
          <w:highlight w:val="none"/>
        </w:rPr>
        <w:t>提供的设计</w:t>
      </w:r>
      <w:r>
        <w:rPr>
          <w:rFonts w:ascii="宋体" w:hAnsi="宋体"/>
          <w:color w:val="auto"/>
          <w:kern w:val="0"/>
          <w:szCs w:val="21"/>
          <w:highlight w:val="none"/>
        </w:rPr>
        <w:t>人员资质和技术水平。</w:t>
      </w:r>
    </w:p>
    <w:p w14:paraId="44710D9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4.6.5施工服务期内，设计人指定一名项目协调人，根据发包人需求，定期负责到现场提供设计技术、协调等服务。</w:t>
      </w:r>
    </w:p>
    <w:p w14:paraId="542DBF18">
      <w:pPr>
        <w:pStyle w:val="3"/>
        <w:spacing w:before="0" w:after="0" w:line="360" w:lineRule="auto"/>
        <w:rPr>
          <w:rFonts w:ascii="宋体" w:hAnsi="宋体"/>
          <w:b w:val="0"/>
          <w:snapToGrid w:val="0"/>
          <w:color w:val="auto"/>
          <w:sz w:val="24"/>
          <w:szCs w:val="24"/>
          <w:highlight w:val="none"/>
        </w:rPr>
      </w:pPr>
      <w:bookmarkStart w:id="705" w:name="_Toc2578"/>
      <w:bookmarkStart w:id="706" w:name="_Toc532384183"/>
      <w:r>
        <w:rPr>
          <w:rFonts w:ascii="宋体" w:hAnsi="宋体"/>
          <w:b w:val="0"/>
          <w:snapToGrid w:val="0"/>
          <w:color w:val="auto"/>
          <w:sz w:val="24"/>
          <w:szCs w:val="24"/>
          <w:highlight w:val="none"/>
        </w:rPr>
        <w:t>5.设计要求</w:t>
      </w:r>
      <w:bookmarkEnd w:id="705"/>
      <w:bookmarkEnd w:id="706"/>
    </w:p>
    <w:p w14:paraId="6BBA685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5.1 一般要求</w:t>
      </w:r>
    </w:p>
    <w:p w14:paraId="64AF1E64">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5.1.3</w:t>
      </w:r>
      <w:r>
        <w:rPr>
          <w:rFonts w:ascii="宋体" w:hAnsi="宋体"/>
          <w:color w:val="auto"/>
          <w:kern w:val="0"/>
          <w:szCs w:val="21"/>
          <w:highlight w:val="none"/>
          <w:u w:val="single"/>
        </w:rPr>
        <w:t>设计人向发包人提出遵守新规定的建议，</w:t>
      </w:r>
      <w:r>
        <w:rPr>
          <w:rFonts w:hint="eastAsia" w:ascii="宋体" w:hAnsi="宋体"/>
          <w:color w:val="auto"/>
          <w:kern w:val="0"/>
          <w:szCs w:val="21"/>
          <w:highlight w:val="none"/>
          <w:u w:val="single"/>
        </w:rPr>
        <w:t>自</w:t>
      </w:r>
      <w:r>
        <w:rPr>
          <w:rFonts w:ascii="宋体" w:hAnsi="宋体"/>
          <w:color w:val="auto"/>
          <w:kern w:val="0"/>
          <w:szCs w:val="21"/>
          <w:highlight w:val="none"/>
          <w:u w:val="single"/>
        </w:rPr>
        <w:t>发包人收到建议函后7 天内未发出指示的，默认同意遵守新规定。</w:t>
      </w:r>
    </w:p>
    <w:p w14:paraId="65535D09">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ascii="宋体" w:hAnsi="宋体"/>
          <w:bCs/>
          <w:color w:val="auto"/>
          <w:szCs w:val="21"/>
          <w:highlight w:val="none"/>
        </w:rPr>
        <w:t>5.2 设计依据：</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0D42ABFE">
      <w:pPr>
        <w:widowControl/>
        <w:tabs>
          <w:tab w:val="left" w:pos="9072"/>
          <w:tab w:val="left" w:pos="9781"/>
        </w:tabs>
        <w:spacing w:before="120" w:after="120"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5.3 设计范围</w:t>
      </w:r>
    </w:p>
    <w:p w14:paraId="601D0F3D">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5.3.2工程</w:t>
      </w:r>
      <w:r>
        <w:rPr>
          <w:rFonts w:ascii="宋体" w:hAnsi="宋体"/>
          <w:color w:val="auto"/>
          <w:kern w:val="0"/>
          <w:szCs w:val="21"/>
          <w:highlight w:val="none"/>
        </w:rPr>
        <w:t>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41762FD5">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w:t>
      </w:r>
      <w:r>
        <w:rPr>
          <w:rFonts w:ascii="宋体" w:hAnsi="宋体"/>
          <w:color w:val="auto"/>
          <w:kern w:val="0"/>
          <w:szCs w:val="21"/>
          <w:highlight w:val="none"/>
        </w:rPr>
        <w:t>阶段范围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2C30C4A3">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w:t>
      </w:r>
      <w:r>
        <w:rPr>
          <w:rFonts w:ascii="宋体" w:hAnsi="宋体"/>
          <w:color w:val="auto"/>
          <w:kern w:val="0"/>
          <w:szCs w:val="21"/>
          <w:highlight w:val="none"/>
        </w:rPr>
        <w:t>工作范围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3E164EA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5.4 设计文件要求</w:t>
      </w:r>
    </w:p>
    <w:p w14:paraId="19E1F75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5.4.2 设计服务应当根据法律、规范标准和发包人要求，保证工程的设计合理使用寿命年限</w:t>
      </w:r>
      <w:r>
        <w:rPr>
          <w:rFonts w:ascii="宋体" w:hAnsi="宋体"/>
          <w:color w:val="auto"/>
          <w:kern w:val="0"/>
          <w:szCs w:val="21"/>
          <w:highlight w:val="none"/>
          <w:u w:val="single"/>
        </w:rPr>
        <w:t xml:space="preserve">    </w:t>
      </w:r>
      <w:r>
        <w:rPr>
          <w:rFonts w:ascii="宋体" w:hAnsi="宋体"/>
          <w:color w:val="auto"/>
          <w:kern w:val="0"/>
          <w:szCs w:val="21"/>
          <w:highlight w:val="none"/>
        </w:rPr>
        <w:t>年，并在设计文件中予以注明。</w:t>
      </w:r>
    </w:p>
    <w:p w14:paraId="5A15F9E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5.4.3：</w:t>
      </w:r>
      <w:r>
        <w:rPr>
          <w:rFonts w:ascii="宋体" w:hAnsi="宋体"/>
          <w:color w:val="auto"/>
          <w:kern w:val="0"/>
          <w:szCs w:val="21"/>
          <w:highlight w:val="none"/>
          <w:u w:val="single"/>
        </w:rPr>
        <w:t>（设计文件的深度，根据工程特点填写，并以最新规范为准，以下供参考）《建筑工程设计文件编制深度规定》（2016年版）、《市政公用工程设计文件编制深度规定》（2013年版）</w:t>
      </w:r>
      <w:r>
        <w:rPr>
          <w:rFonts w:ascii="宋体" w:hAnsi="宋体"/>
          <w:color w:val="auto"/>
          <w:kern w:val="0"/>
          <w:szCs w:val="21"/>
          <w:highlight w:val="none"/>
          <w:u w:val="single"/>
        </w:rPr>
        <w:tab/>
      </w:r>
      <w:r>
        <w:rPr>
          <w:rFonts w:ascii="宋体" w:hAnsi="宋体"/>
          <w:color w:val="auto"/>
          <w:kern w:val="0"/>
          <w:szCs w:val="21"/>
          <w:highlight w:val="none"/>
        </w:rPr>
        <w:t>。</w:t>
      </w:r>
    </w:p>
    <w:p w14:paraId="04D2EF8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5.4.5设计人应在设计文件中注明涉及危大工程的重点部位和环节，提出保障工程周边环境安全和工程施工安全的意见，必要时进行专项设计。</w:t>
      </w:r>
    </w:p>
    <w:p w14:paraId="0C8E50FE">
      <w:pPr>
        <w:keepNext/>
        <w:keepLines/>
        <w:spacing w:before="120" w:after="120" w:line="360" w:lineRule="auto"/>
        <w:ind w:firstLine="420" w:firstLineChars="200"/>
        <w:outlineLvl w:val="4"/>
        <w:rPr>
          <w:rFonts w:ascii="宋体" w:hAnsi="宋体"/>
          <w:bCs/>
          <w:color w:val="auto"/>
          <w:szCs w:val="21"/>
          <w:highlight w:val="none"/>
        </w:rPr>
      </w:pPr>
      <w:bookmarkStart w:id="707" w:name="_Toc532383285"/>
      <w:r>
        <w:rPr>
          <w:rFonts w:ascii="宋体" w:hAnsi="宋体"/>
          <w:bCs/>
          <w:color w:val="auto"/>
          <w:szCs w:val="21"/>
          <w:highlight w:val="none"/>
        </w:rPr>
        <w:t>5.5设计成果获奖要求及奖励：</w:t>
      </w:r>
      <w:r>
        <w:rPr>
          <w:rFonts w:ascii="宋体" w:hAnsi="宋体"/>
          <w:bCs/>
          <w:color w:val="auto"/>
          <w:szCs w:val="21"/>
          <w:highlight w:val="none"/>
          <w:u w:val="single"/>
        </w:rPr>
        <w:t xml:space="preserve">                          </w:t>
      </w:r>
      <w:r>
        <w:rPr>
          <w:rFonts w:ascii="宋体" w:hAnsi="宋体"/>
          <w:bCs/>
          <w:color w:val="auto"/>
          <w:szCs w:val="21"/>
          <w:highlight w:val="none"/>
          <w:u w:val="single"/>
        </w:rPr>
        <w:tab/>
      </w:r>
      <w:r>
        <w:rPr>
          <w:rFonts w:ascii="宋体" w:hAnsi="宋体"/>
          <w:bCs/>
          <w:color w:val="auto"/>
          <w:szCs w:val="21"/>
          <w:highlight w:val="none"/>
        </w:rPr>
        <w:t>。</w:t>
      </w:r>
      <w:bookmarkEnd w:id="707"/>
    </w:p>
    <w:p w14:paraId="545AB82F">
      <w:pPr>
        <w:pStyle w:val="3"/>
        <w:spacing w:before="0" w:after="0" w:line="360" w:lineRule="auto"/>
        <w:rPr>
          <w:rFonts w:ascii="宋体" w:hAnsi="宋体"/>
          <w:b w:val="0"/>
          <w:snapToGrid w:val="0"/>
          <w:color w:val="auto"/>
          <w:sz w:val="24"/>
          <w:szCs w:val="24"/>
          <w:highlight w:val="none"/>
        </w:rPr>
      </w:pPr>
      <w:bookmarkStart w:id="708" w:name="_Toc18975"/>
      <w:bookmarkStart w:id="709" w:name="_Toc531632619"/>
      <w:bookmarkStart w:id="710" w:name="_Toc532384184"/>
      <w:r>
        <w:rPr>
          <w:rFonts w:ascii="宋体" w:hAnsi="宋体"/>
          <w:b w:val="0"/>
          <w:snapToGrid w:val="0"/>
          <w:color w:val="auto"/>
          <w:sz w:val="24"/>
          <w:szCs w:val="24"/>
          <w:highlight w:val="none"/>
        </w:rPr>
        <w:t>6.开始设计和完成设计</w:t>
      </w:r>
      <w:bookmarkEnd w:id="708"/>
      <w:bookmarkEnd w:id="709"/>
      <w:bookmarkEnd w:id="710"/>
    </w:p>
    <w:p w14:paraId="731088A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6.1 开始设计</w:t>
      </w:r>
    </w:p>
    <w:p w14:paraId="6E2808F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6.1.1</w:t>
      </w:r>
      <w:r>
        <w:rPr>
          <w:rFonts w:hint="eastAsia" w:ascii="宋体" w:hAnsi="宋体"/>
          <w:color w:val="auto"/>
          <w:kern w:val="0"/>
          <w:szCs w:val="21"/>
          <w:highlight w:val="none"/>
        </w:rPr>
        <w:t>开始设计条件：</w:t>
      </w:r>
      <w:r>
        <w:rPr>
          <w:rFonts w:hint="eastAsia" w:ascii="宋体" w:hAnsi="宋体"/>
          <w:color w:val="auto"/>
          <w:kern w:val="0"/>
          <w:szCs w:val="21"/>
          <w:highlight w:val="none"/>
          <w:u w:val="single"/>
        </w:rPr>
        <w:t>设计人收到发包人提供的合同约定的设计基础资料</w:t>
      </w:r>
      <w:r>
        <w:rPr>
          <w:rFonts w:ascii="宋体" w:hAnsi="宋体"/>
          <w:color w:val="auto"/>
          <w:kern w:val="0"/>
          <w:szCs w:val="21"/>
          <w:highlight w:val="none"/>
        </w:rPr>
        <w:t>。</w:t>
      </w:r>
    </w:p>
    <w:p w14:paraId="7A8F015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bCs/>
          <w:color w:val="auto"/>
          <w:szCs w:val="21"/>
          <w:highlight w:val="none"/>
        </w:rPr>
        <w:t>6.3 设计人引起的周期延误</w:t>
      </w:r>
      <w:r>
        <w:rPr>
          <w:rFonts w:ascii="宋体" w:hAnsi="宋体"/>
          <w:color w:val="auto"/>
          <w:kern w:val="0"/>
          <w:szCs w:val="21"/>
          <w:highlight w:val="none"/>
        </w:rPr>
        <w:t>：由于设计人原因，延误了设计文件交付时间，按专用合同条款执行。</w:t>
      </w:r>
    </w:p>
    <w:p w14:paraId="194C116E">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6.6 提前完成设计</w:t>
      </w:r>
    </w:p>
    <w:p w14:paraId="0F7B8BA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6.6.1 </w:t>
      </w:r>
      <w:r>
        <w:rPr>
          <w:rFonts w:ascii="宋体" w:hAnsi="宋体"/>
          <w:color w:val="auto"/>
          <w:kern w:val="0"/>
          <w:szCs w:val="21"/>
          <w:highlight w:val="none"/>
          <w:u w:val="single"/>
        </w:rPr>
        <w:t>提前完成设计</w:t>
      </w:r>
      <w:r>
        <w:rPr>
          <w:rFonts w:hint="eastAsia" w:ascii="宋体" w:hAnsi="宋体"/>
          <w:color w:val="auto"/>
          <w:kern w:val="0"/>
          <w:szCs w:val="21"/>
          <w:highlight w:val="none"/>
          <w:u w:val="single"/>
        </w:rPr>
        <w:t>不</w:t>
      </w:r>
      <w:r>
        <w:rPr>
          <w:rFonts w:ascii="宋体" w:hAnsi="宋体"/>
          <w:color w:val="auto"/>
          <w:kern w:val="0"/>
          <w:szCs w:val="21"/>
          <w:highlight w:val="none"/>
          <w:u w:val="single"/>
        </w:rPr>
        <w:t>否调整设计费用</w:t>
      </w:r>
      <w:r>
        <w:rPr>
          <w:rFonts w:ascii="宋体" w:hAnsi="宋体"/>
          <w:color w:val="auto"/>
          <w:kern w:val="0"/>
          <w:szCs w:val="21"/>
          <w:highlight w:val="none"/>
        </w:rPr>
        <w:t>。</w:t>
      </w:r>
    </w:p>
    <w:p w14:paraId="502615C6">
      <w:pPr>
        <w:widowControl/>
        <w:tabs>
          <w:tab w:val="left" w:pos="5218"/>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6.6.3设计人提前完成设计奖励：</w:t>
      </w:r>
      <w:r>
        <w:rPr>
          <w:rFonts w:hint="eastAsia" w:ascii="宋体" w:hAnsi="宋体"/>
          <w:color w:val="auto"/>
          <w:kern w:val="0"/>
          <w:szCs w:val="21"/>
          <w:highlight w:val="none"/>
          <w:u w:val="single"/>
        </w:rPr>
        <w:t>无</w:t>
      </w:r>
      <w:r>
        <w:rPr>
          <w:rFonts w:ascii="宋体" w:hAnsi="宋体"/>
          <w:color w:val="auto"/>
          <w:kern w:val="0"/>
          <w:szCs w:val="21"/>
          <w:highlight w:val="none"/>
        </w:rPr>
        <w:t>。</w:t>
      </w:r>
    </w:p>
    <w:p w14:paraId="795FD9D3">
      <w:pPr>
        <w:pStyle w:val="3"/>
        <w:spacing w:before="0" w:after="0" w:line="360" w:lineRule="auto"/>
        <w:rPr>
          <w:rFonts w:ascii="宋体" w:hAnsi="宋体"/>
          <w:b w:val="0"/>
          <w:snapToGrid w:val="0"/>
          <w:color w:val="auto"/>
          <w:sz w:val="24"/>
          <w:szCs w:val="24"/>
          <w:highlight w:val="none"/>
        </w:rPr>
      </w:pPr>
      <w:bookmarkStart w:id="711" w:name="_Toc531632620"/>
      <w:bookmarkStart w:id="712" w:name="_Toc21049"/>
      <w:bookmarkStart w:id="713" w:name="_Toc532384185"/>
      <w:r>
        <w:rPr>
          <w:rFonts w:ascii="宋体" w:hAnsi="宋体"/>
          <w:b w:val="0"/>
          <w:snapToGrid w:val="0"/>
          <w:color w:val="auto"/>
          <w:sz w:val="24"/>
          <w:szCs w:val="24"/>
          <w:highlight w:val="none"/>
        </w:rPr>
        <w:t>8.设计文件</w:t>
      </w:r>
      <w:bookmarkEnd w:id="711"/>
      <w:bookmarkEnd w:id="712"/>
      <w:bookmarkEnd w:id="713"/>
    </w:p>
    <w:p w14:paraId="57011D1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8.1 设计文件接收</w:t>
      </w:r>
    </w:p>
    <w:p w14:paraId="1251AA8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8.1.3 设计文件包括纸质文件和电子文件两种形式。提交文件名称、份数和时间见下表：</w:t>
      </w:r>
    </w:p>
    <w:p w14:paraId="2A04828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计划开始设计日期：20</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02EC15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计划完成设计日期：20</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tbl>
      <w:tblPr>
        <w:tblStyle w:val="4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631"/>
        <w:gridCol w:w="900"/>
        <w:gridCol w:w="3982"/>
        <w:gridCol w:w="706"/>
      </w:tblGrid>
      <w:tr w14:paraId="14F8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3131BE61">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序号</w:t>
            </w:r>
          </w:p>
        </w:tc>
        <w:tc>
          <w:tcPr>
            <w:tcW w:w="2631" w:type="dxa"/>
            <w:vAlign w:val="center"/>
          </w:tcPr>
          <w:p w14:paraId="6A8B913B">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资料及文件名称</w:t>
            </w:r>
          </w:p>
        </w:tc>
        <w:tc>
          <w:tcPr>
            <w:tcW w:w="900" w:type="dxa"/>
            <w:vAlign w:val="center"/>
          </w:tcPr>
          <w:p w14:paraId="50484EA5">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份数</w:t>
            </w:r>
          </w:p>
        </w:tc>
        <w:tc>
          <w:tcPr>
            <w:tcW w:w="3982" w:type="dxa"/>
            <w:vAlign w:val="center"/>
          </w:tcPr>
          <w:p w14:paraId="7F34CC90">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提交日期</w:t>
            </w:r>
          </w:p>
        </w:tc>
        <w:tc>
          <w:tcPr>
            <w:tcW w:w="706" w:type="dxa"/>
            <w:vAlign w:val="center"/>
          </w:tcPr>
          <w:p w14:paraId="3E4E9DB6">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备注</w:t>
            </w:r>
          </w:p>
        </w:tc>
      </w:tr>
      <w:tr w14:paraId="5749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52E845B8">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2631" w:type="dxa"/>
            <w:vAlign w:val="center"/>
          </w:tcPr>
          <w:p w14:paraId="2C331498">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方案设计</w:t>
            </w:r>
          </w:p>
        </w:tc>
        <w:tc>
          <w:tcPr>
            <w:tcW w:w="900" w:type="dxa"/>
            <w:vAlign w:val="center"/>
          </w:tcPr>
          <w:p w14:paraId="3AE944AE">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 xml:space="preserve"> </w:t>
            </w:r>
          </w:p>
        </w:tc>
        <w:tc>
          <w:tcPr>
            <w:tcW w:w="3982" w:type="dxa"/>
            <w:vAlign w:val="center"/>
          </w:tcPr>
          <w:p w14:paraId="7AE42949">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合同签订后 日内</w:t>
            </w:r>
          </w:p>
        </w:tc>
        <w:tc>
          <w:tcPr>
            <w:tcW w:w="706" w:type="dxa"/>
            <w:vMerge w:val="restart"/>
          </w:tcPr>
          <w:p w14:paraId="3317A420">
            <w:pPr>
              <w:widowControl/>
              <w:tabs>
                <w:tab w:val="left" w:pos="9072"/>
                <w:tab w:val="left" w:pos="9781"/>
              </w:tabs>
              <w:spacing w:line="300" w:lineRule="exact"/>
              <w:jc w:val="center"/>
              <w:rPr>
                <w:rFonts w:ascii="宋体" w:hAnsi="宋体"/>
                <w:color w:val="auto"/>
                <w:kern w:val="0"/>
                <w:szCs w:val="21"/>
                <w:highlight w:val="none"/>
              </w:rPr>
            </w:pPr>
            <w:r>
              <w:rPr>
                <w:rFonts w:ascii="宋体" w:hAnsi="宋体"/>
                <w:color w:val="auto"/>
                <w:kern w:val="0"/>
                <w:szCs w:val="21"/>
                <w:highlight w:val="none"/>
              </w:rPr>
              <w:t>可根据实际需要适当调整文件份数</w:t>
            </w:r>
          </w:p>
        </w:tc>
      </w:tr>
      <w:tr w14:paraId="6691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3EC5111">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2631" w:type="dxa"/>
            <w:vAlign w:val="center"/>
          </w:tcPr>
          <w:p w14:paraId="3959FC5F">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初步设计（含概算）</w:t>
            </w:r>
          </w:p>
        </w:tc>
        <w:tc>
          <w:tcPr>
            <w:tcW w:w="900" w:type="dxa"/>
            <w:vAlign w:val="center"/>
          </w:tcPr>
          <w:p w14:paraId="72112EF5">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 xml:space="preserve"> </w:t>
            </w:r>
          </w:p>
        </w:tc>
        <w:tc>
          <w:tcPr>
            <w:tcW w:w="3982" w:type="dxa"/>
            <w:vAlign w:val="center"/>
          </w:tcPr>
          <w:p w14:paraId="54AC97AD">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合同签订后 日内</w:t>
            </w:r>
          </w:p>
        </w:tc>
        <w:tc>
          <w:tcPr>
            <w:tcW w:w="706" w:type="dxa"/>
            <w:vMerge w:val="continue"/>
          </w:tcPr>
          <w:p w14:paraId="304A03E3">
            <w:pPr>
              <w:widowControl/>
              <w:tabs>
                <w:tab w:val="left" w:pos="9072"/>
                <w:tab w:val="left" w:pos="9781"/>
              </w:tabs>
              <w:spacing w:line="360" w:lineRule="auto"/>
              <w:jc w:val="center"/>
              <w:rPr>
                <w:rFonts w:ascii="宋体" w:hAnsi="宋体"/>
                <w:color w:val="auto"/>
                <w:kern w:val="0"/>
                <w:szCs w:val="21"/>
                <w:highlight w:val="none"/>
              </w:rPr>
            </w:pPr>
          </w:p>
        </w:tc>
      </w:tr>
      <w:tr w14:paraId="5B05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15AF9215">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2631" w:type="dxa"/>
            <w:vAlign w:val="center"/>
          </w:tcPr>
          <w:p w14:paraId="4F23D1F3">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施工图设计</w:t>
            </w:r>
          </w:p>
        </w:tc>
        <w:tc>
          <w:tcPr>
            <w:tcW w:w="900" w:type="dxa"/>
            <w:vAlign w:val="center"/>
          </w:tcPr>
          <w:p w14:paraId="1222AD0B">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 xml:space="preserve"> </w:t>
            </w:r>
          </w:p>
        </w:tc>
        <w:tc>
          <w:tcPr>
            <w:tcW w:w="3982" w:type="dxa"/>
            <w:vAlign w:val="center"/>
          </w:tcPr>
          <w:p w14:paraId="1068DD69">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初步设计审批通过后  日内</w:t>
            </w:r>
          </w:p>
        </w:tc>
        <w:tc>
          <w:tcPr>
            <w:tcW w:w="706" w:type="dxa"/>
            <w:vMerge w:val="continue"/>
          </w:tcPr>
          <w:p w14:paraId="31E95B6A">
            <w:pPr>
              <w:widowControl/>
              <w:tabs>
                <w:tab w:val="left" w:pos="9072"/>
                <w:tab w:val="left" w:pos="9781"/>
              </w:tabs>
              <w:spacing w:line="360" w:lineRule="auto"/>
              <w:jc w:val="center"/>
              <w:rPr>
                <w:rFonts w:ascii="宋体" w:hAnsi="宋体"/>
                <w:color w:val="auto"/>
                <w:kern w:val="0"/>
                <w:szCs w:val="21"/>
                <w:highlight w:val="none"/>
              </w:rPr>
            </w:pPr>
          </w:p>
        </w:tc>
      </w:tr>
      <w:tr w14:paraId="728D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67EE3DE7">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2631" w:type="dxa"/>
            <w:vAlign w:val="center"/>
          </w:tcPr>
          <w:p w14:paraId="663513BC">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电子版</w:t>
            </w:r>
            <w:r>
              <w:rPr>
                <w:rFonts w:ascii="宋体" w:hAnsi="宋体"/>
                <w:color w:val="auto"/>
                <w:kern w:val="0"/>
                <w:szCs w:val="21"/>
                <w:highlight w:val="none"/>
              </w:rPr>
              <w:t>（光盘）</w:t>
            </w:r>
          </w:p>
        </w:tc>
        <w:tc>
          <w:tcPr>
            <w:tcW w:w="900" w:type="dxa"/>
            <w:vAlign w:val="center"/>
          </w:tcPr>
          <w:p w14:paraId="033D5A37">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14:paraId="1F7CFC89">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同设计文件</w:t>
            </w:r>
          </w:p>
        </w:tc>
        <w:tc>
          <w:tcPr>
            <w:tcW w:w="706" w:type="dxa"/>
            <w:vMerge w:val="continue"/>
          </w:tcPr>
          <w:p w14:paraId="29019A9D">
            <w:pPr>
              <w:widowControl/>
              <w:tabs>
                <w:tab w:val="left" w:pos="9072"/>
                <w:tab w:val="left" w:pos="9781"/>
              </w:tabs>
              <w:spacing w:line="360" w:lineRule="auto"/>
              <w:rPr>
                <w:rFonts w:ascii="宋体" w:hAnsi="宋体"/>
                <w:color w:val="auto"/>
                <w:kern w:val="0"/>
                <w:szCs w:val="21"/>
                <w:highlight w:val="none"/>
              </w:rPr>
            </w:pPr>
          </w:p>
        </w:tc>
      </w:tr>
      <w:tr w14:paraId="0AAA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278D467E">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2631" w:type="dxa"/>
            <w:vAlign w:val="center"/>
          </w:tcPr>
          <w:p w14:paraId="524D18CE">
            <w:pPr>
              <w:widowControl/>
              <w:tabs>
                <w:tab w:val="left" w:pos="9072"/>
                <w:tab w:val="left" w:pos="9781"/>
              </w:tabs>
              <w:spacing w:line="360" w:lineRule="auto"/>
              <w:jc w:val="center"/>
              <w:rPr>
                <w:rFonts w:ascii="宋体" w:hAnsi="宋体"/>
                <w:color w:val="auto"/>
                <w:kern w:val="0"/>
                <w:szCs w:val="21"/>
                <w:highlight w:val="none"/>
              </w:rPr>
            </w:pPr>
          </w:p>
        </w:tc>
        <w:tc>
          <w:tcPr>
            <w:tcW w:w="900" w:type="dxa"/>
            <w:vAlign w:val="center"/>
          </w:tcPr>
          <w:p w14:paraId="3A8F939A">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14:paraId="6ABA07BB">
            <w:pPr>
              <w:widowControl/>
              <w:tabs>
                <w:tab w:val="left" w:pos="9072"/>
                <w:tab w:val="left" w:pos="9781"/>
              </w:tabs>
              <w:spacing w:line="360" w:lineRule="auto"/>
              <w:jc w:val="center"/>
              <w:rPr>
                <w:rFonts w:ascii="宋体" w:hAnsi="宋体"/>
                <w:color w:val="auto"/>
                <w:kern w:val="0"/>
                <w:szCs w:val="21"/>
                <w:highlight w:val="none"/>
              </w:rPr>
            </w:pPr>
          </w:p>
        </w:tc>
        <w:tc>
          <w:tcPr>
            <w:tcW w:w="706" w:type="dxa"/>
            <w:vMerge w:val="continue"/>
          </w:tcPr>
          <w:p w14:paraId="5CC069E8">
            <w:pPr>
              <w:widowControl/>
              <w:tabs>
                <w:tab w:val="left" w:pos="9072"/>
                <w:tab w:val="left" w:pos="9781"/>
              </w:tabs>
              <w:spacing w:line="360" w:lineRule="auto"/>
              <w:jc w:val="center"/>
              <w:rPr>
                <w:rFonts w:ascii="宋体" w:hAnsi="宋体"/>
                <w:color w:val="auto"/>
                <w:kern w:val="0"/>
                <w:szCs w:val="21"/>
                <w:highlight w:val="none"/>
              </w:rPr>
            </w:pPr>
          </w:p>
        </w:tc>
      </w:tr>
      <w:tr w14:paraId="116D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077BBEC2">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2631" w:type="dxa"/>
            <w:vAlign w:val="center"/>
          </w:tcPr>
          <w:p w14:paraId="64F93BCC">
            <w:pPr>
              <w:widowControl/>
              <w:tabs>
                <w:tab w:val="left" w:pos="9072"/>
                <w:tab w:val="left" w:pos="9781"/>
              </w:tabs>
              <w:spacing w:line="360" w:lineRule="auto"/>
              <w:jc w:val="center"/>
              <w:rPr>
                <w:rFonts w:ascii="宋体" w:hAnsi="宋体"/>
                <w:color w:val="auto"/>
                <w:kern w:val="0"/>
                <w:szCs w:val="21"/>
                <w:highlight w:val="none"/>
              </w:rPr>
            </w:pPr>
          </w:p>
        </w:tc>
        <w:tc>
          <w:tcPr>
            <w:tcW w:w="900" w:type="dxa"/>
            <w:vAlign w:val="center"/>
          </w:tcPr>
          <w:p w14:paraId="51B3A053">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14:paraId="4DE5C70C">
            <w:pPr>
              <w:widowControl/>
              <w:tabs>
                <w:tab w:val="left" w:pos="9072"/>
                <w:tab w:val="left" w:pos="9781"/>
              </w:tabs>
              <w:spacing w:line="360" w:lineRule="auto"/>
              <w:jc w:val="center"/>
              <w:rPr>
                <w:rFonts w:ascii="宋体" w:hAnsi="宋体"/>
                <w:color w:val="auto"/>
                <w:kern w:val="0"/>
                <w:szCs w:val="21"/>
                <w:highlight w:val="none"/>
              </w:rPr>
            </w:pPr>
          </w:p>
        </w:tc>
        <w:tc>
          <w:tcPr>
            <w:tcW w:w="706" w:type="dxa"/>
            <w:vMerge w:val="continue"/>
          </w:tcPr>
          <w:p w14:paraId="4262FB81">
            <w:pPr>
              <w:widowControl/>
              <w:tabs>
                <w:tab w:val="left" w:pos="9072"/>
                <w:tab w:val="left" w:pos="9781"/>
              </w:tabs>
              <w:spacing w:line="360" w:lineRule="auto"/>
              <w:jc w:val="center"/>
              <w:rPr>
                <w:rFonts w:ascii="宋体" w:hAnsi="宋体"/>
                <w:color w:val="auto"/>
                <w:kern w:val="0"/>
                <w:szCs w:val="21"/>
                <w:highlight w:val="none"/>
              </w:rPr>
            </w:pPr>
          </w:p>
        </w:tc>
      </w:tr>
      <w:tr w14:paraId="2634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17968CF0">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2631" w:type="dxa"/>
            <w:vAlign w:val="center"/>
          </w:tcPr>
          <w:p w14:paraId="11DAE5F1">
            <w:pPr>
              <w:widowControl/>
              <w:tabs>
                <w:tab w:val="left" w:pos="9072"/>
                <w:tab w:val="left" w:pos="9781"/>
              </w:tabs>
              <w:spacing w:line="360" w:lineRule="auto"/>
              <w:jc w:val="center"/>
              <w:rPr>
                <w:rFonts w:ascii="宋体" w:hAnsi="宋体"/>
                <w:color w:val="auto"/>
                <w:kern w:val="0"/>
                <w:szCs w:val="21"/>
                <w:highlight w:val="none"/>
              </w:rPr>
            </w:pPr>
          </w:p>
        </w:tc>
        <w:tc>
          <w:tcPr>
            <w:tcW w:w="900" w:type="dxa"/>
            <w:vAlign w:val="center"/>
          </w:tcPr>
          <w:p w14:paraId="06C83A97">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14:paraId="08705D72">
            <w:pPr>
              <w:widowControl/>
              <w:tabs>
                <w:tab w:val="left" w:pos="9072"/>
                <w:tab w:val="left" w:pos="9781"/>
              </w:tabs>
              <w:spacing w:line="360" w:lineRule="auto"/>
              <w:jc w:val="center"/>
              <w:rPr>
                <w:rFonts w:ascii="宋体" w:hAnsi="宋体"/>
                <w:color w:val="auto"/>
                <w:kern w:val="0"/>
                <w:szCs w:val="21"/>
                <w:highlight w:val="none"/>
              </w:rPr>
            </w:pPr>
          </w:p>
        </w:tc>
        <w:tc>
          <w:tcPr>
            <w:tcW w:w="706" w:type="dxa"/>
            <w:vMerge w:val="continue"/>
          </w:tcPr>
          <w:p w14:paraId="564FF022">
            <w:pPr>
              <w:widowControl/>
              <w:tabs>
                <w:tab w:val="left" w:pos="9072"/>
                <w:tab w:val="left" w:pos="9781"/>
              </w:tabs>
              <w:spacing w:line="360" w:lineRule="auto"/>
              <w:jc w:val="center"/>
              <w:rPr>
                <w:rFonts w:ascii="宋体" w:hAnsi="宋体"/>
                <w:color w:val="auto"/>
                <w:kern w:val="0"/>
                <w:szCs w:val="21"/>
                <w:highlight w:val="none"/>
              </w:rPr>
            </w:pPr>
          </w:p>
        </w:tc>
      </w:tr>
      <w:tr w14:paraId="4313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14:paraId="6FFEEE39">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说明</w:t>
            </w:r>
          </w:p>
        </w:tc>
        <w:tc>
          <w:tcPr>
            <w:tcW w:w="8219" w:type="dxa"/>
            <w:gridSpan w:val="4"/>
          </w:tcPr>
          <w:p w14:paraId="0E6A7700">
            <w:pPr>
              <w:widowControl/>
              <w:tabs>
                <w:tab w:val="left" w:pos="9072"/>
                <w:tab w:val="left" w:pos="9781"/>
              </w:tabs>
              <w:spacing w:line="360" w:lineRule="auto"/>
              <w:jc w:val="left"/>
              <w:rPr>
                <w:rFonts w:ascii="宋体" w:hAnsi="宋体"/>
                <w:color w:val="auto"/>
                <w:kern w:val="0"/>
                <w:szCs w:val="21"/>
                <w:highlight w:val="none"/>
              </w:rPr>
            </w:pPr>
            <w:r>
              <w:rPr>
                <w:rFonts w:ascii="宋体" w:hAnsi="宋体"/>
                <w:color w:val="auto"/>
                <w:kern w:val="0"/>
                <w:szCs w:val="21"/>
                <w:highlight w:val="none"/>
              </w:rPr>
              <w:t>1.纸质文件应当加盖单位法定名称章、单位设计资质章和规定的注册执业印章；电子文件中的文字为</w:t>
            </w:r>
            <w:r>
              <w:rPr>
                <w:rFonts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Word、Excle和PDF</w:t>
            </w:r>
            <w:r>
              <w:rPr>
                <w:rFonts w:ascii="宋体" w:hAnsi="宋体"/>
                <w:color w:val="auto"/>
                <w:kern w:val="0"/>
                <w:szCs w:val="21"/>
                <w:highlight w:val="none"/>
                <w:u w:val="single"/>
              </w:rPr>
              <w:t xml:space="preserve">  </w:t>
            </w:r>
            <w:r>
              <w:rPr>
                <w:rFonts w:ascii="宋体" w:hAnsi="宋体"/>
                <w:color w:val="auto"/>
                <w:kern w:val="0"/>
                <w:szCs w:val="21"/>
                <w:highlight w:val="none"/>
              </w:rPr>
              <w:t>格式、图形为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CAD和PDF</w:t>
            </w:r>
            <w:r>
              <w:rPr>
                <w:rFonts w:ascii="宋体" w:hAnsi="宋体"/>
                <w:color w:val="auto"/>
                <w:kern w:val="0"/>
                <w:szCs w:val="21"/>
                <w:highlight w:val="none"/>
                <w:u w:val="single"/>
              </w:rPr>
              <w:t xml:space="preserve">  </w:t>
            </w:r>
            <w:r>
              <w:rPr>
                <w:rFonts w:ascii="宋体" w:hAnsi="宋体"/>
                <w:color w:val="auto"/>
                <w:kern w:val="0"/>
                <w:szCs w:val="21"/>
                <w:highlight w:val="none"/>
              </w:rPr>
              <w:t>格式，并应使用光盘和 U 盘分别贮存。</w:t>
            </w:r>
          </w:p>
          <w:p w14:paraId="345D3F49">
            <w:pPr>
              <w:widowControl/>
              <w:tabs>
                <w:tab w:val="left" w:pos="9072"/>
                <w:tab w:val="left" w:pos="9781"/>
              </w:tabs>
              <w:spacing w:line="360" w:lineRule="auto"/>
              <w:jc w:val="left"/>
              <w:rPr>
                <w:rFonts w:ascii="宋体" w:hAnsi="宋体"/>
                <w:color w:val="auto"/>
                <w:kern w:val="0"/>
                <w:szCs w:val="21"/>
                <w:highlight w:val="none"/>
              </w:rPr>
            </w:pPr>
            <w:r>
              <w:rPr>
                <w:rFonts w:ascii="宋体" w:hAnsi="宋体"/>
                <w:color w:val="auto"/>
                <w:kern w:val="0"/>
                <w:szCs w:val="21"/>
                <w:highlight w:val="none"/>
              </w:rPr>
              <w:t>2.在发包人所提供的设计资料（含设计确认单、规划部门批文、政府各部门批文等）能满足设计人进行各阶段设计的前提下开始计算各阶段的设计时间。</w:t>
            </w:r>
          </w:p>
          <w:p w14:paraId="67B98EFB">
            <w:pPr>
              <w:widowControl/>
              <w:tabs>
                <w:tab w:val="left" w:pos="9072"/>
                <w:tab w:val="left" w:pos="9781"/>
              </w:tabs>
              <w:spacing w:line="360" w:lineRule="auto"/>
              <w:jc w:val="left"/>
              <w:rPr>
                <w:rFonts w:ascii="宋体" w:hAnsi="宋体"/>
                <w:color w:val="auto"/>
                <w:kern w:val="0"/>
                <w:szCs w:val="21"/>
                <w:highlight w:val="none"/>
              </w:rPr>
            </w:pPr>
            <w:r>
              <w:rPr>
                <w:rFonts w:ascii="宋体" w:hAnsi="宋体"/>
                <w:color w:val="auto"/>
                <w:kern w:val="0"/>
                <w:szCs w:val="21"/>
                <w:highlight w:val="none"/>
              </w:rPr>
              <w:t>3.如发包人要求提供超过合同约定份数的工程设计文件，则设计人仍应按发包人的要求</w:t>
            </w:r>
            <w:r>
              <w:rPr>
                <w:rFonts w:hint="eastAsia" w:ascii="宋体" w:hAnsi="宋体"/>
                <w:color w:val="auto"/>
                <w:kern w:val="0"/>
                <w:szCs w:val="21"/>
                <w:highlight w:val="none"/>
              </w:rPr>
              <w:t>免费</w:t>
            </w:r>
            <w:r>
              <w:rPr>
                <w:rFonts w:ascii="宋体" w:hAnsi="宋体"/>
                <w:color w:val="auto"/>
                <w:kern w:val="0"/>
                <w:szCs w:val="21"/>
                <w:highlight w:val="none"/>
              </w:rPr>
              <w:t>提供。</w:t>
            </w:r>
          </w:p>
        </w:tc>
      </w:tr>
    </w:tbl>
    <w:p w14:paraId="481F04F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8.1.4设计文件纸质版的送达时间：</w:t>
      </w:r>
      <w:r>
        <w:rPr>
          <w:rFonts w:ascii="宋体" w:hAnsi="宋体"/>
          <w:color w:val="auto"/>
          <w:kern w:val="0"/>
          <w:szCs w:val="21"/>
          <w:highlight w:val="none"/>
          <w:u w:val="single"/>
        </w:rPr>
        <w:t xml:space="preserve">         </w:t>
      </w:r>
      <w:r>
        <w:rPr>
          <w:rFonts w:ascii="宋体" w:hAnsi="宋体"/>
          <w:color w:val="auto"/>
          <w:kern w:val="0"/>
          <w:szCs w:val="21"/>
          <w:highlight w:val="none"/>
        </w:rPr>
        <w:t>，送达形式：</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2F594F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设计文件电子版的送达时间：</w:t>
      </w:r>
      <w:r>
        <w:rPr>
          <w:rFonts w:ascii="宋体" w:hAnsi="宋体"/>
          <w:color w:val="auto"/>
          <w:kern w:val="0"/>
          <w:szCs w:val="21"/>
          <w:highlight w:val="none"/>
          <w:u w:val="single"/>
        </w:rPr>
        <w:t xml:space="preserve">         </w:t>
      </w:r>
      <w:r>
        <w:rPr>
          <w:rFonts w:ascii="宋体" w:hAnsi="宋体"/>
          <w:color w:val="auto"/>
          <w:kern w:val="0"/>
          <w:szCs w:val="21"/>
          <w:highlight w:val="none"/>
        </w:rPr>
        <w:t>，送达形式：</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99983C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到达指定地点或邮箱，对双方具有约束力。</w:t>
      </w:r>
    </w:p>
    <w:p w14:paraId="77842B0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指定联系人：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电话：</w:t>
      </w:r>
      <w:r>
        <w:rPr>
          <w:rFonts w:ascii="宋体" w:hAnsi="宋体"/>
          <w:color w:val="auto"/>
          <w:kern w:val="0"/>
          <w:szCs w:val="21"/>
          <w:highlight w:val="none"/>
          <w:u w:val="single"/>
        </w:rPr>
        <w:t xml:space="preserve">       </w:t>
      </w:r>
      <w:r>
        <w:rPr>
          <w:rFonts w:ascii="宋体" w:hAnsi="宋体"/>
          <w:color w:val="auto"/>
          <w:kern w:val="0"/>
          <w:szCs w:val="21"/>
          <w:highlight w:val="none"/>
        </w:rPr>
        <w:t>通讯地址：</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邮箱：</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57680F6">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8.2 发包人审查设计文件</w:t>
      </w:r>
    </w:p>
    <w:p w14:paraId="55D1CE7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8.2.1发包人接收设计文件之后，可以自行或者组织专家会或者</w:t>
      </w:r>
      <w:r>
        <w:rPr>
          <w:rFonts w:hint="eastAsia" w:ascii="宋体" w:hAnsi="宋体"/>
          <w:color w:val="auto"/>
          <w:kern w:val="0"/>
          <w:szCs w:val="21"/>
          <w:highlight w:val="none"/>
        </w:rPr>
        <w:t>委托第三方进行审查，设计人应当给予配合。审查范围、内容：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设计</w:t>
      </w:r>
      <w:r>
        <w:rPr>
          <w:rFonts w:ascii="宋体" w:hAnsi="宋体"/>
          <w:color w:val="auto"/>
          <w:kern w:val="0"/>
          <w:szCs w:val="21"/>
          <w:highlight w:val="none"/>
          <w:u w:val="single"/>
        </w:rPr>
        <w:t xml:space="preserve">全部文件 </w:t>
      </w:r>
      <w:r>
        <w:rPr>
          <w:rFonts w:hint="eastAsia" w:ascii="宋体" w:hAnsi="宋体"/>
          <w:color w:val="auto"/>
          <w:kern w:val="0"/>
          <w:szCs w:val="21"/>
          <w:highlight w:val="none"/>
        </w:rPr>
        <w:t>，费用由</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发包人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承担</w:t>
      </w:r>
      <w:r>
        <w:rPr>
          <w:rFonts w:hint="eastAsia" w:ascii="宋体" w:hAnsi="宋体"/>
          <w:color w:val="auto"/>
          <w:kern w:val="0"/>
          <w:szCs w:val="21"/>
          <w:highlight w:val="none"/>
        </w:rPr>
        <w:t>。</w:t>
      </w:r>
    </w:p>
    <w:p w14:paraId="365C7EB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8.2.2发包人对于设计文件的审查期限，自文件送达之日起不应超过</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28</w:t>
      </w:r>
      <w:r>
        <w:rPr>
          <w:rFonts w:ascii="宋体" w:hAnsi="宋体"/>
          <w:color w:val="auto"/>
          <w:kern w:val="0"/>
          <w:szCs w:val="21"/>
          <w:highlight w:val="none"/>
          <w:u w:val="single"/>
        </w:rPr>
        <w:t xml:space="preserve">  </w:t>
      </w:r>
      <w:r>
        <w:rPr>
          <w:rFonts w:ascii="宋体" w:hAnsi="宋体"/>
          <w:color w:val="auto"/>
          <w:kern w:val="0"/>
          <w:szCs w:val="21"/>
          <w:highlight w:val="none"/>
        </w:rPr>
        <w:t>天。</w:t>
      </w:r>
      <w:bookmarkStart w:id="714" w:name="_Toc531632621"/>
      <w:r>
        <w:rPr>
          <w:rFonts w:ascii="宋体" w:hAnsi="宋体"/>
          <w:color w:val="auto"/>
          <w:kern w:val="0"/>
          <w:szCs w:val="21"/>
          <w:highlight w:val="none"/>
        </w:rPr>
        <w:t>因发包人委托第三方对设计文件进行审查，需延期提供审查意见的，发包人应书面通知设计人。具体延长时间以发包人书面通知为准。</w:t>
      </w:r>
    </w:p>
    <w:p w14:paraId="1D1B26EA">
      <w:pPr>
        <w:pStyle w:val="3"/>
        <w:spacing w:before="0" w:after="0" w:line="360" w:lineRule="auto"/>
        <w:rPr>
          <w:rFonts w:ascii="宋体" w:hAnsi="宋体"/>
          <w:b w:val="0"/>
          <w:snapToGrid w:val="0"/>
          <w:color w:val="auto"/>
          <w:sz w:val="24"/>
          <w:szCs w:val="24"/>
          <w:highlight w:val="none"/>
        </w:rPr>
      </w:pPr>
      <w:bookmarkStart w:id="715" w:name="_Toc24860"/>
      <w:bookmarkStart w:id="716" w:name="_Toc532384186"/>
      <w:r>
        <w:rPr>
          <w:rFonts w:ascii="宋体" w:hAnsi="宋体"/>
          <w:b w:val="0"/>
          <w:snapToGrid w:val="0"/>
          <w:color w:val="auto"/>
          <w:sz w:val="24"/>
          <w:szCs w:val="24"/>
          <w:highlight w:val="none"/>
        </w:rPr>
        <w:t>9.设计责任与保险</w:t>
      </w:r>
      <w:bookmarkEnd w:id="714"/>
      <w:bookmarkEnd w:id="715"/>
      <w:bookmarkEnd w:id="716"/>
    </w:p>
    <w:p w14:paraId="06A540B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9.4 设计责任保险</w:t>
      </w:r>
    </w:p>
    <w:p w14:paraId="5B30632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9.4.1设计人购买保险类型：</w:t>
      </w:r>
      <w:r>
        <w:rPr>
          <w:rFonts w:ascii="宋体" w:hAnsi="宋体"/>
          <w:color w:val="auto"/>
          <w:kern w:val="0"/>
          <w:szCs w:val="21"/>
          <w:highlight w:val="none"/>
          <w:u w:val="single"/>
        </w:rPr>
        <w:t>（单位险/项目险</w:t>
      </w:r>
      <w:r>
        <w:rPr>
          <w:rFonts w:hint="eastAsia" w:ascii="宋体" w:hAnsi="宋体"/>
          <w:color w:val="auto"/>
          <w:kern w:val="0"/>
          <w:szCs w:val="21"/>
          <w:highlight w:val="none"/>
          <w:u w:val="single"/>
        </w:rPr>
        <w:t>/不采用</w:t>
      </w:r>
      <w:r>
        <w:rPr>
          <w:rFonts w:ascii="宋体" w:hAnsi="宋体"/>
          <w:color w:val="auto"/>
          <w:kern w:val="0"/>
          <w:szCs w:val="21"/>
          <w:highlight w:val="none"/>
          <w:u w:val="single"/>
        </w:rPr>
        <w:t>）</w:t>
      </w:r>
      <w:r>
        <w:rPr>
          <w:rFonts w:ascii="宋体" w:hAnsi="宋体"/>
          <w:color w:val="auto"/>
          <w:kern w:val="0"/>
          <w:szCs w:val="21"/>
          <w:highlight w:val="none"/>
        </w:rPr>
        <w:t>，购买时间：</w:t>
      </w:r>
      <w:r>
        <w:rPr>
          <w:rFonts w:ascii="宋体" w:hAnsi="宋体"/>
          <w:color w:val="auto"/>
          <w:kern w:val="0"/>
          <w:szCs w:val="21"/>
          <w:highlight w:val="none"/>
          <w:u w:val="single"/>
        </w:rPr>
        <w:t xml:space="preserve">      </w:t>
      </w:r>
      <w:r>
        <w:rPr>
          <w:rFonts w:ascii="宋体" w:hAnsi="宋体"/>
          <w:color w:val="auto"/>
          <w:kern w:val="0"/>
          <w:szCs w:val="21"/>
          <w:highlight w:val="none"/>
        </w:rPr>
        <w:t>，保额：</w:t>
      </w:r>
      <w:r>
        <w:rPr>
          <w:rFonts w:ascii="宋体" w:hAnsi="宋体"/>
          <w:color w:val="auto"/>
          <w:kern w:val="0"/>
          <w:szCs w:val="21"/>
          <w:highlight w:val="none"/>
          <w:u w:val="single"/>
        </w:rPr>
        <w:tab/>
      </w:r>
      <w:r>
        <w:rPr>
          <w:rFonts w:ascii="宋体" w:hAnsi="宋体"/>
          <w:color w:val="auto"/>
          <w:kern w:val="0"/>
          <w:szCs w:val="21"/>
          <w:highlight w:val="none"/>
        </w:rPr>
        <w:t>。</w:t>
      </w:r>
    </w:p>
    <w:p w14:paraId="52AEBFA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发包人购买保险类型：</w:t>
      </w:r>
      <w:r>
        <w:rPr>
          <w:rFonts w:ascii="宋体" w:hAnsi="宋体"/>
          <w:color w:val="auto"/>
          <w:kern w:val="0"/>
          <w:szCs w:val="21"/>
          <w:highlight w:val="none"/>
          <w:u w:val="single"/>
        </w:rPr>
        <w:t xml:space="preserve">     （项目险</w:t>
      </w:r>
      <w:r>
        <w:rPr>
          <w:rFonts w:hint="eastAsia" w:ascii="宋体" w:hAnsi="宋体"/>
          <w:color w:val="auto"/>
          <w:kern w:val="0"/>
          <w:szCs w:val="21"/>
          <w:highlight w:val="none"/>
          <w:u w:val="single"/>
        </w:rPr>
        <w:t>/不采用</w:t>
      </w:r>
      <w:r>
        <w:rPr>
          <w:rFonts w:ascii="宋体" w:hAnsi="宋体"/>
          <w:color w:val="auto"/>
          <w:kern w:val="0"/>
          <w:szCs w:val="21"/>
          <w:highlight w:val="none"/>
          <w:u w:val="single"/>
        </w:rPr>
        <w:t xml:space="preserve">）       </w:t>
      </w:r>
      <w:r>
        <w:rPr>
          <w:rFonts w:ascii="宋体" w:hAnsi="宋体"/>
          <w:color w:val="auto"/>
          <w:kern w:val="0"/>
          <w:szCs w:val="21"/>
          <w:highlight w:val="none"/>
        </w:rPr>
        <w:t>，购买时间：</w:t>
      </w:r>
      <w:r>
        <w:rPr>
          <w:rFonts w:ascii="宋体" w:hAnsi="宋体"/>
          <w:color w:val="auto"/>
          <w:kern w:val="0"/>
          <w:szCs w:val="21"/>
          <w:highlight w:val="none"/>
          <w:u w:val="single"/>
        </w:rPr>
        <w:t xml:space="preserve">       </w:t>
      </w:r>
      <w:r>
        <w:rPr>
          <w:rFonts w:ascii="宋体" w:hAnsi="宋体"/>
          <w:color w:val="auto"/>
          <w:kern w:val="0"/>
          <w:szCs w:val="21"/>
          <w:highlight w:val="none"/>
        </w:rPr>
        <w:t>，保额：</w:t>
      </w:r>
      <w:r>
        <w:rPr>
          <w:rFonts w:ascii="宋体" w:hAnsi="宋体"/>
          <w:color w:val="auto"/>
          <w:kern w:val="0"/>
          <w:szCs w:val="21"/>
          <w:highlight w:val="none"/>
          <w:u w:val="single"/>
        </w:rPr>
        <w:tab/>
      </w:r>
      <w:r>
        <w:rPr>
          <w:rFonts w:ascii="宋体" w:hAnsi="宋体"/>
          <w:color w:val="auto"/>
          <w:kern w:val="0"/>
          <w:szCs w:val="21"/>
          <w:highlight w:val="none"/>
        </w:rPr>
        <w:t>。</w:t>
      </w:r>
    </w:p>
    <w:p w14:paraId="1FA4B15A">
      <w:pPr>
        <w:pStyle w:val="3"/>
        <w:spacing w:before="0" w:after="0" w:line="360" w:lineRule="auto"/>
        <w:rPr>
          <w:rFonts w:ascii="宋体" w:hAnsi="宋体"/>
          <w:b w:val="0"/>
          <w:snapToGrid w:val="0"/>
          <w:color w:val="auto"/>
          <w:sz w:val="24"/>
          <w:szCs w:val="24"/>
          <w:highlight w:val="none"/>
        </w:rPr>
      </w:pPr>
      <w:bookmarkStart w:id="717" w:name="_Toc531632622"/>
      <w:bookmarkStart w:id="718" w:name="_Toc532384187"/>
      <w:bookmarkStart w:id="719" w:name="_Toc32526"/>
      <w:r>
        <w:rPr>
          <w:rFonts w:ascii="宋体" w:hAnsi="宋体"/>
          <w:b w:val="0"/>
          <w:snapToGrid w:val="0"/>
          <w:color w:val="auto"/>
          <w:sz w:val="24"/>
          <w:szCs w:val="24"/>
          <w:highlight w:val="none"/>
        </w:rPr>
        <w:t>10.施工期间配合</w:t>
      </w:r>
      <w:bookmarkEnd w:id="717"/>
      <w:bookmarkEnd w:id="718"/>
      <w:bookmarkEnd w:id="719"/>
    </w:p>
    <w:p w14:paraId="232FB7A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10.6 施工过程中、缺陷责任期、工程的合理设计使用寿命年限内，因设计缺陷或设计原因导致的安全事故责任，由设计人承担。</w:t>
      </w:r>
    </w:p>
    <w:p w14:paraId="2BC836E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10.7设计人应积极配合发包人进行各项招标工作，按发包人规定的时间提供各标段施工招标资格预审所需的工程说明；按发包人规定的时间提供各标段的施工招标图纸和参考资料；按发包人要求安排相关人员参加标前会，就有关设计问题进行答疑。</w:t>
      </w:r>
    </w:p>
    <w:p w14:paraId="021905F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10.8本项目设计变更的设计由设计人承担，设计人应及时完成设计，提交设计变更文件，并对设计变更文件承担相应责任。</w:t>
      </w:r>
      <w:r>
        <w:rPr>
          <w:rFonts w:hint="eastAsia" w:ascii="宋体" w:hAnsi="宋体"/>
          <w:color w:val="auto"/>
          <w:kern w:val="0"/>
          <w:szCs w:val="21"/>
          <w:highlight w:val="none"/>
        </w:rPr>
        <w:t>除本合同第11条规定之外的设计变更，其设计费用应视为已含入合同价格中，发包人不再另行支付。</w:t>
      </w:r>
    </w:p>
    <w:p w14:paraId="6F952F60">
      <w:pPr>
        <w:pStyle w:val="3"/>
        <w:spacing w:before="0" w:after="0" w:line="360" w:lineRule="auto"/>
        <w:rPr>
          <w:rFonts w:ascii="宋体" w:hAnsi="宋体"/>
          <w:b w:val="0"/>
          <w:snapToGrid w:val="0"/>
          <w:color w:val="auto"/>
          <w:sz w:val="24"/>
          <w:szCs w:val="24"/>
          <w:highlight w:val="none"/>
        </w:rPr>
      </w:pPr>
      <w:bookmarkStart w:id="720" w:name="_Toc17627"/>
      <w:bookmarkStart w:id="721" w:name="_Toc532384188"/>
      <w:bookmarkStart w:id="722" w:name="_Toc531632623"/>
      <w:r>
        <w:rPr>
          <w:rFonts w:ascii="宋体" w:hAnsi="宋体"/>
          <w:b w:val="0"/>
          <w:snapToGrid w:val="0"/>
          <w:color w:val="auto"/>
          <w:sz w:val="24"/>
          <w:szCs w:val="24"/>
          <w:highlight w:val="none"/>
        </w:rPr>
        <w:t>11.合同变更</w:t>
      </w:r>
      <w:bookmarkEnd w:id="720"/>
      <w:bookmarkEnd w:id="721"/>
      <w:bookmarkEnd w:id="722"/>
    </w:p>
    <w:p w14:paraId="40457259">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 变更情形</w:t>
      </w:r>
    </w:p>
    <w:p w14:paraId="78E0C16C">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11.1.1设计服务期和设计费用的调整方法：</w:t>
      </w:r>
      <w:r>
        <w:rPr>
          <w:rFonts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9211D7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 合理化建议</w:t>
      </w:r>
    </w:p>
    <w:p w14:paraId="61A81B1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11.2.2 设计人提出的合理化建议降低了工程投资、缩短了施工期限或者提高了工程经济效益的奖励的方法和金额为：</w:t>
      </w:r>
      <w:r>
        <w:rPr>
          <w:rFonts w:ascii="宋体" w:hAnsi="宋体"/>
          <w:color w:val="auto"/>
          <w:kern w:val="0"/>
          <w:szCs w:val="21"/>
          <w:highlight w:val="none"/>
          <w:u w:val="single"/>
        </w:rPr>
        <w:tab/>
      </w:r>
    </w:p>
    <w:p w14:paraId="71C7CFD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737A131">
      <w:pPr>
        <w:pStyle w:val="3"/>
        <w:spacing w:before="0" w:after="0" w:line="360" w:lineRule="auto"/>
        <w:rPr>
          <w:rFonts w:ascii="宋体" w:hAnsi="宋体"/>
          <w:b w:val="0"/>
          <w:snapToGrid w:val="0"/>
          <w:color w:val="auto"/>
          <w:sz w:val="24"/>
          <w:szCs w:val="24"/>
          <w:highlight w:val="none"/>
        </w:rPr>
      </w:pPr>
      <w:bookmarkStart w:id="723" w:name="_Toc22069"/>
      <w:bookmarkStart w:id="724" w:name="_Toc531632624"/>
      <w:bookmarkStart w:id="725" w:name="_Toc532384189"/>
      <w:r>
        <w:rPr>
          <w:rFonts w:ascii="宋体" w:hAnsi="宋体"/>
          <w:b w:val="0"/>
          <w:snapToGrid w:val="0"/>
          <w:color w:val="auto"/>
          <w:sz w:val="24"/>
          <w:szCs w:val="24"/>
          <w:highlight w:val="none"/>
        </w:rPr>
        <w:t>12.合同价格与支付</w:t>
      </w:r>
      <w:bookmarkEnd w:id="723"/>
      <w:bookmarkEnd w:id="724"/>
      <w:bookmarkEnd w:id="725"/>
    </w:p>
    <w:p w14:paraId="612864F4">
      <w:pPr>
        <w:keepNext/>
        <w:keepLines/>
        <w:spacing w:before="120" w:after="120" w:line="360" w:lineRule="auto"/>
        <w:ind w:firstLine="420" w:firstLineChars="200"/>
        <w:outlineLvl w:val="4"/>
        <w:rPr>
          <w:rFonts w:ascii="宋体" w:hAnsi="宋体" w:cs="Arial"/>
          <w:bCs/>
          <w:color w:val="auto"/>
          <w:szCs w:val="21"/>
          <w:highlight w:val="none"/>
        </w:rPr>
      </w:pPr>
      <w:r>
        <w:rPr>
          <w:rFonts w:ascii="宋体" w:hAnsi="宋体"/>
          <w:bCs/>
          <w:color w:val="auto"/>
          <w:szCs w:val="21"/>
          <w:highlight w:val="none"/>
        </w:rPr>
        <w:t>12.1 合同价格</w:t>
      </w:r>
    </w:p>
    <w:p w14:paraId="6A31D56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12.1.1合同价格：按以下第</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种方式结算。</w:t>
      </w:r>
    </w:p>
    <w:p w14:paraId="032FCD7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方式一：按费率包干结算。双方商定，设计费按包干费率</w:t>
      </w:r>
      <w:r>
        <w:rPr>
          <w:rFonts w:ascii="宋体" w:hAnsi="宋体"/>
          <w:color w:val="auto"/>
          <w:kern w:val="0"/>
          <w:szCs w:val="21"/>
          <w:highlight w:val="none"/>
          <w:u w:val="single"/>
        </w:rPr>
        <w:t xml:space="preserve">     </w:t>
      </w:r>
      <w:r>
        <w:rPr>
          <w:rFonts w:ascii="宋体" w:hAnsi="宋体"/>
          <w:color w:val="auto"/>
          <w:kern w:val="0"/>
          <w:szCs w:val="21"/>
          <w:highlight w:val="none"/>
        </w:rPr>
        <w:t>%，根据工程估算价</w:t>
      </w:r>
      <w:r>
        <w:rPr>
          <w:rFonts w:ascii="宋体" w:hAnsi="宋体"/>
          <w:color w:val="auto"/>
          <w:kern w:val="0"/>
          <w:szCs w:val="21"/>
          <w:highlight w:val="none"/>
          <w:u w:val="single"/>
        </w:rPr>
        <w:t xml:space="preserve">     </w:t>
      </w:r>
      <w:r>
        <w:rPr>
          <w:rFonts w:ascii="宋体" w:hAnsi="宋体"/>
          <w:color w:val="auto"/>
          <w:kern w:val="0"/>
          <w:szCs w:val="21"/>
          <w:highlight w:val="none"/>
        </w:rPr>
        <w:t>元，计算设计费暂定为￥</w:t>
      </w:r>
      <w:r>
        <w:rPr>
          <w:rFonts w:ascii="宋体" w:hAnsi="宋体"/>
          <w:color w:val="auto"/>
          <w:kern w:val="0"/>
          <w:szCs w:val="21"/>
          <w:highlight w:val="none"/>
          <w:u w:val="single"/>
        </w:rPr>
        <w:t xml:space="preserve">     </w:t>
      </w:r>
      <w:r>
        <w:rPr>
          <w:rFonts w:ascii="宋体" w:hAnsi="宋体"/>
          <w:color w:val="auto"/>
          <w:kern w:val="0"/>
          <w:szCs w:val="21"/>
          <w:highlight w:val="none"/>
        </w:rPr>
        <w:t>元（大写：人民币</w:t>
      </w:r>
      <w:r>
        <w:rPr>
          <w:rFonts w:ascii="宋体" w:hAnsi="宋体"/>
          <w:color w:val="auto"/>
          <w:kern w:val="0"/>
          <w:szCs w:val="21"/>
          <w:highlight w:val="none"/>
          <w:u w:val="single"/>
        </w:rPr>
        <w:t xml:space="preserve">     </w:t>
      </w:r>
      <w:r>
        <w:rPr>
          <w:rFonts w:ascii="宋体" w:hAnsi="宋体"/>
          <w:color w:val="auto"/>
          <w:kern w:val="0"/>
          <w:szCs w:val="21"/>
          <w:highlight w:val="none"/>
        </w:rPr>
        <w:t>元）。最终结算时，依据初步设计批复概算</w:t>
      </w:r>
      <w:r>
        <w:rPr>
          <w:rFonts w:hint="eastAsia" w:ascii="宋体" w:hAnsi="宋体"/>
          <w:color w:val="auto"/>
          <w:kern w:val="0"/>
          <w:szCs w:val="21"/>
          <w:highlight w:val="none"/>
        </w:rPr>
        <w:t>（无概算批复的项目则以预算送审）</w:t>
      </w:r>
      <w:r>
        <w:rPr>
          <w:rFonts w:ascii="宋体" w:hAnsi="宋体"/>
          <w:color w:val="auto"/>
          <w:kern w:val="0"/>
          <w:szCs w:val="21"/>
          <w:highlight w:val="none"/>
        </w:rPr>
        <w:t>中的建筑安装工程费为计费额。最终结算价=建筑安装工程费×包干费率±合同约定的其他费用。</w:t>
      </w:r>
    </w:p>
    <w:p w14:paraId="64964C9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方式二：按单价包干结算。双方商定，设计费按</w:t>
      </w:r>
      <w:r>
        <w:rPr>
          <w:rFonts w:ascii="宋体" w:hAnsi="宋体"/>
          <w:color w:val="auto"/>
          <w:kern w:val="0"/>
          <w:szCs w:val="21"/>
          <w:highlight w:val="none"/>
          <w:u w:val="single"/>
        </w:rPr>
        <w:t xml:space="preserve">    </w:t>
      </w:r>
      <w:r>
        <w:rPr>
          <w:rFonts w:ascii="宋体" w:hAnsi="宋体"/>
          <w:color w:val="auto"/>
          <w:kern w:val="0"/>
          <w:szCs w:val="21"/>
          <w:highlight w:val="none"/>
        </w:rPr>
        <w:t>元/（计量单位）。根据暂定建设规模</w:t>
      </w:r>
      <w:r>
        <w:rPr>
          <w:rFonts w:ascii="宋体" w:hAnsi="宋体"/>
          <w:color w:val="auto"/>
          <w:kern w:val="0"/>
          <w:szCs w:val="21"/>
          <w:highlight w:val="none"/>
          <w:u w:val="single"/>
        </w:rPr>
        <w:t xml:space="preserve">        </w:t>
      </w:r>
      <w:r>
        <w:rPr>
          <w:rFonts w:ascii="宋体" w:hAnsi="宋体"/>
          <w:color w:val="auto"/>
          <w:kern w:val="0"/>
          <w:szCs w:val="21"/>
          <w:highlight w:val="none"/>
        </w:rPr>
        <w:t>，计算设计费暂定为￥</w:t>
      </w:r>
      <w:r>
        <w:rPr>
          <w:rFonts w:ascii="宋体" w:hAnsi="宋体"/>
          <w:color w:val="auto"/>
          <w:kern w:val="0"/>
          <w:szCs w:val="21"/>
          <w:highlight w:val="none"/>
          <w:u w:val="single"/>
        </w:rPr>
        <w:t xml:space="preserve">     </w:t>
      </w:r>
      <w:r>
        <w:rPr>
          <w:rFonts w:ascii="宋体" w:hAnsi="宋体"/>
          <w:color w:val="auto"/>
          <w:kern w:val="0"/>
          <w:szCs w:val="21"/>
          <w:highlight w:val="none"/>
        </w:rPr>
        <w:t>元（大写：人民币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元）。最终结算价=∑以竣工验收合格的工作量×包干单价±合同约定的其他费用。</w:t>
      </w:r>
    </w:p>
    <w:p w14:paraId="06BD515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方式三：总价包干结算。双方商定，设计费按</w:t>
      </w:r>
      <w:r>
        <w:rPr>
          <w:rFonts w:ascii="宋体" w:hAnsi="宋体"/>
          <w:color w:val="auto"/>
          <w:kern w:val="0"/>
          <w:szCs w:val="21"/>
          <w:highlight w:val="none"/>
          <w:u w:val="single"/>
        </w:rPr>
        <w:t xml:space="preserve">     </w:t>
      </w:r>
      <w:r>
        <w:rPr>
          <w:rFonts w:ascii="宋体" w:hAnsi="宋体"/>
          <w:color w:val="auto"/>
          <w:kern w:val="0"/>
          <w:szCs w:val="21"/>
          <w:highlight w:val="none"/>
        </w:rPr>
        <w:t>元（大写：人民币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元）包干使用。最终结算价=签约合同价±合同约定的其他费用。除此之外，发包人不再支付其他费用。</w:t>
      </w:r>
    </w:p>
    <w:p w14:paraId="34B697C6">
      <w:pPr>
        <w:widowControl/>
        <w:tabs>
          <w:tab w:val="left" w:pos="9072"/>
          <w:tab w:val="left" w:pos="9781"/>
        </w:tabs>
        <w:spacing w:line="360" w:lineRule="auto"/>
        <w:ind w:firstLine="420" w:firstLineChars="200"/>
        <w:jc w:val="left"/>
        <w:rPr>
          <w:color w:val="auto"/>
          <w:highlight w:val="none"/>
        </w:rPr>
      </w:pPr>
      <w:r>
        <w:rPr>
          <w:rFonts w:hint="eastAsia"/>
          <w:color w:val="auto"/>
          <w:highlight w:val="none"/>
        </w:rPr>
        <w:t>方式四：</w:t>
      </w:r>
      <w:r>
        <w:rPr>
          <w:rFonts w:ascii="宋体" w:hAnsi="宋体"/>
          <w:color w:val="auto"/>
          <w:kern w:val="0"/>
          <w:szCs w:val="21"/>
          <w:highlight w:val="none"/>
          <w:u w:val="single"/>
        </w:rPr>
        <w:t xml:space="preserve">     </w:t>
      </w:r>
    </w:p>
    <w:p w14:paraId="0D977C5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12.1.2</w:t>
      </w:r>
      <w:r>
        <w:rPr>
          <w:rFonts w:hint="eastAsia" w:ascii="宋体" w:hAnsi="宋体"/>
          <w:color w:val="auto"/>
          <w:kern w:val="0"/>
          <w:szCs w:val="21"/>
          <w:highlight w:val="none"/>
        </w:rPr>
        <w:t xml:space="preserve"> 本合同设计费按以下阶段分批次支付：</w:t>
      </w:r>
    </w:p>
    <w:p w14:paraId="0F4CCF5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本项结算及支付的签约合同价应扣除暂列金额。</w:t>
      </w:r>
    </w:p>
    <w:p w14:paraId="5EE0DB9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 第一次支付：方案设计文件提交并取得行业主管部门方案审查意见书、设计人提出付款申请</w:t>
      </w:r>
      <w:r>
        <w:rPr>
          <w:rFonts w:hint="eastAsia"/>
          <w:color w:val="auto"/>
          <w:highlight w:val="none"/>
        </w:rPr>
        <w:t>且发包人收到设计人交付的等额增值税专用发票</w:t>
      </w:r>
      <w:r>
        <w:rPr>
          <w:rFonts w:hint="eastAsia" w:ascii="宋体" w:hAnsi="宋体"/>
          <w:color w:val="auto"/>
          <w:kern w:val="0"/>
          <w:szCs w:val="21"/>
          <w:highlight w:val="none"/>
        </w:rPr>
        <w:t>后</w:t>
      </w:r>
      <w:r>
        <w:rPr>
          <w:rFonts w:hint="eastAsia" w:ascii="宋体" w:hAnsi="宋体"/>
          <w:color w:val="auto"/>
          <w:kern w:val="0"/>
          <w:szCs w:val="21"/>
          <w:highlight w:val="none"/>
          <w:u w:val="single"/>
        </w:rPr>
        <w:t xml:space="preserve">  30  </w:t>
      </w:r>
      <w:r>
        <w:rPr>
          <w:rFonts w:hint="eastAsia" w:ascii="宋体" w:hAnsi="宋体"/>
          <w:color w:val="auto"/>
          <w:kern w:val="0"/>
          <w:szCs w:val="21"/>
          <w:highlight w:val="none"/>
        </w:rPr>
        <w:t>天内，发包人向设计人支付签约合同价的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%，即</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元；</w:t>
      </w:r>
    </w:p>
    <w:p w14:paraId="342659A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③第二次支付：初步设计文件提交并取得行业主管部门初步设计批复、设计人提出付款申请</w:t>
      </w:r>
      <w:r>
        <w:rPr>
          <w:rFonts w:hint="eastAsia"/>
          <w:color w:val="auto"/>
          <w:highlight w:val="none"/>
        </w:rPr>
        <w:t>且发包人收到设计人交付的等额增值税专用发票</w:t>
      </w:r>
      <w:r>
        <w:rPr>
          <w:rFonts w:hint="eastAsia" w:ascii="宋体" w:hAnsi="宋体"/>
          <w:color w:val="auto"/>
          <w:kern w:val="0"/>
          <w:szCs w:val="21"/>
          <w:highlight w:val="none"/>
        </w:rPr>
        <w:t>后</w:t>
      </w:r>
      <w:r>
        <w:rPr>
          <w:rFonts w:hint="eastAsia" w:ascii="宋体" w:hAnsi="宋体"/>
          <w:color w:val="auto"/>
          <w:kern w:val="0"/>
          <w:szCs w:val="21"/>
          <w:highlight w:val="none"/>
          <w:u w:val="single"/>
        </w:rPr>
        <w:t xml:space="preserve">  30  </w:t>
      </w:r>
      <w:r>
        <w:rPr>
          <w:rFonts w:hint="eastAsia" w:ascii="宋体" w:hAnsi="宋体"/>
          <w:color w:val="auto"/>
          <w:kern w:val="0"/>
          <w:szCs w:val="21"/>
          <w:highlight w:val="none"/>
        </w:rPr>
        <w:t>天内，发包人向设计人支付签约合同价的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%，即</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元；</w:t>
      </w:r>
    </w:p>
    <w:p w14:paraId="75EBFB7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④第三次支付：按发包人要求完成施工图设计及审查，在取得施工图审查合格书、设计人提出付款申请</w:t>
      </w:r>
      <w:r>
        <w:rPr>
          <w:rFonts w:hint="eastAsia"/>
          <w:color w:val="auto"/>
          <w:highlight w:val="none"/>
        </w:rPr>
        <w:t>且发包人收到设计人交付的等额增值税专用发票</w:t>
      </w:r>
      <w:r>
        <w:rPr>
          <w:rFonts w:hint="eastAsia" w:ascii="宋体" w:hAnsi="宋体"/>
          <w:color w:val="auto"/>
          <w:kern w:val="0"/>
          <w:szCs w:val="21"/>
          <w:highlight w:val="none"/>
        </w:rPr>
        <w:t>后</w:t>
      </w:r>
      <w:r>
        <w:rPr>
          <w:rFonts w:hint="eastAsia" w:ascii="宋体" w:hAnsi="宋体"/>
          <w:color w:val="auto"/>
          <w:kern w:val="0"/>
          <w:szCs w:val="21"/>
          <w:highlight w:val="none"/>
          <w:u w:val="single"/>
        </w:rPr>
        <w:t xml:space="preserve">  30  </w:t>
      </w:r>
      <w:r>
        <w:rPr>
          <w:rFonts w:hint="eastAsia" w:ascii="宋体" w:hAnsi="宋体"/>
          <w:color w:val="auto"/>
          <w:kern w:val="0"/>
          <w:szCs w:val="21"/>
          <w:highlight w:val="none"/>
        </w:rPr>
        <w:t>天内，发包人向设计人支付签约合同价的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5</w:t>
      </w:r>
      <w:r>
        <w:rPr>
          <w:rFonts w:hint="eastAsia" w:ascii="宋体" w:hAnsi="宋体"/>
          <w:color w:val="auto"/>
          <w:kern w:val="0"/>
          <w:szCs w:val="21"/>
          <w:highlight w:val="none"/>
          <w:u w:val="single"/>
        </w:rPr>
        <w:t xml:space="preserve">0 </w:t>
      </w:r>
      <w:r>
        <w:rPr>
          <w:rFonts w:hint="eastAsia" w:ascii="宋体" w:hAnsi="宋体"/>
          <w:color w:val="auto"/>
          <w:kern w:val="0"/>
          <w:szCs w:val="21"/>
          <w:highlight w:val="none"/>
        </w:rPr>
        <w:t>%，即</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元；</w:t>
      </w:r>
    </w:p>
    <w:p w14:paraId="0A8D646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⑤第四次支付：工程竣工验收合格、设计人提出付款申请</w:t>
      </w:r>
      <w:r>
        <w:rPr>
          <w:rFonts w:hint="eastAsia"/>
          <w:color w:val="auto"/>
          <w:highlight w:val="none"/>
        </w:rPr>
        <w:t>且发包人收到设计人交付的等额增值税专用发票</w:t>
      </w:r>
      <w:r>
        <w:rPr>
          <w:rFonts w:hint="eastAsia" w:ascii="宋体" w:hAnsi="宋体"/>
          <w:color w:val="auto"/>
          <w:kern w:val="0"/>
          <w:szCs w:val="21"/>
          <w:highlight w:val="none"/>
        </w:rPr>
        <w:t>后</w:t>
      </w:r>
      <w:r>
        <w:rPr>
          <w:rFonts w:hint="eastAsia" w:ascii="宋体" w:hAnsi="宋体"/>
          <w:color w:val="auto"/>
          <w:kern w:val="0"/>
          <w:szCs w:val="21"/>
          <w:highlight w:val="none"/>
          <w:u w:val="single"/>
        </w:rPr>
        <w:t xml:space="preserve">  30  </w:t>
      </w:r>
      <w:r>
        <w:rPr>
          <w:rFonts w:hint="eastAsia" w:ascii="宋体" w:hAnsi="宋体"/>
          <w:color w:val="auto"/>
          <w:kern w:val="0"/>
          <w:szCs w:val="21"/>
          <w:highlight w:val="none"/>
        </w:rPr>
        <w:t>天内，发包人按设计费结算价向设计人结清设计费；</w:t>
      </w:r>
    </w:p>
    <w:p w14:paraId="286C605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本工程若因非设计人原因导致需分期分部取得批复或完成施工图的，发包人按上述支付原则支付设计人对应完成部分的设计费。</w:t>
      </w:r>
    </w:p>
    <w:p w14:paraId="6E782942">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12.1.3本项目合同设计费包含：</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合同范围内所有工作费用，发包人不再另外支付任何费用</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35F396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12.1.4发包人要求设计人进行外出考察、试验检测、专项咨询或专家评审的相应费用</w:t>
      </w:r>
      <w:r>
        <w:rPr>
          <w:rFonts w:ascii="宋体" w:hAnsi="宋体"/>
          <w:color w:val="auto"/>
          <w:kern w:val="0"/>
          <w:szCs w:val="21"/>
          <w:highlight w:val="none"/>
          <w:u w:val="single"/>
        </w:rPr>
        <w:t xml:space="preserve">  （是/否） </w:t>
      </w:r>
      <w:r>
        <w:rPr>
          <w:rFonts w:ascii="宋体" w:hAnsi="宋体"/>
          <w:color w:val="auto"/>
          <w:kern w:val="0"/>
          <w:szCs w:val="21"/>
          <w:highlight w:val="none"/>
        </w:rPr>
        <w:t>包含在本项目合同设计费中</w:t>
      </w:r>
      <w:r>
        <w:rPr>
          <w:rFonts w:hint="eastAsia" w:ascii="宋体" w:hAnsi="宋体"/>
          <w:color w:val="auto"/>
          <w:kern w:val="0"/>
          <w:szCs w:val="21"/>
          <w:highlight w:val="none"/>
        </w:rPr>
        <w:t>。</w:t>
      </w:r>
    </w:p>
    <w:p w14:paraId="1BF85AC7">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12.1.5若存在下列情形时，下列情形作为付款条件之一，同时适用，若涉及进度款则不包括下列情形第3种：</w:t>
      </w:r>
    </w:p>
    <w:p w14:paraId="58EBFD7B">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（1）每次付款前，设计人须向发包人提供有效等额增值税专用发票。未足额提供的发票的，委托人有权拒绝付款；</w:t>
      </w:r>
    </w:p>
    <w:p w14:paraId="03D8D44E">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（2）若本合同涉及财政资金或专项资金支持，在发包人未收到财政资金或专项资金的情形下，发包人有权迟延付款且不承担违约责任，在符合其他付款条件且收到财政资金或专项资金后付款；</w:t>
      </w:r>
    </w:p>
    <w:p w14:paraId="2C349ADA">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（3）若需对工程进行审计或财评，则在审计或财评结果未出之前，委托人有权迟延付款且不承担违约责任。</w:t>
      </w:r>
    </w:p>
    <w:p w14:paraId="58C8E369">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本合同的审计包括甲方委托第三方审计、区相关部门审计，若需区相关部门审计，则以区相关部门审计结果为准</w:t>
      </w:r>
      <w:r>
        <w:rPr>
          <w:rFonts w:ascii="宋体" w:hAnsi="宋体"/>
          <w:b/>
          <w:bCs/>
          <w:color w:val="auto"/>
          <w:kern w:val="0"/>
          <w:szCs w:val="21"/>
          <w:highlight w:val="none"/>
        </w:rPr>
        <w:t>。</w:t>
      </w:r>
    </w:p>
    <w:p w14:paraId="46806996">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12.4</w:t>
      </w:r>
      <w:r>
        <w:rPr>
          <w:rFonts w:hint="eastAsia" w:ascii="宋体" w:hAnsi="宋体"/>
          <w:bCs/>
          <w:color w:val="auto"/>
          <w:szCs w:val="21"/>
          <w:highlight w:val="none"/>
        </w:rPr>
        <w:t>费用结算</w:t>
      </w:r>
    </w:p>
    <w:p w14:paraId="75E2CBF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w:t>
      </w:r>
      <w:r>
        <w:rPr>
          <w:rFonts w:ascii="宋体" w:hAnsi="宋体"/>
          <w:color w:val="auto"/>
          <w:kern w:val="0"/>
          <w:szCs w:val="21"/>
          <w:highlight w:val="none"/>
        </w:rPr>
        <w:t>双方约定按以下方式支付：</w:t>
      </w:r>
    </w:p>
    <w:p w14:paraId="00D30A1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发包人以</w:t>
      </w:r>
      <w:r>
        <w:rPr>
          <w:rFonts w:ascii="宋体" w:hAnsi="宋体"/>
          <w:color w:val="auto"/>
          <w:kern w:val="0"/>
          <w:szCs w:val="21"/>
          <w:highlight w:val="none"/>
          <w:u w:val="single"/>
        </w:rPr>
        <w:t>（</w:t>
      </w:r>
      <w:r>
        <w:rPr>
          <w:rFonts w:hint="eastAsia" w:ascii="宋体" w:hAnsi="宋体"/>
          <w:color w:val="auto"/>
          <w:kern w:val="0"/>
          <w:szCs w:val="21"/>
          <w:highlight w:val="none"/>
          <w:u w:val="single"/>
        </w:rPr>
        <w:t>承兑汇票/转账支票</w:t>
      </w:r>
      <w:r>
        <w:rPr>
          <w:rFonts w:ascii="宋体" w:hAnsi="宋体"/>
          <w:color w:val="auto"/>
          <w:kern w:val="0"/>
          <w:szCs w:val="21"/>
          <w:highlight w:val="none"/>
          <w:u w:val="single"/>
        </w:rPr>
        <w:t>）</w:t>
      </w:r>
      <w:r>
        <w:rPr>
          <w:rFonts w:ascii="宋体" w:hAnsi="宋体"/>
          <w:color w:val="auto"/>
          <w:kern w:val="0"/>
          <w:szCs w:val="21"/>
          <w:highlight w:val="none"/>
        </w:rPr>
        <w:t>支付给设计人，设计人应当于每次支付前向发包人提交增值税专用发票。否则，发包人有权延期付款，并不承担逾期付款的违约责任。同时，设计人不得以此为理由拒绝履行合同义务。</w:t>
      </w:r>
    </w:p>
    <w:p w14:paraId="78E6F6EA">
      <w:pPr>
        <w:keepNext/>
        <w:keepLines/>
        <w:spacing w:before="120" w:after="120" w:line="360" w:lineRule="auto"/>
        <w:ind w:firstLine="420" w:firstLineChars="200"/>
        <w:outlineLvl w:val="4"/>
        <w:rPr>
          <w:rFonts w:ascii="宋体" w:hAnsi="宋体"/>
          <w:b/>
          <w:bCs/>
          <w:color w:val="auto"/>
          <w:szCs w:val="21"/>
          <w:highlight w:val="none"/>
        </w:rPr>
      </w:pPr>
      <w:r>
        <w:rPr>
          <w:rFonts w:ascii="宋体" w:hAnsi="宋体"/>
          <w:bCs/>
          <w:color w:val="auto"/>
          <w:szCs w:val="21"/>
          <w:highlight w:val="none"/>
        </w:rPr>
        <w:t xml:space="preserve">12.5 </w:t>
      </w:r>
      <w:r>
        <w:rPr>
          <w:rFonts w:hint="eastAsia" w:ascii="宋体" w:hAnsi="宋体"/>
          <w:bCs/>
          <w:color w:val="auto"/>
          <w:szCs w:val="21"/>
          <w:highlight w:val="none"/>
        </w:rPr>
        <w:t>暂列金额</w:t>
      </w:r>
    </w:p>
    <w:p w14:paraId="49ABC67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12.5.1 本合同的暂列金额为</w:t>
      </w:r>
      <w:r>
        <w:rPr>
          <w:rFonts w:ascii="宋体" w:hAnsi="宋体"/>
          <w:color w:val="auto"/>
          <w:kern w:val="0"/>
          <w:szCs w:val="21"/>
          <w:highlight w:val="none"/>
          <w:u w:val="single"/>
        </w:rPr>
        <w:tab/>
      </w:r>
      <w:r>
        <w:rPr>
          <w:rFonts w:hint="eastAsia" w:ascii="宋体" w:hAnsi="宋体"/>
          <w:color w:val="auto"/>
          <w:kern w:val="0"/>
          <w:szCs w:val="21"/>
          <w:highlight w:val="none"/>
        </w:rPr>
        <w:t>。</w:t>
      </w:r>
    </w:p>
    <w:p w14:paraId="22CC946D">
      <w:pPr>
        <w:pStyle w:val="3"/>
        <w:spacing w:before="0" w:after="0" w:line="360" w:lineRule="auto"/>
        <w:rPr>
          <w:rFonts w:ascii="宋体" w:hAnsi="宋体"/>
          <w:b w:val="0"/>
          <w:snapToGrid w:val="0"/>
          <w:color w:val="auto"/>
          <w:sz w:val="24"/>
          <w:szCs w:val="24"/>
          <w:highlight w:val="none"/>
        </w:rPr>
      </w:pPr>
      <w:bookmarkStart w:id="726" w:name="_Toc532384190"/>
      <w:bookmarkStart w:id="727" w:name="_Toc29906"/>
      <w:r>
        <w:rPr>
          <w:rFonts w:ascii="宋体" w:hAnsi="宋体"/>
          <w:b w:val="0"/>
          <w:snapToGrid w:val="0"/>
          <w:color w:val="auto"/>
          <w:sz w:val="24"/>
          <w:szCs w:val="24"/>
          <w:highlight w:val="none"/>
        </w:rPr>
        <w:t>13.不可抗力</w:t>
      </w:r>
      <w:bookmarkEnd w:id="726"/>
      <w:bookmarkEnd w:id="727"/>
    </w:p>
    <w:p w14:paraId="0159400C">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13.1不可抗力的确认</w:t>
      </w:r>
    </w:p>
    <w:p w14:paraId="1B850D21">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除通用合同条款约定的不可抗力事件之外，视为不可抗力的其他情形：</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5A7FB19">
      <w:pPr>
        <w:pStyle w:val="3"/>
        <w:spacing w:before="0" w:after="0" w:line="360" w:lineRule="auto"/>
        <w:rPr>
          <w:rFonts w:ascii="宋体" w:hAnsi="宋体"/>
          <w:b w:val="0"/>
          <w:snapToGrid w:val="0"/>
          <w:color w:val="auto"/>
          <w:sz w:val="24"/>
          <w:szCs w:val="24"/>
          <w:highlight w:val="none"/>
        </w:rPr>
      </w:pPr>
      <w:bookmarkStart w:id="728" w:name="_Toc531632625"/>
      <w:bookmarkStart w:id="729" w:name="_Toc532384191"/>
      <w:bookmarkStart w:id="730" w:name="_Toc28717"/>
      <w:r>
        <w:rPr>
          <w:rFonts w:ascii="宋体" w:hAnsi="宋体"/>
          <w:b w:val="0"/>
          <w:snapToGrid w:val="0"/>
          <w:color w:val="auto"/>
          <w:sz w:val="24"/>
          <w:szCs w:val="24"/>
          <w:highlight w:val="none"/>
        </w:rPr>
        <w:t>14.违约</w:t>
      </w:r>
      <w:bookmarkEnd w:id="728"/>
      <w:bookmarkEnd w:id="729"/>
      <w:bookmarkEnd w:id="730"/>
    </w:p>
    <w:p w14:paraId="7B2E4B2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14.1 设计人违约</w:t>
      </w:r>
    </w:p>
    <w:p w14:paraId="343A2F5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 xml:space="preserve"> </w:t>
      </w:r>
      <w:r>
        <w:rPr>
          <w:rFonts w:hint="eastAsia" w:ascii="宋体" w:hAnsi="宋体"/>
          <w:color w:val="auto"/>
          <w:kern w:val="0"/>
          <w:szCs w:val="21"/>
          <w:highlight w:val="none"/>
        </w:rPr>
        <w:t>设计人未按合同条款要求，发生违约情况时，将根据以下约定进行相应的处罚：</w:t>
      </w:r>
    </w:p>
    <w:p w14:paraId="79970AA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.1项目主要设计人员配备，违反合同文件及相关约定</w:t>
      </w:r>
    </w:p>
    <w:p w14:paraId="5D85834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未经发包人同意，擅自更换主要设计人员的，按照以下方式承担违约责任：</w:t>
      </w:r>
    </w:p>
    <w:p w14:paraId="416BA7C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擅自更换项目负责人的，设计人每更换一次向发包人支付</w:t>
      </w:r>
      <w:r>
        <w:rPr>
          <w:rFonts w:ascii="宋体" w:hAnsi="宋体"/>
          <w:color w:val="auto"/>
          <w:kern w:val="0"/>
          <w:szCs w:val="21"/>
          <w:highlight w:val="none"/>
          <w:u w:val="single"/>
        </w:rPr>
        <w:t>签约合同</w:t>
      </w:r>
      <w:r>
        <w:rPr>
          <w:rFonts w:hint="eastAsia" w:ascii="宋体" w:hAnsi="宋体"/>
          <w:color w:val="auto"/>
          <w:kern w:val="0"/>
          <w:szCs w:val="21"/>
          <w:highlight w:val="none"/>
          <w:u w:val="single"/>
        </w:rPr>
        <w:t>价</w:t>
      </w:r>
      <w:r>
        <w:rPr>
          <w:rFonts w:ascii="宋体" w:hAnsi="宋体"/>
          <w:color w:val="auto"/>
          <w:kern w:val="0"/>
          <w:szCs w:val="21"/>
          <w:highlight w:val="none"/>
          <w:u w:val="single"/>
        </w:rPr>
        <w:t>的1%</w:t>
      </w:r>
      <w:r>
        <w:rPr>
          <w:rFonts w:hint="eastAsia" w:ascii="宋体" w:hAnsi="宋体"/>
          <w:color w:val="auto"/>
          <w:kern w:val="0"/>
          <w:szCs w:val="21"/>
          <w:highlight w:val="none"/>
        </w:rPr>
        <w:t>的</w:t>
      </w:r>
      <w:r>
        <w:rPr>
          <w:rFonts w:ascii="宋体" w:hAnsi="宋体"/>
          <w:color w:val="auto"/>
          <w:kern w:val="0"/>
          <w:szCs w:val="21"/>
          <w:highlight w:val="none"/>
        </w:rPr>
        <w:t>违约金；</w:t>
      </w:r>
    </w:p>
    <w:p w14:paraId="1642DB5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擅自更换除项目负责人外的其他主要设计人员的，每更换一人，设计人向发包人支付</w:t>
      </w:r>
      <w:r>
        <w:rPr>
          <w:rFonts w:ascii="宋体" w:hAnsi="宋体"/>
          <w:color w:val="auto"/>
          <w:kern w:val="0"/>
          <w:szCs w:val="21"/>
          <w:highlight w:val="none"/>
          <w:u w:val="single"/>
        </w:rPr>
        <w:t>签约合同</w:t>
      </w:r>
      <w:r>
        <w:rPr>
          <w:rFonts w:hint="eastAsia" w:ascii="宋体" w:hAnsi="宋体"/>
          <w:color w:val="auto"/>
          <w:kern w:val="0"/>
          <w:szCs w:val="21"/>
          <w:highlight w:val="none"/>
          <w:u w:val="single"/>
        </w:rPr>
        <w:t>价</w:t>
      </w:r>
      <w:r>
        <w:rPr>
          <w:rFonts w:ascii="宋体" w:hAnsi="宋体"/>
          <w:color w:val="auto"/>
          <w:kern w:val="0"/>
          <w:szCs w:val="21"/>
          <w:highlight w:val="none"/>
          <w:u w:val="single"/>
        </w:rPr>
        <w:t>的0.5%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1E12631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未经发包人同意，擅自更换项目主要设计人员超过三次的，发包人有权终止合同。设计人应承担由此给发包人造成的经济损失。</w:t>
      </w:r>
    </w:p>
    <w:p w14:paraId="4A05702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因下列原因之一，发包人有权要求更换项目主要设计人员。</w:t>
      </w:r>
    </w:p>
    <w:p w14:paraId="6FF95DD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严重过失行为的；</w:t>
      </w:r>
      <w:r>
        <w:rPr>
          <w:rFonts w:hint="eastAsia" w:ascii="宋体" w:hAnsi="宋体" w:cs="宋体"/>
          <w:color w:val="auto"/>
          <w:kern w:val="0"/>
          <w:szCs w:val="21"/>
          <w:highlight w:val="none"/>
        </w:rPr>
        <w:t>②</w:t>
      </w:r>
      <w:r>
        <w:rPr>
          <w:rFonts w:ascii="宋体" w:hAnsi="宋体"/>
          <w:color w:val="auto"/>
          <w:kern w:val="0"/>
          <w:szCs w:val="21"/>
          <w:highlight w:val="none"/>
        </w:rPr>
        <w:t>有违法行为不能履行职责的；</w:t>
      </w:r>
      <w:r>
        <w:rPr>
          <w:rFonts w:hint="eastAsia" w:ascii="宋体" w:hAnsi="宋体" w:cs="宋体"/>
          <w:color w:val="auto"/>
          <w:kern w:val="0"/>
          <w:szCs w:val="21"/>
          <w:highlight w:val="none"/>
        </w:rPr>
        <w:t>③</w:t>
      </w:r>
      <w:r>
        <w:rPr>
          <w:rFonts w:ascii="宋体" w:hAnsi="宋体"/>
          <w:color w:val="auto"/>
          <w:kern w:val="0"/>
          <w:szCs w:val="21"/>
          <w:highlight w:val="none"/>
        </w:rPr>
        <w:t>涉嫌犯罪的；</w:t>
      </w:r>
      <w:r>
        <w:rPr>
          <w:rFonts w:hint="eastAsia" w:ascii="宋体" w:hAnsi="宋体" w:cs="宋体"/>
          <w:color w:val="auto"/>
          <w:kern w:val="0"/>
          <w:szCs w:val="21"/>
          <w:highlight w:val="none"/>
        </w:rPr>
        <w:t>④</w:t>
      </w:r>
      <w:r>
        <w:rPr>
          <w:rFonts w:ascii="宋体" w:hAnsi="宋体"/>
          <w:color w:val="auto"/>
          <w:kern w:val="0"/>
          <w:szCs w:val="21"/>
          <w:highlight w:val="none"/>
        </w:rPr>
        <w:t>不能胜任岗位职责的；</w:t>
      </w:r>
      <w:r>
        <w:rPr>
          <w:rFonts w:hint="eastAsia" w:ascii="宋体" w:hAnsi="宋体" w:cs="宋体"/>
          <w:color w:val="auto"/>
          <w:kern w:val="0"/>
          <w:szCs w:val="21"/>
          <w:highlight w:val="none"/>
        </w:rPr>
        <w:t>⑤</w:t>
      </w:r>
      <w:r>
        <w:rPr>
          <w:rFonts w:ascii="宋体" w:hAnsi="宋体"/>
          <w:color w:val="auto"/>
          <w:kern w:val="0"/>
          <w:szCs w:val="21"/>
          <w:highlight w:val="none"/>
        </w:rPr>
        <w:t>严重违反职业道德的；</w:t>
      </w:r>
      <w:r>
        <w:rPr>
          <w:rFonts w:hint="eastAsia" w:ascii="宋体" w:hAnsi="宋体" w:cs="宋体"/>
          <w:color w:val="auto"/>
          <w:kern w:val="0"/>
          <w:szCs w:val="21"/>
          <w:highlight w:val="none"/>
        </w:rPr>
        <w:t>⑥发包人提出整改意见未整改的人员；⑦</w:t>
      </w:r>
      <w:r>
        <w:rPr>
          <w:rFonts w:ascii="宋体" w:hAnsi="宋体"/>
          <w:color w:val="auto"/>
          <w:kern w:val="0"/>
          <w:szCs w:val="21"/>
          <w:highlight w:val="none"/>
        </w:rPr>
        <w:t>其他不能履约的情形；</w:t>
      </w:r>
    </w:p>
    <w:p w14:paraId="31A07F1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color w:val="auto"/>
          <w:highlight w:val="none"/>
        </w:rPr>
        <w:t>因以上原因导致更换设计人员的，设计人</w:t>
      </w:r>
      <w:r>
        <w:rPr>
          <w:rFonts w:ascii="宋体" w:hAnsi="宋体"/>
          <w:color w:val="auto"/>
          <w:kern w:val="0"/>
          <w:szCs w:val="21"/>
          <w:highlight w:val="none"/>
        </w:rPr>
        <w:t>应向发包人承担下述违约责任：</w:t>
      </w:r>
    </w:p>
    <w:p w14:paraId="45E8C0C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更换项目负责人的，设计人每更换一次向发包人支付</w:t>
      </w:r>
      <w:r>
        <w:rPr>
          <w:rFonts w:ascii="宋体" w:hAnsi="宋体"/>
          <w:color w:val="auto"/>
          <w:kern w:val="0"/>
          <w:szCs w:val="21"/>
          <w:highlight w:val="none"/>
          <w:u w:val="single"/>
        </w:rPr>
        <w:t>签约合同价的1%</w:t>
      </w:r>
      <w:r>
        <w:rPr>
          <w:rFonts w:hint="eastAsia" w:ascii="宋体" w:hAnsi="宋体"/>
          <w:color w:val="auto"/>
          <w:kern w:val="0"/>
          <w:szCs w:val="21"/>
          <w:highlight w:val="none"/>
        </w:rPr>
        <w:t>的</w:t>
      </w:r>
      <w:r>
        <w:rPr>
          <w:rFonts w:ascii="宋体" w:hAnsi="宋体"/>
          <w:color w:val="auto"/>
          <w:kern w:val="0"/>
          <w:szCs w:val="21"/>
          <w:highlight w:val="none"/>
        </w:rPr>
        <w:t>违约金；</w:t>
      </w:r>
    </w:p>
    <w:p w14:paraId="535CD9E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更换除项目负责人外的其他主要设计人员的，每更换一名设计人向发包人支付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 xml:space="preserve">违约金； </w:t>
      </w:r>
    </w:p>
    <w:p w14:paraId="02E3591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因设计人原因，导致发包人要求更换项目主要设计人员变更超过三次的，发包人有权终止合同。设计人应承担由此给发包人造成的经济损失。</w:t>
      </w:r>
    </w:p>
    <w:p w14:paraId="4811B53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.2 设计人提交设计成果，违反合同约定期限及相关规定</w:t>
      </w:r>
    </w:p>
    <w:p w14:paraId="4427433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因设计人原因，延迟提交设计成果或变更图纸及意见的，设计人应向发包人承担下述违约责任：</w:t>
      </w:r>
    </w:p>
    <w:p w14:paraId="4A4BC8D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第一次延迟提交设计成果或变更图纸及意见的，每逾期一天设计人向发包人支付</w:t>
      </w:r>
      <w:r>
        <w:rPr>
          <w:rFonts w:ascii="宋体" w:hAnsi="宋体"/>
          <w:color w:val="auto"/>
          <w:kern w:val="0"/>
          <w:szCs w:val="21"/>
          <w:highlight w:val="none"/>
          <w:u w:val="single"/>
        </w:rPr>
        <w:t>签约合同价的0.2%</w:t>
      </w:r>
      <w:r>
        <w:rPr>
          <w:rFonts w:hint="eastAsia" w:ascii="宋体" w:hAnsi="宋体"/>
          <w:color w:val="auto"/>
          <w:kern w:val="0"/>
          <w:szCs w:val="21"/>
          <w:highlight w:val="none"/>
        </w:rPr>
        <w:t>的</w:t>
      </w:r>
      <w:r>
        <w:rPr>
          <w:rFonts w:ascii="宋体" w:hAnsi="宋体"/>
          <w:color w:val="auto"/>
          <w:kern w:val="0"/>
          <w:szCs w:val="21"/>
          <w:highlight w:val="none"/>
        </w:rPr>
        <w:t>违约金；影响开工时间或工程进度的，设计人向发包人支付</w:t>
      </w:r>
      <w:r>
        <w:rPr>
          <w:rFonts w:ascii="宋体" w:hAnsi="宋体"/>
          <w:color w:val="auto"/>
          <w:kern w:val="0"/>
          <w:szCs w:val="21"/>
          <w:highlight w:val="none"/>
          <w:u w:val="single"/>
        </w:rPr>
        <w:t>签约合同价的5%</w:t>
      </w:r>
      <w:r>
        <w:rPr>
          <w:rFonts w:hint="eastAsia" w:ascii="宋体" w:hAnsi="宋体"/>
          <w:color w:val="auto"/>
          <w:kern w:val="0"/>
          <w:szCs w:val="21"/>
          <w:highlight w:val="none"/>
        </w:rPr>
        <w:t>的</w:t>
      </w:r>
      <w:r>
        <w:rPr>
          <w:rFonts w:ascii="宋体" w:hAnsi="宋体"/>
          <w:color w:val="auto"/>
          <w:kern w:val="0"/>
          <w:szCs w:val="21"/>
          <w:highlight w:val="none"/>
        </w:rPr>
        <w:t>违约金，且发包人有权要求设计人撤换项目负责人；</w:t>
      </w:r>
    </w:p>
    <w:p w14:paraId="429682A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第二次及以上延迟提交设计成果或变更图纸及意见的，每逾期一天设计人向发包人支付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违约金；影响开工时间或工程进度的，可根据情况拒付全部或部分设计费用，同时发包人有权终止合同。</w:t>
      </w:r>
    </w:p>
    <w:p w14:paraId="0D08380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设计人出现设计成果文件未盖章、责任人未</w:t>
      </w:r>
      <w:r>
        <w:rPr>
          <w:rFonts w:hint="eastAsia" w:ascii="宋体" w:hAnsi="宋体"/>
          <w:color w:val="auto"/>
          <w:kern w:val="0"/>
          <w:szCs w:val="21"/>
          <w:highlight w:val="none"/>
        </w:rPr>
        <w:t>签名</w:t>
      </w:r>
      <w:r>
        <w:rPr>
          <w:rFonts w:ascii="宋体" w:hAnsi="宋体"/>
          <w:color w:val="auto"/>
          <w:kern w:val="0"/>
          <w:szCs w:val="21"/>
          <w:highlight w:val="none"/>
        </w:rPr>
        <w:t>或</w:t>
      </w:r>
      <w:r>
        <w:rPr>
          <w:rFonts w:hint="eastAsia" w:ascii="宋体" w:hAnsi="宋体"/>
          <w:color w:val="auto"/>
          <w:kern w:val="0"/>
          <w:szCs w:val="21"/>
          <w:highlight w:val="none"/>
        </w:rPr>
        <w:t>签名</w:t>
      </w:r>
      <w:r>
        <w:rPr>
          <w:rFonts w:ascii="宋体" w:hAnsi="宋体"/>
          <w:color w:val="auto"/>
          <w:kern w:val="0"/>
          <w:szCs w:val="21"/>
          <w:highlight w:val="none"/>
        </w:rPr>
        <w:t>不全、盖章不规范，设计人应向发包人承担下述违约责任：</w:t>
      </w:r>
    </w:p>
    <w:p w14:paraId="7FFB9CC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重新提交并向发包人支付</w:t>
      </w:r>
      <w:r>
        <w:rPr>
          <w:rFonts w:ascii="宋体" w:hAnsi="宋体"/>
          <w:color w:val="auto"/>
          <w:kern w:val="0"/>
          <w:szCs w:val="21"/>
          <w:highlight w:val="none"/>
          <w:u w:val="single"/>
        </w:rPr>
        <w:t>签约合同价的0.25%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15BD416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两次重新提交并向发包人支付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0863076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连续出现三次及以上出现设计成果文件未盖章、责任人未</w:t>
      </w:r>
      <w:r>
        <w:rPr>
          <w:rFonts w:hint="eastAsia" w:ascii="宋体" w:hAnsi="宋体"/>
          <w:color w:val="auto"/>
          <w:kern w:val="0"/>
          <w:szCs w:val="21"/>
          <w:highlight w:val="none"/>
        </w:rPr>
        <w:t>签名</w:t>
      </w:r>
      <w:r>
        <w:rPr>
          <w:rFonts w:ascii="宋体" w:hAnsi="宋体"/>
          <w:color w:val="auto"/>
          <w:kern w:val="0"/>
          <w:szCs w:val="21"/>
          <w:highlight w:val="none"/>
        </w:rPr>
        <w:t>或</w:t>
      </w:r>
      <w:r>
        <w:rPr>
          <w:rFonts w:hint="eastAsia" w:ascii="宋体" w:hAnsi="宋体"/>
          <w:color w:val="auto"/>
          <w:kern w:val="0"/>
          <w:szCs w:val="21"/>
          <w:highlight w:val="none"/>
        </w:rPr>
        <w:t>签名</w:t>
      </w:r>
      <w:r>
        <w:rPr>
          <w:rFonts w:ascii="宋体" w:hAnsi="宋体"/>
          <w:color w:val="auto"/>
          <w:kern w:val="0"/>
          <w:szCs w:val="21"/>
          <w:highlight w:val="none"/>
        </w:rPr>
        <w:t>不全、盖章不规范的情形，发包人有权终止合同；</w:t>
      </w:r>
    </w:p>
    <w:p w14:paraId="11D8C1D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设计人对提交的设计成果弄虚作假、提供虚假成果资料，被查证属实：</w:t>
      </w:r>
    </w:p>
    <w:p w14:paraId="7EBE161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未造成不良后果，并限时纠正，设计人向发包人支付</w:t>
      </w:r>
      <w:r>
        <w:rPr>
          <w:rFonts w:ascii="宋体" w:hAnsi="宋体"/>
          <w:color w:val="auto"/>
          <w:kern w:val="0"/>
          <w:szCs w:val="21"/>
          <w:highlight w:val="none"/>
          <w:u w:val="single"/>
        </w:rPr>
        <w:t>签约合同价的5%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3E8D6FE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造成不良后果，发包人有权要求撤换项目负责人，追究设计人责任，设计人向发包人支付</w:t>
      </w:r>
      <w:r>
        <w:rPr>
          <w:rFonts w:ascii="宋体" w:hAnsi="宋体"/>
          <w:color w:val="auto"/>
          <w:kern w:val="0"/>
          <w:szCs w:val="21"/>
          <w:highlight w:val="none"/>
          <w:u w:val="single"/>
        </w:rPr>
        <w:t>签约合同价的10%</w:t>
      </w:r>
      <w:r>
        <w:rPr>
          <w:rFonts w:hint="eastAsia" w:ascii="宋体" w:hAnsi="宋体"/>
          <w:color w:val="auto"/>
          <w:kern w:val="0"/>
          <w:szCs w:val="21"/>
          <w:highlight w:val="none"/>
        </w:rPr>
        <w:t>的</w:t>
      </w:r>
      <w:r>
        <w:rPr>
          <w:rFonts w:ascii="宋体" w:hAnsi="宋体"/>
          <w:color w:val="auto"/>
          <w:kern w:val="0"/>
          <w:szCs w:val="21"/>
          <w:highlight w:val="none"/>
        </w:rPr>
        <w:t>违约金。</w:t>
      </w:r>
    </w:p>
    <w:p w14:paraId="0ADF669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因设计人过失引起的设计变更，造成工程投资增加超过</w:t>
      </w:r>
      <w:r>
        <w:rPr>
          <w:rFonts w:hint="eastAsia" w:ascii="宋体" w:hAnsi="宋体"/>
          <w:color w:val="auto"/>
          <w:kern w:val="0"/>
          <w:szCs w:val="21"/>
          <w:highlight w:val="none"/>
        </w:rPr>
        <w:t>概算</w:t>
      </w:r>
      <w:r>
        <w:rPr>
          <w:rFonts w:ascii="宋体" w:hAnsi="宋体"/>
          <w:color w:val="auto"/>
          <w:kern w:val="0"/>
          <w:szCs w:val="21"/>
          <w:highlight w:val="none"/>
        </w:rPr>
        <w:t>5%的，视情节轻重扣除（</w:t>
      </w:r>
      <w:r>
        <w:rPr>
          <w:rFonts w:ascii="宋体" w:hAnsi="宋体"/>
          <w:color w:val="auto"/>
          <w:kern w:val="0"/>
          <w:szCs w:val="21"/>
          <w:highlight w:val="none"/>
          <w:u w:val="single"/>
        </w:rPr>
        <w:t>30 %</w:t>
      </w:r>
      <w:r>
        <w:rPr>
          <w:rFonts w:ascii="宋体" w:hAnsi="宋体"/>
          <w:color w:val="auto"/>
          <w:kern w:val="0"/>
          <w:szCs w:val="21"/>
          <w:highlight w:val="none"/>
        </w:rPr>
        <w:t>）的设计费，并报主管部门予以处罚。</w:t>
      </w:r>
    </w:p>
    <w:p w14:paraId="29EB247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（5）</w:t>
      </w:r>
      <w:r>
        <w:rPr>
          <w:rFonts w:ascii="宋体" w:hAnsi="宋体"/>
          <w:color w:val="auto"/>
          <w:kern w:val="0"/>
          <w:szCs w:val="21"/>
          <w:highlight w:val="none"/>
        </w:rPr>
        <w:t>设计人转包、违法分包或者未经发包人同意擅自分包的。一经查实，设计人的履约保证金不予退还，设计人另向发包人支付</w:t>
      </w:r>
      <w:r>
        <w:rPr>
          <w:rFonts w:hint="eastAsia" w:ascii="宋体" w:hAnsi="宋体"/>
          <w:color w:val="auto"/>
          <w:kern w:val="0"/>
          <w:szCs w:val="21"/>
          <w:highlight w:val="none"/>
        </w:rPr>
        <w:t>签约合同价</w:t>
      </w:r>
      <w:r>
        <w:rPr>
          <w:rFonts w:ascii="宋体" w:hAnsi="宋体"/>
          <w:color w:val="auto"/>
          <w:kern w:val="0"/>
          <w:szCs w:val="21"/>
          <w:highlight w:val="none"/>
        </w:rPr>
        <w:t>的（</w:t>
      </w:r>
      <w:r>
        <w:rPr>
          <w:rFonts w:ascii="宋体" w:hAnsi="宋体"/>
          <w:color w:val="auto"/>
          <w:kern w:val="0"/>
          <w:szCs w:val="21"/>
          <w:highlight w:val="none"/>
          <w:u w:val="single"/>
        </w:rPr>
        <w:t>30%</w:t>
      </w:r>
      <w:r>
        <w:rPr>
          <w:rFonts w:ascii="宋体" w:hAnsi="宋体"/>
          <w:color w:val="auto"/>
          <w:kern w:val="0"/>
          <w:szCs w:val="21"/>
          <w:highlight w:val="none"/>
        </w:rPr>
        <w:t>）违约金，同时发包人报请相关行政监管部门对设计人进行罚款、限制投标、降低资质等处罚、公开曝光，记入不良行为记录，且发包人有权单方解除合同。</w:t>
      </w:r>
    </w:p>
    <w:p w14:paraId="044B119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（6）</w:t>
      </w:r>
      <w:r>
        <w:rPr>
          <w:rFonts w:ascii="宋体" w:hAnsi="宋体"/>
          <w:color w:val="auto"/>
          <w:kern w:val="0"/>
          <w:szCs w:val="21"/>
          <w:highlight w:val="none"/>
        </w:rPr>
        <w:t>设计人串通或参与串通其他参建方，谋取非法利益的，由监察部门、主管部门给予处罚，构成犯罪的，移交司法机关处理。</w:t>
      </w:r>
    </w:p>
    <w:p w14:paraId="7CE9C2F7">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本工程设计资料及文件中，建筑材料、建筑构配件和设备，应当注明其规格、型号、性能等技术指标。除经发包人认可，设计人不得设定国内生产、供应商不足三家的技术指标。不得通过设定相关指标限制或指定生产、供应商。若出现以上情况，设计人应按发包人要求对设计文件进行无偿修改。设计人拒绝修改的，发包人有权解除合同，不支付设计费用，且设计人按照本合同总价10%/次向发包人承担违约金。</w:t>
      </w:r>
    </w:p>
    <w:p w14:paraId="1FF2EB9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.3设计人提交设计成果，存在明显不合理，较大缺漏项及设计错误</w:t>
      </w:r>
    </w:p>
    <w:p w14:paraId="01DFDA3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方案设计及初步设计阶段经专家评审时，发现设计有存在明显不合理或存在较大缺漏项及错误，导致</w:t>
      </w:r>
      <w:r>
        <w:rPr>
          <w:rFonts w:hint="eastAsia" w:ascii="宋体" w:hAnsi="宋体"/>
          <w:color w:val="auto"/>
          <w:kern w:val="0"/>
          <w:szCs w:val="21"/>
          <w:highlight w:val="none"/>
        </w:rPr>
        <w:t>送审的</w:t>
      </w:r>
      <w:r>
        <w:rPr>
          <w:rFonts w:ascii="宋体" w:hAnsi="宋体"/>
          <w:color w:val="auto"/>
          <w:kern w:val="0"/>
          <w:szCs w:val="21"/>
          <w:highlight w:val="none"/>
        </w:rPr>
        <w:t>设计方案调整较大，设计人负责补充或修改，最终概算调整超过上报概算5%的，且视情节轻重扣除该阶段（</w:t>
      </w:r>
      <w:r>
        <w:rPr>
          <w:rFonts w:ascii="宋体" w:hAnsi="宋体"/>
          <w:color w:val="auto"/>
          <w:kern w:val="0"/>
          <w:szCs w:val="21"/>
          <w:highlight w:val="none"/>
          <w:u w:val="single"/>
        </w:rPr>
        <w:t>30 %</w:t>
      </w:r>
      <w:r>
        <w:rPr>
          <w:rFonts w:ascii="宋体" w:hAnsi="宋体"/>
          <w:color w:val="auto"/>
          <w:kern w:val="0"/>
          <w:szCs w:val="21"/>
          <w:highlight w:val="none"/>
        </w:rPr>
        <w:t>）的设计费，并记入履约不良行为记录。</w:t>
      </w:r>
    </w:p>
    <w:p w14:paraId="5872089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对审核通过的施工图纸进行定期抽查，发现仍有设计明显不合理或缺漏项及错误的，设计人负责补充或修改。同时，每发现一次，设计人向发包人支付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55D9E48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因设计人原因，施工图与初步设计差异较大，最终清单控制价高于初步设计概算5%的，设计人负责补充或修改，应向发包人支付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违约金。未经业主同意，设计人私下调整施工图纸的，应向发包人支付</w:t>
      </w:r>
      <w:r>
        <w:rPr>
          <w:rFonts w:ascii="宋体" w:hAnsi="宋体"/>
          <w:color w:val="auto"/>
          <w:kern w:val="0"/>
          <w:szCs w:val="21"/>
          <w:highlight w:val="none"/>
          <w:u w:val="single"/>
        </w:rPr>
        <w:t>签约合同价的1%</w:t>
      </w:r>
      <w:r>
        <w:rPr>
          <w:rFonts w:hint="eastAsia" w:ascii="宋体" w:hAnsi="宋体"/>
          <w:color w:val="auto"/>
          <w:kern w:val="0"/>
          <w:szCs w:val="21"/>
          <w:highlight w:val="none"/>
        </w:rPr>
        <w:t>的</w:t>
      </w:r>
      <w:r>
        <w:rPr>
          <w:rFonts w:ascii="宋体" w:hAnsi="宋体"/>
          <w:color w:val="auto"/>
          <w:kern w:val="0"/>
          <w:szCs w:val="21"/>
          <w:highlight w:val="none"/>
        </w:rPr>
        <w:t>违约金，并接受主管部门的处理；情节严重的，发包人有权解除或终止合同。</w:t>
      </w:r>
    </w:p>
    <w:p w14:paraId="67A3925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工程施工阶段，发现设计人的设计文件有缺漏项或设计错误的，设计人除负责补充或修改外，还应视情节严重程度，并接受违约处理：</w:t>
      </w:r>
    </w:p>
    <w:p w14:paraId="5AEEB24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施工图设计文件本身存在漏项、缺项、错误而产生设计变更，设计人负责补充修改，当设计变更造成</w:t>
      </w:r>
      <w:r>
        <w:rPr>
          <w:rFonts w:hint="eastAsia" w:ascii="宋体" w:hAnsi="宋体"/>
          <w:color w:val="auto"/>
          <w:kern w:val="0"/>
          <w:szCs w:val="21"/>
          <w:highlight w:val="none"/>
        </w:rPr>
        <w:t>工程造价</w:t>
      </w:r>
      <w:r>
        <w:rPr>
          <w:rFonts w:ascii="宋体" w:hAnsi="宋体"/>
          <w:color w:val="auto"/>
          <w:kern w:val="0"/>
          <w:szCs w:val="21"/>
          <w:highlight w:val="none"/>
        </w:rPr>
        <w:t>累计变更超过施工合同总价5%的，设计人向发包人支付</w:t>
      </w:r>
      <w:r>
        <w:rPr>
          <w:rFonts w:ascii="宋体" w:hAnsi="宋体"/>
          <w:color w:val="auto"/>
          <w:kern w:val="0"/>
          <w:szCs w:val="21"/>
          <w:highlight w:val="none"/>
          <w:u w:val="single"/>
        </w:rPr>
        <w:t>签约合同价的10%</w:t>
      </w:r>
      <w:r>
        <w:rPr>
          <w:rFonts w:hint="eastAsia" w:ascii="宋体" w:hAnsi="宋体"/>
          <w:color w:val="auto"/>
          <w:kern w:val="0"/>
          <w:szCs w:val="21"/>
          <w:highlight w:val="none"/>
        </w:rPr>
        <w:t>的</w:t>
      </w:r>
      <w:r>
        <w:rPr>
          <w:rFonts w:ascii="宋体" w:hAnsi="宋体"/>
          <w:color w:val="auto"/>
          <w:kern w:val="0"/>
          <w:szCs w:val="21"/>
          <w:highlight w:val="none"/>
        </w:rPr>
        <w:t>违约金。</w:t>
      </w:r>
    </w:p>
    <w:p w14:paraId="50198A4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由于设计人的原因，造成工程质量事故的，设计人除向发包人支付</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3</w:t>
      </w:r>
      <w:r>
        <w:rPr>
          <w:rFonts w:ascii="宋体" w:hAnsi="宋体"/>
          <w:color w:val="auto"/>
          <w:kern w:val="0"/>
          <w:szCs w:val="21"/>
          <w:highlight w:val="none"/>
          <w:u w:val="single"/>
        </w:rPr>
        <w:t>0%</w:t>
      </w:r>
      <w:r>
        <w:rPr>
          <w:rFonts w:hint="eastAsia" w:ascii="宋体" w:hAnsi="宋体"/>
          <w:color w:val="auto"/>
          <w:kern w:val="0"/>
          <w:szCs w:val="21"/>
          <w:highlight w:val="none"/>
        </w:rPr>
        <w:t>的</w:t>
      </w:r>
      <w:r>
        <w:rPr>
          <w:rFonts w:ascii="宋体" w:hAnsi="宋体"/>
          <w:color w:val="auto"/>
          <w:kern w:val="0"/>
          <w:szCs w:val="21"/>
          <w:highlight w:val="none"/>
        </w:rPr>
        <w:t>违约金、采取补救措施、向发包人承担直接经济损失外，还需按照相关规定承担其他法律责任。</w:t>
      </w:r>
    </w:p>
    <w:p w14:paraId="00A80D3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设计人应充分依据项目实际情况开展设计工作，对设计成果的质量及可实施性负责。因设计认未充分参照项目实际情况导致设计成果无法落地，引起设计变更、返工或未按期提交设计文件拖延工期造成损失，由设计单位继续完善设计任务，并应视造成的损失浪费大小或问题程度减收或免设计费，设计费扣减比例不得低于本合同费用的5%/次。对于因设计错误而造成工程重大质量事故者，设计单位除免收受损失部分的设计费外，还应付与直接受损失部分设计费相等的赔偿金。</w:t>
      </w:r>
    </w:p>
    <w:p w14:paraId="54A2805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.4项目服务期内，设计人未按要求提供相应服务</w:t>
      </w:r>
    </w:p>
    <w:p w14:paraId="504F623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设计人须根据发包人要求，积极配合完成方案汇报及审批工作，专题会议项目负责人或专业负责人缺席参会的按照下列方式处理：</w:t>
      </w:r>
    </w:p>
    <w:p w14:paraId="6D9F961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spacing w:val="-6"/>
          <w:kern w:val="0"/>
          <w:szCs w:val="21"/>
          <w:highlight w:val="none"/>
        </w:rPr>
        <w:t>第一次缺席参会的，设计人应向发包人支付违约金(签约合同价的0.5%</w:t>
      </w:r>
      <w:r>
        <w:rPr>
          <w:rFonts w:ascii="宋体" w:hAnsi="宋体"/>
          <w:color w:val="auto"/>
          <w:spacing w:val="-6"/>
          <w:kern w:val="0"/>
          <w:szCs w:val="21"/>
          <w:highlight w:val="none"/>
          <w:u w:val="single"/>
        </w:rPr>
        <w:t>)</w:t>
      </w:r>
      <w:r>
        <w:rPr>
          <w:rFonts w:ascii="宋体" w:hAnsi="宋体"/>
          <w:color w:val="auto"/>
          <w:spacing w:val="-6"/>
          <w:kern w:val="0"/>
          <w:szCs w:val="21"/>
          <w:highlight w:val="none"/>
        </w:rPr>
        <w:t>元；</w:t>
      </w:r>
    </w:p>
    <w:p w14:paraId="42D825E5">
      <w:pPr>
        <w:widowControl/>
        <w:tabs>
          <w:tab w:val="left" w:pos="9072"/>
          <w:tab w:val="left" w:pos="9781"/>
        </w:tabs>
        <w:spacing w:line="360" w:lineRule="auto"/>
        <w:ind w:firstLine="396"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②</w:t>
      </w:r>
      <w:r>
        <w:rPr>
          <w:rFonts w:ascii="宋体" w:hAnsi="宋体"/>
          <w:color w:val="auto"/>
          <w:spacing w:val="-6"/>
          <w:kern w:val="0"/>
          <w:szCs w:val="21"/>
          <w:highlight w:val="none"/>
        </w:rPr>
        <w:t>第二次缺席参会的，设计人应向发包人支付违约金(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spacing w:val="-6"/>
          <w:kern w:val="0"/>
          <w:szCs w:val="21"/>
          <w:highlight w:val="none"/>
          <w:u w:val="single"/>
        </w:rPr>
        <w:t>)</w:t>
      </w:r>
      <w:r>
        <w:rPr>
          <w:rFonts w:ascii="宋体" w:hAnsi="宋体"/>
          <w:color w:val="auto"/>
          <w:spacing w:val="-6"/>
          <w:kern w:val="0"/>
          <w:szCs w:val="21"/>
          <w:highlight w:val="none"/>
        </w:rPr>
        <w:t>元；</w:t>
      </w:r>
    </w:p>
    <w:p w14:paraId="0E90DDE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第三次缺席参会的，设计人除按照发包人要求更换项目负责人外，还应向发包人支付违约金(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3</w:t>
      </w:r>
      <w:r>
        <w:rPr>
          <w:rFonts w:ascii="宋体" w:hAnsi="宋体"/>
          <w:color w:val="auto"/>
          <w:kern w:val="0"/>
          <w:szCs w:val="21"/>
          <w:highlight w:val="none"/>
          <w:u w:val="single"/>
        </w:rPr>
        <w:t>%</w:t>
      </w:r>
      <w:r>
        <w:rPr>
          <w:rFonts w:hint="eastAsia" w:ascii="宋体" w:hAnsi="宋体"/>
          <w:color w:val="auto"/>
          <w:kern w:val="0"/>
          <w:szCs w:val="21"/>
          <w:highlight w:val="none"/>
          <w:u w:val="single"/>
        </w:rPr>
        <w:t>）</w:t>
      </w:r>
      <w:r>
        <w:rPr>
          <w:rFonts w:ascii="宋体" w:hAnsi="宋体"/>
          <w:color w:val="auto"/>
          <w:kern w:val="0"/>
          <w:szCs w:val="21"/>
          <w:highlight w:val="none"/>
        </w:rPr>
        <w:t>元。</w:t>
      </w:r>
    </w:p>
    <w:p w14:paraId="3AE4317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施工服务期内，设计人指定的现场设计服务人员达不到现场工作要求的，应在（</w:t>
      </w:r>
      <w:r>
        <w:rPr>
          <w:rFonts w:ascii="宋体" w:hAnsi="宋体"/>
          <w:color w:val="auto"/>
          <w:kern w:val="0"/>
          <w:szCs w:val="21"/>
          <w:highlight w:val="none"/>
          <w:u w:val="single"/>
        </w:rPr>
        <w:t>4</w:t>
      </w:r>
      <w:r>
        <w:rPr>
          <w:rFonts w:hint="eastAsia" w:ascii="宋体" w:hAnsi="宋体"/>
          <w:color w:val="auto"/>
          <w:kern w:val="0"/>
          <w:szCs w:val="21"/>
          <w:highlight w:val="none"/>
          <w:u w:val="single"/>
        </w:rPr>
        <w:t>~</w:t>
      </w:r>
      <w:r>
        <w:rPr>
          <w:rFonts w:ascii="宋体" w:hAnsi="宋体"/>
          <w:color w:val="auto"/>
          <w:kern w:val="0"/>
          <w:szCs w:val="21"/>
          <w:highlight w:val="none"/>
          <w:u w:val="single"/>
        </w:rPr>
        <w:t>24）</w:t>
      </w:r>
      <w:r>
        <w:rPr>
          <w:rFonts w:ascii="宋体" w:hAnsi="宋体"/>
          <w:color w:val="auto"/>
          <w:kern w:val="0"/>
          <w:szCs w:val="21"/>
          <w:highlight w:val="none"/>
        </w:rPr>
        <w:t>小时内另行指派能解决问题的现场设计服务人员到达现场，并向发包人支付违约金(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14:paraId="6A4BF66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项目负责人在施工关键节点和出现关键性技术问题时，应及时赶到现场。否则，视为设计人违约，每发生一次设计人向发包人支付违约金(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14:paraId="1B3A459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设计人现场勘查、交底、验收缺位的，应向发包人承担下述违约责任：</w:t>
      </w:r>
    </w:p>
    <w:p w14:paraId="53BD4B3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第一次不到位，设计人向发包人支付违约金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14:paraId="1135D88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第二次及以上每发生一次设计人向发包人支付违约金(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14:paraId="2B759CA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连续发生三次的将书面上报主管部门进行处理。</w:t>
      </w:r>
    </w:p>
    <w:p w14:paraId="4243D53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（5）</w:t>
      </w:r>
      <w:r>
        <w:rPr>
          <w:rFonts w:ascii="宋体" w:hAnsi="宋体"/>
          <w:color w:val="auto"/>
          <w:kern w:val="0"/>
          <w:szCs w:val="21"/>
          <w:highlight w:val="none"/>
        </w:rPr>
        <w:t>设计人工程质量问题处理缺位的，应向发包人承担下述违约责任：</w:t>
      </w:r>
    </w:p>
    <w:p w14:paraId="19A0991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未造成不良后果，记录在案，设计人向发包人支付</w:t>
      </w:r>
      <w:r>
        <w:rPr>
          <w:rFonts w:ascii="宋体" w:hAnsi="宋体"/>
          <w:color w:val="auto"/>
          <w:kern w:val="0"/>
          <w:szCs w:val="21"/>
          <w:highlight w:val="none"/>
          <w:u w:val="single"/>
        </w:rPr>
        <w:t>签约合同价的 0.05%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5ED29F1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造成不良后果，撤换项目负责人，设计人向发包人支付</w:t>
      </w:r>
      <w:r>
        <w:rPr>
          <w:rFonts w:ascii="宋体" w:hAnsi="宋体"/>
          <w:color w:val="auto"/>
          <w:kern w:val="0"/>
          <w:szCs w:val="21"/>
          <w:highlight w:val="none"/>
          <w:u w:val="single"/>
        </w:rPr>
        <w:t>签约合同价的0.3%</w:t>
      </w:r>
      <w:r>
        <w:rPr>
          <w:rFonts w:hint="eastAsia" w:ascii="宋体" w:hAnsi="宋体"/>
          <w:color w:val="auto"/>
          <w:kern w:val="0"/>
          <w:szCs w:val="21"/>
          <w:highlight w:val="none"/>
        </w:rPr>
        <w:t>的</w:t>
      </w:r>
      <w:r>
        <w:rPr>
          <w:rFonts w:ascii="宋体" w:hAnsi="宋体"/>
          <w:color w:val="auto"/>
          <w:kern w:val="0"/>
          <w:szCs w:val="21"/>
          <w:highlight w:val="none"/>
        </w:rPr>
        <w:t>违约金。</w:t>
      </w:r>
    </w:p>
    <w:p w14:paraId="52C3550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（6）</w:t>
      </w:r>
      <w:r>
        <w:rPr>
          <w:rFonts w:ascii="宋体" w:hAnsi="宋体"/>
          <w:color w:val="auto"/>
          <w:kern w:val="0"/>
          <w:szCs w:val="21"/>
          <w:highlight w:val="none"/>
        </w:rPr>
        <w:t>设计人未按照规定程序修改、变更设计文件的，应向发包人承担下述违约责任：</w:t>
      </w:r>
    </w:p>
    <w:p w14:paraId="5A2086F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未造成不良后果的，限时纠正，设计人向发包人支付</w:t>
      </w:r>
      <w:r>
        <w:rPr>
          <w:rFonts w:ascii="宋体" w:hAnsi="宋体"/>
          <w:color w:val="auto"/>
          <w:kern w:val="0"/>
          <w:szCs w:val="21"/>
          <w:highlight w:val="none"/>
          <w:u w:val="single"/>
        </w:rPr>
        <w:t>签约合同价的0.05%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54677B1F">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hint="eastAsia" w:ascii="宋体" w:hAnsi="宋体" w:cs="宋体"/>
          <w:color w:val="auto"/>
          <w:kern w:val="0"/>
          <w:szCs w:val="21"/>
          <w:highlight w:val="none"/>
        </w:rPr>
        <w:t>②</w:t>
      </w:r>
      <w:r>
        <w:rPr>
          <w:rFonts w:ascii="宋体" w:hAnsi="宋体"/>
          <w:color w:val="auto"/>
          <w:kern w:val="0"/>
          <w:szCs w:val="21"/>
          <w:highlight w:val="none"/>
        </w:rPr>
        <w:t>已造成不良后果的，变更不予认可，设计人向发包人支付</w:t>
      </w:r>
      <w:r>
        <w:rPr>
          <w:rFonts w:ascii="宋体" w:hAnsi="宋体"/>
          <w:color w:val="auto"/>
          <w:kern w:val="0"/>
          <w:szCs w:val="21"/>
          <w:highlight w:val="none"/>
          <w:u w:val="single"/>
        </w:rPr>
        <w:t>签约合同价的0.3%</w:t>
      </w:r>
      <w:r>
        <w:rPr>
          <w:rFonts w:hint="eastAsia" w:ascii="宋体" w:hAnsi="宋体"/>
          <w:color w:val="auto"/>
          <w:kern w:val="0"/>
          <w:szCs w:val="21"/>
          <w:highlight w:val="none"/>
        </w:rPr>
        <w:t>的</w:t>
      </w:r>
      <w:r>
        <w:rPr>
          <w:rFonts w:ascii="宋体" w:hAnsi="宋体"/>
          <w:color w:val="auto"/>
          <w:kern w:val="0"/>
          <w:szCs w:val="21"/>
          <w:highlight w:val="none"/>
        </w:rPr>
        <w:t>违约金</w:t>
      </w:r>
      <w:r>
        <w:rPr>
          <w:rFonts w:hint="eastAsia" w:ascii="宋体" w:hAnsi="宋体"/>
          <w:color w:val="auto"/>
          <w:kern w:val="0"/>
          <w:szCs w:val="21"/>
          <w:highlight w:val="none"/>
          <w:u w:val="single"/>
        </w:rPr>
        <w:t>。</w:t>
      </w:r>
    </w:p>
    <w:p w14:paraId="466CEC2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14.1.3 合同生效后，设计人因自身原因要求终止或解除合同，设计人应按发包人已支付的定金金额双倍返还给发包人。若未约定定金，则按签约合同价20%向发包人支付违约金</w:t>
      </w:r>
      <w:r>
        <w:rPr>
          <w:rFonts w:hint="eastAsia" w:ascii="宋体" w:hAnsi="宋体"/>
          <w:color w:val="auto"/>
          <w:kern w:val="0"/>
          <w:szCs w:val="21"/>
          <w:highlight w:val="none"/>
        </w:rPr>
        <w:t>。</w:t>
      </w:r>
    </w:p>
    <w:p w14:paraId="4B3740E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14.1.4除其他条款的约定外，若设计人违约，发包人有权解除本合同且要求设计人按照合同金额的30%向发包人承担违约金。</w:t>
      </w:r>
    </w:p>
    <w:p w14:paraId="4843810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14.1.5合同终止后2日内，设计人应退场，逾期退场，发包人有权强制设计人退场，若场地内留有设计人物品，视为遗弃物，发包人有权任意处置，处置费用由设计人承担，处置所得款项归发包人所有，场地内留有的设计人物品，委托人有权无偿使用；逾期退场，每逾期一日，设计人按照10000元/日向发包人承担损失。同时，合同终止后2日内，设计人负责将本合同有关资料整理一套交付发包人，逾期交付的，每逾期一日，监理人按照10000元/日向委托人承担损失。</w:t>
      </w:r>
    </w:p>
    <w:p w14:paraId="3C09F86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14.1.6设计人违约或因设计人原因造成发包人损失的，设计人应负责赔偿，赔偿范围包括但不限于违约金、赔偿金、律师费、诉讼费、财产保全费、财产保全担保费、差旅费、评估费、审计费、鉴定费、公证费、公告费等。</w:t>
      </w:r>
    </w:p>
    <w:p w14:paraId="18DEEB3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14.1.7合同履行期间，在设计人无违约的情形下，发包人有权要求提前终止或解除合同且不承担任何违约责任，设计人未开始设计工作或涉设计工作未过半的，发包人不支付费用；已开始设计工作的，且工作量过半，发包人应根据设计人已进行的实际工作量，支付该阶段实际完成的设计费，支付费用前，设计人应先向发包人交付等额增值税专用发票，未收到发票，发包人有权拒绝付款，一切责任由设计人承担</w:t>
      </w:r>
      <w:r>
        <w:rPr>
          <w:rFonts w:ascii="宋体" w:hAnsi="宋体"/>
          <w:color w:val="auto"/>
          <w:kern w:val="0"/>
          <w:szCs w:val="21"/>
          <w:highlight w:val="none"/>
        </w:rPr>
        <w:t>。</w:t>
      </w:r>
    </w:p>
    <w:p w14:paraId="11B3985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14.2 发包人违约</w:t>
      </w:r>
    </w:p>
    <w:p w14:paraId="08BDA4C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14.2.3发包人违约其他情形</w:t>
      </w:r>
    </w:p>
    <w:p w14:paraId="3D4DFED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14.2.3.1发包人应按本合同规定的金额和日期向设计人支付设计费，</w:t>
      </w:r>
      <w:r>
        <w:rPr>
          <w:rFonts w:hint="eastAsia" w:ascii="宋体" w:hAnsi="宋体"/>
          <w:color w:val="auto"/>
          <w:kern w:val="0"/>
          <w:szCs w:val="21"/>
          <w:highlight w:val="none"/>
        </w:rPr>
        <w:t>逾期付款时承担逾期付款利息，逾期付款利息＝当期应付款总额×中国人民银行同期活期存款利息÷365天×拖延支付天数</w:t>
      </w:r>
      <w:r>
        <w:rPr>
          <w:rFonts w:ascii="宋体" w:hAnsi="宋体"/>
          <w:color w:val="auto"/>
          <w:kern w:val="0"/>
          <w:szCs w:val="21"/>
          <w:highlight w:val="none"/>
        </w:rPr>
        <w:t>。</w:t>
      </w:r>
    </w:p>
    <w:p w14:paraId="3BE641E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14.2.3.2在设计人已开始设计工作，因发包人原因，导致合同不能履行的，设计人已完成的设计工作不足该阶段的一半时，发包人按该阶段设计费的一半支付；超过一半时，发包人按该阶段设计费的全部支付。</w:t>
      </w:r>
    </w:p>
    <w:p w14:paraId="26E1FEF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发包人需支付的设计费的计费依据按下列方式确定：（下列方式与合同方式对应选择一种）</w:t>
      </w:r>
    </w:p>
    <w:p w14:paraId="4972B1A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方式一、合同价格采用费率包干形式的： </w:t>
      </w:r>
    </w:p>
    <w:p w14:paraId="50268DE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 xml:space="preserve">方案设计阶段合同不能履行的，以经批准的立项批复建筑安装工程费与设备购置费之和为计费额。 </w:t>
      </w:r>
    </w:p>
    <w:p w14:paraId="1560BF9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初步设计阶段合同不能履行的，以经批准的方案设计批复的建筑安装工程费与设备购置费之和为计费额。</w:t>
      </w:r>
    </w:p>
    <w:p w14:paraId="162A4CB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施工图设计阶段合同不能履行的，以经批准的初步设计批复的建筑安装工程费与设备购置费之和为计费额。</w:t>
      </w:r>
    </w:p>
    <w:p w14:paraId="072FACE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方式二、合同价格采用单价包干形式的：</w:t>
      </w:r>
    </w:p>
    <w:p w14:paraId="55BC8BE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 xml:space="preserve">方案设计阶段合同不能履行的，以经批准的立项批复建设规模为依据。 </w:t>
      </w:r>
    </w:p>
    <w:p w14:paraId="2E475C0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初步设计阶段合同不能履行的，以经批准的方案设计批复的建设规模为依据。</w:t>
      </w:r>
    </w:p>
    <w:p w14:paraId="4ED1996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施工图设计阶段合同不能履行的，以经批准的初步设计批复的建设规模为依据。</w:t>
      </w:r>
    </w:p>
    <w:p w14:paraId="4DF04AB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方式三、合同价格采用总价包干形式的：</w:t>
      </w:r>
    </w:p>
    <w:p w14:paraId="75D2157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以签约合同价格为依据。</w:t>
      </w:r>
    </w:p>
    <w:p w14:paraId="4A87FDB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设计各阶段工作费用比例：</w:t>
      </w:r>
    </w:p>
    <w:p w14:paraId="7BA5837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方案设计阶段的设计费占本合同设计费总额的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，初步设计阶段的设计费占本合同设计费总额的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施工图设计阶段的设计费占本合同设计费总额的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，施工配合阶段的设计费占本合同设计费总额的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7F0242D">
      <w:pPr>
        <w:widowControl/>
        <w:tabs>
          <w:tab w:val="left" w:pos="9072"/>
          <w:tab w:val="left" w:pos="9781"/>
        </w:tabs>
        <w:spacing w:line="360" w:lineRule="auto"/>
        <w:ind w:firstLine="420" w:firstLineChars="200"/>
        <w:rPr>
          <w:rFonts w:ascii="宋体" w:hAnsi="宋体"/>
          <w:snapToGrid w:val="0"/>
          <w:color w:val="auto"/>
          <w:kern w:val="0"/>
          <w:szCs w:val="21"/>
          <w:highlight w:val="none"/>
        </w:rPr>
      </w:pPr>
      <w:r>
        <w:rPr>
          <w:rFonts w:ascii="宋体" w:hAnsi="宋体"/>
          <w:color w:val="auto"/>
          <w:kern w:val="0"/>
          <w:szCs w:val="21"/>
          <w:highlight w:val="none"/>
        </w:rPr>
        <w:t>14.2.3.3发包人逾期提交资料及文件的，超过的期限相应顺延，但不增加设计费用。若发包人提供的资料有误或违法违规要求造成设计修改，发包人应承担修改部分相应设计费（</w:t>
      </w:r>
      <w:r>
        <w:rPr>
          <w:rFonts w:ascii="宋体" w:hAnsi="宋体"/>
          <w:color w:val="auto"/>
          <w:kern w:val="0"/>
          <w:szCs w:val="21"/>
          <w:highlight w:val="none"/>
          <w:u w:val="single"/>
        </w:rPr>
        <w:t>70%</w:t>
      </w:r>
      <w:r>
        <w:rPr>
          <w:rFonts w:hint="eastAsia" w:ascii="宋体" w:hAnsi="宋体"/>
          <w:color w:val="auto"/>
          <w:kern w:val="0"/>
          <w:szCs w:val="21"/>
          <w:highlight w:val="none"/>
          <w:u w:val="single"/>
        </w:rPr>
        <w:t>~</w:t>
      </w:r>
      <w:r>
        <w:rPr>
          <w:rFonts w:ascii="宋体" w:hAnsi="宋体"/>
          <w:snapToGrid w:val="0"/>
          <w:color w:val="auto"/>
          <w:kern w:val="0"/>
          <w:szCs w:val="21"/>
          <w:highlight w:val="none"/>
          <w:u w:val="single"/>
        </w:rPr>
        <w:t>100%</w:t>
      </w:r>
      <w:r>
        <w:rPr>
          <w:rFonts w:ascii="宋体" w:hAnsi="宋体"/>
          <w:snapToGrid w:val="0"/>
          <w:color w:val="auto"/>
          <w:kern w:val="0"/>
          <w:szCs w:val="21"/>
          <w:highlight w:val="none"/>
        </w:rPr>
        <w:t>）,</w:t>
      </w:r>
      <w:r>
        <w:rPr>
          <w:rFonts w:ascii="宋体" w:hAnsi="宋体"/>
          <w:color w:val="auto"/>
          <w:kern w:val="0"/>
          <w:szCs w:val="21"/>
          <w:highlight w:val="none"/>
        </w:rPr>
        <w:t>超过的期限相应顺延</w:t>
      </w:r>
      <w:r>
        <w:rPr>
          <w:rFonts w:ascii="宋体" w:hAnsi="宋体"/>
          <w:snapToGrid w:val="0"/>
          <w:color w:val="auto"/>
          <w:kern w:val="0"/>
          <w:szCs w:val="21"/>
          <w:highlight w:val="none"/>
        </w:rPr>
        <w:t>。</w:t>
      </w:r>
    </w:p>
    <w:p w14:paraId="74C6E7F5">
      <w:pPr>
        <w:widowControl/>
        <w:autoSpaceDE w:val="0"/>
        <w:autoSpaceDN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14.2.3.4因发包人原因未能及时办理完毕专用合同条款2.3款的相关许可、核准或备案手续，导致设计工作量增加和（或）设计周期延长时，由发包人承担由此增加的设计费用和（或）延长的设计周期。</w:t>
      </w:r>
    </w:p>
    <w:p w14:paraId="4D33E6D7">
      <w:pPr>
        <w:pStyle w:val="3"/>
        <w:spacing w:before="0" w:after="0" w:line="360" w:lineRule="auto"/>
        <w:ind w:firstLine="420" w:firstLineChars="200"/>
        <w:rPr>
          <w:rFonts w:ascii="宋体" w:hAnsi="宋体"/>
          <w:b w:val="0"/>
          <w:bCs w:val="0"/>
          <w:color w:val="auto"/>
          <w:kern w:val="0"/>
          <w:sz w:val="21"/>
          <w:szCs w:val="21"/>
          <w:highlight w:val="none"/>
        </w:rPr>
      </w:pPr>
      <w:bookmarkStart w:id="731" w:name="_Toc532384192"/>
      <w:bookmarkStart w:id="732" w:name="_Toc19191"/>
      <w:bookmarkStart w:id="733" w:name="_Toc531632626"/>
      <w:r>
        <w:rPr>
          <w:rFonts w:ascii="宋体" w:hAnsi="宋体"/>
          <w:b w:val="0"/>
          <w:bCs w:val="0"/>
          <w:color w:val="auto"/>
          <w:kern w:val="0"/>
          <w:sz w:val="21"/>
          <w:szCs w:val="21"/>
          <w:highlight w:val="none"/>
        </w:rPr>
        <w:t>15.</w:t>
      </w:r>
      <w:r>
        <w:rPr>
          <w:rFonts w:hint="eastAsia" w:ascii="宋体" w:hAnsi="宋体"/>
          <w:b w:val="0"/>
          <w:bCs w:val="0"/>
          <w:color w:val="auto"/>
          <w:kern w:val="0"/>
          <w:sz w:val="21"/>
          <w:szCs w:val="21"/>
          <w:highlight w:val="none"/>
          <w:lang w:val="en-US" w:eastAsia="zh-CN"/>
        </w:rPr>
        <w:t>如有时，</w:t>
      </w:r>
      <w:r>
        <w:rPr>
          <w:rFonts w:hint="eastAsia" w:ascii="宋体" w:hAnsi="宋体"/>
          <w:b w:val="0"/>
          <w:bCs w:val="0"/>
          <w:color w:val="auto"/>
          <w:kern w:val="0"/>
          <w:sz w:val="21"/>
          <w:szCs w:val="21"/>
          <w:highlight w:val="none"/>
        </w:rPr>
        <w:t>设计</w:t>
      </w:r>
      <w:r>
        <w:rPr>
          <w:rFonts w:ascii="宋体" w:hAnsi="宋体"/>
          <w:b w:val="0"/>
          <w:bCs w:val="0"/>
          <w:color w:val="auto"/>
          <w:kern w:val="0"/>
          <w:sz w:val="21"/>
          <w:szCs w:val="21"/>
          <w:highlight w:val="none"/>
        </w:rPr>
        <w:t>人承担建设智慧平台管理第三方单位管理培训费：XXX元（大写：XXX元整），承包人在合同签订后一次性支付给第三方单位管理培训机构。</w:t>
      </w:r>
      <w:r>
        <w:rPr>
          <w:rFonts w:ascii="宋体" w:hAnsi="宋体"/>
          <w:b w:val="0"/>
          <w:bCs w:val="0"/>
          <w:color w:val="auto"/>
          <w:kern w:val="0"/>
          <w:sz w:val="21"/>
          <w:szCs w:val="21"/>
          <w:highlight w:val="none"/>
        </w:rPr>
        <w:t>(合同签约金额20万-50万（含）费用500元；合同签约金额50万-100万（含）费用1000元；合同签约金额100万-500万（含）费用2000元；合同签约金额500万-1000万（含）费用3000元；合同签约金额1000万以上取万分之二，不足3000元按3000元计</w:t>
      </w: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合同签订时根据实际签约金额填写费用，删除括号内容</w:t>
      </w:r>
      <w:r>
        <w:rPr>
          <w:rFonts w:ascii="宋体" w:hAnsi="宋体"/>
          <w:b w:val="0"/>
          <w:bCs w:val="0"/>
          <w:color w:val="auto"/>
          <w:kern w:val="0"/>
          <w:sz w:val="21"/>
          <w:szCs w:val="21"/>
          <w:highlight w:val="none"/>
        </w:rPr>
        <w:t>）</w:t>
      </w:r>
      <w:r>
        <w:rPr>
          <w:rFonts w:ascii="宋体" w:hAnsi="宋体"/>
          <w:b w:val="0"/>
          <w:bCs w:val="0"/>
          <w:color w:val="auto"/>
          <w:kern w:val="0"/>
          <w:sz w:val="21"/>
          <w:szCs w:val="21"/>
          <w:highlight w:val="none"/>
        </w:rPr>
        <w:t>.</w:t>
      </w:r>
    </w:p>
    <w:p w14:paraId="4D9730C3">
      <w:pPr>
        <w:pStyle w:val="3"/>
        <w:spacing w:before="0" w:after="0" w:line="360" w:lineRule="auto"/>
        <w:ind w:firstLine="480" w:firstLineChars="200"/>
        <w:rPr>
          <w:rFonts w:ascii="宋体" w:hAnsi="宋体"/>
          <w:b w:val="0"/>
          <w:snapToGrid w:val="0"/>
          <w:color w:val="auto"/>
          <w:sz w:val="24"/>
          <w:szCs w:val="24"/>
          <w:highlight w:val="none"/>
        </w:rPr>
      </w:pPr>
      <w:r>
        <w:rPr>
          <w:rFonts w:hint="eastAsia" w:ascii="宋体" w:hAnsi="宋体"/>
          <w:b w:val="0"/>
          <w:snapToGrid w:val="0"/>
          <w:color w:val="auto"/>
          <w:sz w:val="24"/>
          <w:szCs w:val="24"/>
          <w:highlight w:val="none"/>
        </w:rPr>
        <w:t>16.</w:t>
      </w:r>
      <w:r>
        <w:rPr>
          <w:rFonts w:ascii="宋体" w:hAnsi="宋体"/>
          <w:b w:val="0"/>
          <w:snapToGrid w:val="0"/>
          <w:color w:val="auto"/>
          <w:sz w:val="24"/>
          <w:szCs w:val="24"/>
          <w:highlight w:val="none"/>
        </w:rPr>
        <w:t>争议的解决</w:t>
      </w:r>
      <w:bookmarkEnd w:id="731"/>
      <w:bookmarkEnd w:id="732"/>
      <w:bookmarkEnd w:id="733"/>
    </w:p>
    <w:p w14:paraId="0176D15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因合同履行发生争议的，双方同意按下列第</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w:t>
      </w:r>
      <w:r>
        <w:rPr>
          <w:rFonts w:ascii="宋体" w:hAnsi="宋体"/>
          <w:color w:val="auto"/>
          <w:kern w:val="0"/>
          <w:szCs w:val="21"/>
          <w:highlight w:val="none"/>
          <w:u w:val="single"/>
        </w:rPr>
        <w:t xml:space="preserve"> </w:t>
      </w:r>
      <w:r>
        <w:rPr>
          <w:rFonts w:ascii="宋体" w:hAnsi="宋体"/>
          <w:color w:val="auto"/>
          <w:kern w:val="0"/>
          <w:szCs w:val="21"/>
          <w:highlight w:val="none"/>
        </w:rPr>
        <w:t>种方式解决：</w:t>
      </w:r>
    </w:p>
    <w:p w14:paraId="419E469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 xml:space="preserve">）向 </w:t>
      </w:r>
      <w:r>
        <w:rPr>
          <w:rFonts w:ascii="宋体" w:hAnsi="宋体"/>
          <w:color w:val="auto"/>
          <w:kern w:val="0"/>
          <w:szCs w:val="21"/>
          <w:highlight w:val="none"/>
          <w:u w:val="single"/>
        </w:rPr>
        <w:t xml:space="preserve">（发包人所在地） </w:t>
      </w:r>
      <w:r>
        <w:rPr>
          <w:rFonts w:ascii="宋体" w:hAnsi="宋体"/>
          <w:color w:val="auto"/>
          <w:kern w:val="0"/>
          <w:szCs w:val="21"/>
          <w:highlight w:val="none"/>
        </w:rPr>
        <w:t>仲裁委员会申请仲裁；</w:t>
      </w:r>
    </w:p>
    <w:p w14:paraId="4FCFE40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（2）向 </w:t>
      </w:r>
      <w:r>
        <w:rPr>
          <w:rFonts w:ascii="宋体" w:hAnsi="宋体"/>
          <w:color w:val="auto"/>
          <w:kern w:val="0"/>
          <w:szCs w:val="21"/>
          <w:highlight w:val="none"/>
          <w:u w:val="single"/>
        </w:rPr>
        <w:t xml:space="preserve">（发包人所在地） </w:t>
      </w:r>
      <w:r>
        <w:rPr>
          <w:rFonts w:ascii="宋体" w:hAnsi="宋体"/>
          <w:color w:val="auto"/>
          <w:kern w:val="0"/>
          <w:szCs w:val="21"/>
          <w:highlight w:val="none"/>
        </w:rPr>
        <w:t>人民法院起诉。</w:t>
      </w:r>
    </w:p>
    <w:p w14:paraId="41B8A722">
      <w:pPr>
        <w:autoSpaceDE w:val="0"/>
        <w:autoSpaceDN w:val="0"/>
        <w:adjustRightInd w:val="0"/>
        <w:spacing w:before="16" w:line="360" w:lineRule="auto"/>
        <w:jc w:val="left"/>
        <w:outlineLvl w:val="2"/>
        <w:rPr>
          <w:rFonts w:ascii="宋体" w:hAnsi="宋体"/>
          <w:color w:val="auto"/>
          <w:kern w:val="0"/>
          <w:szCs w:val="21"/>
          <w:highlight w:val="none"/>
        </w:rPr>
      </w:pPr>
      <w:bookmarkStart w:id="734" w:name="_Toc531632627"/>
      <w:bookmarkStart w:id="735" w:name="_Toc532384193"/>
    </w:p>
    <w:p w14:paraId="25F99249">
      <w:pPr>
        <w:pStyle w:val="3"/>
        <w:spacing w:before="0" w:after="0" w:line="360" w:lineRule="auto"/>
        <w:rPr>
          <w:rFonts w:ascii="宋体" w:hAnsi="宋体"/>
          <w:b w:val="0"/>
          <w:snapToGrid w:val="0"/>
          <w:color w:val="auto"/>
          <w:sz w:val="24"/>
          <w:szCs w:val="24"/>
          <w:highlight w:val="none"/>
        </w:rPr>
      </w:pPr>
      <w:bookmarkStart w:id="736" w:name="_Toc7353"/>
      <w:r>
        <w:rPr>
          <w:rFonts w:ascii="宋体" w:hAnsi="宋体"/>
          <w:b w:val="0"/>
          <w:snapToGrid w:val="0"/>
          <w:color w:val="auto"/>
          <w:sz w:val="24"/>
          <w:szCs w:val="24"/>
          <w:highlight w:val="none"/>
        </w:rPr>
        <w:t>合同附件</w:t>
      </w:r>
      <w:bookmarkEnd w:id="734"/>
      <w:bookmarkEnd w:id="735"/>
      <w:bookmarkEnd w:id="736"/>
    </w:p>
    <w:p w14:paraId="71935D0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附件一：履约</w:t>
      </w:r>
      <w:r>
        <w:rPr>
          <w:rFonts w:hint="eastAsia" w:ascii="宋体" w:hAnsi="宋体"/>
          <w:color w:val="auto"/>
          <w:kern w:val="0"/>
          <w:szCs w:val="21"/>
          <w:highlight w:val="none"/>
        </w:rPr>
        <w:t>担保</w:t>
      </w:r>
      <w:r>
        <w:rPr>
          <w:rFonts w:ascii="宋体" w:hAnsi="宋体"/>
          <w:color w:val="auto"/>
          <w:kern w:val="0"/>
          <w:szCs w:val="21"/>
          <w:highlight w:val="none"/>
        </w:rPr>
        <w:t>格式</w:t>
      </w:r>
    </w:p>
    <w:p w14:paraId="53B57DBA">
      <w:pPr>
        <w:pStyle w:val="6"/>
        <w:spacing w:before="0" w:beforeAutospacing="0" w:after="0" w:afterAutospacing="0" w:line="360" w:lineRule="auto"/>
        <w:ind w:firstLine="420" w:firstLineChars="200"/>
        <w:rPr>
          <w:color w:val="auto"/>
          <w:sz w:val="21"/>
          <w:szCs w:val="21"/>
          <w:highlight w:val="none"/>
        </w:rPr>
      </w:pPr>
      <w:r>
        <w:rPr>
          <w:rFonts w:cs="Times New Roman"/>
          <w:b w:val="0"/>
          <w:bCs w:val="0"/>
          <w:color w:val="auto"/>
          <w:sz w:val="21"/>
          <w:szCs w:val="21"/>
          <w:highlight w:val="none"/>
        </w:rPr>
        <w:t>附件二：</w:t>
      </w:r>
      <w:r>
        <w:rPr>
          <w:rFonts w:hint="eastAsia" w:cs="Times New Roman"/>
          <w:b w:val="0"/>
          <w:bCs w:val="0"/>
          <w:color w:val="auto"/>
          <w:sz w:val="21"/>
          <w:szCs w:val="21"/>
          <w:highlight w:val="none"/>
        </w:rPr>
        <w:t>支付担保格式</w:t>
      </w:r>
    </w:p>
    <w:p w14:paraId="37188A3A">
      <w:pPr>
        <w:pStyle w:val="6"/>
        <w:spacing w:before="0" w:beforeAutospacing="0" w:after="0" w:afterAutospacing="0" w:line="360" w:lineRule="auto"/>
        <w:ind w:firstLine="420" w:firstLineChars="200"/>
        <w:rPr>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rPr>
        <w:t>三</w:t>
      </w:r>
      <w:r>
        <w:rPr>
          <w:rFonts w:cs="Times New Roman"/>
          <w:b w:val="0"/>
          <w:bCs w:val="0"/>
          <w:color w:val="auto"/>
          <w:sz w:val="21"/>
          <w:szCs w:val="21"/>
          <w:highlight w:val="none"/>
        </w:rPr>
        <w:t>：廉洁从业合同</w:t>
      </w:r>
    </w:p>
    <w:p w14:paraId="48057FDB">
      <w:pPr>
        <w:spacing w:line="360" w:lineRule="auto"/>
        <w:rPr>
          <w:rFonts w:ascii="宋体" w:hAnsi="宋体"/>
          <w:color w:val="auto"/>
          <w:szCs w:val="21"/>
          <w:highlight w:val="none"/>
        </w:rPr>
      </w:pPr>
      <w:bookmarkStart w:id="737" w:name="baidusnap3"/>
      <w:bookmarkEnd w:id="737"/>
      <w:bookmarkStart w:id="738" w:name="baidusnap7"/>
      <w:bookmarkEnd w:id="738"/>
      <w:r>
        <w:rPr>
          <w:rFonts w:hint="eastAsia" w:ascii="宋体" w:hAnsi="宋体"/>
          <w:color w:val="auto"/>
          <w:szCs w:val="21"/>
          <w:highlight w:val="none"/>
        </w:rPr>
        <w:br w:type="page"/>
      </w:r>
      <w:r>
        <w:rPr>
          <w:rFonts w:hint="eastAsia" w:ascii="宋体" w:hAnsi="宋体"/>
          <w:color w:val="auto"/>
          <w:szCs w:val="21"/>
          <w:highlight w:val="none"/>
        </w:rPr>
        <w:t>附</w:t>
      </w:r>
      <w:bookmarkStart w:id="739" w:name="_Toc296891054"/>
      <w:bookmarkStart w:id="740" w:name="_Toc267261693"/>
      <w:bookmarkStart w:id="741" w:name="_Toc296503226"/>
      <w:bookmarkStart w:id="742" w:name="_Toc296944565"/>
      <w:bookmarkStart w:id="743" w:name="_Toc296347225"/>
      <w:bookmarkStart w:id="744" w:name="_Toc296891266"/>
      <w:bookmarkStart w:id="745" w:name="_Toc296346727"/>
      <w:r>
        <w:rPr>
          <w:rFonts w:hint="eastAsia" w:ascii="宋体" w:hAnsi="宋体"/>
          <w:color w:val="auto"/>
          <w:szCs w:val="21"/>
          <w:highlight w:val="none"/>
        </w:rPr>
        <w:t>件1：</w:t>
      </w:r>
      <w:bookmarkEnd w:id="739"/>
      <w:bookmarkEnd w:id="740"/>
      <w:bookmarkEnd w:id="741"/>
      <w:bookmarkEnd w:id="742"/>
      <w:bookmarkEnd w:id="743"/>
      <w:bookmarkEnd w:id="744"/>
      <w:bookmarkEnd w:id="745"/>
    </w:p>
    <w:p w14:paraId="70AAA549">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履约保函（如有）</w:t>
      </w:r>
    </w:p>
    <w:p w14:paraId="7D671D12">
      <w:pPr>
        <w:spacing w:line="360" w:lineRule="auto"/>
        <w:ind w:firstLine="420" w:firstLineChars="200"/>
        <w:rPr>
          <w:rFonts w:ascii="宋体" w:hAnsi="宋体"/>
          <w:snapToGrid w:val="0"/>
          <w:color w:val="auto"/>
          <w:kern w:val="0"/>
          <w:szCs w:val="21"/>
          <w:highlight w:val="none"/>
        </w:rPr>
      </w:pPr>
      <w:r>
        <w:rPr>
          <w:rFonts w:hint="eastAsia" w:ascii="宋体" w:hAnsi="宋体"/>
          <w:color w:val="auto"/>
          <w:szCs w:val="21"/>
          <w:highlight w:val="none"/>
          <w:u w:val="single"/>
        </w:rPr>
        <w:t>[注：参照《建市〔2021〕11号 住房和城乡建设部关于印发工程保函示范文本的通知》中“履约保函示范文本（独立保函）”执行。]</w:t>
      </w:r>
    </w:p>
    <w:p w14:paraId="18231280">
      <w:pPr>
        <w:widowControl/>
        <w:jc w:val="left"/>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2</w:t>
      </w:r>
      <w:r>
        <w:rPr>
          <w:rFonts w:hint="eastAsia" w:ascii="宋体" w:hAnsi="宋体"/>
          <w:color w:val="auto"/>
          <w:szCs w:val="21"/>
          <w:highlight w:val="none"/>
        </w:rPr>
        <w:t>：</w:t>
      </w:r>
    </w:p>
    <w:p w14:paraId="066AE910">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支付担保（如有）</w:t>
      </w:r>
    </w:p>
    <w:p w14:paraId="06B2D0BC">
      <w:pPr>
        <w:widowControl/>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[注：参照《建市〔2021〕11号 住房和城乡建设部关于印发工程保函示范文本的通知》中“支付保函示范文本（独立保函）”执行。]</w:t>
      </w:r>
    </w:p>
    <w:p w14:paraId="6ED45AAB">
      <w:pPr>
        <w:widowControl/>
        <w:spacing w:line="360" w:lineRule="auto"/>
        <w:ind w:firstLine="420" w:firstLineChars="200"/>
        <w:jc w:val="right"/>
        <w:rPr>
          <w:rFonts w:ascii="宋体" w:hAnsi="宋体"/>
          <w:color w:val="auto"/>
          <w:szCs w:val="21"/>
          <w:highlight w:val="none"/>
        </w:rPr>
      </w:pPr>
    </w:p>
    <w:p w14:paraId="3F398E22">
      <w:pPr>
        <w:pStyle w:val="17"/>
        <w:rPr>
          <w:color w:val="auto"/>
          <w:highlight w:val="none"/>
        </w:rPr>
      </w:pPr>
      <w:r>
        <w:rPr>
          <w:color w:val="auto"/>
          <w:highlight w:val="none"/>
        </w:rPr>
        <w:br w:type="page"/>
      </w:r>
    </w:p>
    <w:p w14:paraId="33815426">
      <w:pPr>
        <w:pStyle w:val="17"/>
        <w:rPr>
          <w:color w:val="auto"/>
          <w:highlight w:val="none"/>
        </w:rPr>
      </w:pPr>
      <w:r>
        <w:rPr>
          <w:rFonts w:hint="eastAsia" w:ascii="宋体" w:hAnsi="宋体"/>
          <w:color w:val="auto"/>
          <w:szCs w:val="21"/>
          <w:highlight w:val="none"/>
        </w:rPr>
        <w:t>附件</w:t>
      </w:r>
      <w:r>
        <w:rPr>
          <w:rFonts w:ascii="宋体" w:hAnsi="宋体"/>
          <w:color w:val="auto"/>
          <w:szCs w:val="21"/>
          <w:highlight w:val="none"/>
        </w:rPr>
        <w:t>3</w:t>
      </w:r>
      <w:r>
        <w:rPr>
          <w:rFonts w:hint="eastAsia" w:ascii="宋体" w:hAnsi="宋体"/>
          <w:color w:val="auto"/>
          <w:szCs w:val="21"/>
          <w:highlight w:val="none"/>
        </w:rPr>
        <w:t>：</w:t>
      </w:r>
    </w:p>
    <w:p w14:paraId="35B261D4">
      <w:pPr>
        <w:spacing w:before="156" w:beforeLines="50" w:after="156" w:afterLines="50" w:line="440" w:lineRule="exact"/>
        <w:jc w:val="center"/>
        <w:rPr>
          <w:rFonts w:ascii="宋体" w:hAnsi="宋体"/>
          <w:color w:val="auto"/>
          <w:szCs w:val="21"/>
          <w:highlight w:val="none"/>
        </w:rPr>
      </w:pPr>
      <w:bookmarkStart w:id="746" w:name="_Toc267261701"/>
      <w:r>
        <w:rPr>
          <w:rFonts w:ascii="宋体" w:hAnsi="宋体"/>
          <w:color w:val="auto"/>
          <w:szCs w:val="21"/>
          <w:highlight w:val="none"/>
        </w:rPr>
        <w:t>廉洁从业合同</w:t>
      </w:r>
    </w:p>
    <w:p w14:paraId="001DD830">
      <w:pPr>
        <w:widowControl/>
        <w:spacing w:line="360" w:lineRule="auto"/>
        <w:ind w:firstLine="420" w:firstLineChars="200"/>
        <w:jc w:val="left"/>
        <w:rPr>
          <w:rFonts w:ascii="宋体" w:hAnsi="宋体"/>
          <w:color w:val="auto"/>
          <w:kern w:val="0"/>
          <w:szCs w:val="21"/>
          <w:highlight w:val="none"/>
        </w:rPr>
      </w:pPr>
    </w:p>
    <w:p w14:paraId="6B4CE5E3">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w:t>
      </w:r>
    </w:p>
    <w:p w14:paraId="7017AAD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w:t>
      </w:r>
    </w:p>
    <w:p w14:paraId="6111036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为加强工程建设中的廉政建设，规范工程建设设计人与发包人双方的各项活动，防止发生各种谋取不正当利益的违法违纪行为，保护国家、集体和当事人的合法权益，根据国家有关工程建设的法律法规和廉政建设责任制规定，特订立廉洁从业合同。</w:t>
      </w:r>
    </w:p>
    <w:p w14:paraId="2332BBEA">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一、总则</w:t>
      </w:r>
    </w:p>
    <w:p w14:paraId="4DDCDDB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1、应严格遵守国家关于市场准入、项目招标投标、工程设计和市场活动的有关法律、法规，相关政策，以及廉政建设的各项规定。</w:t>
      </w:r>
    </w:p>
    <w:p w14:paraId="7F99C872">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2、严格执行建设工程设计合同文件，自觉按合同办事。</w:t>
      </w:r>
    </w:p>
    <w:p w14:paraId="663FF992">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3、业务活动必须坚持公开、公平、公正、诚信、透明的原则（除法律法规另有规定者外），不得为获取不正当的利益，损害国家、集体和对方利益，不得违反工程建设管理、工程设计的规章制度。</w:t>
      </w:r>
    </w:p>
    <w:p w14:paraId="069F951E">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4、发现对方在业务活动中有违规、违纪、违法行为的，应及时提醒对方，情节严重的，应向其上级主管部门或纪检监察、司法等有关机关举报。</w:t>
      </w:r>
    </w:p>
    <w:p w14:paraId="37C06F4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二、发包人的责任</w:t>
      </w:r>
    </w:p>
    <w:p w14:paraId="30B4AB2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发包人的领导和从事该建设工程项目的工作人员在工程建设的事前、事中、事后应遵守以下规定：</w:t>
      </w:r>
    </w:p>
    <w:p w14:paraId="4D6E069B">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1、发包人及其工作人员不得索要或接受设计人的礼金、有价证券和贵重物品，不得在设计人报销任何应由发包人或个人支付的费用。</w:t>
      </w:r>
    </w:p>
    <w:p w14:paraId="6ABFEB59">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2、发包人工作人员不得参加设计人安排的宴请或可能对公正执行建设管理行为有影响的其他活动；不得接受设计人提供的通讯工具、交通工具和高档办公用品。</w:t>
      </w:r>
    </w:p>
    <w:p w14:paraId="50472997">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3、发包人及其工作人员不得要求或接受设计人为其住房装修、婚丧嫁娶活动、旅游等提供方便。</w:t>
      </w:r>
    </w:p>
    <w:p w14:paraId="562E781E">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4、发包人工作人员的家属、亲戚不得从事与发包人工程有关的材料设备供应、工程分包、劳务等经济活动。</w:t>
      </w:r>
    </w:p>
    <w:p w14:paraId="1837172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三、 设计人的责任</w:t>
      </w:r>
    </w:p>
    <w:p w14:paraId="7CD213BA">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应与发包人和相关单位保持正常的业务交往，按照有关法律法规和程序开展业务工作。严格执行工程建设的方针、政策，尤其是有关设计、建筑施工安装的强制性标准和规范，以及设计法规，认真履行设计职责，并遵守以下规定：</w:t>
      </w:r>
    </w:p>
    <w:p w14:paraId="5E520619">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1、设计人不得以任何理由向发包人及其工作人员行贿或馈赠礼金、有价证券、贵重礼品。</w:t>
      </w:r>
    </w:p>
    <w:p w14:paraId="0321E730">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2、设计人不得以任何名义为发包人及其工作人员报销应由发包人单位或个人支付的费用。</w:t>
      </w:r>
    </w:p>
    <w:p w14:paraId="15D6411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3、设计人不得以任何理由邀请发包人工作人员外出旅游或安排发包人工作人员参加宴请、健身、娱乐等活动。</w:t>
      </w:r>
    </w:p>
    <w:p w14:paraId="2BD9591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4、设计人不得与工程承包人联合作假，如计量、验收，提供虚假资料，接收好处或提成。</w:t>
      </w:r>
    </w:p>
    <w:p w14:paraId="232FFC20">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5、设计人不得以任何理由索要或接受工程承包人的礼金、有价证券和贵重物品，不得在工程承包人报销任何应由设计人或个人支付的费用。</w:t>
      </w:r>
    </w:p>
    <w:p w14:paraId="7EEFCA65">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6、设计人不准参加有可能影响公正执行公务的工程承包人的宴请、健身、娱乐等活动。</w:t>
      </w:r>
    </w:p>
    <w:p w14:paraId="26BCEB1A">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7、设计人及其工作人员不得要求或接受工程承包人为其住房装修、婚丧嫁娶活动、旅游等提供方便。</w:t>
      </w:r>
    </w:p>
    <w:p w14:paraId="1288B320">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设计人不准向工程承包人介绍或为配偶、子女、亲属参与同项目工程合同有关的设备、材料、工程分包、劳务等经济活动。不得以任何理由向施工单位推荐分包单位和要求购买与项目工程合同规定以外的材料、设备等。</w:t>
      </w:r>
    </w:p>
    <w:p w14:paraId="35617654">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9、设计人及其工作人员应严格按设计规程办事，不得为谋取私利向发包人人员非法行贿，私下串通，损害发包人利益，同时必须履行向发包人承诺的上述其他的廉政义务。</w:t>
      </w:r>
    </w:p>
    <w:p w14:paraId="4DC849D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10、设计人如果发现发包人工作人员有违反廉政规定的行为，应向发包人组织或上级单位举报。发包人均不得找任何借口对设计人进行报复。</w:t>
      </w:r>
    </w:p>
    <w:p w14:paraId="41F4B44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四、违约责任及相关处罚</w:t>
      </w:r>
    </w:p>
    <w:p w14:paraId="0A24ECA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发包人工作人员有违反本合同第一、二条责任行为的，按照管理权限，依据有关法律法规和规定给予党纪、政纪处分或组织处理；涉嫌犯罪的，移交司法机关追究刑事责任；给设计人单位造成经济损失的，应予以赔偿。</w:t>
      </w:r>
    </w:p>
    <w:p w14:paraId="2CB38582">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2、设计人工作人员有违反本合同第一、三条责任行为的，将自觉接受发包人相应的处罚，具体内容如下：</w:t>
      </w:r>
    </w:p>
    <w:p w14:paraId="0CE571CB">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2.1 发现设计人接受工程承包人的宴请或娱乐活动，第一次给予警告；发现第二次，参与宴请或娱乐活动的设计人员写出书面检查，并接受</w:t>
      </w:r>
      <w:r>
        <w:rPr>
          <w:rFonts w:ascii="宋体" w:hAnsi="宋体"/>
          <w:color w:val="auto"/>
          <w:kern w:val="0"/>
          <w:szCs w:val="21"/>
          <w:highlight w:val="none"/>
          <w:u w:val="single"/>
        </w:rPr>
        <w:t>500</w:t>
      </w:r>
      <w:r>
        <w:rPr>
          <w:rFonts w:ascii="宋体" w:hAnsi="宋体"/>
          <w:color w:val="auto"/>
          <w:kern w:val="0"/>
          <w:szCs w:val="21"/>
          <w:highlight w:val="none"/>
        </w:rPr>
        <w:t>元/人的经济处罚，设计项目负责人接受</w:t>
      </w:r>
      <w:r>
        <w:rPr>
          <w:rFonts w:ascii="宋体" w:hAnsi="宋体"/>
          <w:color w:val="auto"/>
          <w:kern w:val="0"/>
          <w:szCs w:val="21"/>
          <w:highlight w:val="none"/>
          <w:u w:val="single"/>
        </w:rPr>
        <w:t>1000</w:t>
      </w:r>
      <w:r>
        <w:rPr>
          <w:rFonts w:ascii="宋体" w:hAnsi="宋体"/>
          <w:color w:val="auto"/>
          <w:kern w:val="0"/>
          <w:szCs w:val="21"/>
          <w:highlight w:val="none"/>
        </w:rPr>
        <w:t>元的经济处罚；发现第三次，参与宴请或娱乐活动的设计人员清退出场，设计人接受</w:t>
      </w:r>
      <w:r>
        <w:rPr>
          <w:rFonts w:ascii="宋体" w:hAnsi="宋体"/>
          <w:color w:val="auto"/>
          <w:kern w:val="0"/>
          <w:szCs w:val="21"/>
          <w:highlight w:val="none"/>
          <w:u w:val="single"/>
        </w:rPr>
        <w:t>5000</w:t>
      </w:r>
      <w:r>
        <w:rPr>
          <w:rFonts w:ascii="宋体" w:hAnsi="宋体"/>
          <w:color w:val="auto"/>
          <w:kern w:val="0"/>
          <w:szCs w:val="21"/>
          <w:highlight w:val="none"/>
        </w:rPr>
        <w:t>元的经济处罚。</w:t>
      </w:r>
    </w:p>
    <w:p w14:paraId="35A6D52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2.2 发现设计人工作人员接受工程承包人为其住房装修、婚丧嫁娶活动、旅游等提供方便的行为，发现一次处罚一次。第一次发现，对设计人处以</w:t>
      </w:r>
      <w:r>
        <w:rPr>
          <w:rFonts w:ascii="宋体" w:hAnsi="宋体"/>
          <w:color w:val="auto"/>
          <w:kern w:val="0"/>
          <w:szCs w:val="21"/>
          <w:highlight w:val="none"/>
          <w:u w:val="single"/>
        </w:rPr>
        <w:t>2000</w:t>
      </w:r>
      <w:r>
        <w:rPr>
          <w:rFonts w:ascii="宋体" w:hAnsi="宋体"/>
          <w:color w:val="auto"/>
          <w:kern w:val="0"/>
          <w:szCs w:val="21"/>
          <w:highlight w:val="none"/>
        </w:rPr>
        <w:t>元的罚款，对设计人警告，相关人员写出书面检查；以后每发现一次，对设计人处以</w:t>
      </w:r>
      <w:r>
        <w:rPr>
          <w:rFonts w:ascii="宋体" w:hAnsi="宋体"/>
          <w:color w:val="auto"/>
          <w:kern w:val="0"/>
          <w:szCs w:val="21"/>
          <w:highlight w:val="none"/>
          <w:u w:val="single"/>
        </w:rPr>
        <w:t>5000</w:t>
      </w:r>
      <w:r>
        <w:rPr>
          <w:rFonts w:ascii="宋体" w:hAnsi="宋体"/>
          <w:color w:val="auto"/>
          <w:kern w:val="0"/>
          <w:szCs w:val="21"/>
          <w:highlight w:val="none"/>
        </w:rPr>
        <w:t>元的罚款，清退相关设计人员。</w:t>
      </w:r>
    </w:p>
    <w:p w14:paraId="7FA018A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2.3 设计人不得索要或接受工程承包人的礼金、有价证券和贵重物品。若情况属实，设计人除了退还所收物品外，还要接受发包人的处罚，即：第一次发现，对设计人警告，相关人员写出书面检查；第二次发现，对设计人处以</w:t>
      </w:r>
      <w:r>
        <w:rPr>
          <w:rFonts w:ascii="宋体" w:hAnsi="宋体"/>
          <w:color w:val="auto"/>
          <w:kern w:val="0"/>
          <w:szCs w:val="21"/>
          <w:highlight w:val="none"/>
          <w:u w:val="single"/>
        </w:rPr>
        <w:t>1000</w:t>
      </w:r>
      <w:r>
        <w:rPr>
          <w:rFonts w:ascii="宋体" w:hAnsi="宋体"/>
          <w:color w:val="auto"/>
          <w:kern w:val="0"/>
          <w:szCs w:val="21"/>
          <w:highlight w:val="none"/>
        </w:rPr>
        <w:t xml:space="preserve">元的罚款，清退相关设计人员。 </w:t>
      </w:r>
    </w:p>
    <w:p w14:paraId="6EBDEFE5">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2.4 设计人不得介绍建筑材料或介绍劳务单位参与工程建设。若情况属实，发现一次处罚一次，每发现一次对设计人处以</w:t>
      </w:r>
      <w:r>
        <w:rPr>
          <w:rFonts w:ascii="宋体" w:hAnsi="宋体"/>
          <w:color w:val="auto"/>
          <w:kern w:val="0"/>
          <w:szCs w:val="21"/>
          <w:highlight w:val="none"/>
          <w:u w:val="single"/>
        </w:rPr>
        <w:t>5000</w:t>
      </w:r>
      <w:r>
        <w:rPr>
          <w:rFonts w:ascii="宋体" w:hAnsi="宋体"/>
          <w:color w:val="auto"/>
          <w:kern w:val="0"/>
          <w:szCs w:val="21"/>
          <w:highlight w:val="none"/>
        </w:rPr>
        <w:t>元的罚款。</w:t>
      </w:r>
    </w:p>
    <w:p w14:paraId="0375C17A">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设计人有违反本合同第一、三条责任行为情节严重的，除接受以上第2条处罚外，还依据有关法律法规和规定给予相关责任人党纪、政纪处分或组织处理；涉嫌犯罪的，移交司法机关追究刑事责任；给发包人单位造成经济损失的，应予以赔偿。</w:t>
      </w:r>
    </w:p>
    <w:p w14:paraId="06EC8109">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（以下无正文）</w:t>
      </w:r>
    </w:p>
    <w:p w14:paraId="7A3645D7">
      <w:pPr>
        <w:widowControl/>
        <w:spacing w:line="360" w:lineRule="auto"/>
        <w:ind w:firstLine="420" w:firstLineChars="200"/>
        <w:jc w:val="left"/>
        <w:rPr>
          <w:rFonts w:ascii="宋体" w:hAnsi="宋体"/>
          <w:color w:val="auto"/>
          <w:kern w:val="0"/>
          <w:szCs w:val="21"/>
          <w:highlight w:val="none"/>
        </w:rPr>
      </w:pPr>
    </w:p>
    <w:p w14:paraId="493CB22A">
      <w:pPr>
        <w:widowControl/>
        <w:spacing w:line="360" w:lineRule="auto"/>
        <w:ind w:firstLine="420" w:firstLineChars="200"/>
        <w:jc w:val="left"/>
        <w:rPr>
          <w:rFonts w:ascii="宋体" w:hAnsi="宋体"/>
          <w:color w:val="auto"/>
          <w:kern w:val="0"/>
          <w:szCs w:val="21"/>
          <w:highlight w:val="none"/>
        </w:rPr>
      </w:pPr>
    </w:p>
    <w:p w14:paraId="6B1C4A9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发包人：                                    设计人： </w:t>
      </w:r>
    </w:p>
    <w:p w14:paraId="65764D3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                                  法定代表人</w:t>
      </w:r>
    </w:p>
    <w:p w14:paraId="0D589B8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或委托代理人：                              或委托代理人：</w:t>
      </w:r>
    </w:p>
    <w:p w14:paraId="6B2E7018">
      <w:pPr>
        <w:widowControl/>
        <w:spacing w:line="360" w:lineRule="auto"/>
        <w:ind w:firstLine="420" w:firstLineChars="200"/>
        <w:jc w:val="left"/>
        <w:rPr>
          <w:rFonts w:ascii="宋体" w:hAnsi="宋体"/>
          <w:color w:val="auto"/>
          <w:kern w:val="0"/>
          <w:szCs w:val="21"/>
          <w:highlight w:val="none"/>
        </w:rPr>
      </w:pPr>
    </w:p>
    <w:p w14:paraId="6F952C02">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联系人：                                    联系人：</w:t>
      </w:r>
    </w:p>
    <w:p w14:paraId="1A92FB60">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                                  联系电话：</w:t>
      </w:r>
    </w:p>
    <w:p w14:paraId="4296A8A2">
      <w:pPr>
        <w:spacing w:line="480" w:lineRule="auto"/>
        <w:ind w:firstLine="3570" w:firstLineChars="1700"/>
        <w:rPr>
          <w:rFonts w:ascii="宋体" w:hAnsi="宋体"/>
          <w:color w:val="auto"/>
          <w:kern w:val="0"/>
          <w:szCs w:val="21"/>
          <w:highlight w:val="none"/>
        </w:rPr>
      </w:pPr>
      <w:r>
        <w:rPr>
          <w:rFonts w:ascii="宋体" w:hAnsi="宋体"/>
          <w:color w:val="auto"/>
          <w:kern w:val="0"/>
          <w:szCs w:val="21"/>
          <w:highlight w:val="none"/>
        </w:rPr>
        <w:t>签约时间：    年   月   日</w:t>
      </w:r>
    </w:p>
    <w:bookmarkEnd w:id="746"/>
    <w:p w14:paraId="40822FC5">
      <w:pPr>
        <w:widowControl/>
        <w:jc w:val="left"/>
        <w:rPr>
          <w:rFonts w:ascii="宋体" w:hAnsi="宋体"/>
          <w:color w:val="auto"/>
          <w:szCs w:val="21"/>
          <w:highlight w:val="none"/>
        </w:rPr>
      </w:pPr>
      <w:r>
        <w:rPr>
          <w:rFonts w:ascii="宋体" w:hAnsi="宋体"/>
          <w:color w:val="auto"/>
          <w:szCs w:val="21"/>
          <w:highlight w:val="none"/>
        </w:rPr>
        <w:br w:type="page"/>
      </w:r>
    </w:p>
    <w:bookmarkEnd w:id="619"/>
    <w:p w14:paraId="7D552523">
      <w:pPr>
        <w:rPr>
          <w:color w:val="auto"/>
          <w:highlight w:val="none"/>
        </w:rPr>
      </w:pPr>
    </w:p>
    <w:p w14:paraId="0BFB858F">
      <w:pPr>
        <w:pStyle w:val="2"/>
        <w:spacing w:before="0" w:after="0" w:line="360" w:lineRule="auto"/>
        <w:jc w:val="center"/>
        <w:rPr>
          <w:rFonts w:ascii="宋体" w:hAnsi="宋体"/>
          <w:color w:val="auto"/>
          <w:sz w:val="52"/>
          <w:szCs w:val="52"/>
          <w:highlight w:val="none"/>
        </w:rPr>
      </w:pPr>
      <w:r>
        <w:rPr>
          <w:rFonts w:ascii="宋体" w:hAnsi="宋体"/>
          <w:color w:val="auto"/>
          <w:sz w:val="52"/>
          <w:szCs w:val="52"/>
          <w:highlight w:val="none"/>
        </w:rPr>
        <w:t>第 二 卷</w:t>
      </w:r>
      <w:bookmarkEnd w:id="620"/>
      <w:bookmarkEnd w:id="621"/>
      <w:bookmarkEnd w:id="622"/>
    </w:p>
    <w:p w14:paraId="31962101">
      <w:pPr>
        <w:spacing w:line="360" w:lineRule="auto"/>
        <w:rPr>
          <w:rFonts w:ascii="宋体" w:hAnsi="宋体"/>
          <w:color w:val="auto"/>
          <w:szCs w:val="20"/>
          <w:highlight w:val="none"/>
        </w:rPr>
      </w:pPr>
      <w:r>
        <w:rPr>
          <w:rFonts w:ascii="宋体" w:hAnsi="宋体"/>
          <w:color w:val="auto"/>
          <w:szCs w:val="20"/>
          <w:highlight w:val="none"/>
        </w:rPr>
        <w:br w:type="page"/>
      </w:r>
    </w:p>
    <w:p w14:paraId="10B71B78">
      <w:pPr>
        <w:pStyle w:val="2"/>
        <w:spacing w:line="360" w:lineRule="auto"/>
        <w:jc w:val="center"/>
        <w:rPr>
          <w:rFonts w:ascii="宋体" w:hAnsi="宋体"/>
          <w:color w:val="auto"/>
          <w:highlight w:val="none"/>
        </w:rPr>
      </w:pPr>
      <w:bookmarkStart w:id="747" w:name="招标文件06章图纸"/>
      <w:bookmarkEnd w:id="747"/>
      <w:bookmarkStart w:id="748" w:name="_Toc509218846"/>
      <w:bookmarkStart w:id="749" w:name="_Toc430530519"/>
      <w:bookmarkStart w:id="750" w:name="_Toc287607861"/>
      <w:bookmarkStart w:id="751" w:name="_Toc534185825"/>
      <w:bookmarkStart w:id="752" w:name="_Toc287620803"/>
      <w:bookmarkStart w:id="753" w:name="_Toc16935"/>
      <w:r>
        <w:rPr>
          <w:rFonts w:hint="eastAsia" w:ascii="宋体" w:hAnsi="宋体"/>
          <w:color w:val="auto"/>
          <w:highlight w:val="none"/>
        </w:rPr>
        <w:t xml:space="preserve">第五章  </w:t>
      </w:r>
      <w:bookmarkEnd w:id="748"/>
      <w:bookmarkEnd w:id="749"/>
      <w:bookmarkEnd w:id="750"/>
      <w:bookmarkEnd w:id="751"/>
      <w:bookmarkEnd w:id="752"/>
      <w:r>
        <w:rPr>
          <w:rFonts w:hint="eastAsia" w:ascii="宋体" w:hAnsi="宋体"/>
          <w:color w:val="auto"/>
          <w:highlight w:val="none"/>
        </w:rPr>
        <w:t>发包人要求</w:t>
      </w:r>
      <w:bookmarkEnd w:id="753"/>
    </w:p>
    <w:p w14:paraId="6F1B08A5">
      <w:pPr>
        <w:spacing w:line="360" w:lineRule="auto"/>
        <w:rPr>
          <w:rFonts w:ascii="宋体" w:hAnsi="宋体"/>
          <w:color w:val="auto"/>
          <w:szCs w:val="20"/>
          <w:highlight w:val="none"/>
        </w:rPr>
      </w:pPr>
    </w:p>
    <w:p w14:paraId="2DFF0044">
      <w:pPr>
        <w:widowControl/>
        <w:jc w:val="left"/>
        <w:rPr>
          <w:rFonts w:ascii="宋体" w:hAnsi="宋体"/>
          <w:color w:val="auto"/>
          <w:szCs w:val="20"/>
          <w:highlight w:val="none"/>
        </w:rPr>
      </w:pPr>
      <w:bookmarkStart w:id="754" w:name="招标文件06章图纸01"/>
      <w:bookmarkEnd w:id="754"/>
      <w:bookmarkStart w:id="755" w:name="_Toc287620804"/>
      <w:bookmarkStart w:id="756" w:name="_Toc430530520"/>
      <w:r>
        <w:rPr>
          <w:rFonts w:ascii="宋体" w:hAnsi="宋体"/>
          <w:color w:val="auto"/>
          <w:szCs w:val="20"/>
          <w:highlight w:val="none"/>
        </w:rPr>
        <w:br w:type="page"/>
      </w:r>
    </w:p>
    <w:p w14:paraId="04A5E632">
      <w:pPr>
        <w:autoSpaceDE w:val="0"/>
        <w:autoSpaceDN w:val="0"/>
        <w:spacing w:line="441" w:lineRule="exact"/>
        <w:ind w:left="3617"/>
        <w:jc w:val="left"/>
        <w:outlineLvl w:val="2"/>
        <w:rPr>
          <w:rFonts w:ascii="Microsoft JhengHei" w:hAnsi="Microsoft JhengHei" w:eastAsia="Microsoft JhengHei" w:cs="Microsoft JhengHei"/>
          <w:b/>
          <w:bCs/>
          <w:color w:val="auto"/>
          <w:kern w:val="0"/>
          <w:sz w:val="32"/>
          <w:szCs w:val="32"/>
          <w:highlight w:val="none"/>
        </w:rPr>
      </w:pPr>
      <w:bookmarkStart w:id="757" w:name="_Toc66711357"/>
      <w:bookmarkStart w:id="758" w:name="_Toc8275"/>
      <w:r>
        <w:rPr>
          <w:rFonts w:ascii="Microsoft JhengHei" w:hAnsi="Microsoft JhengHei" w:eastAsia="Microsoft JhengHei" w:cs="Microsoft JhengHei"/>
          <w:b/>
          <w:bCs/>
          <w:color w:val="auto"/>
          <w:kern w:val="0"/>
          <w:sz w:val="32"/>
          <w:szCs w:val="32"/>
          <w:highlight w:val="none"/>
        </w:rPr>
        <w:t>发包人要求</w:t>
      </w:r>
      <w:bookmarkEnd w:id="757"/>
      <w:bookmarkEnd w:id="758"/>
    </w:p>
    <w:p w14:paraId="7DF9E108">
      <w:pPr>
        <w:autoSpaceDE w:val="0"/>
        <w:autoSpaceDN w:val="0"/>
        <w:spacing w:before="107" w:line="384" w:lineRule="auto"/>
        <w:ind w:left="100" w:right="114" w:firstLine="419"/>
        <w:rPr>
          <w:rFonts w:ascii="宋体" w:hAnsi="宋体" w:cs="宋体"/>
          <w:color w:val="auto"/>
          <w:kern w:val="0"/>
          <w:szCs w:val="21"/>
          <w:highlight w:val="none"/>
        </w:rPr>
      </w:pPr>
    </w:p>
    <w:bookmarkEnd w:id="755"/>
    <w:bookmarkEnd w:id="756"/>
    <w:p w14:paraId="3B789B40">
      <w:pPr>
        <w:spacing w:line="360" w:lineRule="auto"/>
        <w:jc w:val="center"/>
        <w:rPr>
          <w:rFonts w:ascii="宋体" w:hAnsi="宋体"/>
          <w:color w:val="auto"/>
          <w:highlight w:val="none"/>
        </w:rPr>
      </w:pPr>
      <w:r>
        <w:rPr>
          <w:rFonts w:hint="eastAsia" w:ascii="宋体" w:hAnsi="宋体"/>
          <w:color w:val="auto"/>
          <w:szCs w:val="20"/>
          <w:highlight w:val="none"/>
        </w:rPr>
        <w:t>以国家和行业规范标准，按行政主管部门要求执行，比选人要求中标后提供。</w:t>
      </w:r>
      <w:r>
        <w:rPr>
          <w:rFonts w:ascii="宋体" w:hAnsi="宋体"/>
          <w:color w:val="auto"/>
          <w:szCs w:val="20"/>
          <w:highlight w:val="none"/>
        </w:rPr>
        <w:br w:type="page"/>
      </w:r>
    </w:p>
    <w:p w14:paraId="28906D7F">
      <w:pPr>
        <w:pStyle w:val="2"/>
        <w:spacing w:before="0" w:after="0" w:line="360" w:lineRule="auto"/>
        <w:jc w:val="center"/>
        <w:rPr>
          <w:rFonts w:ascii="宋体" w:hAnsi="宋体"/>
          <w:color w:val="auto"/>
          <w:sz w:val="52"/>
          <w:szCs w:val="52"/>
          <w:highlight w:val="none"/>
        </w:rPr>
      </w:pPr>
      <w:bookmarkStart w:id="759" w:name="_Toc22628"/>
      <w:r>
        <w:rPr>
          <w:rFonts w:hint="eastAsia" w:ascii="宋体" w:hAnsi="宋体"/>
          <w:color w:val="auto"/>
          <w:sz w:val="52"/>
          <w:szCs w:val="52"/>
          <w:highlight w:val="none"/>
        </w:rPr>
        <w:t>第 三 卷</w:t>
      </w:r>
      <w:bookmarkEnd w:id="759"/>
      <w:bookmarkStart w:id="760" w:name="_Toc509218847"/>
      <w:bookmarkStart w:id="761" w:name="_Toc536796850"/>
      <w:bookmarkStart w:id="762" w:name="_Toc534185826"/>
      <w:bookmarkStart w:id="763" w:name="_Toc536797121"/>
      <w:bookmarkStart w:id="764" w:name="_Toc536797390"/>
      <w:bookmarkStart w:id="765" w:name="_Toc13211206"/>
      <w:bookmarkStart w:id="766" w:name="_Toc536621880"/>
      <w:bookmarkStart w:id="767" w:name="_Toc536796986"/>
      <w:bookmarkStart w:id="768" w:name="_Toc13211764"/>
      <w:bookmarkStart w:id="769" w:name="_Toc536620100"/>
      <w:bookmarkStart w:id="770" w:name="_Toc13210772"/>
      <w:bookmarkStart w:id="771" w:name="_Toc536797255"/>
      <w:bookmarkStart w:id="772" w:name="_Toc536628344"/>
      <w:bookmarkStart w:id="773" w:name="_Toc536619968"/>
    </w:p>
    <w:bookmarkEnd w:id="760"/>
    <w:p w14:paraId="23EEC813">
      <w:pPr>
        <w:rPr>
          <w:color w:val="auto"/>
          <w:highlight w:val="none"/>
        </w:rPr>
      </w:pPr>
      <w:r>
        <w:rPr>
          <w:color w:val="auto"/>
          <w:highlight w:val="none"/>
        </w:rPr>
        <w:br w:type="page"/>
      </w:r>
      <w:bookmarkEnd w:id="761"/>
      <w:bookmarkEnd w:id="762"/>
      <w:bookmarkEnd w:id="763"/>
      <w:bookmarkEnd w:id="764"/>
      <w:bookmarkEnd w:id="765"/>
      <w:bookmarkEnd w:id="766"/>
      <w:bookmarkEnd w:id="767"/>
      <w:bookmarkEnd w:id="768"/>
      <w:bookmarkEnd w:id="769"/>
      <w:bookmarkEnd w:id="770"/>
      <w:bookmarkEnd w:id="771"/>
      <w:bookmarkEnd w:id="772"/>
      <w:bookmarkEnd w:id="773"/>
    </w:p>
    <w:p w14:paraId="22CA4271">
      <w:pPr>
        <w:pStyle w:val="2"/>
        <w:spacing w:line="360" w:lineRule="auto"/>
        <w:jc w:val="center"/>
        <w:rPr>
          <w:rFonts w:ascii="宋体" w:hAnsi="宋体"/>
          <w:color w:val="auto"/>
          <w:highlight w:val="none"/>
        </w:rPr>
      </w:pPr>
      <w:bookmarkStart w:id="774" w:name="招标文件07章技术标准和要求"/>
      <w:bookmarkEnd w:id="774"/>
      <w:bookmarkStart w:id="775" w:name="_Toc430530528"/>
      <w:bookmarkStart w:id="776" w:name="_Toc509218852"/>
      <w:bookmarkStart w:id="777" w:name="_Toc534185829"/>
      <w:bookmarkStart w:id="778" w:name="_Toc287607865"/>
      <w:bookmarkStart w:id="779" w:name="_Toc287620812"/>
      <w:bookmarkStart w:id="780" w:name="_Toc10210"/>
      <w:r>
        <w:rPr>
          <w:rFonts w:hint="eastAsia" w:ascii="宋体" w:hAnsi="宋体"/>
          <w:color w:val="auto"/>
          <w:highlight w:val="none"/>
        </w:rPr>
        <w:t xml:space="preserve">第六章  </w:t>
      </w:r>
      <w:r>
        <w:rPr>
          <w:rFonts w:hint="eastAsia" w:ascii="宋体" w:hAnsi="宋体"/>
          <w:color w:val="auto"/>
          <w:highlight w:val="none"/>
          <w:lang w:eastAsia="zh-CN"/>
        </w:rPr>
        <w:t>竞选文件</w:t>
      </w:r>
      <w:r>
        <w:rPr>
          <w:rFonts w:hint="eastAsia" w:ascii="宋体" w:hAnsi="宋体"/>
          <w:color w:val="auto"/>
          <w:highlight w:val="none"/>
        </w:rPr>
        <w:t>格式</w:t>
      </w:r>
      <w:bookmarkEnd w:id="775"/>
      <w:bookmarkEnd w:id="776"/>
      <w:bookmarkEnd w:id="777"/>
      <w:bookmarkEnd w:id="778"/>
      <w:bookmarkEnd w:id="779"/>
      <w:bookmarkEnd w:id="780"/>
    </w:p>
    <w:p w14:paraId="6FE2DD08">
      <w:pPr>
        <w:spacing w:line="360" w:lineRule="auto"/>
        <w:rPr>
          <w:rFonts w:ascii="宋体" w:hAnsi="宋体"/>
          <w:color w:val="auto"/>
          <w:sz w:val="32"/>
          <w:szCs w:val="32"/>
          <w:highlight w:val="none"/>
        </w:rPr>
      </w:pPr>
    </w:p>
    <w:p w14:paraId="491F1DC3">
      <w:pPr>
        <w:spacing w:line="360" w:lineRule="auto"/>
        <w:jc w:val="center"/>
        <w:rPr>
          <w:rFonts w:ascii="宋体" w:hAnsi="宋体"/>
          <w:color w:val="auto"/>
          <w:sz w:val="36"/>
          <w:szCs w:val="36"/>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2AF4A1A2"/>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2AF4A1A2"/>
                  </w:txbxContent>
                </v:textbox>
              </v:rect>
            </w:pict>
          </mc:Fallback>
        </mc:AlternateContent>
      </w:r>
      <w:r>
        <w:rPr>
          <w:rFonts w:ascii="宋体" w:hAnsi="宋体"/>
          <w:color w:val="auto"/>
          <w:szCs w:val="20"/>
          <w:highlight w:val="none"/>
        </w:rPr>
        <w:br w:type="page"/>
      </w:r>
      <w:bookmarkStart w:id="781" w:name="_Toc224103493"/>
      <w:r>
        <w:rPr>
          <w:rFonts w:hint="eastAsia" w:ascii="宋体" w:hAnsi="宋体"/>
          <w:color w:val="auto"/>
          <w:sz w:val="36"/>
          <w:szCs w:val="36"/>
          <w:highlight w:val="none"/>
        </w:rPr>
        <w:t>目  录</w:t>
      </w:r>
      <w:bookmarkEnd w:id="781"/>
    </w:p>
    <w:p w14:paraId="3F810743">
      <w:pPr>
        <w:spacing w:line="360" w:lineRule="auto"/>
        <w:jc w:val="center"/>
        <w:rPr>
          <w:rFonts w:ascii="宋体" w:hAnsi="宋体"/>
          <w:color w:val="auto"/>
          <w:szCs w:val="20"/>
          <w:highlight w:val="none"/>
        </w:rPr>
      </w:pPr>
    </w:p>
    <w:p w14:paraId="5E0BF434">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3D64ED01">
      <w:pPr>
        <w:spacing w:line="360" w:lineRule="auto"/>
        <w:ind w:firstLine="420" w:firstLineChars="200"/>
        <w:rPr>
          <w:rFonts w:ascii="宋体" w:hAnsi="宋体"/>
          <w:color w:val="auto"/>
          <w:highlight w:val="none"/>
        </w:rPr>
      </w:pPr>
      <w:r>
        <w:rPr>
          <w:rFonts w:ascii="宋体" w:hAnsi="宋体"/>
          <w:color w:val="auto"/>
          <w:highlight w:val="none"/>
        </w:rPr>
        <w:t>（一）投标函</w:t>
      </w:r>
    </w:p>
    <w:p w14:paraId="2BB5DCE2">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105C2F26">
      <w:pPr>
        <w:spacing w:line="360" w:lineRule="auto"/>
        <w:ind w:firstLine="420" w:firstLineChars="200"/>
        <w:rPr>
          <w:rFonts w:hint="eastAsia"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6D06A1CA">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四</w:t>
      </w:r>
      <w:r>
        <w:rPr>
          <w:rFonts w:hint="eastAsia" w:ascii="宋体" w:hAnsi="宋体"/>
          <w:color w:val="auto"/>
          <w:highlight w:val="none"/>
        </w:rPr>
        <w:t>）低价风险担保提交承诺书（如有）</w:t>
      </w:r>
    </w:p>
    <w:p w14:paraId="6CAA9CFD">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、技术部分</w:t>
      </w:r>
    </w:p>
    <w:p w14:paraId="0D7FE60A">
      <w:pPr>
        <w:spacing w:line="360" w:lineRule="auto"/>
        <w:ind w:firstLine="420" w:firstLineChars="200"/>
        <w:rPr>
          <w:rFonts w:ascii="宋体" w:hAnsi="宋体"/>
          <w:color w:val="auto"/>
          <w:highlight w:val="none"/>
        </w:rPr>
      </w:pPr>
      <w:r>
        <w:rPr>
          <w:rFonts w:hint="eastAsia" w:ascii="宋体" w:hAnsi="宋体"/>
          <w:color w:val="auto"/>
          <w:highlight w:val="none"/>
        </w:rPr>
        <w:t>设计方案</w:t>
      </w:r>
    </w:p>
    <w:p w14:paraId="7D08A00B">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p>
    <w:p w14:paraId="422E4B56">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5E9AA36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lang w:eastAsia="zh-CN"/>
        </w:rPr>
        <w:t>竞选人</w:t>
      </w:r>
      <w:r>
        <w:rPr>
          <w:rFonts w:ascii="宋体" w:hAnsi="宋体"/>
          <w:color w:val="auto"/>
          <w:highlight w:val="none"/>
        </w:rPr>
        <w:t>基本情况表</w:t>
      </w:r>
    </w:p>
    <w:p w14:paraId="24D3293A">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w:t>
      </w:r>
      <w:r>
        <w:rPr>
          <w:rFonts w:hint="eastAsia" w:ascii="宋体" w:hAnsi="宋体"/>
          <w:color w:val="auto"/>
          <w:highlight w:val="none"/>
        </w:rPr>
        <w:t>主要人员汇总表</w:t>
      </w:r>
    </w:p>
    <w:p w14:paraId="48BDD83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主要人员简历表</w:t>
      </w:r>
    </w:p>
    <w:p w14:paraId="3271E6CE">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承诺</w:t>
      </w:r>
    </w:p>
    <w:p w14:paraId="4C2E71B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）其他资料</w:t>
      </w:r>
    </w:p>
    <w:p w14:paraId="16F7BD1E">
      <w:pPr>
        <w:spacing w:line="360" w:lineRule="auto"/>
        <w:ind w:firstLine="420" w:firstLineChars="200"/>
        <w:rPr>
          <w:color w:val="auto"/>
          <w:highlight w:val="none"/>
        </w:rPr>
      </w:pPr>
    </w:p>
    <w:p w14:paraId="091FD48B">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782" w:name="_Toc224103494"/>
      <w:bookmarkStart w:id="783" w:name="_Toc287607866"/>
      <w:bookmarkStart w:id="784" w:name="_Toc287620813"/>
      <w:bookmarkStart w:id="785" w:name="_Toc277082642"/>
      <w:bookmarkStart w:id="786" w:name="_Toc430530529"/>
    </w:p>
    <w:p w14:paraId="50DDF211">
      <w:pPr>
        <w:pStyle w:val="3"/>
        <w:spacing w:line="360" w:lineRule="auto"/>
        <w:jc w:val="center"/>
        <w:rPr>
          <w:rFonts w:ascii="宋体" w:hAnsi="宋体"/>
          <w:b w:val="0"/>
          <w:bCs w:val="0"/>
          <w:color w:val="auto"/>
          <w:sz w:val="44"/>
          <w:szCs w:val="44"/>
          <w:highlight w:val="none"/>
        </w:rPr>
      </w:pPr>
      <w:bookmarkStart w:id="787" w:name="_Toc17415"/>
      <w:r>
        <w:rPr>
          <w:rFonts w:hint="eastAsia" w:ascii="宋体" w:hAnsi="宋体"/>
          <w:b w:val="0"/>
          <w:bCs w:val="0"/>
          <w:color w:val="auto"/>
          <w:sz w:val="44"/>
          <w:szCs w:val="44"/>
          <w:highlight w:val="none"/>
        </w:rPr>
        <w:t>一、投标函部分</w:t>
      </w:r>
      <w:bookmarkEnd w:id="782"/>
      <w:bookmarkEnd w:id="783"/>
      <w:bookmarkEnd w:id="784"/>
      <w:bookmarkEnd w:id="785"/>
      <w:bookmarkEnd w:id="786"/>
      <w:bookmarkEnd w:id="787"/>
    </w:p>
    <w:p w14:paraId="473D191B">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4421A67A">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6754405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5747E7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EA360B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940BCD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343EAB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B22DB61">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3A48C91C">
      <w:pPr>
        <w:autoSpaceDE w:val="0"/>
        <w:autoSpaceDN w:val="0"/>
        <w:adjustRightInd w:val="0"/>
        <w:snapToGrid w:val="0"/>
        <w:spacing w:line="360" w:lineRule="auto"/>
        <w:jc w:val="left"/>
        <w:rPr>
          <w:rFonts w:ascii="宋体" w:hAnsi="宋体"/>
          <w:color w:val="auto"/>
          <w:kern w:val="0"/>
          <w:sz w:val="16"/>
          <w:szCs w:val="16"/>
          <w:highlight w:val="none"/>
        </w:rPr>
      </w:pPr>
    </w:p>
    <w:p w14:paraId="6DD3D291">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4B7694F0">
      <w:pPr>
        <w:autoSpaceDE w:val="0"/>
        <w:autoSpaceDN w:val="0"/>
        <w:adjustRightInd w:val="0"/>
        <w:snapToGrid w:val="0"/>
        <w:spacing w:line="360" w:lineRule="auto"/>
        <w:jc w:val="left"/>
        <w:rPr>
          <w:rFonts w:ascii="宋体" w:hAnsi="宋体"/>
          <w:b/>
          <w:color w:val="auto"/>
          <w:kern w:val="0"/>
          <w:sz w:val="20"/>
          <w:szCs w:val="20"/>
          <w:highlight w:val="none"/>
        </w:rPr>
      </w:pPr>
    </w:p>
    <w:p w14:paraId="33A955D7">
      <w:pPr>
        <w:autoSpaceDE w:val="0"/>
        <w:autoSpaceDN w:val="0"/>
        <w:adjustRightInd w:val="0"/>
        <w:snapToGrid w:val="0"/>
        <w:spacing w:line="360" w:lineRule="auto"/>
        <w:jc w:val="left"/>
        <w:rPr>
          <w:rFonts w:ascii="宋体" w:hAnsi="宋体"/>
          <w:b/>
          <w:color w:val="auto"/>
          <w:kern w:val="0"/>
          <w:sz w:val="20"/>
          <w:szCs w:val="20"/>
          <w:highlight w:val="none"/>
        </w:rPr>
      </w:pPr>
    </w:p>
    <w:p w14:paraId="1C1F57B1">
      <w:pPr>
        <w:autoSpaceDE w:val="0"/>
        <w:autoSpaceDN w:val="0"/>
        <w:adjustRightInd w:val="0"/>
        <w:snapToGrid w:val="0"/>
        <w:spacing w:line="360" w:lineRule="auto"/>
        <w:jc w:val="left"/>
        <w:rPr>
          <w:rFonts w:ascii="宋体" w:hAnsi="宋体"/>
          <w:b/>
          <w:color w:val="auto"/>
          <w:kern w:val="0"/>
          <w:sz w:val="20"/>
          <w:szCs w:val="20"/>
          <w:highlight w:val="none"/>
        </w:rPr>
      </w:pPr>
    </w:p>
    <w:p w14:paraId="50FC1B73">
      <w:pPr>
        <w:autoSpaceDE w:val="0"/>
        <w:autoSpaceDN w:val="0"/>
        <w:adjustRightInd w:val="0"/>
        <w:snapToGrid w:val="0"/>
        <w:spacing w:line="360" w:lineRule="auto"/>
        <w:jc w:val="left"/>
        <w:rPr>
          <w:rFonts w:ascii="宋体" w:hAnsi="宋体"/>
          <w:b/>
          <w:color w:val="auto"/>
          <w:kern w:val="0"/>
          <w:sz w:val="20"/>
          <w:szCs w:val="20"/>
          <w:highlight w:val="none"/>
        </w:rPr>
      </w:pPr>
    </w:p>
    <w:p w14:paraId="1566F044">
      <w:pPr>
        <w:autoSpaceDE w:val="0"/>
        <w:autoSpaceDN w:val="0"/>
        <w:adjustRightInd w:val="0"/>
        <w:snapToGrid w:val="0"/>
        <w:spacing w:line="360" w:lineRule="auto"/>
        <w:jc w:val="left"/>
        <w:rPr>
          <w:rFonts w:ascii="宋体" w:hAnsi="宋体"/>
          <w:b/>
          <w:color w:val="auto"/>
          <w:kern w:val="0"/>
          <w:sz w:val="20"/>
          <w:szCs w:val="20"/>
          <w:highlight w:val="none"/>
        </w:rPr>
      </w:pPr>
    </w:p>
    <w:p w14:paraId="0F2169BE">
      <w:pPr>
        <w:autoSpaceDE w:val="0"/>
        <w:autoSpaceDN w:val="0"/>
        <w:adjustRightInd w:val="0"/>
        <w:snapToGrid w:val="0"/>
        <w:spacing w:line="360" w:lineRule="auto"/>
        <w:jc w:val="left"/>
        <w:rPr>
          <w:rFonts w:ascii="宋体" w:hAnsi="宋体"/>
          <w:b/>
          <w:color w:val="auto"/>
          <w:kern w:val="0"/>
          <w:sz w:val="20"/>
          <w:szCs w:val="20"/>
          <w:highlight w:val="none"/>
        </w:rPr>
      </w:pPr>
    </w:p>
    <w:p w14:paraId="50B19955">
      <w:pPr>
        <w:autoSpaceDE w:val="0"/>
        <w:autoSpaceDN w:val="0"/>
        <w:adjustRightInd w:val="0"/>
        <w:snapToGrid w:val="0"/>
        <w:spacing w:line="360" w:lineRule="auto"/>
        <w:jc w:val="left"/>
        <w:rPr>
          <w:rFonts w:ascii="宋体" w:hAnsi="宋体"/>
          <w:b/>
          <w:color w:val="auto"/>
          <w:kern w:val="0"/>
          <w:sz w:val="20"/>
          <w:szCs w:val="20"/>
          <w:highlight w:val="none"/>
        </w:rPr>
      </w:pPr>
    </w:p>
    <w:p w14:paraId="10BE61F6">
      <w:pPr>
        <w:autoSpaceDE w:val="0"/>
        <w:autoSpaceDN w:val="0"/>
        <w:adjustRightInd w:val="0"/>
        <w:snapToGrid w:val="0"/>
        <w:spacing w:line="360" w:lineRule="auto"/>
        <w:jc w:val="left"/>
        <w:rPr>
          <w:rFonts w:ascii="宋体" w:hAnsi="宋体"/>
          <w:b/>
          <w:color w:val="auto"/>
          <w:kern w:val="0"/>
          <w:sz w:val="20"/>
          <w:szCs w:val="20"/>
          <w:highlight w:val="none"/>
        </w:rPr>
      </w:pPr>
    </w:p>
    <w:p w14:paraId="197D96F2">
      <w:pPr>
        <w:autoSpaceDE w:val="0"/>
        <w:autoSpaceDN w:val="0"/>
        <w:adjustRightInd w:val="0"/>
        <w:snapToGrid w:val="0"/>
        <w:spacing w:line="360" w:lineRule="auto"/>
        <w:jc w:val="left"/>
        <w:rPr>
          <w:rFonts w:ascii="宋体" w:hAnsi="宋体"/>
          <w:b/>
          <w:color w:val="auto"/>
          <w:kern w:val="0"/>
          <w:sz w:val="20"/>
          <w:szCs w:val="20"/>
          <w:highlight w:val="none"/>
        </w:rPr>
      </w:pPr>
    </w:p>
    <w:p w14:paraId="7E66C733">
      <w:pPr>
        <w:autoSpaceDE w:val="0"/>
        <w:autoSpaceDN w:val="0"/>
        <w:adjustRightInd w:val="0"/>
        <w:snapToGrid w:val="0"/>
        <w:spacing w:line="360" w:lineRule="auto"/>
        <w:jc w:val="left"/>
        <w:rPr>
          <w:rFonts w:ascii="宋体" w:hAnsi="宋体"/>
          <w:b/>
          <w:color w:val="auto"/>
          <w:kern w:val="0"/>
          <w:sz w:val="20"/>
          <w:szCs w:val="20"/>
          <w:highlight w:val="none"/>
        </w:rPr>
      </w:pPr>
    </w:p>
    <w:p w14:paraId="228F81D7">
      <w:pPr>
        <w:autoSpaceDE w:val="0"/>
        <w:autoSpaceDN w:val="0"/>
        <w:adjustRightInd w:val="0"/>
        <w:snapToGrid w:val="0"/>
        <w:spacing w:line="360" w:lineRule="auto"/>
        <w:jc w:val="left"/>
        <w:rPr>
          <w:rFonts w:ascii="宋体" w:hAnsi="宋体"/>
          <w:b/>
          <w:color w:val="auto"/>
          <w:kern w:val="0"/>
          <w:sz w:val="20"/>
          <w:szCs w:val="20"/>
          <w:highlight w:val="none"/>
        </w:rPr>
      </w:pPr>
    </w:p>
    <w:p w14:paraId="03695E5B">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CEA01FC">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ABF8C02">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352F235E">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02311378">
      <w:pPr>
        <w:autoSpaceDE w:val="0"/>
        <w:autoSpaceDN w:val="0"/>
        <w:adjustRightInd w:val="0"/>
        <w:snapToGrid w:val="0"/>
        <w:spacing w:line="360" w:lineRule="auto"/>
        <w:jc w:val="left"/>
        <w:rPr>
          <w:rFonts w:ascii="宋体" w:hAnsi="宋体"/>
          <w:color w:val="auto"/>
          <w:kern w:val="0"/>
          <w:sz w:val="24"/>
          <w:szCs w:val="21"/>
          <w:highlight w:val="none"/>
        </w:rPr>
      </w:pPr>
    </w:p>
    <w:p w14:paraId="0A2794D8">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6C2D8D95">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0E643DB6">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34115176">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四</w:t>
      </w:r>
      <w:r>
        <w:rPr>
          <w:rFonts w:hint="eastAsia" w:ascii="宋体" w:hAnsi="宋体" w:eastAsia="宋体" w:cs="Times New Roman"/>
          <w:color w:val="auto"/>
          <w:kern w:val="0"/>
          <w:sz w:val="24"/>
          <w:highlight w:val="none"/>
        </w:rPr>
        <w:t>）低价风险担保提交承诺书（如有）</w:t>
      </w:r>
    </w:p>
    <w:p w14:paraId="6A6DA4F3">
      <w:pPr>
        <w:autoSpaceDE w:val="0"/>
        <w:autoSpaceDN w:val="0"/>
        <w:adjustRightInd w:val="0"/>
        <w:spacing w:line="360" w:lineRule="auto"/>
        <w:ind w:firstLine="480" w:firstLineChars="200"/>
        <w:jc w:val="left"/>
        <w:rPr>
          <w:rFonts w:ascii="宋体" w:hAnsi="宋体"/>
          <w:color w:val="auto"/>
          <w:kern w:val="0"/>
          <w:sz w:val="24"/>
          <w:highlight w:val="none"/>
        </w:rPr>
      </w:pPr>
    </w:p>
    <w:p w14:paraId="45CA17FD">
      <w:pPr>
        <w:pStyle w:val="4"/>
        <w:spacing w:before="0" w:after="0" w:line="240" w:lineRule="auto"/>
        <w:jc w:val="center"/>
        <w:rPr>
          <w:rFonts w:ascii="宋体" w:hAnsi="宋体"/>
          <w:b w:val="0"/>
          <w:color w:val="auto"/>
          <w:highlight w:val="none"/>
        </w:rPr>
      </w:pPr>
      <w:bookmarkStart w:id="788" w:name="_Toc534185831"/>
      <w:bookmarkStart w:id="789" w:name="_Toc287607867"/>
      <w:bookmarkStart w:id="790" w:name="_Toc430530530"/>
      <w:bookmarkStart w:id="791" w:name="_Toc224103495"/>
      <w:bookmarkStart w:id="792" w:name="_Toc287620814"/>
      <w:bookmarkStart w:id="793" w:name="_Toc509218854"/>
      <w:bookmarkStart w:id="794" w:name="_Toc277082643"/>
      <w:r>
        <w:rPr>
          <w:rFonts w:ascii="宋体" w:hAnsi="宋体"/>
          <w:color w:val="auto"/>
          <w:highlight w:val="none"/>
        </w:rPr>
        <w:br w:type="page"/>
      </w:r>
      <w:bookmarkStart w:id="795" w:name="_Toc15022"/>
      <w:r>
        <w:rPr>
          <w:rFonts w:hint="eastAsia" w:ascii="宋体" w:hAnsi="宋体"/>
          <w:b w:val="0"/>
          <w:bCs w:val="0"/>
          <w:color w:val="auto"/>
          <w:highlight w:val="none"/>
        </w:rPr>
        <w:t>（一）投标函</w:t>
      </w:r>
      <w:bookmarkEnd w:id="788"/>
      <w:bookmarkEnd w:id="789"/>
      <w:bookmarkEnd w:id="790"/>
      <w:bookmarkEnd w:id="791"/>
      <w:bookmarkEnd w:id="792"/>
      <w:bookmarkEnd w:id="793"/>
      <w:bookmarkEnd w:id="794"/>
      <w:bookmarkEnd w:id="795"/>
    </w:p>
    <w:p w14:paraId="7B413485">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0BB94B4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none"/>
        </w:rPr>
        <w:t>（</w:t>
      </w:r>
      <w:r>
        <w:rPr>
          <w:rFonts w:ascii="宋体" w:hAnsi="宋体"/>
          <w:snapToGrid w:val="0"/>
          <w:color w:val="auto"/>
          <w:kern w:val="0"/>
          <w:szCs w:val="21"/>
          <w:highlight w:val="none"/>
        </w:rPr>
        <w:t>项目名称）设计招标项目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w:t>
      </w:r>
      <w:r>
        <w:rPr>
          <w:rFonts w:hint="default" w:ascii="宋体" w:hAnsi="宋体" w:eastAsia="宋体"/>
          <w:snapToGrid w:val="0"/>
          <w:color w:val="auto"/>
          <w:kern w:val="0"/>
          <w:szCs w:val="21"/>
          <w:highlight w:val="none"/>
          <w:lang w:val="en-US" w:eastAsia="zh-CN"/>
        </w:rPr>
        <w:t>下列方式对</w:t>
      </w:r>
      <w:r>
        <w:rPr>
          <w:rFonts w:hint="eastAsia" w:ascii="宋体" w:hAnsi="宋体"/>
          <w:snapToGrid w:val="0"/>
          <w:color w:val="auto"/>
          <w:kern w:val="0"/>
          <w:szCs w:val="21"/>
          <w:highlight w:val="none"/>
          <w:lang w:val="en-US" w:eastAsia="zh-CN"/>
        </w:rPr>
        <w:t>设计费</w:t>
      </w:r>
      <w:r>
        <w:rPr>
          <w:rFonts w:hint="default" w:ascii="宋体" w:hAnsi="宋体" w:eastAsia="宋体"/>
          <w:snapToGrid w:val="0"/>
          <w:color w:val="auto"/>
          <w:kern w:val="0"/>
          <w:szCs w:val="21"/>
          <w:highlight w:val="none"/>
          <w:lang w:val="en-US" w:eastAsia="zh-CN"/>
        </w:rPr>
        <w:t>进行报价</w:t>
      </w:r>
      <w:r>
        <w:rPr>
          <w:rFonts w:hint="eastAsia" w:ascii="宋体" w:hAnsi="宋体"/>
          <w:snapToGrid w:val="0"/>
          <w:color w:val="auto"/>
          <w:kern w:val="0"/>
          <w:szCs w:val="21"/>
          <w:highlight w:val="none"/>
          <w:lang w:eastAsia="zh-CN"/>
        </w:rPr>
        <w:t>：</w:t>
      </w:r>
      <w:r>
        <w:rPr>
          <w:rFonts w:hint="eastAsia" w:ascii="宋体" w:hAnsi="宋体" w:eastAsia="宋体" w:cs="宋体"/>
          <w:color w:val="auto"/>
          <w:szCs w:val="21"/>
          <w:highlight w:val="none"/>
        </w:rPr>
        <w:t>固定费率</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none"/>
          <w:lang w:eastAsia="zh-CN"/>
        </w:rPr>
        <w:t>计费基数</w:t>
      </w:r>
      <w:r>
        <w:rPr>
          <w:rFonts w:hint="eastAsia" w:ascii="宋体" w:hAnsi="宋体" w:eastAsia="宋体" w:cs="宋体"/>
          <w:color w:val="auto"/>
          <w:szCs w:val="21"/>
          <w:highlight w:val="none"/>
          <w:u w:val="none"/>
          <w:lang w:val="en-US" w:eastAsia="zh-CN"/>
        </w:rPr>
        <w:t>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元</w:t>
      </w:r>
      <w:r>
        <w:rPr>
          <w:rFonts w:hint="eastAsia" w:ascii="宋体" w:hAnsi="宋体" w:eastAsia="宋体" w:cs="宋体"/>
          <w:color w:val="auto"/>
          <w:highlight w:val="none"/>
          <w:u w:val="none"/>
          <w:lang w:val="en-US" w:eastAsia="zh-CN"/>
        </w:rPr>
        <w:t>，</w:t>
      </w:r>
      <w:r>
        <w:rPr>
          <w:rFonts w:hint="eastAsia" w:ascii="宋体" w:hAnsi="宋体" w:eastAsia="宋体" w:cs="宋体"/>
          <w:color w:val="auto"/>
          <w:szCs w:val="21"/>
          <w:highlight w:val="none"/>
          <w:lang w:val="en-US" w:eastAsia="zh-CN"/>
        </w:rPr>
        <w:t>暂定设计费为</w:t>
      </w:r>
      <w:r>
        <w:rPr>
          <w:rFonts w:hint="eastAsia" w:ascii="宋体" w:hAnsi="宋体" w:eastAsia="宋体" w:cs="宋体"/>
          <w:color w:val="auto"/>
          <w:szCs w:val="21"/>
          <w:highlight w:val="none"/>
          <w:u w:val="single"/>
        </w:rPr>
        <w:t>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ascii="宋体" w:hAnsi="宋体"/>
          <w:snapToGrid w:val="0"/>
          <w:color w:val="auto"/>
          <w:kern w:val="0"/>
          <w:szCs w:val="21"/>
          <w:highlight w:val="none"/>
        </w:rPr>
        <w:t>增值税税率为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项目负责人为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设计服务期限</w:t>
      </w:r>
      <w:r>
        <w:rPr>
          <w:rFonts w:hint="eastAsia" w:ascii="宋体" w:hAnsi="宋体"/>
          <w:snapToGrid w:val="0"/>
          <w:color w:val="auto"/>
          <w:kern w:val="0"/>
          <w:szCs w:val="21"/>
          <w:highlight w:val="none"/>
          <w:u w:val="single"/>
        </w:rPr>
        <w:t>符合</w:t>
      </w:r>
      <w:r>
        <w:rPr>
          <w:rFonts w:hint="eastAsia" w:ascii="宋体" w:hAnsi="宋体"/>
          <w:snapToGrid w:val="0"/>
          <w:color w:val="auto"/>
          <w:kern w:val="0"/>
          <w:szCs w:val="21"/>
          <w:highlight w:val="none"/>
          <w:u w:val="single"/>
          <w:lang w:eastAsia="zh-CN"/>
        </w:rPr>
        <w:t>比选文件</w:t>
      </w:r>
      <w:r>
        <w:rPr>
          <w:rFonts w:hint="eastAsia" w:ascii="宋体" w:hAnsi="宋体"/>
          <w:snapToGrid w:val="0"/>
          <w:color w:val="auto"/>
          <w:kern w:val="0"/>
          <w:szCs w:val="21"/>
          <w:highlight w:val="none"/>
          <w:u w:val="single"/>
        </w:rPr>
        <w:t>的要求</w:t>
      </w:r>
      <w:r>
        <w:rPr>
          <w:rFonts w:ascii="宋体" w:hAnsi="宋体"/>
          <w:snapToGrid w:val="0"/>
          <w:color w:val="auto"/>
          <w:kern w:val="0"/>
          <w:szCs w:val="21"/>
          <w:highlight w:val="none"/>
        </w:rPr>
        <w:t>，</w:t>
      </w:r>
      <w:r>
        <w:rPr>
          <w:rFonts w:hint="eastAsia" w:ascii="宋体" w:hAnsi="宋体" w:eastAsia="宋体" w:cs="宋体"/>
          <w:color w:val="auto"/>
          <w:szCs w:val="21"/>
          <w:highlight w:val="none"/>
          <w:lang w:val="en-US" w:eastAsia="zh-CN"/>
        </w:rPr>
        <w:t>设计服务质量</w:t>
      </w:r>
      <w:r>
        <w:rPr>
          <w:rFonts w:hint="eastAsia" w:ascii="宋体" w:hAnsi="宋体" w:eastAsia="宋体" w:cs="宋体"/>
          <w:color w:val="auto"/>
          <w:szCs w:val="21"/>
          <w:highlight w:val="none"/>
          <w:u w:val="single"/>
          <w:lang w:val="en-US" w:eastAsia="zh-CN"/>
        </w:rPr>
        <w:t>达到</w:t>
      </w:r>
      <w:r>
        <w:rPr>
          <w:rFonts w:hint="eastAsia" w:ascii="宋体" w:hAnsi="宋体" w:cs="宋体"/>
          <w:color w:val="auto"/>
          <w:szCs w:val="21"/>
          <w:highlight w:val="none"/>
          <w:u w:val="single"/>
          <w:lang w:val="en-US" w:eastAsia="zh-CN"/>
        </w:rPr>
        <w:t>比选文件</w:t>
      </w:r>
      <w:r>
        <w:rPr>
          <w:rFonts w:hint="eastAsia" w:ascii="宋体" w:hAnsi="宋体" w:eastAsia="宋体" w:cs="宋体"/>
          <w:color w:val="auto"/>
          <w:szCs w:val="21"/>
          <w:highlight w:val="none"/>
          <w:u w:val="single"/>
          <w:lang w:val="en-US" w:eastAsia="zh-CN"/>
        </w:rPr>
        <w:t>的要求</w:t>
      </w:r>
      <w:r>
        <w:rPr>
          <w:rFonts w:hint="eastAsia" w:ascii="宋体" w:hAnsi="宋体" w:eastAsia="宋体" w:cs="宋体"/>
          <w:color w:val="auto"/>
          <w:szCs w:val="21"/>
          <w:highlight w:val="none"/>
          <w:lang w:val="en-US" w:eastAsia="zh-CN"/>
        </w:rPr>
        <w:t>，</w:t>
      </w:r>
      <w:r>
        <w:rPr>
          <w:rFonts w:ascii="宋体" w:hAnsi="宋体"/>
          <w:snapToGrid w:val="0"/>
          <w:color w:val="auto"/>
          <w:kern w:val="0"/>
          <w:szCs w:val="21"/>
          <w:highlight w:val="none"/>
        </w:rPr>
        <w:t>按合同约定完成设计工作。</w:t>
      </w:r>
    </w:p>
    <w:p w14:paraId="0BC5943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375C6438">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1FBAD6C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2BBCB28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14:paraId="5DBE5056">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6DCF498C">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要求提交履约保证金；</w:t>
      </w:r>
    </w:p>
    <w:p w14:paraId="400664E6">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45A9996B">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章“发包人要求”中所列的技术指标和参数要求完成全部合同</w:t>
      </w:r>
      <w:r>
        <w:rPr>
          <w:rFonts w:hint="eastAsia" w:ascii="宋体" w:hAnsi="宋体"/>
          <w:snapToGrid w:val="0"/>
          <w:color w:val="auto"/>
          <w:kern w:val="0"/>
          <w:szCs w:val="21"/>
          <w:highlight w:val="none"/>
        </w:rPr>
        <w:t>设计工作</w:t>
      </w:r>
      <w:r>
        <w:rPr>
          <w:rFonts w:ascii="宋体" w:hAnsi="宋体"/>
          <w:snapToGrid w:val="0"/>
          <w:color w:val="auto"/>
          <w:kern w:val="0"/>
          <w:szCs w:val="21"/>
          <w:highlight w:val="none"/>
        </w:rPr>
        <w:t>。</w:t>
      </w:r>
    </w:p>
    <w:p w14:paraId="06D835A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color w:val="auto"/>
          <w:szCs w:val="21"/>
          <w:highlight w:val="none"/>
        </w:rPr>
        <w:t>（6）设计成果符合相关行业标准，满足相关部门验收要求。</w:t>
      </w:r>
    </w:p>
    <w:p w14:paraId="3C097D2C">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6F9F734">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6613F6CA">
      <w:pPr>
        <w:pStyle w:val="17"/>
        <w:rPr>
          <w:color w:val="auto"/>
          <w:highlight w:val="none"/>
        </w:rPr>
      </w:pPr>
    </w:p>
    <w:p w14:paraId="52C05D4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1D041B0A">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1AE6DFF6">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F67572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BD9F55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D709F7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502D37D">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7846E28">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D9C4AEE">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32ADAAF">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0A7CEB03">
      <w:pPr>
        <w:pStyle w:val="4"/>
        <w:spacing w:before="0" w:after="0" w:line="240" w:lineRule="auto"/>
        <w:jc w:val="center"/>
        <w:rPr>
          <w:rFonts w:ascii="宋体" w:hAnsi="宋体"/>
          <w:snapToGrid w:val="0"/>
          <w:color w:val="auto"/>
          <w:kern w:val="0"/>
          <w:szCs w:val="21"/>
          <w:highlight w:val="none"/>
        </w:rPr>
      </w:pPr>
      <w:bookmarkStart w:id="796" w:name="_Toc287607868"/>
      <w:bookmarkStart w:id="797" w:name="_Toc224103496"/>
      <w:bookmarkStart w:id="798" w:name="_Toc430530531"/>
      <w:bookmarkStart w:id="799" w:name="_Toc277082644"/>
      <w:bookmarkStart w:id="800" w:name="_Toc287620815"/>
      <w:r>
        <w:rPr>
          <w:rFonts w:ascii="宋体" w:hAnsi="宋体"/>
          <w:color w:val="auto"/>
          <w:sz w:val="28"/>
          <w:highlight w:val="none"/>
        </w:rPr>
        <w:br w:type="page"/>
      </w:r>
      <w:bookmarkStart w:id="801" w:name="_Toc29861"/>
      <w:bookmarkStart w:id="802" w:name="_Toc509218855"/>
      <w:bookmarkStart w:id="803" w:name="_Toc534185832"/>
      <w:r>
        <w:rPr>
          <w:rFonts w:ascii="宋体" w:hAnsi="宋体"/>
          <w:b w:val="0"/>
          <w:bCs w:val="0"/>
          <w:color w:val="auto"/>
          <w:highlight w:val="none"/>
        </w:rPr>
        <w:t>（二）投标函附录</w:t>
      </w:r>
      <w:bookmarkEnd w:id="796"/>
      <w:bookmarkEnd w:id="797"/>
      <w:bookmarkEnd w:id="798"/>
      <w:bookmarkEnd w:id="799"/>
      <w:bookmarkEnd w:id="800"/>
      <w:bookmarkEnd w:id="801"/>
      <w:bookmarkEnd w:id="802"/>
      <w:bookmarkEnd w:id="803"/>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64F110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D6B34ED">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267AF1A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7ABF7867">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2BA6FF29">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02D993F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212674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5" w:hRule="exact"/>
        </w:trPr>
        <w:tc>
          <w:tcPr>
            <w:tcW w:w="720" w:type="dxa"/>
            <w:vAlign w:val="center"/>
          </w:tcPr>
          <w:p w14:paraId="57A39AD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w:t>
            </w:r>
          </w:p>
        </w:tc>
        <w:tc>
          <w:tcPr>
            <w:tcW w:w="2582" w:type="dxa"/>
            <w:vAlign w:val="center"/>
          </w:tcPr>
          <w:p w14:paraId="60D9509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w:t>
            </w:r>
            <w:r>
              <w:rPr>
                <w:rFonts w:hint="eastAsia" w:ascii="宋体" w:hAnsi="宋体"/>
                <w:snapToGrid w:val="0"/>
                <w:color w:val="auto"/>
                <w:kern w:val="0"/>
                <w:szCs w:val="21"/>
                <w:highlight w:val="none"/>
              </w:rPr>
              <w:t>负责人</w:t>
            </w:r>
          </w:p>
        </w:tc>
        <w:tc>
          <w:tcPr>
            <w:tcW w:w="2388" w:type="dxa"/>
            <w:vAlign w:val="center"/>
          </w:tcPr>
          <w:p w14:paraId="33A01A1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60E1B697">
            <w:pPr>
              <w:tabs>
                <w:tab w:val="left" w:pos="2190"/>
              </w:tabs>
              <w:autoSpaceDE w:val="0"/>
              <w:autoSpaceDN w:val="0"/>
              <w:adjustRightInd w:val="0"/>
              <w:jc w:val="center"/>
              <w:rPr>
                <w:color w:val="auto"/>
                <w:highlight w:val="none"/>
              </w:rPr>
            </w:pPr>
            <w:r>
              <w:rPr>
                <w:color w:val="auto"/>
                <w:highlight w:val="none"/>
              </w:rPr>
              <w:t>姓名：</w:t>
            </w:r>
            <w:r>
              <w:rPr>
                <w:rFonts w:hint="eastAsia"/>
                <w:color w:val="auto"/>
                <w:highlight w:val="none"/>
              </w:rPr>
              <w:t xml:space="preserve">    </w:t>
            </w:r>
          </w:p>
        </w:tc>
        <w:tc>
          <w:tcPr>
            <w:tcW w:w="792" w:type="dxa"/>
            <w:vAlign w:val="center"/>
          </w:tcPr>
          <w:p w14:paraId="63602C6F">
            <w:pPr>
              <w:autoSpaceDE w:val="0"/>
              <w:autoSpaceDN w:val="0"/>
              <w:adjustRightInd w:val="0"/>
              <w:jc w:val="center"/>
              <w:rPr>
                <w:rFonts w:ascii="宋体" w:hAnsi="宋体"/>
                <w:snapToGrid w:val="0"/>
                <w:color w:val="auto"/>
                <w:kern w:val="0"/>
                <w:szCs w:val="21"/>
                <w:highlight w:val="none"/>
              </w:rPr>
            </w:pPr>
          </w:p>
        </w:tc>
      </w:tr>
      <w:tr w14:paraId="2553F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D22090">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2</w:t>
            </w:r>
          </w:p>
        </w:tc>
        <w:tc>
          <w:tcPr>
            <w:tcW w:w="2582" w:type="dxa"/>
            <w:vAlign w:val="center"/>
          </w:tcPr>
          <w:p w14:paraId="6F999EF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设计服务期限</w:t>
            </w:r>
          </w:p>
        </w:tc>
        <w:tc>
          <w:tcPr>
            <w:tcW w:w="2388" w:type="dxa"/>
            <w:vAlign w:val="center"/>
          </w:tcPr>
          <w:p w14:paraId="7BDABEE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1CA0043C">
            <w:pPr>
              <w:tabs>
                <w:tab w:val="left" w:pos="1560"/>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天数：</w:t>
            </w:r>
            <w:r>
              <w:rPr>
                <w:rFonts w:hint="eastAsia" w:ascii="宋体" w:hAnsi="宋体"/>
                <w:snapToGrid w:val="0"/>
                <w:color w:val="auto"/>
                <w:kern w:val="0"/>
                <w:szCs w:val="21"/>
                <w:highlight w:val="none"/>
                <w:u w:val="single"/>
              </w:rPr>
              <w:t xml:space="preserve">    </w:t>
            </w:r>
          </w:p>
        </w:tc>
        <w:tc>
          <w:tcPr>
            <w:tcW w:w="792" w:type="dxa"/>
            <w:vAlign w:val="center"/>
          </w:tcPr>
          <w:p w14:paraId="7439558F">
            <w:pPr>
              <w:autoSpaceDE w:val="0"/>
              <w:autoSpaceDN w:val="0"/>
              <w:adjustRightInd w:val="0"/>
              <w:jc w:val="center"/>
              <w:rPr>
                <w:rFonts w:ascii="宋体" w:hAnsi="宋体"/>
                <w:snapToGrid w:val="0"/>
                <w:color w:val="auto"/>
                <w:kern w:val="0"/>
                <w:szCs w:val="21"/>
                <w:highlight w:val="none"/>
              </w:rPr>
            </w:pPr>
          </w:p>
        </w:tc>
      </w:tr>
      <w:tr w14:paraId="63BF6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137784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037461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32216A4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535E5F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76A87838">
            <w:pPr>
              <w:autoSpaceDE w:val="0"/>
              <w:autoSpaceDN w:val="0"/>
              <w:adjustRightInd w:val="0"/>
              <w:jc w:val="center"/>
              <w:rPr>
                <w:rFonts w:ascii="宋体" w:hAnsi="宋体"/>
                <w:snapToGrid w:val="0"/>
                <w:color w:val="auto"/>
                <w:kern w:val="0"/>
                <w:szCs w:val="21"/>
                <w:highlight w:val="none"/>
              </w:rPr>
            </w:pPr>
          </w:p>
        </w:tc>
      </w:tr>
      <w:tr w14:paraId="0ABA62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6E5A60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36C9653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4694C04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71D60A7">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1BA9A23A">
            <w:pPr>
              <w:autoSpaceDE w:val="0"/>
              <w:autoSpaceDN w:val="0"/>
              <w:adjustRightInd w:val="0"/>
              <w:jc w:val="center"/>
              <w:rPr>
                <w:rFonts w:ascii="宋体" w:hAnsi="宋体"/>
                <w:snapToGrid w:val="0"/>
                <w:color w:val="auto"/>
                <w:kern w:val="0"/>
                <w:szCs w:val="21"/>
                <w:highlight w:val="none"/>
              </w:rPr>
            </w:pPr>
          </w:p>
        </w:tc>
      </w:tr>
    </w:tbl>
    <w:p w14:paraId="01B11573">
      <w:pPr>
        <w:spacing w:line="360" w:lineRule="auto"/>
        <w:rPr>
          <w:rFonts w:ascii="宋体" w:hAnsi="宋体"/>
          <w:snapToGrid w:val="0"/>
          <w:color w:val="auto"/>
          <w:w w:val="99"/>
          <w:highlight w:val="none"/>
        </w:rPr>
      </w:pPr>
    </w:p>
    <w:p w14:paraId="7FAFA428">
      <w:pPr>
        <w:pStyle w:val="17"/>
        <w:rPr>
          <w:color w:val="auto"/>
          <w:highlight w:val="none"/>
        </w:rPr>
      </w:pPr>
    </w:p>
    <w:p w14:paraId="3895B5A0">
      <w:pPr>
        <w:tabs>
          <w:tab w:val="left" w:pos="7140"/>
          <w:tab w:val="left" w:pos="7560"/>
          <w:tab w:val="left" w:pos="8300"/>
        </w:tabs>
        <w:autoSpaceDE w:val="0"/>
        <w:autoSpaceDN w:val="0"/>
        <w:adjustRightInd w:val="0"/>
        <w:spacing w:line="360" w:lineRule="auto"/>
        <w:ind w:right="210" w:firstLine="2816" w:firstLineChars="1341"/>
        <w:rPr>
          <w:rFonts w:ascii="宋体" w:hAnsi="宋体"/>
          <w:snapToGrid w:val="0"/>
          <w:color w:val="auto"/>
          <w:kern w:val="0"/>
          <w:szCs w:val="21"/>
          <w:highlight w:val="none"/>
        </w:rPr>
      </w:pPr>
      <w:bookmarkStart w:id="804" w:name="_Hlk66701018"/>
      <w:r>
        <w:rPr>
          <w:rFonts w:hint="eastAsia" w:ascii="宋体" w:hAnsi="宋体"/>
          <w:snapToGrid w:val="0"/>
          <w:color w:val="auto"/>
          <w:kern w:val="0"/>
          <w:szCs w:val="21"/>
          <w:highlight w:val="none"/>
          <w:lang w:val="en-US" w:eastAsia="zh-CN"/>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6CCDC798">
      <w:pPr>
        <w:tabs>
          <w:tab w:val="left" w:pos="7140"/>
          <w:tab w:val="left" w:pos="7560"/>
          <w:tab w:val="left" w:pos="8300"/>
        </w:tabs>
        <w:autoSpaceDE w:val="0"/>
        <w:autoSpaceDN w:val="0"/>
        <w:adjustRightInd w:val="0"/>
        <w:spacing w:line="360" w:lineRule="auto"/>
        <w:ind w:right="210" w:firstLine="2835" w:firstLineChars="13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4E38858B">
      <w:pPr>
        <w:tabs>
          <w:tab w:val="left" w:pos="631"/>
          <w:tab w:val="left" w:pos="1471"/>
          <w:tab w:val="left" w:pos="2311"/>
        </w:tabs>
        <w:autoSpaceDE w:val="0"/>
        <w:autoSpaceDN w:val="0"/>
        <w:spacing w:before="37"/>
        <w:ind w:right="597"/>
        <w:jc w:val="right"/>
        <w:rPr>
          <w:rFonts w:ascii="宋体" w:hAnsi="宋体" w:cs="宋体"/>
          <w:color w:val="auto"/>
          <w:kern w:val="0"/>
          <w:szCs w:val="21"/>
          <w:highlight w:val="none"/>
        </w:rPr>
      </w:pPr>
      <w:r>
        <w:rPr>
          <w:rFonts w:hAnsi="宋体" w:eastAsia="Times New Roman" w:cs="宋体"/>
          <w:color w:val="auto"/>
          <w:kern w:val="0"/>
          <w:szCs w:val="21"/>
          <w:highlight w:val="none"/>
          <w:u w:val="single"/>
        </w:rPr>
        <w:tab/>
      </w:r>
      <w:r>
        <w:rPr>
          <w:rFonts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日</w:t>
      </w:r>
    </w:p>
    <w:bookmarkEnd w:id="804"/>
    <w:p w14:paraId="4A5FDDB8">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5509D1DA">
      <w:pPr>
        <w:pStyle w:val="4"/>
        <w:spacing w:before="0" w:after="0" w:line="240" w:lineRule="auto"/>
        <w:jc w:val="center"/>
        <w:rPr>
          <w:rFonts w:ascii="宋体" w:hAnsi="宋体"/>
          <w:snapToGrid w:val="0"/>
          <w:color w:val="auto"/>
          <w:kern w:val="0"/>
          <w:szCs w:val="21"/>
          <w:highlight w:val="none"/>
        </w:rPr>
      </w:pPr>
      <w:r>
        <w:rPr>
          <w:rFonts w:ascii="宋体" w:hAnsi="宋体"/>
          <w:snapToGrid w:val="0"/>
          <w:color w:val="auto"/>
          <w:highlight w:val="none"/>
        </w:rPr>
        <w:br w:type="page"/>
      </w:r>
      <w:bookmarkStart w:id="805" w:name="_Toc287620816"/>
      <w:bookmarkStart w:id="806" w:name="_Toc277082645"/>
      <w:bookmarkStart w:id="807" w:name="_Toc287607869"/>
      <w:bookmarkStart w:id="808" w:name="_Toc224103497"/>
      <w:bookmarkStart w:id="809" w:name="_Toc12134"/>
      <w:bookmarkStart w:id="810" w:name="_Toc430530532"/>
      <w:r>
        <w:rPr>
          <w:rFonts w:ascii="宋体" w:hAnsi="宋体"/>
          <w:b w:val="0"/>
          <w:bCs w:val="0"/>
          <w:color w:val="auto"/>
          <w:highlight w:val="none"/>
        </w:rPr>
        <w:t>（三）</w:t>
      </w:r>
      <w:r>
        <w:rPr>
          <w:rFonts w:hint="eastAsia" w:ascii="宋体" w:hAnsi="宋体"/>
          <w:b w:val="0"/>
          <w:bCs w:val="0"/>
          <w:color w:val="auto"/>
          <w:sz w:val="30"/>
          <w:szCs w:val="30"/>
          <w:highlight w:val="none"/>
        </w:rPr>
        <w:t>法定代表人身份证明或附有法定代表人身份证明的授权委托书</w:t>
      </w:r>
      <w:bookmarkEnd w:id="805"/>
      <w:bookmarkEnd w:id="806"/>
      <w:bookmarkEnd w:id="807"/>
      <w:bookmarkEnd w:id="808"/>
      <w:bookmarkEnd w:id="809"/>
      <w:bookmarkEnd w:id="810"/>
    </w:p>
    <w:p w14:paraId="783AC8D4">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1E0FFA26">
      <w:pPr>
        <w:spacing w:line="480" w:lineRule="auto"/>
        <w:jc w:val="center"/>
        <w:rPr>
          <w:rFonts w:ascii="宋体" w:hAnsi="宋体"/>
          <w:color w:val="auto"/>
          <w:highlight w:val="none"/>
        </w:rPr>
      </w:pPr>
    </w:p>
    <w:p w14:paraId="45BBF130">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2428B3A">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2573FC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EE017F8">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15D28C1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28BB04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3C337EC">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530E326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A0FEA7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14:paraId="105EEAA7">
      <w:pPr>
        <w:autoSpaceDE w:val="0"/>
        <w:autoSpaceDN w:val="0"/>
        <w:adjustRightInd w:val="0"/>
        <w:snapToGrid w:val="0"/>
        <w:spacing w:line="360" w:lineRule="auto"/>
        <w:jc w:val="left"/>
        <w:rPr>
          <w:rFonts w:ascii="宋体" w:hAnsi="宋体"/>
          <w:color w:val="auto"/>
          <w:szCs w:val="21"/>
          <w:highlight w:val="none"/>
        </w:rPr>
      </w:pPr>
    </w:p>
    <w:p w14:paraId="4EE4FDCE">
      <w:pPr>
        <w:pStyle w:val="17"/>
        <w:spacing w:after="0" w:line="360" w:lineRule="auto"/>
        <w:rPr>
          <w:rFonts w:ascii="宋体" w:hAnsi="宋体"/>
          <w:color w:val="auto"/>
          <w:szCs w:val="21"/>
          <w:highlight w:val="none"/>
        </w:rPr>
      </w:pPr>
    </w:p>
    <w:p w14:paraId="43EE7969">
      <w:pPr>
        <w:pStyle w:val="17"/>
        <w:spacing w:after="0" w:line="360" w:lineRule="auto"/>
        <w:rPr>
          <w:rFonts w:ascii="宋体" w:hAnsi="宋体"/>
          <w:color w:val="auto"/>
          <w:szCs w:val="21"/>
          <w:highlight w:val="none"/>
        </w:rPr>
      </w:pPr>
    </w:p>
    <w:p w14:paraId="70F79E16">
      <w:pPr>
        <w:pStyle w:val="17"/>
        <w:spacing w:after="0" w:line="360" w:lineRule="auto"/>
        <w:rPr>
          <w:rFonts w:ascii="宋体" w:hAnsi="宋体"/>
          <w:color w:val="auto"/>
          <w:szCs w:val="21"/>
          <w:highlight w:val="none"/>
        </w:rPr>
      </w:pPr>
    </w:p>
    <w:p w14:paraId="792552BF">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F593841">
      <w:pPr>
        <w:autoSpaceDE w:val="0"/>
        <w:autoSpaceDN w:val="0"/>
        <w:adjustRightInd w:val="0"/>
        <w:snapToGrid w:val="0"/>
        <w:spacing w:line="480" w:lineRule="auto"/>
        <w:jc w:val="left"/>
        <w:rPr>
          <w:rFonts w:ascii="宋体" w:hAnsi="宋体"/>
          <w:color w:val="auto"/>
          <w:kern w:val="0"/>
          <w:sz w:val="20"/>
          <w:szCs w:val="20"/>
          <w:highlight w:val="none"/>
        </w:rPr>
      </w:pPr>
    </w:p>
    <w:p w14:paraId="724A280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F0936CE">
      <w:pPr>
        <w:autoSpaceDE w:val="0"/>
        <w:autoSpaceDN w:val="0"/>
        <w:adjustRightInd w:val="0"/>
        <w:snapToGrid w:val="0"/>
        <w:spacing w:line="360" w:lineRule="auto"/>
        <w:jc w:val="left"/>
        <w:rPr>
          <w:rFonts w:ascii="宋体" w:hAnsi="宋体"/>
          <w:color w:val="auto"/>
          <w:kern w:val="0"/>
          <w:highlight w:val="none"/>
        </w:rPr>
      </w:pPr>
    </w:p>
    <w:p w14:paraId="1D6C476E">
      <w:pPr>
        <w:autoSpaceDE w:val="0"/>
        <w:autoSpaceDN w:val="0"/>
        <w:adjustRightInd w:val="0"/>
        <w:snapToGrid w:val="0"/>
        <w:spacing w:line="360" w:lineRule="auto"/>
        <w:jc w:val="left"/>
        <w:rPr>
          <w:rFonts w:ascii="宋体" w:hAnsi="宋体"/>
          <w:color w:val="auto"/>
          <w:kern w:val="0"/>
          <w:highlight w:val="none"/>
        </w:rPr>
      </w:pPr>
    </w:p>
    <w:p w14:paraId="1146612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0DD0DAE5">
      <w:pPr>
        <w:spacing w:line="360" w:lineRule="auto"/>
        <w:ind w:firstLine="420" w:firstLineChars="200"/>
        <w:rPr>
          <w:rFonts w:ascii="宋体" w:hAnsi="宋体"/>
          <w:color w:val="auto"/>
          <w:highlight w:val="none"/>
        </w:rPr>
      </w:pPr>
    </w:p>
    <w:p w14:paraId="1DA44F3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14:paraId="2B57796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14:paraId="27D349D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54F3FEF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419919C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66C692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1A689F3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AB4744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D70EC5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A17D36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4B2BAB8">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57B13FC">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C436E0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3E03271">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14:paraId="2BF8860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2FE960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E34205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ACDEFC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CD186B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7F4BAF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AABE4C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13FB7E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76869E64">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153E6539">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1854156E">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38A80D7">
      <w:pPr>
        <w:rPr>
          <w:color w:val="auto"/>
          <w:highlight w:val="none"/>
        </w:rPr>
      </w:pPr>
      <w:r>
        <w:rPr>
          <w:color w:val="auto"/>
          <w:highlight w:val="none"/>
        </w:rPr>
        <w:br w:type="page"/>
      </w:r>
    </w:p>
    <w:p w14:paraId="0976A8DA">
      <w:pPr>
        <w:pStyle w:val="4"/>
        <w:spacing w:before="0" w:after="0" w:line="240" w:lineRule="auto"/>
        <w:jc w:val="center"/>
        <w:rPr>
          <w:rFonts w:ascii="宋体" w:hAnsi="宋体"/>
          <w:b w:val="0"/>
          <w:bCs w:val="0"/>
          <w:color w:val="auto"/>
          <w:highlight w:val="none"/>
        </w:rPr>
      </w:pPr>
      <w:bookmarkStart w:id="811" w:name="_Toc277082646"/>
      <w:bookmarkStart w:id="812" w:name="_Toc287607870"/>
      <w:bookmarkStart w:id="813" w:name="_Toc224103498"/>
      <w:bookmarkStart w:id="814" w:name="_Toc287620817"/>
      <w:bookmarkStart w:id="815" w:name="_Toc57820651"/>
      <w:bookmarkStart w:id="816" w:name="_Toc224103502"/>
      <w:bookmarkStart w:id="817" w:name="_Toc430530536"/>
      <w:bookmarkStart w:id="818" w:name="_Toc4680"/>
      <w:bookmarkStart w:id="819" w:name="_Toc287620821"/>
      <w:bookmarkStart w:id="820" w:name="_Toc287607874"/>
      <w:r>
        <w:rPr>
          <w:rFonts w:ascii="宋体" w:hAnsi="宋体"/>
          <w:b w:val="0"/>
          <w:bCs w:val="0"/>
          <w:color w:val="auto"/>
          <w:highlight w:val="none"/>
        </w:rPr>
        <w:t>（</w:t>
      </w:r>
      <w:r>
        <w:rPr>
          <w:rFonts w:hint="eastAsia" w:ascii="宋体" w:hAnsi="宋体"/>
          <w:b w:val="0"/>
          <w:bCs w:val="0"/>
          <w:color w:val="auto"/>
          <w:highlight w:val="none"/>
          <w:lang w:val="en-US" w:eastAsia="zh-CN"/>
        </w:rPr>
        <w:t>四</w:t>
      </w:r>
      <w:r>
        <w:rPr>
          <w:rFonts w:ascii="宋体" w:hAnsi="宋体"/>
          <w:b w:val="0"/>
          <w:bCs w:val="0"/>
          <w:color w:val="auto"/>
          <w:highlight w:val="none"/>
        </w:rPr>
        <w:t>）</w:t>
      </w:r>
      <w:bookmarkEnd w:id="811"/>
      <w:bookmarkEnd w:id="812"/>
      <w:bookmarkEnd w:id="813"/>
      <w:bookmarkEnd w:id="814"/>
      <w:r>
        <w:rPr>
          <w:rFonts w:hint="eastAsia" w:ascii="宋体" w:hAnsi="宋体"/>
          <w:b w:val="0"/>
          <w:bCs w:val="0"/>
          <w:color w:val="auto"/>
          <w:highlight w:val="none"/>
        </w:rPr>
        <w:t>低价风险担保提交承诺书</w:t>
      </w:r>
      <w:bookmarkEnd w:id="815"/>
    </w:p>
    <w:p w14:paraId="2972B31B">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0C1C9C9">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50A2661D">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BBB9FD0">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616E974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EEFA572">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0F6A5626">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FE9229C">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666D1D9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4373F96E">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7545732">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26E0B56">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1873737">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w:t>
      </w:r>
      <w:r>
        <w:rPr>
          <w:rFonts w:ascii="宋体" w:hAnsi="宋体"/>
          <w:color w:val="auto"/>
          <w:kern w:val="0"/>
          <w:szCs w:val="21"/>
          <w:highlight w:val="none"/>
        </w:rPr>
        <w:t xml:space="preserve">  </w:t>
      </w:r>
      <w:r>
        <w:rPr>
          <w:rFonts w:hint="eastAsia" w:ascii="宋体" w:hAnsi="宋体"/>
          <w:color w:val="auto"/>
          <w:kern w:val="0"/>
          <w:szCs w:val="21"/>
          <w:highlight w:val="none"/>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9F5E5DB">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5AE3994">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527535AB">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257B466">
      <w:pPr>
        <w:spacing w:line="360" w:lineRule="auto"/>
        <w:ind w:firstLine="420" w:firstLineChars="200"/>
        <w:jc w:val="left"/>
        <w:rPr>
          <w:rFonts w:hint="eastAsia" w:ascii="宋体" w:hAnsi="宋体"/>
          <w:color w:val="auto"/>
          <w:highlight w:val="none"/>
        </w:rPr>
      </w:pPr>
    </w:p>
    <w:p w14:paraId="49B778BB">
      <w:pPr>
        <w:jc w:val="center"/>
        <w:outlineLvl w:val="1"/>
        <w:rPr>
          <w:rFonts w:hint="eastAsia" w:ascii="宋体" w:hAnsi="宋体"/>
          <w:b/>
          <w:color w:val="auto"/>
          <w:sz w:val="44"/>
          <w:szCs w:val="44"/>
          <w:highlight w:val="none"/>
        </w:rPr>
      </w:pPr>
    </w:p>
    <w:p w14:paraId="31D2F9E3">
      <w:pPr>
        <w:jc w:val="center"/>
        <w:outlineLvl w:val="1"/>
        <w:rPr>
          <w:rFonts w:hint="eastAsia" w:ascii="宋体" w:hAnsi="宋体"/>
          <w:b/>
          <w:color w:val="auto"/>
          <w:sz w:val="44"/>
          <w:szCs w:val="44"/>
          <w:highlight w:val="none"/>
        </w:rPr>
      </w:pPr>
    </w:p>
    <w:p w14:paraId="7BB40E07">
      <w:pPr>
        <w:jc w:val="center"/>
        <w:outlineLvl w:val="1"/>
        <w:rPr>
          <w:rFonts w:hint="eastAsia" w:ascii="宋体" w:hAnsi="宋体"/>
          <w:b/>
          <w:color w:val="auto"/>
          <w:sz w:val="44"/>
          <w:szCs w:val="44"/>
          <w:highlight w:val="none"/>
        </w:rPr>
      </w:pPr>
    </w:p>
    <w:p w14:paraId="52FA672E">
      <w:pPr>
        <w:jc w:val="center"/>
        <w:outlineLvl w:val="1"/>
        <w:rPr>
          <w:rFonts w:hint="eastAsia" w:ascii="宋体" w:hAnsi="宋体"/>
          <w:b/>
          <w:color w:val="auto"/>
          <w:sz w:val="44"/>
          <w:szCs w:val="44"/>
          <w:highlight w:val="none"/>
        </w:rPr>
      </w:pPr>
    </w:p>
    <w:p w14:paraId="39199F08">
      <w:pPr>
        <w:jc w:val="center"/>
        <w:outlineLvl w:val="1"/>
        <w:rPr>
          <w:rFonts w:hint="eastAsia" w:ascii="宋体" w:hAnsi="宋体"/>
          <w:b/>
          <w:color w:val="auto"/>
          <w:sz w:val="44"/>
          <w:szCs w:val="44"/>
          <w:highlight w:val="none"/>
        </w:rPr>
      </w:pPr>
    </w:p>
    <w:p w14:paraId="2495195C">
      <w:pPr>
        <w:pStyle w:val="3"/>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、技术部分</w:t>
      </w:r>
      <w:bookmarkEnd w:id="816"/>
      <w:bookmarkEnd w:id="817"/>
      <w:bookmarkEnd w:id="818"/>
    </w:p>
    <w:bookmarkEnd w:id="819"/>
    <w:bookmarkEnd w:id="820"/>
    <w:p w14:paraId="139E6063">
      <w:pPr>
        <w:autoSpaceDE w:val="0"/>
        <w:autoSpaceDN w:val="0"/>
        <w:adjustRightInd w:val="0"/>
        <w:snapToGrid w:val="0"/>
        <w:spacing w:line="360" w:lineRule="auto"/>
        <w:ind w:firstLine="411" w:firstLineChars="196"/>
        <w:rPr>
          <w:rFonts w:ascii="宋体" w:hAnsi="宋体"/>
          <w:b/>
          <w:snapToGrid w:val="0"/>
          <w:color w:val="auto"/>
          <w:kern w:val="0"/>
          <w:sz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2541270</wp:posOffset>
                </wp:positionH>
                <wp:positionV relativeFrom="paragraph">
                  <wp:posOffset>8717280</wp:posOffset>
                </wp:positionV>
                <wp:extent cx="807720" cy="693420"/>
                <wp:effectExtent l="0" t="0" r="11430" b="11430"/>
                <wp:wrapNone/>
                <wp:docPr id="3" name="矩形 113"/>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00B1C342"/>
                        </w:txbxContent>
                      </wps:txbx>
                      <wps:bodyPr wrap="square" upright="1"/>
                    </wps:wsp>
                  </a:graphicData>
                </a:graphic>
              </wp:anchor>
            </w:drawing>
          </mc:Choice>
          <mc:Fallback>
            <w:pict>
              <v:rect id="矩形 113" o:spid="_x0000_s1026" o:spt="1" style="position:absolute;left:0pt;margin-left:200.1pt;margin-top:686.4pt;height:54.6pt;width:63.6pt;z-index:251660288;mso-width-relative:page;mso-height-relative:page;" fillcolor="#FFFFFF" filled="t" stroked="f" coordsize="21600,21600" o:gfxdata="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S8a1XaAAAADQEAAA8AAAAAAAAAAQAgAAAAIgAAAGRycy9kb3ducmV2&#10;LnhtbFBLAQIUABQAAAAIAIdO4kBH/BudwQEAAHkDAAAOAAAAAAAAAAEAIAAAACkBAABkcnMvZTJv&#10;RG9jLnhtbFBLBQYAAAAABgAGAFkBAABcBQAAAAA=&#10;">
                <v:fill on="t" focussize="0,0"/>
                <v:stroke on="f"/>
                <v:imagedata o:title=""/>
                <o:lock v:ext="edit" aspectratio="f"/>
                <v:textbox>
                  <w:txbxContent>
                    <w:p w14:paraId="00B1C342"/>
                  </w:txbxContent>
                </v:textbox>
              </v:rect>
            </w:pict>
          </mc:Fallback>
        </mc:AlternateContent>
      </w:r>
    </w:p>
    <w:p w14:paraId="0EBCD45D">
      <w:pPr>
        <w:autoSpaceDE w:val="0"/>
        <w:autoSpaceDN w:val="0"/>
        <w:adjustRightInd w:val="0"/>
        <w:snapToGrid w:val="0"/>
        <w:spacing w:line="360" w:lineRule="auto"/>
        <w:jc w:val="center"/>
        <w:rPr>
          <w:rFonts w:ascii="宋体" w:hAnsi="宋体"/>
          <w:color w:val="auto"/>
          <w:kern w:val="0"/>
          <w:sz w:val="24"/>
          <w:highlight w:val="none"/>
        </w:rPr>
      </w:pPr>
      <w:r>
        <w:rPr>
          <w:rFonts w:ascii="宋体" w:hAnsi="宋体"/>
          <w:color w:val="auto"/>
          <w:kern w:val="0"/>
          <w:sz w:val="24"/>
          <w:highlight w:val="none"/>
        </w:rPr>
        <w:br w:type="page"/>
      </w:r>
    </w:p>
    <w:p w14:paraId="1173DFDD">
      <w:pPr>
        <w:pStyle w:val="17"/>
        <w:rPr>
          <w:color w:val="auto"/>
          <w:highlight w:val="none"/>
        </w:rPr>
      </w:pPr>
    </w:p>
    <w:p w14:paraId="507B21F6">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6FB3B2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71EE1A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8718AE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06783D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2E0420F">
      <w:pPr>
        <w:autoSpaceDE w:val="0"/>
        <w:autoSpaceDN w:val="0"/>
        <w:adjustRightInd w:val="0"/>
        <w:snapToGrid w:val="0"/>
        <w:spacing w:line="360" w:lineRule="auto"/>
        <w:jc w:val="left"/>
        <w:rPr>
          <w:rFonts w:ascii="宋体" w:hAnsi="宋体"/>
          <w:color w:val="auto"/>
          <w:kern w:val="0"/>
          <w:sz w:val="16"/>
          <w:szCs w:val="16"/>
          <w:highlight w:val="none"/>
        </w:rPr>
      </w:pPr>
    </w:p>
    <w:p w14:paraId="23624BB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技术部分</w:t>
      </w:r>
    </w:p>
    <w:p w14:paraId="792FCBCF">
      <w:pPr>
        <w:autoSpaceDE w:val="0"/>
        <w:autoSpaceDN w:val="0"/>
        <w:adjustRightInd w:val="0"/>
        <w:snapToGrid w:val="0"/>
        <w:spacing w:line="360" w:lineRule="auto"/>
        <w:jc w:val="left"/>
        <w:rPr>
          <w:rFonts w:ascii="宋体" w:hAnsi="宋体" w:cs="MingLiU"/>
          <w:color w:val="auto"/>
          <w:kern w:val="0"/>
          <w:sz w:val="20"/>
          <w:szCs w:val="20"/>
          <w:highlight w:val="none"/>
        </w:rPr>
      </w:pPr>
    </w:p>
    <w:p w14:paraId="3B2A302D">
      <w:pPr>
        <w:adjustRightInd w:val="0"/>
        <w:snapToGrid w:val="0"/>
        <w:spacing w:line="264" w:lineRule="auto"/>
        <w:rPr>
          <w:rFonts w:ascii="宋体" w:hAnsi="宋体"/>
          <w:color w:val="auto"/>
          <w:szCs w:val="21"/>
          <w:highlight w:val="none"/>
        </w:rPr>
      </w:pPr>
    </w:p>
    <w:p w14:paraId="41E8C935">
      <w:pPr>
        <w:autoSpaceDE w:val="0"/>
        <w:autoSpaceDN w:val="0"/>
        <w:adjustRightInd w:val="0"/>
        <w:snapToGrid w:val="0"/>
        <w:spacing w:line="360" w:lineRule="auto"/>
        <w:jc w:val="left"/>
        <w:rPr>
          <w:rFonts w:ascii="宋体" w:hAnsi="宋体" w:cs="MingLiU"/>
          <w:color w:val="auto"/>
          <w:kern w:val="0"/>
          <w:sz w:val="20"/>
          <w:szCs w:val="20"/>
          <w:highlight w:val="none"/>
        </w:rPr>
      </w:pPr>
    </w:p>
    <w:p w14:paraId="056CFBAC">
      <w:pPr>
        <w:autoSpaceDE w:val="0"/>
        <w:autoSpaceDN w:val="0"/>
        <w:adjustRightInd w:val="0"/>
        <w:snapToGrid w:val="0"/>
        <w:spacing w:line="360" w:lineRule="auto"/>
        <w:jc w:val="left"/>
        <w:rPr>
          <w:rFonts w:ascii="宋体" w:hAnsi="宋体" w:cs="MingLiU"/>
          <w:color w:val="auto"/>
          <w:kern w:val="0"/>
          <w:sz w:val="20"/>
          <w:szCs w:val="20"/>
          <w:highlight w:val="none"/>
        </w:rPr>
      </w:pPr>
    </w:p>
    <w:p w14:paraId="342EBDD5">
      <w:pPr>
        <w:autoSpaceDE w:val="0"/>
        <w:autoSpaceDN w:val="0"/>
        <w:adjustRightInd w:val="0"/>
        <w:snapToGrid w:val="0"/>
        <w:spacing w:line="360" w:lineRule="auto"/>
        <w:jc w:val="left"/>
        <w:rPr>
          <w:rFonts w:ascii="宋体" w:hAnsi="宋体" w:cs="MingLiU"/>
          <w:color w:val="auto"/>
          <w:kern w:val="0"/>
          <w:sz w:val="20"/>
          <w:szCs w:val="20"/>
          <w:highlight w:val="none"/>
        </w:rPr>
      </w:pPr>
    </w:p>
    <w:p w14:paraId="54D2D0F0">
      <w:pPr>
        <w:autoSpaceDE w:val="0"/>
        <w:autoSpaceDN w:val="0"/>
        <w:adjustRightInd w:val="0"/>
        <w:snapToGrid w:val="0"/>
        <w:spacing w:line="360" w:lineRule="auto"/>
        <w:jc w:val="left"/>
        <w:rPr>
          <w:rFonts w:ascii="宋体" w:hAnsi="宋体" w:cs="MingLiU"/>
          <w:color w:val="auto"/>
          <w:kern w:val="0"/>
          <w:sz w:val="20"/>
          <w:szCs w:val="20"/>
          <w:highlight w:val="none"/>
        </w:rPr>
      </w:pPr>
    </w:p>
    <w:p w14:paraId="02766291">
      <w:pPr>
        <w:autoSpaceDE w:val="0"/>
        <w:autoSpaceDN w:val="0"/>
        <w:adjustRightInd w:val="0"/>
        <w:snapToGrid w:val="0"/>
        <w:spacing w:line="360" w:lineRule="auto"/>
        <w:jc w:val="left"/>
        <w:rPr>
          <w:rFonts w:ascii="宋体" w:hAnsi="宋体" w:cs="MingLiU"/>
          <w:color w:val="auto"/>
          <w:kern w:val="0"/>
          <w:sz w:val="20"/>
          <w:szCs w:val="20"/>
          <w:highlight w:val="none"/>
        </w:rPr>
      </w:pPr>
    </w:p>
    <w:p w14:paraId="63854F1B">
      <w:pPr>
        <w:autoSpaceDE w:val="0"/>
        <w:autoSpaceDN w:val="0"/>
        <w:adjustRightInd w:val="0"/>
        <w:snapToGrid w:val="0"/>
        <w:spacing w:line="360" w:lineRule="auto"/>
        <w:jc w:val="left"/>
        <w:rPr>
          <w:rFonts w:ascii="宋体" w:hAnsi="宋体" w:cs="MingLiU"/>
          <w:color w:val="auto"/>
          <w:kern w:val="0"/>
          <w:sz w:val="20"/>
          <w:szCs w:val="20"/>
          <w:highlight w:val="none"/>
        </w:rPr>
      </w:pPr>
    </w:p>
    <w:p w14:paraId="601006FC">
      <w:pPr>
        <w:autoSpaceDE w:val="0"/>
        <w:autoSpaceDN w:val="0"/>
        <w:adjustRightInd w:val="0"/>
        <w:snapToGrid w:val="0"/>
        <w:spacing w:line="360" w:lineRule="auto"/>
        <w:jc w:val="left"/>
        <w:rPr>
          <w:rFonts w:ascii="宋体" w:hAnsi="宋体" w:cs="MingLiU"/>
          <w:color w:val="auto"/>
          <w:kern w:val="0"/>
          <w:sz w:val="20"/>
          <w:szCs w:val="20"/>
          <w:highlight w:val="none"/>
        </w:rPr>
      </w:pPr>
    </w:p>
    <w:p w14:paraId="6C69BC08">
      <w:pPr>
        <w:autoSpaceDE w:val="0"/>
        <w:autoSpaceDN w:val="0"/>
        <w:adjustRightInd w:val="0"/>
        <w:snapToGrid w:val="0"/>
        <w:spacing w:line="360" w:lineRule="auto"/>
        <w:jc w:val="left"/>
        <w:rPr>
          <w:rFonts w:ascii="宋体" w:hAnsi="宋体" w:cs="MingLiU"/>
          <w:color w:val="auto"/>
          <w:kern w:val="0"/>
          <w:sz w:val="20"/>
          <w:szCs w:val="20"/>
          <w:highlight w:val="none"/>
        </w:rPr>
      </w:pPr>
    </w:p>
    <w:p w14:paraId="2466DB8D">
      <w:pPr>
        <w:autoSpaceDE w:val="0"/>
        <w:autoSpaceDN w:val="0"/>
        <w:adjustRightInd w:val="0"/>
        <w:snapToGrid w:val="0"/>
        <w:spacing w:line="360" w:lineRule="auto"/>
        <w:jc w:val="left"/>
        <w:rPr>
          <w:rFonts w:ascii="宋体" w:hAnsi="宋体" w:cs="MingLiU"/>
          <w:color w:val="auto"/>
          <w:kern w:val="0"/>
          <w:sz w:val="20"/>
          <w:szCs w:val="20"/>
          <w:highlight w:val="none"/>
        </w:rPr>
      </w:pPr>
    </w:p>
    <w:p w14:paraId="45510099">
      <w:pPr>
        <w:autoSpaceDE w:val="0"/>
        <w:autoSpaceDN w:val="0"/>
        <w:adjustRightInd w:val="0"/>
        <w:snapToGrid w:val="0"/>
        <w:spacing w:line="360" w:lineRule="auto"/>
        <w:jc w:val="left"/>
        <w:rPr>
          <w:rFonts w:ascii="宋体" w:hAnsi="宋体" w:cs="MingLiU"/>
          <w:color w:val="auto"/>
          <w:kern w:val="0"/>
          <w:sz w:val="20"/>
          <w:szCs w:val="20"/>
          <w:highlight w:val="none"/>
        </w:rPr>
      </w:pPr>
    </w:p>
    <w:p w14:paraId="76AFD7D9">
      <w:pPr>
        <w:autoSpaceDE w:val="0"/>
        <w:autoSpaceDN w:val="0"/>
        <w:adjustRightInd w:val="0"/>
        <w:snapToGrid w:val="0"/>
        <w:spacing w:line="360" w:lineRule="auto"/>
        <w:jc w:val="left"/>
        <w:rPr>
          <w:rFonts w:ascii="宋体" w:hAnsi="宋体" w:cs="MingLiU"/>
          <w:color w:val="auto"/>
          <w:kern w:val="0"/>
          <w:sz w:val="20"/>
          <w:szCs w:val="20"/>
          <w:highlight w:val="none"/>
        </w:rPr>
      </w:pPr>
    </w:p>
    <w:p w14:paraId="330BFB0F">
      <w:pPr>
        <w:autoSpaceDE w:val="0"/>
        <w:autoSpaceDN w:val="0"/>
        <w:adjustRightInd w:val="0"/>
        <w:snapToGrid w:val="0"/>
        <w:spacing w:line="360" w:lineRule="auto"/>
        <w:jc w:val="left"/>
        <w:rPr>
          <w:rFonts w:ascii="宋体" w:hAnsi="宋体" w:cs="MingLiU"/>
          <w:color w:val="auto"/>
          <w:kern w:val="0"/>
          <w:sz w:val="20"/>
          <w:szCs w:val="20"/>
          <w:highlight w:val="none"/>
        </w:rPr>
      </w:pPr>
    </w:p>
    <w:p w14:paraId="6994435A">
      <w:pPr>
        <w:autoSpaceDE w:val="0"/>
        <w:autoSpaceDN w:val="0"/>
        <w:adjustRightInd w:val="0"/>
        <w:snapToGrid w:val="0"/>
        <w:spacing w:line="360" w:lineRule="auto"/>
        <w:jc w:val="left"/>
        <w:rPr>
          <w:rFonts w:ascii="宋体" w:hAnsi="宋体" w:cs="MingLiU"/>
          <w:color w:val="auto"/>
          <w:kern w:val="0"/>
          <w:sz w:val="20"/>
          <w:szCs w:val="20"/>
          <w:highlight w:val="none"/>
        </w:rPr>
      </w:pPr>
    </w:p>
    <w:p w14:paraId="5E9B82ED">
      <w:pPr>
        <w:autoSpaceDE w:val="0"/>
        <w:autoSpaceDN w:val="0"/>
        <w:adjustRightInd w:val="0"/>
        <w:snapToGrid w:val="0"/>
        <w:spacing w:line="360" w:lineRule="auto"/>
        <w:jc w:val="left"/>
        <w:rPr>
          <w:rFonts w:ascii="宋体" w:hAnsi="宋体" w:cs="MingLiU"/>
          <w:color w:val="auto"/>
          <w:kern w:val="0"/>
          <w:sz w:val="20"/>
          <w:szCs w:val="20"/>
          <w:highlight w:val="none"/>
        </w:rPr>
      </w:pPr>
    </w:p>
    <w:p w14:paraId="55B9B853">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09FD677">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39D5839F">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6A6C51CF">
      <w:pPr>
        <w:autoSpaceDE w:val="0"/>
        <w:autoSpaceDN w:val="0"/>
        <w:adjustRightInd w:val="0"/>
        <w:snapToGrid w:val="0"/>
        <w:spacing w:line="360" w:lineRule="auto"/>
        <w:jc w:val="center"/>
        <w:rPr>
          <w:rFonts w:ascii="宋体" w:hAnsi="宋体"/>
          <w:color w:val="auto"/>
          <w:kern w:val="0"/>
          <w:sz w:val="36"/>
          <w:szCs w:val="36"/>
          <w:highlight w:val="none"/>
        </w:rPr>
      </w:pPr>
    </w:p>
    <w:p w14:paraId="18594E89">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74C0A999">
      <w:pPr>
        <w:autoSpaceDE w:val="0"/>
        <w:autoSpaceDN w:val="0"/>
        <w:adjustRightInd w:val="0"/>
        <w:snapToGrid w:val="0"/>
        <w:spacing w:line="360" w:lineRule="auto"/>
        <w:jc w:val="left"/>
        <w:rPr>
          <w:rFonts w:ascii="宋体" w:hAnsi="宋体"/>
          <w:color w:val="auto"/>
          <w:kern w:val="0"/>
          <w:sz w:val="32"/>
          <w:szCs w:val="32"/>
          <w:highlight w:val="none"/>
        </w:rPr>
      </w:pPr>
    </w:p>
    <w:p w14:paraId="58FDBE75">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竞标人</w:t>
      </w:r>
      <w:r>
        <w:rPr>
          <w:rFonts w:ascii="宋体" w:hAnsi="宋体"/>
          <w:i/>
          <w:iCs/>
          <w:color w:val="auto"/>
          <w:kern w:val="0"/>
          <w:szCs w:val="21"/>
          <w:highlight w:val="none"/>
        </w:rPr>
        <w:t>自行编制]</w:t>
      </w:r>
    </w:p>
    <w:p w14:paraId="12CE50F0">
      <w:pPr>
        <w:autoSpaceDE w:val="0"/>
        <w:autoSpaceDN w:val="0"/>
        <w:adjustRightInd w:val="0"/>
        <w:snapToGrid w:val="0"/>
        <w:spacing w:line="360" w:lineRule="auto"/>
        <w:jc w:val="left"/>
        <w:rPr>
          <w:rFonts w:ascii="宋体" w:hAnsi="宋体"/>
          <w:color w:val="auto"/>
          <w:w w:val="99"/>
          <w:kern w:val="0"/>
          <w:sz w:val="28"/>
          <w:szCs w:val="28"/>
          <w:highlight w:val="none"/>
        </w:rPr>
      </w:pPr>
    </w:p>
    <w:p w14:paraId="0D3A8344">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821" w:name="_Toc24185"/>
      <w:bookmarkStart w:id="822" w:name="_Toc7282"/>
      <w:bookmarkStart w:id="823" w:name="_Toc29745"/>
      <w:r>
        <w:rPr>
          <w:rStyle w:val="62"/>
          <w:rFonts w:hint="eastAsia"/>
          <w:color w:val="auto"/>
          <w:highlight w:val="none"/>
        </w:rPr>
        <w:t>技术方案</w:t>
      </w:r>
      <w:bookmarkEnd w:id="821"/>
      <w:bookmarkEnd w:id="822"/>
      <w:bookmarkEnd w:id="823"/>
    </w:p>
    <w:p w14:paraId="36549953">
      <w:pPr>
        <w:autoSpaceDE w:val="0"/>
        <w:autoSpaceDN w:val="0"/>
        <w:adjustRightInd w:val="0"/>
        <w:snapToGrid w:val="0"/>
        <w:spacing w:line="360" w:lineRule="auto"/>
        <w:jc w:val="left"/>
        <w:rPr>
          <w:rFonts w:ascii="宋体" w:hAnsi="宋体"/>
          <w:color w:val="auto"/>
          <w:kern w:val="0"/>
          <w:sz w:val="12"/>
          <w:szCs w:val="12"/>
          <w:highlight w:val="none"/>
        </w:rPr>
      </w:pPr>
    </w:p>
    <w:p w14:paraId="259CB280">
      <w:pPr>
        <w:autoSpaceDE w:val="0"/>
        <w:autoSpaceDN w:val="0"/>
        <w:adjustRightInd w:val="0"/>
        <w:snapToGrid w:val="0"/>
        <w:spacing w:line="360" w:lineRule="auto"/>
        <w:jc w:val="center"/>
        <w:rPr>
          <w:rFonts w:ascii="宋体" w:hAnsi="宋体"/>
          <w:color w:val="auto"/>
          <w:w w:val="99"/>
          <w:kern w:val="0"/>
          <w:sz w:val="28"/>
          <w:szCs w:val="28"/>
          <w:highlight w:val="none"/>
        </w:rPr>
      </w:pPr>
      <w:r>
        <w:rPr>
          <w:rFonts w:hint="eastAsia" w:ascii="宋体" w:hAnsi="宋体"/>
          <w:i/>
          <w:color w:val="auto"/>
          <w:kern w:val="0"/>
          <w:szCs w:val="21"/>
          <w:highlight w:val="none"/>
        </w:rPr>
        <w:t>[提示：竞标人应根据比选文件的要求编制技术方案]</w:t>
      </w:r>
    </w:p>
    <w:p w14:paraId="16840F58">
      <w:pPr>
        <w:tabs>
          <w:tab w:val="left" w:pos="1700"/>
        </w:tabs>
        <w:autoSpaceDE w:val="0"/>
        <w:autoSpaceDN w:val="0"/>
        <w:adjustRightInd w:val="0"/>
        <w:snapToGrid w:val="0"/>
        <w:spacing w:line="360" w:lineRule="auto"/>
        <w:ind w:firstLine="840" w:firstLineChars="400"/>
        <w:jc w:val="left"/>
        <w:rPr>
          <w:rFonts w:ascii="宋体" w:hAnsi="宋体"/>
          <w:color w:val="auto"/>
          <w:kern w:val="0"/>
          <w:szCs w:val="21"/>
          <w:highlight w:val="none"/>
        </w:rPr>
      </w:pPr>
    </w:p>
    <w:p w14:paraId="36207A7A">
      <w:pPr>
        <w:rPr>
          <w:color w:val="auto"/>
          <w:highlight w:val="none"/>
        </w:rPr>
      </w:pPr>
      <w:r>
        <w:rPr>
          <w:color w:val="auto"/>
          <w:highlight w:val="none"/>
        </w:rPr>
        <w:br w:type="page"/>
      </w:r>
    </w:p>
    <w:p w14:paraId="3C996631">
      <w:pPr>
        <w:jc w:val="center"/>
        <w:rPr>
          <w:rFonts w:ascii="宋体" w:hAnsi="宋体"/>
          <w:color w:val="auto"/>
          <w:sz w:val="36"/>
          <w:szCs w:val="36"/>
          <w:highlight w:val="none"/>
        </w:rPr>
      </w:pPr>
      <w:r>
        <w:rPr>
          <w:rFonts w:ascii="宋体" w:hAnsi="宋体"/>
          <w:color w:val="auto"/>
          <w:kern w:val="0"/>
          <w:sz w:val="24"/>
          <w:highlight w:val="none"/>
        </w:rPr>
        <w:t xml:space="preserve"> </w:t>
      </w:r>
    </w:p>
    <w:p w14:paraId="7F61ED90">
      <w:pPr>
        <w:pStyle w:val="3"/>
        <w:spacing w:line="360" w:lineRule="auto"/>
        <w:jc w:val="center"/>
        <w:rPr>
          <w:rFonts w:ascii="宋体" w:hAnsi="宋体"/>
          <w:b w:val="0"/>
          <w:bCs w:val="0"/>
          <w:color w:val="auto"/>
          <w:sz w:val="44"/>
          <w:szCs w:val="44"/>
          <w:highlight w:val="none"/>
        </w:rPr>
      </w:pPr>
      <w:bookmarkStart w:id="824" w:name="_Toc277082656"/>
      <w:bookmarkStart w:id="825" w:name="_Toc287620829"/>
      <w:bookmarkStart w:id="826" w:name="_Toc430530545"/>
      <w:bookmarkStart w:id="827" w:name="_Toc224103510"/>
      <w:bookmarkStart w:id="828" w:name="_Toc287607882"/>
      <w:bookmarkStart w:id="829" w:name="_Toc9645"/>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w:t>
      </w:r>
      <w:bookmarkEnd w:id="824"/>
      <w:bookmarkEnd w:id="825"/>
      <w:bookmarkEnd w:id="826"/>
      <w:bookmarkEnd w:id="827"/>
      <w:bookmarkEnd w:id="828"/>
      <w:r>
        <w:rPr>
          <w:rFonts w:hint="eastAsia" w:ascii="宋体" w:hAnsi="宋体"/>
          <w:b w:val="0"/>
          <w:bCs w:val="0"/>
          <w:color w:val="auto"/>
          <w:sz w:val="44"/>
          <w:szCs w:val="44"/>
          <w:highlight w:val="none"/>
        </w:rPr>
        <w:t>资格审查部分</w:t>
      </w:r>
      <w:bookmarkEnd w:id="829"/>
    </w:p>
    <w:p w14:paraId="758CA542">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7F967207">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D89FEB6">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75D2967F">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4B6A9DDF">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3E093D9D">
      <w:pPr>
        <w:autoSpaceDE w:val="0"/>
        <w:autoSpaceDN w:val="0"/>
        <w:adjustRightInd w:val="0"/>
        <w:snapToGrid w:val="0"/>
        <w:spacing w:line="360" w:lineRule="auto"/>
        <w:jc w:val="left"/>
        <w:rPr>
          <w:rFonts w:ascii="宋体" w:hAnsi="宋体"/>
          <w:color w:val="auto"/>
          <w:kern w:val="0"/>
          <w:sz w:val="16"/>
          <w:szCs w:val="16"/>
          <w:highlight w:val="none"/>
        </w:rPr>
      </w:pPr>
    </w:p>
    <w:p w14:paraId="7F8CB608">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61E6AC65">
      <w:pPr>
        <w:autoSpaceDE w:val="0"/>
        <w:autoSpaceDN w:val="0"/>
        <w:adjustRightInd w:val="0"/>
        <w:snapToGrid w:val="0"/>
        <w:spacing w:line="360" w:lineRule="auto"/>
        <w:jc w:val="left"/>
        <w:rPr>
          <w:rFonts w:ascii="宋体" w:hAnsi="宋体" w:cs="MingLiU"/>
          <w:color w:val="auto"/>
          <w:kern w:val="0"/>
          <w:sz w:val="20"/>
          <w:szCs w:val="20"/>
          <w:highlight w:val="none"/>
        </w:rPr>
      </w:pPr>
    </w:p>
    <w:p w14:paraId="1825BC4D">
      <w:pPr>
        <w:adjustRightInd w:val="0"/>
        <w:snapToGrid w:val="0"/>
        <w:spacing w:line="264" w:lineRule="auto"/>
        <w:rPr>
          <w:rFonts w:ascii="宋体" w:hAnsi="宋体"/>
          <w:color w:val="auto"/>
          <w:szCs w:val="21"/>
          <w:highlight w:val="none"/>
        </w:rPr>
      </w:pPr>
    </w:p>
    <w:p w14:paraId="44A73DCE">
      <w:pPr>
        <w:autoSpaceDE w:val="0"/>
        <w:autoSpaceDN w:val="0"/>
        <w:adjustRightInd w:val="0"/>
        <w:snapToGrid w:val="0"/>
        <w:spacing w:line="360" w:lineRule="auto"/>
        <w:jc w:val="left"/>
        <w:rPr>
          <w:rFonts w:ascii="宋体" w:hAnsi="宋体" w:cs="MingLiU"/>
          <w:color w:val="auto"/>
          <w:kern w:val="0"/>
          <w:sz w:val="20"/>
          <w:szCs w:val="20"/>
          <w:highlight w:val="none"/>
        </w:rPr>
      </w:pPr>
    </w:p>
    <w:p w14:paraId="3131D7A1">
      <w:pPr>
        <w:autoSpaceDE w:val="0"/>
        <w:autoSpaceDN w:val="0"/>
        <w:adjustRightInd w:val="0"/>
        <w:snapToGrid w:val="0"/>
        <w:spacing w:line="360" w:lineRule="auto"/>
        <w:jc w:val="left"/>
        <w:rPr>
          <w:rFonts w:ascii="宋体" w:hAnsi="宋体" w:cs="MingLiU"/>
          <w:color w:val="auto"/>
          <w:kern w:val="0"/>
          <w:sz w:val="20"/>
          <w:szCs w:val="20"/>
          <w:highlight w:val="none"/>
        </w:rPr>
      </w:pPr>
    </w:p>
    <w:p w14:paraId="5C8D0A71">
      <w:pPr>
        <w:autoSpaceDE w:val="0"/>
        <w:autoSpaceDN w:val="0"/>
        <w:adjustRightInd w:val="0"/>
        <w:snapToGrid w:val="0"/>
        <w:spacing w:line="360" w:lineRule="auto"/>
        <w:jc w:val="left"/>
        <w:rPr>
          <w:rFonts w:ascii="宋体" w:hAnsi="宋体" w:cs="MingLiU"/>
          <w:color w:val="auto"/>
          <w:kern w:val="0"/>
          <w:sz w:val="20"/>
          <w:szCs w:val="20"/>
          <w:highlight w:val="none"/>
        </w:rPr>
      </w:pPr>
    </w:p>
    <w:p w14:paraId="0B49A823">
      <w:pPr>
        <w:autoSpaceDE w:val="0"/>
        <w:autoSpaceDN w:val="0"/>
        <w:adjustRightInd w:val="0"/>
        <w:snapToGrid w:val="0"/>
        <w:spacing w:line="360" w:lineRule="auto"/>
        <w:jc w:val="left"/>
        <w:rPr>
          <w:rFonts w:ascii="宋体" w:hAnsi="宋体" w:cs="MingLiU"/>
          <w:color w:val="auto"/>
          <w:kern w:val="0"/>
          <w:sz w:val="20"/>
          <w:szCs w:val="20"/>
          <w:highlight w:val="none"/>
        </w:rPr>
      </w:pPr>
    </w:p>
    <w:p w14:paraId="34C946F0">
      <w:pPr>
        <w:autoSpaceDE w:val="0"/>
        <w:autoSpaceDN w:val="0"/>
        <w:adjustRightInd w:val="0"/>
        <w:snapToGrid w:val="0"/>
        <w:spacing w:line="360" w:lineRule="auto"/>
        <w:jc w:val="left"/>
        <w:rPr>
          <w:rFonts w:ascii="宋体" w:hAnsi="宋体" w:cs="MingLiU"/>
          <w:color w:val="auto"/>
          <w:kern w:val="0"/>
          <w:sz w:val="20"/>
          <w:szCs w:val="20"/>
          <w:highlight w:val="none"/>
        </w:rPr>
      </w:pPr>
    </w:p>
    <w:p w14:paraId="2C92F768">
      <w:pPr>
        <w:autoSpaceDE w:val="0"/>
        <w:autoSpaceDN w:val="0"/>
        <w:adjustRightInd w:val="0"/>
        <w:snapToGrid w:val="0"/>
        <w:spacing w:line="360" w:lineRule="auto"/>
        <w:jc w:val="left"/>
        <w:rPr>
          <w:rFonts w:ascii="宋体" w:hAnsi="宋体" w:cs="MingLiU"/>
          <w:color w:val="auto"/>
          <w:kern w:val="0"/>
          <w:sz w:val="20"/>
          <w:szCs w:val="20"/>
          <w:highlight w:val="none"/>
        </w:rPr>
      </w:pPr>
    </w:p>
    <w:p w14:paraId="11AF2C35">
      <w:pPr>
        <w:autoSpaceDE w:val="0"/>
        <w:autoSpaceDN w:val="0"/>
        <w:adjustRightInd w:val="0"/>
        <w:snapToGrid w:val="0"/>
        <w:spacing w:line="360" w:lineRule="auto"/>
        <w:jc w:val="left"/>
        <w:rPr>
          <w:rFonts w:ascii="宋体" w:hAnsi="宋体" w:cs="MingLiU"/>
          <w:color w:val="auto"/>
          <w:kern w:val="0"/>
          <w:sz w:val="20"/>
          <w:szCs w:val="20"/>
          <w:highlight w:val="none"/>
        </w:rPr>
      </w:pPr>
    </w:p>
    <w:p w14:paraId="3954C262">
      <w:pPr>
        <w:autoSpaceDE w:val="0"/>
        <w:autoSpaceDN w:val="0"/>
        <w:adjustRightInd w:val="0"/>
        <w:snapToGrid w:val="0"/>
        <w:spacing w:line="360" w:lineRule="auto"/>
        <w:jc w:val="left"/>
        <w:rPr>
          <w:rFonts w:ascii="宋体" w:hAnsi="宋体" w:cs="MingLiU"/>
          <w:color w:val="auto"/>
          <w:kern w:val="0"/>
          <w:sz w:val="20"/>
          <w:szCs w:val="20"/>
          <w:highlight w:val="none"/>
        </w:rPr>
      </w:pPr>
    </w:p>
    <w:p w14:paraId="789F5D10">
      <w:pPr>
        <w:autoSpaceDE w:val="0"/>
        <w:autoSpaceDN w:val="0"/>
        <w:adjustRightInd w:val="0"/>
        <w:snapToGrid w:val="0"/>
        <w:spacing w:line="360" w:lineRule="auto"/>
        <w:jc w:val="left"/>
        <w:rPr>
          <w:rFonts w:ascii="宋体" w:hAnsi="宋体" w:cs="MingLiU"/>
          <w:color w:val="auto"/>
          <w:kern w:val="0"/>
          <w:sz w:val="20"/>
          <w:szCs w:val="20"/>
          <w:highlight w:val="none"/>
        </w:rPr>
      </w:pPr>
    </w:p>
    <w:p w14:paraId="2FE81AC2">
      <w:pPr>
        <w:autoSpaceDE w:val="0"/>
        <w:autoSpaceDN w:val="0"/>
        <w:adjustRightInd w:val="0"/>
        <w:snapToGrid w:val="0"/>
        <w:spacing w:line="360" w:lineRule="auto"/>
        <w:jc w:val="left"/>
        <w:rPr>
          <w:rFonts w:ascii="宋体" w:hAnsi="宋体" w:cs="MingLiU"/>
          <w:color w:val="auto"/>
          <w:kern w:val="0"/>
          <w:sz w:val="20"/>
          <w:szCs w:val="20"/>
          <w:highlight w:val="none"/>
        </w:rPr>
      </w:pPr>
    </w:p>
    <w:p w14:paraId="5BE12305">
      <w:pPr>
        <w:autoSpaceDE w:val="0"/>
        <w:autoSpaceDN w:val="0"/>
        <w:adjustRightInd w:val="0"/>
        <w:snapToGrid w:val="0"/>
        <w:spacing w:line="360" w:lineRule="auto"/>
        <w:jc w:val="left"/>
        <w:rPr>
          <w:rFonts w:ascii="宋体" w:hAnsi="宋体" w:cs="MingLiU"/>
          <w:color w:val="auto"/>
          <w:kern w:val="0"/>
          <w:sz w:val="20"/>
          <w:szCs w:val="20"/>
          <w:highlight w:val="none"/>
        </w:rPr>
      </w:pPr>
    </w:p>
    <w:p w14:paraId="3EDB6632">
      <w:pPr>
        <w:autoSpaceDE w:val="0"/>
        <w:autoSpaceDN w:val="0"/>
        <w:adjustRightInd w:val="0"/>
        <w:snapToGrid w:val="0"/>
        <w:spacing w:line="360" w:lineRule="auto"/>
        <w:jc w:val="left"/>
        <w:rPr>
          <w:rFonts w:ascii="宋体" w:hAnsi="宋体" w:cs="MingLiU"/>
          <w:color w:val="auto"/>
          <w:kern w:val="0"/>
          <w:sz w:val="20"/>
          <w:szCs w:val="20"/>
          <w:highlight w:val="none"/>
        </w:rPr>
      </w:pPr>
    </w:p>
    <w:p w14:paraId="53D50A8A">
      <w:pPr>
        <w:autoSpaceDE w:val="0"/>
        <w:autoSpaceDN w:val="0"/>
        <w:adjustRightInd w:val="0"/>
        <w:snapToGrid w:val="0"/>
        <w:spacing w:line="360" w:lineRule="auto"/>
        <w:jc w:val="left"/>
        <w:rPr>
          <w:rFonts w:ascii="宋体" w:hAnsi="宋体" w:cs="MingLiU"/>
          <w:color w:val="auto"/>
          <w:kern w:val="0"/>
          <w:sz w:val="20"/>
          <w:szCs w:val="20"/>
          <w:highlight w:val="none"/>
        </w:rPr>
      </w:pPr>
    </w:p>
    <w:p w14:paraId="46C0BE74">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4C1C8F2">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3F42F829">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59579DB2">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69BA0CEF">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F095241">
      <w:pPr>
        <w:spacing w:line="360" w:lineRule="auto"/>
        <w:jc w:val="center"/>
        <w:rPr>
          <w:rFonts w:ascii="宋体" w:hAnsi="宋体"/>
          <w:b/>
          <w:color w:val="auto"/>
          <w:kern w:val="0"/>
          <w:sz w:val="32"/>
          <w:szCs w:val="32"/>
          <w:highlight w:val="none"/>
        </w:rPr>
      </w:pPr>
    </w:p>
    <w:p w14:paraId="48969523">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17801B47">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lang w:eastAsia="zh-CN"/>
        </w:rPr>
        <w:t>竞选人</w:t>
      </w:r>
      <w:r>
        <w:rPr>
          <w:rFonts w:ascii="宋体" w:hAnsi="宋体"/>
          <w:color w:val="auto"/>
          <w:highlight w:val="none"/>
        </w:rPr>
        <w:t>基本情况表</w:t>
      </w:r>
    </w:p>
    <w:p w14:paraId="275B9151">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w:t>
      </w:r>
      <w:r>
        <w:rPr>
          <w:rFonts w:hint="eastAsia" w:ascii="宋体" w:hAnsi="宋体"/>
          <w:color w:val="auto"/>
          <w:highlight w:val="none"/>
        </w:rPr>
        <w:t>主要人员汇总表</w:t>
      </w:r>
    </w:p>
    <w:p w14:paraId="2C50067D">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主要人员简历表</w:t>
      </w:r>
    </w:p>
    <w:p w14:paraId="6A320B53">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承诺</w:t>
      </w:r>
    </w:p>
    <w:p w14:paraId="544BC4C7">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）其他资料</w:t>
      </w:r>
    </w:p>
    <w:p w14:paraId="0C78C29F">
      <w:pPr>
        <w:spacing w:line="360" w:lineRule="auto"/>
        <w:ind w:firstLine="420" w:firstLineChars="200"/>
        <w:rPr>
          <w:rFonts w:ascii="宋体" w:hAnsi="宋体"/>
          <w:color w:val="auto"/>
          <w:szCs w:val="21"/>
          <w:highlight w:val="none"/>
        </w:rPr>
      </w:pPr>
    </w:p>
    <w:p w14:paraId="4B6B5BE6">
      <w:pPr>
        <w:spacing w:line="360" w:lineRule="auto"/>
        <w:ind w:firstLine="420" w:firstLineChars="200"/>
        <w:rPr>
          <w:color w:val="auto"/>
          <w:highlight w:val="none"/>
        </w:rPr>
      </w:pPr>
    </w:p>
    <w:p w14:paraId="0C4DD3C5">
      <w:pPr>
        <w:spacing w:line="360" w:lineRule="auto"/>
        <w:jc w:val="center"/>
        <w:rPr>
          <w:rFonts w:ascii="宋体" w:hAnsi="宋体"/>
          <w:b/>
          <w:color w:val="auto"/>
          <w:kern w:val="0"/>
          <w:sz w:val="32"/>
          <w:szCs w:val="32"/>
          <w:highlight w:val="none"/>
        </w:rPr>
      </w:pPr>
    </w:p>
    <w:p w14:paraId="4DE53910">
      <w:pPr>
        <w:spacing w:line="360" w:lineRule="auto"/>
        <w:jc w:val="center"/>
        <w:rPr>
          <w:rFonts w:ascii="宋体" w:hAnsi="宋体"/>
          <w:b/>
          <w:color w:val="auto"/>
          <w:kern w:val="0"/>
          <w:sz w:val="32"/>
          <w:szCs w:val="32"/>
          <w:highlight w:val="none"/>
        </w:rPr>
      </w:pPr>
    </w:p>
    <w:p w14:paraId="2C3E444B">
      <w:pPr>
        <w:pStyle w:val="4"/>
        <w:spacing w:before="0" w:after="0" w:line="240" w:lineRule="auto"/>
        <w:jc w:val="center"/>
        <w:rPr>
          <w:rFonts w:ascii="宋体" w:hAnsi="宋体"/>
          <w:color w:val="auto"/>
          <w:sz w:val="30"/>
          <w:szCs w:val="30"/>
          <w:highlight w:val="none"/>
        </w:rPr>
      </w:pPr>
      <w:r>
        <w:rPr>
          <w:rFonts w:ascii="宋体" w:hAnsi="宋体"/>
          <w:color w:val="auto"/>
          <w:highlight w:val="none"/>
        </w:rPr>
        <w:br w:type="page"/>
      </w:r>
      <w:bookmarkStart w:id="830" w:name="_Toc287620830"/>
      <w:bookmarkStart w:id="831" w:name="_Toc25467"/>
      <w:bookmarkStart w:id="832" w:name="_Toc277082657"/>
      <w:bookmarkStart w:id="833" w:name="_Toc430530546"/>
      <w:bookmarkStart w:id="834" w:name="_Toc287607883"/>
      <w:bookmarkStart w:id="835" w:name="_Toc224103511"/>
      <w:r>
        <w:rPr>
          <w:rFonts w:hint="eastAsia" w:ascii="宋体" w:hAnsi="宋体"/>
          <w:b w:val="0"/>
          <w:bCs w:val="0"/>
          <w:color w:val="auto"/>
          <w:sz w:val="30"/>
          <w:szCs w:val="30"/>
          <w:highlight w:val="none"/>
        </w:rPr>
        <w:t>（一）法定代表人身份证明或附有法定代表人身份证明的授权委托书</w:t>
      </w:r>
      <w:bookmarkEnd w:id="830"/>
      <w:bookmarkEnd w:id="831"/>
      <w:bookmarkEnd w:id="832"/>
      <w:bookmarkEnd w:id="833"/>
      <w:bookmarkEnd w:id="834"/>
      <w:bookmarkEnd w:id="835"/>
    </w:p>
    <w:p w14:paraId="152EBA69">
      <w:pPr>
        <w:spacing w:line="480" w:lineRule="auto"/>
        <w:jc w:val="center"/>
        <w:rPr>
          <w:rFonts w:ascii="宋体" w:hAnsi="宋体"/>
          <w:color w:val="auto"/>
          <w:sz w:val="28"/>
          <w:highlight w:val="none"/>
        </w:rPr>
      </w:pPr>
    </w:p>
    <w:p w14:paraId="73488914">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A05BC05">
      <w:pPr>
        <w:spacing w:line="480" w:lineRule="auto"/>
        <w:jc w:val="center"/>
        <w:rPr>
          <w:rFonts w:ascii="宋体" w:hAnsi="宋体"/>
          <w:color w:val="auto"/>
          <w:highlight w:val="none"/>
        </w:rPr>
      </w:pPr>
    </w:p>
    <w:p w14:paraId="2E661D60">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9334BB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74DC90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7BFD22D">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6EB32D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AF10DF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FF0B02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1D0CA96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289C7F7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14:paraId="13739222">
      <w:pPr>
        <w:autoSpaceDE w:val="0"/>
        <w:autoSpaceDN w:val="0"/>
        <w:adjustRightInd w:val="0"/>
        <w:snapToGrid w:val="0"/>
        <w:spacing w:line="360" w:lineRule="auto"/>
        <w:jc w:val="left"/>
        <w:rPr>
          <w:rFonts w:ascii="宋体" w:hAnsi="宋体"/>
          <w:color w:val="auto"/>
          <w:szCs w:val="21"/>
          <w:highlight w:val="none"/>
        </w:rPr>
      </w:pPr>
    </w:p>
    <w:p w14:paraId="05172F82">
      <w:pPr>
        <w:pStyle w:val="17"/>
        <w:spacing w:after="0" w:line="360" w:lineRule="auto"/>
        <w:rPr>
          <w:rFonts w:ascii="宋体" w:hAnsi="宋体"/>
          <w:color w:val="auto"/>
          <w:szCs w:val="21"/>
          <w:highlight w:val="none"/>
        </w:rPr>
      </w:pPr>
    </w:p>
    <w:p w14:paraId="6462DDBD">
      <w:pPr>
        <w:pStyle w:val="17"/>
        <w:spacing w:after="0" w:line="360" w:lineRule="auto"/>
        <w:rPr>
          <w:rFonts w:ascii="宋体" w:hAnsi="宋体"/>
          <w:color w:val="auto"/>
          <w:szCs w:val="21"/>
          <w:highlight w:val="none"/>
        </w:rPr>
      </w:pPr>
    </w:p>
    <w:p w14:paraId="421FFCD4">
      <w:pPr>
        <w:pStyle w:val="17"/>
        <w:spacing w:after="0" w:line="360" w:lineRule="auto"/>
        <w:rPr>
          <w:rFonts w:ascii="宋体" w:hAnsi="宋体"/>
          <w:color w:val="auto"/>
          <w:szCs w:val="21"/>
          <w:highlight w:val="none"/>
        </w:rPr>
      </w:pPr>
    </w:p>
    <w:p w14:paraId="44BCF1E4">
      <w:pPr>
        <w:pStyle w:val="17"/>
        <w:spacing w:after="0" w:line="360" w:lineRule="auto"/>
        <w:rPr>
          <w:rFonts w:ascii="宋体" w:hAnsi="宋体"/>
          <w:color w:val="auto"/>
          <w:szCs w:val="21"/>
          <w:highlight w:val="none"/>
        </w:rPr>
      </w:pPr>
    </w:p>
    <w:p w14:paraId="5639C4B0">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5813387">
      <w:pPr>
        <w:autoSpaceDE w:val="0"/>
        <w:autoSpaceDN w:val="0"/>
        <w:adjustRightInd w:val="0"/>
        <w:snapToGrid w:val="0"/>
        <w:spacing w:line="480" w:lineRule="auto"/>
        <w:jc w:val="left"/>
        <w:rPr>
          <w:rFonts w:ascii="宋体" w:hAnsi="宋体"/>
          <w:color w:val="auto"/>
          <w:kern w:val="0"/>
          <w:sz w:val="20"/>
          <w:szCs w:val="20"/>
          <w:highlight w:val="none"/>
        </w:rPr>
      </w:pPr>
    </w:p>
    <w:p w14:paraId="008D181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3821819">
      <w:pPr>
        <w:autoSpaceDE w:val="0"/>
        <w:autoSpaceDN w:val="0"/>
        <w:adjustRightInd w:val="0"/>
        <w:snapToGrid w:val="0"/>
        <w:spacing w:line="360" w:lineRule="auto"/>
        <w:jc w:val="left"/>
        <w:rPr>
          <w:rFonts w:ascii="宋体" w:hAnsi="宋体"/>
          <w:color w:val="auto"/>
          <w:kern w:val="0"/>
          <w:highlight w:val="none"/>
        </w:rPr>
      </w:pPr>
    </w:p>
    <w:p w14:paraId="32D3F1C8">
      <w:pPr>
        <w:autoSpaceDE w:val="0"/>
        <w:autoSpaceDN w:val="0"/>
        <w:adjustRightInd w:val="0"/>
        <w:snapToGrid w:val="0"/>
        <w:spacing w:line="360" w:lineRule="auto"/>
        <w:jc w:val="left"/>
        <w:rPr>
          <w:rFonts w:ascii="宋体" w:hAnsi="宋体"/>
          <w:color w:val="auto"/>
          <w:kern w:val="0"/>
          <w:highlight w:val="none"/>
        </w:rPr>
      </w:pPr>
    </w:p>
    <w:p w14:paraId="5478E2A9">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2F08B50C">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14:paraId="35DA5BA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85C8BD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14:paraId="17009DE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7D85083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305905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3E8CA2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6C2191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竞</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D391473">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3B18C7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26314D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14:paraId="7934771F">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89D0256">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484C61B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4C5005E">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14:paraId="301BB31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33811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D40BD6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FDDBD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003FDD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C56F0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CD5DC7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6113412">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7117C1B6">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5FCB1A8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88D954E">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45F40813">
      <w:pPr>
        <w:pStyle w:val="4"/>
        <w:spacing w:before="0" w:after="0" w:line="240" w:lineRule="auto"/>
        <w:jc w:val="center"/>
        <w:rPr>
          <w:rFonts w:ascii="宋体" w:hAnsi="宋体"/>
          <w:color w:val="auto"/>
          <w:highlight w:val="none"/>
        </w:rPr>
      </w:pPr>
      <w:bookmarkStart w:id="836" w:name="_Toc22392"/>
      <w:bookmarkStart w:id="837" w:name="_Toc287607887"/>
      <w:bookmarkStart w:id="838" w:name="_Toc277082659"/>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w:t>
      </w:r>
      <w:r>
        <w:rPr>
          <w:rFonts w:hint="eastAsia" w:ascii="宋体" w:hAnsi="宋体"/>
          <w:b w:val="0"/>
          <w:bCs w:val="0"/>
          <w:color w:val="auto"/>
          <w:highlight w:val="none"/>
          <w:lang w:eastAsia="zh-CN"/>
        </w:rPr>
        <w:t>竞选人</w:t>
      </w:r>
      <w:r>
        <w:rPr>
          <w:rFonts w:hint="eastAsia" w:ascii="宋体" w:hAnsi="宋体"/>
          <w:b w:val="0"/>
          <w:bCs w:val="0"/>
          <w:color w:val="auto"/>
          <w:highlight w:val="none"/>
        </w:rPr>
        <w:t>基本情况表</w:t>
      </w:r>
      <w:bookmarkEnd w:id="836"/>
    </w:p>
    <w:tbl>
      <w:tblPr>
        <w:tblStyle w:val="321"/>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7ABF4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C64CC44">
            <w:pPr>
              <w:autoSpaceDE w:val="0"/>
              <w:autoSpaceDN w:val="0"/>
              <w:jc w:val="center"/>
              <w:rPr>
                <w:rFonts w:ascii="宋体" w:hAnsi="宋体" w:cs="宋体"/>
                <w:color w:val="auto"/>
                <w:kern w:val="0"/>
                <w:szCs w:val="22"/>
                <w:highlight w:val="none"/>
                <w:lang w:eastAsia="en-US"/>
              </w:rPr>
            </w:pPr>
            <w:r>
              <w:rPr>
                <w:rFonts w:hint="eastAsia" w:ascii="宋体" w:hAnsi="宋体" w:cs="宋体"/>
                <w:color w:val="auto"/>
                <w:kern w:val="0"/>
                <w:szCs w:val="22"/>
                <w:highlight w:val="none"/>
                <w:lang w:eastAsia="zh-CN"/>
              </w:rPr>
              <w:t>竞选人</w:t>
            </w:r>
            <w:r>
              <w:rPr>
                <w:rFonts w:ascii="宋体" w:hAnsi="宋体" w:cs="宋体"/>
                <w:color w:val="auto"/>
                <w:kern w:val="0"/>
                <w:szCs w:val="22"/>
                <w:highlight w:val="none"/>
                <w:lang w:eastAsia="en-US"/>
              </w:rPr>
              <w:t>名称</w:t>
            </w:r>
          </w:p>
        </w:tc>
        <w:tc>
          <w:tcPr>
            <w:tcW w:w="7176" w:type="dxa"/>
            <w:gridSpan w:val="8"/>
            <w:vAlign w:val="center"/>
          </w:tcPr>
          <w:p w14:paraId="45397203">
            <w:pPr>
              <w:autoSpaceDE w:val="0"/>
              <w:autoSpaceDN w:val="0"/>
              <w:jc w:val="center"/>
              <w:rPr>
                <w:rFonts w:hAnsi="宋体" w:cs="宋体"/>
                <w:color w:val="auto"/>
                <w:kern w:val="0"/>
                <w:sz w:val="20"/>
                <w:szCs w:val="22"/>
                <w:highlight w:val="none"/>
                <w:lang w:eastAsia="en-US"/>
              </w:rPr>
            </w:pPr>
          </w:p>
        </w:tc>
      </w:tr>
      <w:tr w14:paraId="13238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29C14A74">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注册地址</w:t>
            </w:r>
          </w:p>
        </w:tc>
        <w:tc>
          <w:tcPr>
            <w:tcW w:w="3368" w:type="dxa"/>
            <w:gridSpan w:val="3"/>
            <w:vAlign w:val="center"/>
          </w:tcPr>
          <w:p w14:paraId="49D20FBF">
            <w:pPr>
              <w:autoSpaceDE w:val="0"/>
              <w:autoSpaceDN w:val="0"/>
              <w:jc w:val="center"/>
              <w:rPr>
                <w:rFonts w:hAnsi="宋体" w:cs="宋体"/>
                <w:color w:val="auto"/>
                <w:kern w:val="0"/>
                <w:sz w:val="20"/>
                <w:szCs w:val="22"/>
                <w:highlight w:val="none"/>
                <w:lang w:eastAsia="en-US"/>
              </w:rPr>
            </w:pPr>
          </w:p>
        </w:tc>
        <w:tc>
          <w:tcPr>
            <w:tcW w:w="1348" w:type="dxa"/>
            <w:gridSpan w:val="2"/>
            <w:vAlign w:val="center"/>
          </w:tcPr>
          <w:p w14:paraId="638C6FBE">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邮政编码</w:t>
            </w:r>
          </w:p>
        </w:tc>
        <w:tc>
          <w:tcPr>
            <w:tcW w:w="2460" w:type="dxa"/>
            <w:gridSpan w:val="3"/>
            <w:vAlign w:val="center"/>
          </w:tcPr>
          <w:p w14:paraId="2A4864F3">
            <w:pPr>
              <w:autoSpaceDE w:val="0"/>
              <w:autoSpaceDN w:val="0"/>
              <w:jc w:val="center"/>
              <w:rPr>
                <w:rFonts w:hAnsi="宋体" w:cs="宋体"/>
                <w:color w:val="auto"/>
                <w:kern w:val="0"/>
                <w:sz w:val="20"/>
                <w:szCs w:val="22"/>
                <w:highlight w:val="none"/>
                <w:lang w:eastAsia="en-US"/>
              </w:rPr>
            </w:pPr>
          </w:p>
        </w:tc>
      </w:tr>
      <w:tr w14:paraId="6D3F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center"/>
          </w:tcPr>
          <w:p w14:paraId="372DA6B3">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联系方式</w:t>
            </w:r>
          </w:p>
        </w:tc>
        <w:tc>
          <w:tcPr>
            <w:tcW w:w="941" w:type="dxa"/>
            <w:vAlign w:val="center"/>
          </w:tcPr>
          <w:p w14:paraId="0F982B11">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联系人</w:t>
            </w:r>
          </w:p>
        </w:tc>
        <w:tc>
          <w:tcPr>
            <w:tcW w:w="2427" w:type="dxa"/>
            <w:gridSpan w:val="2"/>
            <w:vAlign w:val="center"/>
          </w:tcPr>
          <w:p w14:paraId="2A2DF0F0">
            <w:pPr>
              <w:autoSpaceDE w:val="0"/>
              <w:autoSpaceDN w:val="0"/>
              <w:jc w:val="center"/>
              <w:rPr>
                <w:rFonts w:hAnsi="宋体" w:cs="宋体"/>
                <w:color w:val="auto"/>
                <w:kern w:val="0"/>
                <w:sz w:val="20"/>
                <w:szCs w:val="22"/>
                <w:highlight w:val="none"/>
                <w:lang w:eastAsia="en-US"/>
              </w:rPr>
            </w:pPr>
          </w:p>
        </w:tc>
        <w:tc>
          <w:tcPr>
            <w:tcW w:w="1348" w:type="dxa"/>
            <w:gridSpan w:val="2"/>
            <w:vAlign w:val="center"/>
          </w:tcPr>
          <w:p w14:paraId="7B0EE3E9">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电 话</w:t>
            </w:r>
          </w:p>
        </w:tc>
        <w:tc>
          <w:tcPr>
            <w:tcW w:w="2460" w:type="dxa"/>
            <w:gridSpan w:val="3"/>
            <w:vAlign w:val="center"/>
          </w:tcPr>
          <w:p w14:paraId="1BB143A6">
            <w:pPr>
              <w:autoSpaceDE w:val="0"/>
              <w:autoSpaceDN w:val="0"/>
              <w:jc w:val="center"/>
              <w:rPr>
                <w:rFonts w:hAnsi="宋体" w:cs="宋体"/>
                <w:color w:val="auto"/>
                <w:kern w:val="0"/>
                <w:sz w:val="20"/>
                <w:szCs w:val="22"/>
                <w:highlight w:val="none"/>
                <w:lang w:eastAsia="en-US"/>
              </w:rPr>
            </w:pPr>
          </w:p>
        </w:tc>
      </w:tr>
      <w:tr w14:paraId="6783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vAlign w:val="center"/>
          </w:tcPr>
          <w:p w14:paraId="1701F14D">
            <w:pPr>
              <w:autoSpaceDE w:val="0"/>
              <w:autoSpaceDN w:val="0"/>
              <w:jc w:val="center"/>
              <w:rPr>
                <w:rFonts w:ascii="宋体" w:hAnsi="宋体" w:cs="宋体"/>
                <w:color w:val="auto"/>
                <w:kern w:val="0"/>
                <w:sz w:val="2"/>
                <w:szCs w:val="2"/>
                <w:highlight w:val="none"/>
                <w:lang w:eastAsia="en-US"/>
              </w:rPr>
            </w:pPr>
          </w:p>
        </w:tc>
        <w:tc>
          <w:tcPr>
            <w:tcW w:w="941" w:type="dxa"/>
            <w:vAlign w:val="center"/>
          </w:tcPr>
          <w:p w14:paraId="34231639">
            <w:pPr>
              <w:tabs>
                <w:tab w:val="left" w:pos="432"/>
              </w:tabs>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传</w:t>
            </w:r>
            <w:r>
              <w:rPr>
                <w:rFonts w:ascii="宋体" w:hAnsi="宋体" w:cs="宋体"/>
                <w:color w:val="auto"/>
                <w:kern w:val="0"/>
                <w:szCs w:val="22"/>
                <w:highlight w:val="none"/>
                <w:lang w:eastAsia="en-US"/>
              </w:rPr>
              <w:tab/>
            </w:r>
            <w:r>
              <w:rPr>
                <w:rFonts w:ascii="宋体" w:hAnsi="宋体" w:cs="宋体"/>
                <w:color w:val="auto"/>
                <w:kern w:val="0"/>
                <w:szCs w:val="22"/>
                <w:highlight w:val="none"/>
                <w:lang w:eastAsia="en-US"/>
              </w:rPr>
              <w:t>真</w:t>
            </w:r>
          </w:p>
        </w:tc>
        <w:tc>
          <w:tcPr>
            <w:tcW w:w="2427" w:type="dxa"/>
            <w:gridSpan w:val="2"/>
            <w:vAlign w:val="center"/>
          </w:tcPr>
          <w:p w14:paraId="30E1B4B2">
            <w:pPr>
              <w:autoSpaceDE w:val="0"/>
              <w:autoSpaceDN w:val="0"/>
              <w:jc w:val="center"/>
              <w:rPr>
                <w:rFonts w:hAnsi="宋体" w:cs="宋体"/>
                <w:color w:val="auto"/>
                <w:kern w:val="0"/>
                <w:sz w:val="20"/>
                <w:szCs w:val="22"/>
                <w:highlight w:val="none"/>
                <w:lang w:eastAsia="en-US"/>
              </w:rPr>
            </w:pPr>
          </w:p>
        </w:tc>
        <w:tc>
          <w:tcPr>
            <w:tcW w:w="1348" w:type="dxa"/>
            <w:gridSpan w:val="2"/>
            <w:vAlign w:val="center"/>
          </w:tcPr>
          <w:p w14:paraId="0AE54138">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网 址</w:t>
            </w:r>
          </w:p>
        </w:tc>
        <w:tc>
          <w:tcPr>
            <w:tcW w:w="2460" w:type="dxa"/>
            <w:gridSpan w:val="3"/>
            <w:vAlign w:val="center"/>
          </w:tcPr>
          <w:p w14:paraId="13D4795A">
            <w:pPr>
              <w:autoSpaceDE w:val="0"/>
              <w:autoSpaceDN w:val="0"/>
              <w:jc w:val="center"/>
              <w:rPr>
                <w:rFonts w:hAnsi="宋体" w:cs="宋体"/>
                <w:color w:val="auto"/>
                <w:kern w:val="0"/>
                <w:sz w:val="20"/>
                <w:szCs w:val="22"/>
                <w:highlight w:val="none"/>
                <w:lang w:eastAsia="en-US"/>
              </w:rPr>
            </w:pPr>
          </w:p>
        </w:tc>
      </w:tr>
      <w:tr w14:paraId="1B3B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3118E4EB">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法定代表人</w:t>
            </w:r>
          </w:p>
        </w:tc>
        <w:tc>
          <w:tcPr>
            <w:tcW w:w="941" w:type="dxa"/>
            <w:vAlign w:val="center"/>
          </w:tcPr>
          <w:p w14:paraId="0979A7F2">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姓名</w:t>
            </w:r>
          </w:p>
        </w:tc>
        <w:tc>
          <w:tcPr>
            <w:tcW w:w="1076" w:type="dxa"/>
            <w:vAlign w:val="center"/>
          </w:tcPr>
          <w:p w14:paraId="1BAE64BC">
            <w:pPr>
              <w:autoSpaceDE w:val="0"/>
              <w:autoSpaceDN w:val="0"/>
              <w:jc w:val="center"/>
              <w:rPr>
                <w:rFonts w:hAnsi="宋体" w:cs="宋体"/>
                <w:color w:val="auto"/>
                <w:kern w:val="0"/>
                <w:sz w:val="20"/>
                <w:szCs w:val="22"/>
                <w:highlight w:val="none"/>
                <w:lang w:eastAsia="en-US"/>
              </w:rPr>
            </w:pPr>
          </w:p>
        </w:tc>
        <w:tc>
          <w:tcPr>
            <w:tcW w:w="1351" w:type="dxa"/>
            <w:vAlign w:val="center"/>
          </w:tcPr>
          <w:p w14:paraId="4FD44CAD">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技术职称</w:t>
            </w:r>
          </w:p>
        </w:tc>
        <w:tc>
          <w:tcPr>
            <w:tcW w:w="1348" w:type="dxa"/>
            <w:gridSpan w:val="2"/>
            <w:vAlign w:val="center"/>
          </w:tcPr>
          <w:p w14:paraId="54A940EB">
            <w:pPr>
              <w:autoSpaceDE w:val="0"/>
              <w:autoSpaceDN w:val="0"/>
              <w:jc w:val="center"/>
              <w:rPr>
                <w:rFonts w:hAnsi="宋体" w:cs="宋体"/>
                <w:color w:val="auto"/>
                <w:kern w:val="0"/>
                <w:sz w:val="20"/>
                <w:szCs w:val="22"/>
                <w:highlight w:val="none"/>
                <w:lang w:eastAsia="en-US"/>
              </w:rPr>
            </w:pPr>
          </w:p>
        </w:tc>
        <w:tc>
          <w:tcPr>
            <w:tcW w:w="1168" w:type="dxa"/>
            <w:gridSpan w:val="2"/>
            <w:vAlign w:val="center"/>
          </w:tcPr>
          <w:p w14:paraId="2182B850">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电话</w:t>
            </w:r>
          </w:p>
        </w:tc>
        <w:tc>
          <w:tcPr>
            <w:tcW w:w="1292" w:type="dxa"/>
            <w:vAlign w:val="center"/>
          </w:tcPr>
          <w:p w14:paraId="1E9CD578">
            <w:pPr>
              <w:autoSpaceDE w:val="0"/>
              <w:autoSpaceDN w:val="0"/>
              <w:jc w:val="center"/>
              <w:rPr>
                <w:rFonts w:hAnsi="宋体" w:cs="宋体"/>
                <w:color w:val="auto"/>
                <w:kern w:val="0"/>
                <w:sz w:val="20"/>
                <w:szCs w:val="22"/>
                <w:highlight w:val="none"/>
                <w:lang w:eastAsia="en-US"/>
              </w:rPr>
            </w:pPr>
          </w:p>
        </w:tc>
      </w:tr>
      <w:tr w14:paraId="05B46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64167369">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技术负责人</w:t>
            </w:r>
          </w:p>
        </w:tc>
        <w:tc>
          <w:tcPr>
            <w:tcW w:w="941" w:type="dxa"/>
            <w:vAlign w:val="center"/>
          </w:tcPr>
          <w:p w14:paraId="0BCBC71A">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姓名</w:t>
            </w:r>
          </w:p>
        </w:tc>
        <w:tc>
          <w:tcPr>
            <w:tcW w:w="1076" w:type="dxa"/>
            <w:vAlign w:val="center"/>
          </w:tcPr>
          <w:p w14:paraId="6CAC7DA4">
            <w:pPr>
              <w:autoSpaceDE w:val="0"/>
              <w:autoSpaceDN w:val="0"/>
              <w:jc w:val="center"/>
              <w:rPr>
                <w:rFonts w:hAnsi="宋体" w:cs="宋体"/>
                <w:color w:val="auto"/>
                <w:kern w:val="0"/>
                <w:sz w:val="20"/>
                <w:szCs w:val="22"/>
                <w:highlight w:val="none"/>
                <w:lang w:eastAsia="en-US"/>
              </w:rPr>
            </w:pPr>
          </w:p>
        </w:tc>
        <w:tc>
          <w:tcPr>
            <w:tcW w:w="1351" w:type="dxa"/>
            <w:vAlign w:val="center"/>
          </w:tcPr>
          <w:p w14:paraId="515E15FF">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技术职称</w:t>
            </w:r>
          </w:p>
        </w:tc>
        <w:tc>
          <w:tcPr>
            <w:tcW w:w="1348" w:type="dxa"/>
            <w:gridSpan w:val="2"/>
            <w:vAlign w:val="center"/>
          </w:tcPr>
          <w:p w14:paraId="6584C082">
            <w:pPr>
              <w:autoSpaceDE w:val="0"/>
              <w:autoSpaceDN w:val="0"/>
              <w:jc w:val="center"/>
              <w:rPr>
                <w:rFonts w:hAnsi="宋体" w:cs="宋体"/>
                <w:color w:val="auto"/>
                <w:kern w:val="0"/>
                <w:sz w:val="20"/>
                <w:szCs w:val="22"/>
                <w:highlight w:val="none"/>
                <w:lang w:eastAsia="en-US"/>
              </w:rPr>
            </w:pPr>
          </w:p>
        </w:tc>
        <w:tc>
          <w:tcPr>
            <w:tcW w:w="1168" w:type="dxa"/>
            <w:gridSpan w:val="2"/>
            <w:vAlign w:val="center"/>
          </w:tcPr>
          <w:p w14:paraId="11F7FFB5">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电话</w:t>
            </w:r>
          </w:p>
        </w:tc>
        <w:tc>
          <w:tcPr>
            <w:tcW w:w="1292" w:type="dxa"/>
            <w:vAlign w:val="center"/>
          </w:tcPr>
          <w:p w14:paraId="668B7C23">
            <w:pPr>
              <w:autoSpaceDE w:val="0"/>
              <w:autoSpaceDN w:val="0"/>
              <w:jc w:val="center"/>
              <w:rPr>
                <w:rFonts w:hAnsi="宋体" w:cs="宋体"/>
                <w:color w:val="auto"/>
                <w:kern w:val="0"/>
                <w:sz w:val="20"/>
                <w:szCs w:val="22"/>
                <w:highlight w:val="none"/>
                <w:lang w:eastAsia="en-US"/>
              </w:rPr>
            </w:pPr>
          </w:p>
        </w:tc>
      </w:tr>
      <w:tr w14:paraId="379C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024AEB97">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企业设计资质证书</w:t>
            </w:r>
          </w:p>
        </w:tc>
        <w:tc>
          <w:tcPr>
            <w:tcW w:w="7176" w:type="dxa"/>
            <w:gridSpan w:val="8"/>
            <w:vAlign w:val="center"/>
          </w:tcPr>
          <w:p w14:paraId="5729C665">
            <w:pPr>
              <w:tabs>
                <w:tab w:val="left" w:pos="3790"/>
                <w:tab w:val="left" w:pos="5050"/>
              </w:tabs>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 xml:space="preserve">类型：                </w:t>
            </w:r>
            <w:r>
              <w:rPr>
                <w:rFonts w:ascii="宋体" w:hAnsi="宋体" w:cs="宋体"/>
                <w:color w:val="auto"/>
                <w:spacing w:val="-3"/>
                <w:kern w:val="0"/>
                <w:szCs w:val="22"/>
                <w:highlight w:val="none"/>
                <w:lang w:eastAsia="en-US"/>
              </w:rPr>
              <w:t>等</w:t>
            </w:r>
            <w:r>
              <w:rPr>
                <w:rFonts w:ascii="宋体" w:hAnsi="宋体" w:cs="宋体"/>
                <w:color w:val="auto"/>
                <w:kern w:val="0"/>
                <w:szCs w:val="22"/>
                <w:highlight w:val="none"/>
                <w:lang w:eastAsia="en-US"/>
              </w:rPr>
              <w:t>级：</w:t>
            </w:r>
            <w:r>
              <w:rPr>
                <w:rFonts w:ascii="宋体" w:hAnsi="宋体" w:cs="宋体"/>
                <w:color w:val="auto"/>
                <w:kern w:val="0"/>
                <w:szCs w:val="22"/>
                <w:highlight w:val="none"/>
                <w:lang w:eastAsia="en-US"/>
              </w:rPr>
              <w:tab/>
            </w:r>
            <w:r>
              <w:rPr>
                <w:rFonts w:ascii="宋体" w:hAnsi="宋体" w:cs="宋体"/>
                <w:color w:val="auto"/>
                <w:spacing w:val="-3"/>
                <w:kern w:val="0"/>
                <w:szCs w:val="22"/>
                <w:highlight w:val="none"/>
                <w:lang w:eastAsia="en-US"/>
              </w:rPr>
              <w:t>证</w:t>
            </w:r>
            <w:r>
              <w:rPr>
                <w:rFonts w:ascii="宋体" w:hAnsi="宋体" w:cs="宋体"/>
                <w:color w:val="auto"/>
                <w:kern w:val="0"/>
                <w:szCs w:val="22"/>
                <w:highlight w:val="none"/>
                <w:lang w:eastAsia="en-US"/>
              </w:rPr>
              <w:t>书</w:t>
            </w:r>
            <w:r>
              <w:rPr>
                <w:rFonts w:ascii="宋体" w:hAnsi="宋体" w:cs="宋体"/>
                <w:color w:val="auto"/>
                <w:spacing w:val="-3"/>
                <w:kern w:val="0"/>
                <w:szCs w:val="22"/>
                <w:highlight w:val="none"/>
                <w:lang w:eastAsia="en-US"/>
              </w:rPr>
              <w:t>号</w:t>
            </w:r>
            <w:r>
              <w:rPr>
                <w:rFonts w:ascii="宋体" w:hAnsi="宋体" w:cs="宋体"/>
                <w:color w:val="auto"/>
                <w:kern w:val="0"/>
                <w:szCs w:val="22"/>
                <w:highlight w:val="none"/>
                <w:lang w:eastAsia="en-US"/>
              </w:rPr>
              <w:t>：</w:t>
            </w:r>
          </w:p>
        </w:tc>
      </w:tr>
      <w:tr w14:paraId="72B3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center"/>
          </w:tcPr>
          <w:p w14:paraId="47038055">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质量管理体系证书</w:t>
            </w:r>
          </w:p>
          <w:p w14:paraId="51DA7613">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（如有）</w:t>
            </w:r>
          </w:p>
        </w:tc>
        <w:tc>
          <w:tcPr>
            <w:tcW w:w="7176" w:type="dxa"/>
            <w:gridSpan w:val="8"/>
            <w:vAlign w:val="center"/>
          </w:tcPr>
          <w:p w14:paraId="35B1013A">
            <w:pPr>
              <w:autoSpaceDE w:val="0"/>
              <w:autoSpaceDN w:val="0"/>
              <w:jc w:val="center"/>
              <w:rPr>
                <w:rFonts w:ascii="宋体" w:hAnsi="宋体" w:cs="宋体"/>
                <w:color w:val="auto"/>
                <w:kern w:val="0"/>
                <w:sz w:val="25"/>
                <w:szCs w:val="22"/>
                <w:highlight w:val="none"/>
                <w:lang w:eastAsia="en-US"/>
              </w:rPr>
            </w:pPr>
          </w:p>
          <w:p w14:paraId="5CA6256F">
            <w:pPr>
              <w:tabs>
                <w:tab w:val="left" w:pos="3790"/>
                <w:tab w:val="left" w:pos="5050"/>
              </w:tabs>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 xml:space="preserve">类型：                </w:t>
            </w:r>
            <w:r>
              <w:rPr>
                <w:rFonts w:ascii="宋体" w:hAnsi="宋体" w:cs="宋体"/>
                <w:color w:val="auto"/>
                <w:spacing w:val="-3"/>
                <w:kern w:val="0"/>
                <w:szCs w:val="22"/>
                <w:highlight w:val="none"/>
                <w:lang w:eastAsia="en-US"/>
              </w:rPr>
              <w:t>等</w:t>
            </w:r>
            <w:r>
              <w:rPr>
                <w:rFonts w:ascii="宋体" w:hAnsi="宋体" w:cs="宋体"/>
                <w:color w:val="auto"/>
                <w:kern w:val="0"/>
                <w:szCs w:val="22"/>
                <w:highlight w:val="none"/>
                <w:lang w:eastAsia="en-US"/>
              </w:rPr>
              <w:t>级：</w:t>
            </w:r>
            <w:r>
              <w:rPr>
                <w:rFonts w:ascii="宋体" w:hAnsi="宋体" w:cs="宋体"/>
                <w:color w:val="auto"/>
                <w:kern w:val="0"/>
                <w:szCs w:val="22"/>
                <w:highlight w:val="none"/>
                <w:lang w:eastAsia="en-US"/>
              </w:rPr>
              <w:tab/>
            </w:r>
            <w:r>
              <w:rPr>
                <w:rFonts w:ascii="宋体" w:hAnsi="宋体" w:cs="宋体"/>
                <w:color w:val="auto"/>
                <w:spacing w:val="-3"/>
                <w:kern w:val="0"/>
                <w:szCs w:val="22"/>
                <w:highlight w:val="none"/>
                <w:lang w:eastAsia="en-US"/>
              </w:rPr>
              <w:t>证</w:t>
            </w:r>
            <w:r>
              <w:rPr>
                <w:rFonts w:ascii="宋体" w:hAnsi="宋体" w:cs="宋体"/>
                <w:color w:val="auto"/>
                <w:kern w:val="0"/>
                <w:szCs w:val="22"/>
                <w:highlight w:val="none"/>
                <w:lang w:eastAsia="en-US"/>
              </w:rPr>
              <w:t>书</w:t>
            </w:r>
            <w:r>
              <w:rPr>
                <w:rFonts w:ascii="宋体" w:hAnsi="宋体" w:cs="宋体"/>
                <w:color w:val="auto"/>
                <w:spacing w:val="-3"/>
                <w:kern w:val="0"/>
                <w:szCs w:val="22"/>
                <w:highlight w:val="none"/>
                <w:lang w:eastAsia="en-US"/>
              </w:rPr>
              <w:t>号</w:t>
            </w:r>
            <w:r>
              <w:rPr>
                <w:rFonts w:ascii="宋体" w:hAnsi="宋体" w:cs="宋体"/>
                <w:color w:val="auto"/>
                <w:kern w:val="0"/>
                <w:szCs w:val="22"/>
                <w:highlight w:val="none"/>
                <w:lang w:eastAsia="en-US"/>
              </w:rPr>
              <w:t>：</w:t>
            </w:r>
          </w:p>
        </w:tc>
      </w:tr>
      <w:tr w14:paraId="1C9F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center"/>
          </w:tcPr>
          <w:p w14:paraId="1FACA716">
            <w:pPr>
              <w:autoSpaceDE w:val="0"/>
              <w:autoSpaceDN w:val="0"/>
              <w:jc w:val="center"/>
              <w:rPr>
                <w:rFonts w:ascii="宋体" w:hAnsi="宋体" w:cs="宋体"/>
                <w:color w:val="auto"/>
                <w:kern w:val="0"/>
                <w:szCs w:val="22"/>
                <w:highlight w:val="none"/>
                <w:lang w:eastAsia="en-US"/>
              </w:rPr>
            </w:pPr>
            <w:r>
              <w:rPr>
                <w:rFonts w:hint="eastAsia" w:ascii="宋体" w:hAnsi="宋体" w:eastAsia="宋体" w:cs="宋体"/>
                <w:color w:val="auto"/>
                <w:highlight w:val="none"/>
                <w:lang w:val="en-US" w:eastAsia="zh-CN"/>
              </w:rPr>
              <w:t>统一社会信用代码</w:t>
            </w:r>
          </w:p>
        </w:tc>
        <w:tc>
          <w:tcPr>
            <w:tcW w:w="3368" w:type="dxa"/>
            <w:gridSpan w:val="3"/>
            <w:vAlign w:val="center"/>
          </w:tcPr>
          <w:p w14:paraId="43FC0677">
            <w:pPr>
              <w:autoSpaceDE w:val="0"/>
              <w:autoSpaceDN w:val="0"/>
              <w:jc w:val="center"/>
              <w:rPr>
                <w:rFonts w:hAnsi="宋体" w:cs="宋体"/>
                <w:color w:val="auto"/>
                <w:kern w:val="0"/>
                <w:sz w:val="20"/>
                <w:szCs w:val="22"/>
                <w:highlight w:val="none"/>
                <w:lang w:eastAsia="en-US"/>
              </w:rPr>
            </w:pPr>
          </w:p>
        </w:tc>
        <w:tc>
          <w:tcPr>
            <w:tcW w:w="3808" w:type="dxa"/>
            <w:gridSpan w:val="5"/>
            <w:vAlign w:val="center"/>
          </w:tcPr>
          <w:p w14:paraId="4017164B">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员工总人数：</w:t>
            </w:r>
          </w:p>
        </w:tc>
      </w:tr>
      <w:tr w14:paraId="1FC81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3ECA0B3D">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注册资本</w:t>
            </w:r>
          </w:p>
        </w:tc>
        <w:tc>
          <w:tcPr>
            <w:tcW w:w="3368" w:type="dxa"/>
            <w:gridSpan w:val="3"/>
            <w:vAlign w:val="center"/>
          </w:tcPr>
          <w:p w14:paraId="037EE5CF">
            <w:pPr>
              <w:autoSpaceDE w:val="0"/>
              <w:autoSpaceDN w:val="0"/>
              <w:jc w:val="center"/>
              <w:rPr>
                <w:rFonts w:hAnsi="宋体" w:cs="宋体"/>
                <w:color w:val="auto"/>
                <w:kern w:val="0"/>
                <w:sz w:val="20"/>
                <w:szCs w:val="22"/>
                <w:highlight w:val="none"/>
                <w:lang w:eastAsia="en-US"/>
              </w:rPr>
            </w:pPr>
          </w:p>
        </w:tc>
        <w:tc>
          <w:tcPr>
            <w:tcW w:w="434" w:type="dxa"/>
            <w:vMerge w:val="restart"/>
            <w:vAlign w:val="center"/>
          </w:tcPr>
          <w:p w14:paraId="726579EB">
            <w:pPr>
              <w:autoSpaceDE w:val="0"/>
              <w:autoSpaceDN w:val="0"/>
              <w:spacing w:line="384" w:lineRule="auto"/>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其中</w:t>
            </w:r>
          </w:p>
        </w:tc>
        <w:tc>
          <w:tcPr>
            <w:tcW w:w="1781" w:type="dxa"/>
            <w:gridSpan w:val="2"/>
            <w:vAlign w:val="center"/>
          </w:tcPr>
          <w:p w14:paraId="608789D1">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高级职称人员</w:t>
            </w:r>
          </w:p>
        </w:tc>
        <w:tc>
          <w:tcPr>
            <w:tcW w:w="1593" w:type="dxa"/>
            <w:gridSpan w:val="2"/>
            <w:vAlign w:val="center"/>
          </w:tcPr>
          <w:p w14:paraId="3F8CE5F1">
            <w:pPr>
              <w:autoSpaceDE w:val="0"/>
              <w:autoSpaceDN w:val="0"/>
              <w:jc w:val="center"/>
              <w:rPr>
                <w:rFonts w:hAnsi="宋体" w:cs="宋体"/>
                <w:color w:val="auto"/>
                <w:kern w:val="0"/>
                <w:sz w:val="20"/>
                <w:szCs w:val="22"/>
                <w:highlight w:val="none"/>
                <w:lang w:eastAsia="en-US"/>
              </w:rPr>
            </w:pPr>
          </w:p>
        </w:tc>
      </w:tr>
      <w:tr w14:paraId="24DBB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2876F1AA">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成立日期</w:t>
            </w:r>
          </w:p>
        </w:tc>
        <w:tc>
          <w:tcPr>
            <w:tcW w:w="3368" w:type="dxa"/>
            <w:gridSpan w:val="3"/>
            <w:vAlign w:val="center"/>
          </w:tcPr>
          <w:p w14:paraId="5EB64852">
            <w:pPr>
              <w:autoSpaceDE w:val="0"/>
              <w:autoSpaceDN w:val="0"/>
              <w:jc w:val="center"/>
              <w:rPr>
                <w:rFonts w:hAnsi="宋体" w:cs="宋体"/>
                <w:color w:val="auto"/>
                <w:kern w:val="0"/>
                <w:sz w:val="20"/>
                <w:szCs w:val="22"/>
                <w:highlight w:val="none"/>
                <w:lang w:eastAsia="en-US"/>
              </w:rPr>
            </w:pPr>
          </w:p>
        </w:tc>
        <w:tc>
          <w:tcPr>
            <w:tcW w:w="434" w:type="dxa"/>
            <w:vMerge w:val="continue"/>
            <w:tcBorders>
              <w:top w:val="nil"/>
            </w:tcBorders>
            <w:vAlign w:val="center"/>
          </w:tcPr>
          <w:p w14:paraId="74BDDC89">
            <w:pPr>
              <w:autoSpaceDE w:val="0"/>
              <w:autoSpaceDN w:val="0"/>
              <w:jc w:val="center"/>
              <w:rPr>
                <w:rFonts w:ascii="宋体" w:hAnsi="宋体" w:cs="宋体"/>
                <w:color w:val="auto"/>
                <w:kern w:val="0"/>
                <w:sz w:val="2"/>
                <w:szCs w:val="2"/>
                <w:highlight w:val="none"/>
                <w:lang w:eastAsia="en-US"/>
              </w:rPr>
            </w:pPr>
          </w:p>
        </w:tc>
        <w:tc>
          <w:tcPr>
            <w:tcW w:w="1781" w:type="dxa"/>
            <w:gridSpan w:val="2"/>
            <w:vAlign w:val="center"/>
          </w:tcPr>
          <w:p w14:paraId="5BB17333">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中级职称人员</w:t>
            </w:r>
          </w:p>
        </w:tc>
        <w:tc>
          <w:tcPr>
            <w:tcW w:w="1593" w:type="dxa"/>
            <w:gridSpan w:val="2"/>
            <w:vAlign w:val="center"/>
          </w:tcPr>
          <w:p w14:paraId="77106F59">
            <w:pPr>
              <w:autoSpaceDE w:val="0"/>
              <w:autoSpaceDN w:val="0"/>
              <w:jc w:val="center"/>
              <w:rPr>
                <w:rFonts w:hAnsi="宋体" w:cs="宋体"/>
                <w:color w:val="auto"/>
                <w:kern w:val="0"/>
                <w:sz w:val="20"/>
                <w:szCs w:val="22"/>
                <w:highlight w:val="none"/>
                <w:lang w:eastAsia="en-US"/>
              </w:rPr>
            </w:pPr>
          </w:p>
        </w:tc>
      </w:tr>
      <w:tr w14:paraId="21C94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051965A">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基本账户开户银行</w:t>
            </w:r>
          </w:p>
        </w:tc>
        <w:tc>
          <w:tcPr>
            <w:tcW w:w="3368" w:type="dxa"/>
            <w:gridSpan w:val="3"/>
            <w:vAlign w:val="center"/>
          </w:tcPr>
          <w:p w14:paraId="5B986BED">
            <w:pPr>
              <w:autoSpaceDE w:val="0"/>
              <w:autoSpaceDN w:val="0"/>
              <w:jc w:val="center"/>
              <w:rPr>
                <w:rFonts w:hAnsi="宋体" w:cs="宋体"/>
                <w:color w:val="auto"/>
                <w:kern w:val="0"/>
                <w:sz w:val="20"/>
                <w:szCs w:val="22"/>
                <w:highlight w:val="none"/>
                <w:lang w:eastAsia="en-US"/>
              </w:rPr>
            </w:pPr>
          </w:p>
        </w:tc>
        <w:tc>
          <w:tcPr>
            <w:tcW w:w="434" w:type="dxa"/>
            <w:vMerge w:val="continue"/>
            <w:tcBorders>
              <w:top w:val="nil"/>
            </w:tcBorders>
            <w:vAlign w:val="center"/>
          </w:tcPr>
          <w:p w14:paraId="4F03A4D3">
            <w:pPr>
              <w:autoSpaceDE w:val="0"/>
              <w:autoSpaceDN w:val="0"/>
              <w:jc w:val="center"/>
              <w:rPr>
                <w:rFonts w:ascii="宋体" w:hAnsi="宋体" w:cs="宋体"/>
                <w:color w:val="auto"/>
                <w:kern w:val="0"/>
                <w:sz w:val="2"/>
                <w:szCs w:val="2"/>
                <w:highlight w:val="none"/>
                <w:lang w:eastAsia="en-US"/>
              </w:rPr>
            </w:pPr>
          </w:p>
        </w:tc>
        <w:tc>
          <w:tcPr>
            <w:tcW w:w="1781" w:type="dxa"/>
            <w:gridSpan w:val="2"/>
            <w:vAlign w:val="center"/>
          </w:tcPr>
          <w:p w14:paraId="6790F5CD">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技术人员数量</w:t>
            </w:r>
          </w:p>
        </w:tc>
        <w:tc>
          <w:tcPr>
            <w:tcW w:w="1593" w:type="dxa"/>
            <w:gridSpan w:val="2"/>
            <w:vAlign w:val="center"/>
          </w:tcPr>
          <w:p w14:paraId="1D7D843A">
            <w:pPr>
              <w:autoSpaceDE w:val="0"/>
              <w:autoSpaceDN w:val="0"/>
              <w:jc w:val="center"/>
              <w:rPr>
                <w:rFonts w:hAnsi="宋体" w:cs="宋体"/>
                <w:color w:val="auto"/>
                <w:kern w:val="0"/>
                <w:sz w:val="20"/>
                <w:szCs w:val="22"/>
                <w:highlight w:val="none"/>
                <w:lang w:eastAsia="en-US"/>
              </w:rPr>
            </w:pPr>
          </w:p>
        </w:tc>
      </w:tr>
      <w:tr w14:paraId="001B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30D843A3">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基本账户银行账号</w:t>
            </w:r>
          </w:p>
        </w:tc>
        <w:tc>
          <w:tcPr>
            <w:tcW w:w="3368" w:type="dxa"/>
            <w:gridSpan w:val="3"/>
            <w:vAlign w:val="center"/>
          </w:tcPr>
          <w:p w14:paraId="246F0831">
            <w:pPr>
              <w:autoSpaceDE w:val="0"/>
              <w:autoSpaceDN w:val="0"/>
              <w:jc w:val="center"/>
              <w:rPr>
                <w:rFonts w:hAnsi="宋体" w:cs="宋体"/>
                <w:color w:val="auto"/>
                <w:kern w:val="0"/>
                <w:sz w:val="20"/>
                <w:szCs w:val="22"/>
                <w:highlight w:val="none"/>
                <w:lang w:eastAsia="en-US"/>
              </w:rPr>
            </w:pPr>
          </w:p>
        </w:tc>
        <w:tc>
          <w:tcPr>
            <w:tcW w:w="434" w:type="dxa"/>
            <w:vMerge w:val="continue"/>
            <w:tcBorders>
              <w:top w:val="nil"/>
            </w:tcBorders>
            <w:vAlign w:val="center"/>
          </w:tcPr>
          <w:p w14:paraId="5F706329">
            <w:pPr>
              <w:autoSpaceDE w:val="0"/>
              <w:autoSpaceDN w:val="0"/>
              <w:jc w:val="center"/>
              <w:rPr>
                <w:rFonts w:ascii="宋体" w:hAnsi="宋体" w:cs="宋体"/>
                <w:color w:val="auto"/>
                <w:kern w:val="0"/>
                <w:sz w:val="2"/>
                <w:szCs w:val="2"/>
                <w:highlight w:val="none"/>
                <w:lang w:eastAsia="en-US"/>
              </w:rPr>
            </w:pPr>
          </w:p>
        </w:tc>
        <w:tc>
          <w:tcPr>
            <w:tcW w:w="1781" w:type="dxa"/>
            <w:gridSpan w:val="2"/>
            <w:vAlign w:val="center"/>
          </w:tcPr>
          <w:p w14:paraId="3A481AF5">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各类注册人员</w:t>
            </w:r>
          </w:p>
        </w:tc>
        <w:tc>
          <w:tcPr>
            <w:tcW w:w="1593" w:type="dxa"/>
            <w:gridSpan w:val="2"/>
            <w:vAlign w:val="center"/>
          </w:tcPr>
          <w:p w14:paraId="09714D8B">
            <w:pPr>
              <w:autoSpaceDE w:val="0"/>
              <w:autoSpaceDN w:val="0"/>
              <w:jc w:val="center"/>
              <w:rPr>
                <w:rFonts w:hAnsi="宋体" w:cs="宋体"/>
                <w:color w:val="auto"/>
                <w:kern w:val="0"/>
                <w:sz w:val="20"/>
                <w:szCs w:val="22"/>
                <w:highlight w:val="none"/>
                <w:lang w:eastAsia="en-US"/>
              </w:rPr>
            </w:pPr>
          </w:p>
        </w:tc>
      </w:tr>
      <w:tr w14:paraId="588E6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6BADFCF">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经营范围</w:t>
            </w:r>
          </w:p>
        </w:tc>
        <w:tc>
          <w:tcPr>
            <w:tcW w:w="7176" w:type="dxa"/>
            <w:gridSpan w:val="8"/>
            <w:vAlign w:val="center"/>
          </w:tcPr>
          <w:p w14:paraId="25A7CADD">
            <w:pPr>
              <w:autoSpaceDE w:val="0"/>
              <w:autoSpaceDN w:val="0"/>
              <w:jc w:val="center"/>
              <w:rPr>
                <w:rFonts w:hAnsi="宋体" w:cs="宋体"/>
                <w:color w:val="auto"/>
                <w:kern w:val="0"/>
                <w:sz w:val="20"/>
                <w:szCs w:val="22"/>
                <w:highlight w:val="none"/>
                <w:lang w:eastAsia="en-US"/>
              </w:rPr>
            </w:pPr>
          </w:p>
        </w:tc>
      </w:tr>
      <w:tr w14:paraId="6C1A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2143" w:type="dxa"/>
            <w:vAlign w:val="center"/>
          </w:tcPr>
          <w:p w14:paraId="32AD2B4C">
            <w:pPr>
              <w:autoSpaceDE w:val="0"/>
              <w:autoSpaceDN w:val="0"/>
              <w:spacing w:line="384" w:lineRule="auto"/>
              <w:jc w:val="center"/>
              <w:rPr>
                <w:rFonts w:ascii="宋体" w:hAnsi="宋体" w:cs="宋体"/>
                <w:color w:val="auto"/>
                <w:kern w:val="0"/>
                <w:szCs w:val="22"/>
                <w:highlight w:val="none"/>
                <w:lang w:eastAsia="en-US"/>
              </w:rPr>
            </w:pPr>
            <w:r>
              <w:rPr>
                <w:rFonts w:hint="eastAsia" w:ascii="宋体" w:hAnsi="宋体" w:cs="宋体"/>
                <w:color w:val="auto"/>
                <w:spacing w:val="-3"/>
                <w:kern w:val="0"/>
                <w:szCs w:val="22"/>
                <w:highlight w:val="none"/>
                <w:lang w:eastAsia="zh-CN"/>
              </w:rPr>
              <w:t>竞选人</w:t>
            </w:r>
            <w:r>
              <w:rPr>
                <w:rFonts w:ascii="宋体" w:hAnsi="宋体" w:cs="宋体"/>
                <w:color w:val="auto"/>
                <w:spacing w:val="-3"/>
                <w:kern w:val="0"/>
                <w:szCs w:val="22"/>
                <w:highlight w:val="none"/>
                <w:lang w:eastAsia="en-US"/>
              </w:rPr>
              <w:t xml:space="preserve">关联企业情 </w:t>
            </w:r>
            <w:r>
              <w:rPr>
                <w:rFonts w:ascii="宋体" w:hAnsi="宋体" w:cs="宋体"/>
                <w:color w:val="auto"/>
                <w:spacing w:val="-60"/>
                <w:kern w:val="0"/>
                <w:szCs w:val="22"/>
                <w:highlight w:val="none"/>
                <w:lang w:eastAsia="en-US"/>
              </w:rPr>
              <w:t>况</w:t>
            </w:r>
            <w:r>
              <w:rPr>
                <w:rFonts w:ascii="宋体" w:hAnsi="宋体" w:cs="宋体"/>
                <w:color w:val="auto"/>
                <w:kern w:val="0"/>
                <w:szCs w:val="22"/>
                <w:highlight w:val="none"/>
                <w:lang w:eastAsia="en-US"/>
              </w:rPr>
              <w:t>（</w:t>
            </w:r>
            <w:r>
              <w:rPr>
                <w:rFonts w:ascii="宋体" w:hAnsi="宋体" w:cs="宋体"/>
                <w:color w:val="auto"/>
                <w:spacing w:val="-3"/>
                <w:kern w:val="0"/>
                <w:szCs w:val="22"/>
                <w:highlight w:val="none"/>
                <w:lang w:eastAsia="en-US"/>
              </w:rPr>
              <w:t>包括但不限于与</w:t>
            </w:r>
            <w:r>
              <w:rPr>
                <w:rFonts w:hint="eastAsia" w:ascii="宋体" w:hAnsi="宋体" w:cs="宋体"/>
                <w:color w:val="auto"/>
                <w:spacing w:val="-3"/>
                <w:kern w:val="0"/>
                <w:szCs w:val="22"/>
                <w:highlight w:val="none"/>
                <w:lang w:eastAsia="zh-CN"/>
              </w:rPr>
              <w:t>竞选人</w:t>
            </w:r>
            <w:r>
              <w:rPr>
                <w:rFonts w:ascii="宋体" w:hAnsi="宋体" w:cs="宋体"/>
                <w:color w:val="auto"/>
                <w:spacing w:val="-3"/>
                <w:kern w:val="0"/>
                <w:szCs w:val="22"/>
                <w:highlight w:val="none"/>
                <w:lang w:eastAsia="en-US"/>
              </w:rPr>
              <w:t>法定代表人为同一人或者存在</w:t>
            </w:r>
            <w:r>
              <w:rPr>
                <w:rFonts w:ascii="宋体" w:hAnsi="宋体" w:cs="宋体"/>
                <w:color w:val="auto"/>
                <w:spacing w:val="-10"/>
                <w:kern w:val="0"/>
                <w:szCs w:val="22"/>
                <w:highlight w:val="none"/>
                <w:lang w:eastAsia="en-US"/>
              </w:rPr>
              <w:t>控股、管理关系的不</w:t>
            </w:r>
          </w:p>
          <w:p w14:paraId="2E9B4906">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同单位）</w:t>
            </w:r>
          </w:p>
        </w:tc>
        <w:tc>
          <w:tcPr>
            <w:tcW w:w="7176" w:type="dxa"/>
            <w:gridSpan w:val="8"/>
            <w:vAlign w:val="center"/>
          </w:tcPr>
          <w:p w14:paraId="0BEEC51F">
            <w:pPr>
              <w:autoSpaceDE w:val="0"/>
              <w:autoSpaceDN w:val="0"/>
              <w:jc w:val="center"/>
              <w:rPr>
                <w:rFonts w:hAnsi="宋体" w:cs="宋体"/>
                <w:color w:val="auto"/>
                <w:kern w:val="0"/>
                <w:sz w:val="20"/>
                <w:szCs w:val="22"/>
                <w:highlight w:val="none"/>
                <w:lang w:eastAsia="en-US"/>
              </w:rPr>
            </w:pPr>
          </w:p>
        </w:tc>
      </w:tr>
      <w:tr w14:paraId="6C7E6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7F1E11CC">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备注</w:t>
            </w:r>
          </w:p>
        </w:tc>
        <w:tc>
          <w:tcPr>
            <w:tcW w:w="7176" w:type="dxa"/>
            <w:gridSpan w:val="8"/>
            <w:vAlign w:val="center"/>
          </w:tcPr>
          <w:p w14:paraId="3D3AB3C2">
            <w:pPr>
              <w:autoSpaceDE w:val="0"/>
              <w:autoSpaceDN w:val="0"/>
              <w:jc w:val="center"/>
              <w:rPr>
                <w:rFonts w:hAnsi="宋体" w:cs="宋体"/>
                <w:color w:val="auto"/>
                <w:kern w:val="0"/>
                <w:sz w:val="20"/>
                <w:szCs w:val="22"/>
                <w:highlight w:val="none"/>
                <w:lang w:eastAsia="en-US"/>
              </w:rPr>
            </w:pPr>
          </w:p>
        </w:tc>
      </w:tr>
    </w:tbl>
    <w:p w14:paraId="4560311A">
      <w:pPr>
        <w:spacing w:line="360" w:lineRule="auto"/>
        <w:jc w:val="center"/>
        <w:rPr>
          <w:rFonts w:ascii="宋体" w:hAnsi="宋体"/>
          <w:color w:val="auto"/>
          <w:szCs w:val="21"/>
          <w:highlight w:val="none"/>
        </w:rPr>
      </w:pPr>
    </w:p>
    <w:p w14:paraId="29253E14">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39" w:name="_Toc509218863"/>
      <w:bookmarkStart w:id="840" w:name="_Toc534185840"/>
      <w:bookmarkStart w:id="841" w:name="_Toc20047"/>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w:t>
      </w:r>
      <w:bookmarkEnd w:id="839"/>
      <w:bookmarkEnd w:id="840"/>
      <w:r>
        <w:rPr>
          <w:rFonts w:ascii="宋体" w:hAnsi="宋体"/>
          <w:b w:val="0"/>
          <w:bCs w:val="0"/>
          <w:color w:val="auto"/>
          <w:highlight w:val="none"/>
        </w:rPr>
        <w:t>拟委任的主要人员汇总表</w:t>
      </w:r>
      <w:bookmarkEnd w:id="841"/>
    </w:p>
    <w:tbl>
      <w:tblPr>
        <w:tblStyle w:val="322"/>
        <w:tblW w:w="9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9"/>
        <w:gridCol w:w="1467"/>
        <w:gridCol w:w="1140"/>
        <w:gridCol w:w="696"/>
        <w:gridCol w:w="560"/>
        <w:gridCol w:w="1304"/>
        <w:gridCol w:w="816"/>
        <w:gridCol w:w="1004"/>
        <w:gridCol w:w="1304"/>
      </w:tblGrid>
      <w:tr w14:paraId="17FF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Merge w:val="restart"/>
            <w:vAlign w:val="center"/>
          </w:tcPr>
          <w:p w14:paraId="7AF6DBFB">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序号</w:t>
            </w:r>
          </w:p>
        </w:tc>
        <w:tc>
          <w:tcPr>
            <w:tcW w:w="1467" w:type="dxa"/>
            <w:vMerge w:val="restart"/>
            <w:vAlign w:val="center"/>
          </w:tcPr>
          <w:p w14:paraId="0F00A783">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本项目任职</w:t>
            </w:r>
          </w:p>
        </w:tc>
        <w:tc>
          <w:tcPr>
            <w:tcW w:w="1140" w:type="dxa"/>
            <w:vMerge w:val="restart"/>
            <w:vAlign w:val="center"/>
          </w:tcPr>
          <w:p w14:paraId="6290A962">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姓名</w:t>
            </w:r>
          </w:p>
        </w:tc>
        <w:tc>
          <w:tcPr>
            <w:tcW w:w="696" w:type="dxa"/>
            <w:vMerge w:val="restart"/>
            <w:vAlign w:val="center"/>
          </w:tcPr>
          <w:p w14:paraId="232BF664">
            <w:pPr>
              <w:autoSpaceDE w:val="0"/>
              <w:autoSpaceDN w:val="0"/>
              <w:spacing w:before="5"/>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职称</w:t>
            </w:r>
          </w:p>
        </w:tc>
        <w:tc>
          <w:tcPr>
            <w:tcW w:w="560" w:type="dxa"/>
            <w:vMerge w:val="restart"/>
            <w:vAlign w:val="center"/>
          </w:tcPr>
          <w:p w14:paraId="723797E8">
            <w:pPr>
              <w:autoSpaceDE w:val="0"/>
              <w:autoSpaceDN w:val="0"/>
              <w:spacing w:before="5"/>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专业</w:t>
            </w:r>
          </w:p>
        </w:tc>
        <w:tc>
          <w:tcPr>
            <w:tcW w:w="3124" w:type="dxa"/>
            <w:gridSpan w:val="3"/>
            <w:vAlign w:val="center"/>
          </w:tcPr>
          <w:p w14:paraId="4C437027">
            <w:pPr>
              <w:autoSpaceDE w:val="0"/>
              <w:autoSpaceDN w:val="0"/>
              <w:spacing w:before="107"/>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执业或职业资格证明</w:t>
            </w:r>
          </w:p>
        </w:tc>
        <w:tc>
          <w:tcPr>
            <w:tcW w:w="1304" w:type="dxa"/>
            <w:vAlign w:val="center"/>
          </w:tcPr>
          <w:p w14:paraId="413D2306">
            <w:pPr>
              <w:autoSpaceDE w:val="0"/>
              <w:autoSpaceDN w:val="0"/>
              <w:spacing w:before="107"/>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备注</w:t>
            </w:r>
          </w:p>
        </w:tc>
      </w:tr>
      <w:tr w14:paraId="7A01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Merge w:val="continue"/>
            <w:tcBorders>
              <w:top w:val="nil"/>
            </w:tcBorders>
            <w:vAlign w:val="center"/>
          </w:tcPr>
          <w:p w14:paraId="6BCB2E8E">
            <w:pPr>
              <w:autoSpaceDE w:val="0"/>
              <w:autoSpaceDN w:val="0"/>
              <w:jc w:val="center"/>
              <w:rPr>
                <w:rFonts w:ascii="宋体" w:hAnsi="宋体" w:cs="宋体"/>
                <w:color w:val="auto"/>
                <w:kern w:val="0"/>
                <w:sz w:val="2"/>
                <w:szCs w:val="2"/>
                <w:highlight w:val="none"/>
                <w:lang w:eastAsia="en-US"/>
              </w:rPr>
            </w:pPr>
          </w:p>
        </w:tc>
        <w:tc>
          <w:tcPr>
            <w:tcW w:w="1467" w:type="dxa"/>
            <w:vMerge w:val="continue"/>
            <w:tcBorders>
              <w:top w:val="nil"/>
            </w:tcBorders>
            <w:vAlign w:val="center"/>
          </w:tcPr>
          <w:p w14:paraId="6D7663C3">
            <w:pPr>
              <w:autoSpaceDE w:val="0"/>
              <w:autoSpaceDN w:val="0"/>
              <w:jc w:val="center"/>
              <w:rPr>
                <w:rFonts w:ascii="宋体" w:hAnsi="宋体" w:cs="宋体"/>
                <w:color w:val="auto"/>
                <w:kern w:val="0"/>
                <w:sz w:val="2"/>
                <w:szCs w:val="2"/>
                <w:highlight w:val="none"/>
                <w:lang w:eastAsia="en-US"/>
              </w:rPr>
            </w:pPr>
          </w:p>
        </w:tc>
        <w:tc>
          <w:tcPr>
            <w:tcW w:w="1140" w:type="dxa"/>
            <w:vMerge w:val="continue"/>
            <w:tcBorders>
              <w:top w:val="nil"/>
            </w:tcBorders>
            <w:vAlign w:val="center"/>
          </w:tcPr>
          <w:p w14:paraId="6B68BBB0">
            <w:pPr>
              <w:autoSpaceDE w:val="0"/>
              <w:autoSpaceDN w:val="0"/>
              <w:jc w:val="center"/>
              <w:rPr>
                <w:rFonts w:ascii="宋体" w:hAnsi="宋体" w:cs="宋体"/>
                <w:color w:val="auto"/>
                <w:kern w:val="0"/>
                <w:sz w:val="2"/>
                <w:szCs w:val="2"/>
                <w:highlight w:val="none"/>
                <w:lang w:eastAsia="en-US"/>
              </w:rPr>
            </w:pPr>
          </w:p>
        </w:tc>
        <w:tc>
          <w:tcPr>
            <w:tcW w:w="696" w:type="dxa"/>
            <w:vMerge w:val="continue"/>
            <w:tcBorders>
              <w:top w:val="nil"/>
            </w:tcBorders>
            <w:vAlign w:val="center"/>
          </w:tcPr>
          <w:p w14:paraId="394AC22C">
            <w:pPr>
              <w:autoSpaceDE w:val="0"/>
              <w:autoSpaceDN w:val="0"/>
              <w:jc w:val="center"/>
              <w:rPr>
                <w:rFonts w:ascii="宋体" w:hAnsi="宋体" w:cs="宋体"/>
                <w:color w:val="auto"/>
                <w:kern w:val="0"/>
                <w:sz w:val="2"/>
                <w:szCs w:val="2"/>
                <w:highlight w:val="none"/>
                <w:lang w:eastAsia="en-US"/>
              </w:rPr>
            </w:pPr>
          </w:p>
        </w:tc>
        <w:tc>
          <w:tcPr>
            <w:tcW w:w="560" w:type="dxa"/>
            <w:vMerge w:val="continue"/>
            <w:tcBorders>
              <w:top w:val="nil"/>
            </w:tcBorders>
            <w:vAlign w:val="center"/>
          </w:tcPr>
          <w:p w14:paraId="1D4E0C3A">
            <w:pPr>
              <w:autoSpaceDE w:val="0"/>
              <w:autoSpaceDN w:val="0"/>
              <w:jc w:val="center"/>
              <w:rPr>
                <w:rFonts w:ascii="宋体" w:hAnsi="宋体" w:cs="宋体"/>
                <w:color w:val="auto"/>
                <w:kern w:val="0"/>
                <w:sz w:val="2"/>
                <w:szCs w:val="2"/>
                <w:highlight w:val="none"/>
                <w:lang w:eastAsia="en-US"/>
              </w:rPr>
            </w:pPr>
          </w:p>
        </w:tc>
        <w:tc>
          <w:tcPr>
            <w:tcW w:w="1304" w:type="dxa"/>
            <w:vAlign w:val="center"/>
          </w:tcPr>
          <w:p w14:paraId="5A40B499">
            <w:pPr>
              <w:autoSpaceDE w:val="0"/>
              <w:autoSpaceDN w:val="0"/>
              <w:spacing w:before="107"/>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证书名称</w:t>
            </w:r>
          </w:p>
        </w:tc>
        <w:tc>
          <w:tcPr>
            <w:tcW w:w="816" w:type="dxa"/>
            <w:vAlign w:val="center"/>
          </w:tcPr>
          <w:p w14:paraId="133E9B75">
            <w:pPr>
              <w:autoSpaceDE w:val="0"/>
              <w:autoSpaceDN w:val="0"/>
              <w:spacing w:before="107"/>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级别</w:t>
            </w:r>
          </w:p>
        </w:tc>
        <w:tc>
          <w:tcPr>
            <w:tcW w:w="1004" w:type="dxa"/>
            <w:vAlign w:val="center"/>
          </w:tcPr>
          <w:p w14:paraId="21ED7506">
            <w:pPr>
              <w:autoSpaceDE w:val="0"/>
              <w:autoSpaceDN w:val="0"/>
              <w:spacing w:before="107"/>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证号</w:t>
            </w:r>
          </w:p>
        </w:tc>
        <w:tc>
          <w:tcPr>
            <w:tcW w:w="1304" w:type="dxa"/>
            <w:vAlign w:val="center"/>
          </w:tcPr>
          <w:p w14:paraId="1B824F89">
            <w:pPr>
              <w:autoSpaceDE w:val="0"/>
              <w:autoSpaceDN w:val="0"/>
              <w:jc w:val="center"/>
              <w:rPr>
                <w:rFonts w:hAnsi="宋体" w:cs="宋体"/>
                <w:color w:val="auto"/>
                <w:kern w:val="0"/>
                <w:sz w:val="22"/>
                <w:szCs w:val="22"/>
                <w:highlight w:val="none"/>
                <w:lang w:eastAsia="en-US"/>
              </w:rPr>
            </w:pPr>
          </w:p>
        </w:tc>
      </w:tr>
      <w:tr w14:paraId="5C8A0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42DFD029">
            <w:pPr>
              <w:autoSpaceDE w:val="0"/>
              <w:autoSpaceDN w:val="0"/>
              <w:jc w:val="center"/>
              <w:rPr>
                <w:rFonts w:hAnsi="宋体" w:cs="宋体"/>
                <w:color w:val="auto"/>
                <w:kern w:val="0"/>
                <w:sz w:val="22"/>
                <w:szCs w:val="22"/>
                <w:highlight w:val="none"/>
                <w:lang w:eastAsia="en-US"/>
              </w:rPr>
            </w:pPr>
          </w:p>
        </w:tc>
        <w:tc>
          <w:tcPr>
            <w:tcW w:w="1467" w:type="dxa"/>
            <w:vAlign w:val="center"/>
          </w:tcPr>
          <w:p w14:paraId="76039405">
            <w:pPr>
              <w:autoSpaceDE w:val="0"/>
              <w:autoSpaceDN w:val="0"/>
              <w:jc w:val="center"/>
              <w:rPr>
                <w:rFonts w:hAnsi="宋体" w:cs="宋体"/>
                <w:color w:val="auto"/>
                <w:kern w:val="0"/>
                <w:sz w:val="22"/>
                <w:szCs w:val="22"/>
                <w:highlight w:val="none"/>
                <w:lang w:eastAsia="en-US"/>
              </w:rPr>
            </w:pPr>
          </w:p>
        </w:tc>
        <w:tc>
          <w:tcPr>
            <w:tcW w:w="1140" w:type="dxa"/>
            <w:vAlign w:val="center"/>
          </w:tcPr>
          <w:p w14:paraId="27107A7B">
            <w:pPr>
              <w:autoSpaceDE w:val="0"/>
              <w:autoSpaceDN w:val="0"/>
              <w:jc w:val="center"/>
              <w:rPr>
                <w:rFonts w:hAnsi="宋体" w:cs="宋体"/>
                <w:color w:val="auto"/>
                <w:kern w:val="0"/>
                <w:sz w:val="22"/>
                <w:szCs w:val="22"/>
                <w:highlight w:val="none"/>
                <w:lang w:eastAsia="en-US"/>
              </w:rPr>
            </w:pPr>
          </w:p>
        </w:tc>
        <w:tc>
          <w:tcPr>
            <w:tcW w:w="696" w:type="dxa"/>
            <w:vAlign w:val="center"/>
          </w:tcPr>
          <w:p w14:paraId="58C0201A">
            <w:pPr>
              <w:autoSpaceDE w:val="0"/>
              <w:autoSpaceDN w:val="0"/>
              <w:jc w:val="center"/>
              <w:rPr>
                <w:rFonts w:hAnsi="宋体" w:cs="宋体"/>
                <w:color w:val="auto"/>
                <w:kern w:val="0"/>
                <w:sz w:val="22"/>
                <w:szCs w:val="22"/>
                <w:highlight w:val="none"/>
                <w:lang w:eastAsia="en-US"/>
              </w:rPr>
            </w:pPr>
          </w:p>
        </w:tc>
        <w:tc>
          <w:tcPr>
            <w:tcW w:w="560" w:type="dxa"/>
            <w:vAlign w:val="center"/>
          </w:tcPr>
          <w:p w14:paraId="392E7F30">
            <w:pPr>
              <w:autoSpaceDE w:val="0"/>
              <w:autoSpaceDN w:val="0"/>
              <w:jc w:val="center"/>
              <w:rPr>
                <w:rFonts w:hAnsi="宋体" w:cs="宋体"/>
                <w:color w:val="auto"/>
                <w:kern w:val="0"/>
                <w:sz w:val="22"/>
                <w:szCs w:val="22"/>
                <w:highlight w:val="none"/>
                <w:lang w:eastAsia="en-US"/>
              </w:rPr>
            </w:pPr>
          </w:p>
        </w:tc>
        <w:tc>
          <w:tcPr>
            <w:tcW w:w="1304" w:type="dxa"/>
            <w:vAlign w:val="center"/>
          </w:tcPr>
          <w:p w14:paraId="581F9859">
            <w:pPr>
              <w:autoSpaceDE w:val="0"/>
              <w:autoSpaceDN w:val="0"/>
              <w:jc w:val="center"/>
              <w:rPr>
                <w:rFonts w:hAnsi="宋体" w:cs="宋体"/>
                <w:color w:val="auto"/>
                <w:kern w:val="0"/>
                <w:sz w:val="22"/>
                <w:szCs w:val="22"/>
                <w:highlight w:val="none"/>
                <w:lang w:eastAsia="en-US"/>
              </w:rPr>
            </w:pPr>
          </w:p>
        </w:tc>
        <w:tc>
          <w:tcPr>
            <w:tcW w:w="816" w:type="dxa"/>
            <w:vAlign w:val="center"/>
          </w:tcPr>
          <w:p w14:paraId="3B8B6C14">
            <w:pPr>
              <w:autoSpaceDE w:val="0"/>
              <w:autoSpaceDN w:val="0"/>
              <w:jc w:val="center"/>
              <w:rPr>
                <w:rFonts w:hAnsi="宋体" w:cs="宋体"/>
                <w:color w:val="auto"/>
                <w:kern w:val="0"/>
                <w:sz w:val="22"/>
                <w:szCs w:val="22"/>
                <w:highlight w:val="none"/>
                <w:lang w:eastAsia="en-US"/>
              </w:rPr>
            </w:pPr>
          </w:p>
        </w:tc>
        <w:tc>
          <w:tcPr>
            <w:tcW w:w="1004" w:type="dxa"/>
            <w:vAlign w:val="center"/>
          </w:tcPr>
          <w:p w14:paraId="2562602E">
            <w:pPr>
              <w:autoSpaceDE w:val="0"/>
              <w:autoSpaceDN w:val="0"/>
              <w:jc w:val="center"/>
              <w:rPr>
                <w:rFonts w:hAnsi="宋体" w:cs="宋体"/>
                <w:color w:val="auto"/>
                <w:kern w:val="0"/>
                <w:sz w:val="22"/>
                <w:szCs w:val="22"/>
                <w:highlight w:val="none"/>
                <w:lang w:eastAsia="en-US"/>
              </w:rPr>
            </w:pPr>
          </w:p>
        </w:tc>
        <w:tc>
          <w:tcPr>
            <w:tcW w:w="1304" w:type="dxa"/>
            <w:vAlign w:val="center"/>
          </w:tcPr>
          <w:p w14:paraId="5D26745C">
            <w:pPr>
              <w:autoSpaceDE w:val="0"/>
              <w:autoSpaceDN w:val="0"/>
              <w:jc w:val="center"/>
              <w:rPr>
                <w:rFonts w:hAnsi="宋体" w:cs="宋体"/>
                <w:color w:val="auto"/>
                <w:kern w:val="0"/>
                <w:sz w:val="22"/>
                <w:szCs w:val="22"/>
                <w:highlight w:val="none"/>
                <w:lang w:eastAsia="en-US"/>
              </w:rPr>
            </w:pPr>
          </w:p>
        </w:tc>
      </w:tr>
      <w:tr w14:paraId="12309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09F35514">
            <w:pPr>
              <w:autoSpaceDE w:val="0"/>
              <w:autoSpaceDN w:val="0"/>
              <w:jc w:val="center"/>
              <w:rPr>
                <w:rFonts w:hAnsi="宋体" w:cs="宋体"/>
                <w:color w:val="auto"/>
                <w:kern w:val="0"/>
                <w:sz w:val="22"/>
                <w:szCs w:val="22"/>
                <w:highlight w:val="none"/>
                <w:lang w:eastAsia="en-US"/>
              </w:rPr>
            </w:pPr>
          </w:p>
        </w:tc>
        <w:tc>
          <w:tcPr>
            <w:tcW w:w="1467" w:type="dxa"/>
            <w:vAlign w:val="center"/>
          </w:tcPr>
          <w:p w14:paraId="302CD28D">
            <w:pPr>
              <w:autoSpaceDE w:val="0"/>
              <w:autoSpaceDN w:val="0"/>
              <w:jc w:val="center"/>
              <w:rPr>
                <w:rFonts w:hAnsi="宋体" w:cs="宋体"/>
                <w:color w:val="auto"/>
                <w:kern w:val="0"/>
                <w:sz w:val="22"/>
                <w:szCs w:val="22"/>
                <w:highlight w:val="none"/>
                <w:lang w:eastAsia="en-US"/>
              </w:rPr>
            </w:pPr>
          </w:p>
        </w:tc>
        <w:tc>
          <w:tcPr>
            <w:tcW w:w="1140" w:type="dxa"/>
            <w:vAlign w:val="center"/>
          </w:tcPr>
          <w:p w14:paraId="29DA2B9A">
            <w:pPr>
              <w:autoSpaceDE w:val="0"/>
              <w:autoSpaceDN w:val="0"/>
              <w:jc w:val="center"/>
              <w:rPr>
                <w:rFonts w:hAnsi="宋体" w:cs="宋体"/>
                <w:color w:val="auto"/>
                <w:kern w:val="0"/>
                <w:sz w:val="22"/>
                <w:szCs w:val="22"/>
                <w:highlight w:val="none"/>
                <w:lang w:eastAsia="en-US"/>
              </w:rPr>
            </w:pPr>
          </w:p>
        </w:tc>
        <w:tc>
          <w:tcPr>
            <w:tcW w:w="696" w:type="dxa"/>
            <w:vAlign w:val="center"/>
          </w:tcPr>
          <w:p w14:paraId="2B11AD42">
            <w:pPr>
              <w:autoSpaceDE w:val="0"/>
              <w:autoSpaceDN w:val="0"/>
              <w:jc w:val="center"/>
              <w:rPr>
                <w:rFonts w:hAnsi="宋体" w:cs="宋体"/>
                <w:color w:val="auto"/>
                <w:kern w:val="0"/>
                <w:sz w:val="22"/>
                <w:szCs w:val="22"/>
                <w:highlight w:val="none"/>
                <w:lang w:eastAsia="en-US"/>
              </w:rPr>
            </w:pPr>
          </w:p>
        </w:tc>
        <w:tc>
          <w:tcPr>
            <w:tcW w:w="560" w:type="dxa"/>
            <w:vAlign w:val="center"/>
          </w:tcPr>
          <w:p w14:paraId="47366904">
            <w:pPr>
              <w:autoSpaceDE w:val="0"/>
              <w:autoSpaceDN w:val="0"/>
              <w:jc w:val="center"/>
              <w:rPr>
                <w:rFonts w:hAnsi="宋体" w:cs="宋体"/>
                <w:color w:val="auto"/>
                <w:kern w:val="0"/>
                <w:sz w:val="22"/>
                <w:szCs w:val="22"/>
                <w:highlight w:val="none"/>
                <w:lang w:eastAsia="en-US"/>
              </w:rPr>
            </w:pPr>
          </w:p>
        </w:tc>
        <w:tc>
          <w:tcPr>
            <w:tcW w:w="1304" w:type="dxa"/>
            <w:vAlign w:val="center"/>
          </w:tcPr>
          <w:p w14:paraId="13F8433F">
            <w:pPr>
              <w:autoSpaceDE w:val="0"/>
              <w:autoSpaceDN w:val="0"/>
              <w:jc w:val="center"/>
              <w:rPr>
                <w:rFonts w:hAnsi="宋体" w:cs="宋体"/>
                <w:color w:val="auto"/>
                <w:kern w:val="0"/>
                <w:sz w:val="22"/>
                <w:szCs w:val="22"/>
                <w:highlight w:val="none"/>
                <w:lang w:eastAsia="en-US"/>
              </w:rPr>
            </w:pPr>
          </w:p>
        </w:tc>
        <w:tc>
          <w:tcPr>
            <w:tcW w:w="816" w:type="dxa"/>
            <w:vAlign w:val="center"/>
          </w:tcPr>
          <w:p w14:paraId="62680E2D">
            <w:pPr>
              <w:autoSpaceDE w:val="0"/>
              <w:autoSpaceDN w:val="0"/>
              <w:jc w:val="center"/>
              <w:rPr>
                <w:rFonts w:hAnsi="宋体" w:cs="宋体"/>
                <w:color w:val="auto"/>
                <w:kern w:val="0"/>
                <w:sz w:val="22"/>
                <w:szCs w:val="22"/>
                <w:highlight w:val="none"/>
                <w:lang w:eastAsia="en-US"/>
              </w:rPr>
            </w:pPr>
          </w:p>
        </w:tc>
        <w:tc>
          <w:tcPr>
            <w:tcW w:w="1004" w:type="dxa"/>
            <w:vAlign w:val="center"/>
          </w:tcPr>
          <w:p w14:paraId="7BA3E84E">
            <w:pPr>
              <w:autoSpaceDE w:val="0"/>
              <w:autoSpaceDN w:val="0"/>
              <w:jc w:val="center"/>
              <w:rPr>
                <w:rFonts w:hAnsi="宋体" w:cs="宋体"/>
                <w:color w:val="auto"/>
                <w:kern w:val="0"/>
                <w:sz w:val="22"/>
                <w:szCs w:val="22"/>
                <w:highlight w:val="none"/>
                <w:lang w:eastAsia="en-US"/>
              </w:rPr>
            </w:pPr>
          </w:p>
        </w:tc>
        <w:tc>
          <w:tcPr>
            <w:tcW w:w="1304" w:type="dxa"/>
            <w:vAlign w:val="center"/>
          </w:tcPr>
          <w:p w14:paraId="39A7C71A">
            <w:pPr>
              <w:autoSpaceDE w:val="0"/>
              <w:autoSpaceDN w:val="0"/>
              <w:jc w:val="center"/>
              <w:rPr>
                <w:rFonts w:hAnsi="宋体" w:cs="宋体"/>
                <w:color w:val="auto"/>
                <w:kern w:val="0"/>
                <w:sz w:val="22"/>
                <w:szCs w:val="22"/>
                <w:highlight w:val="none"/>
                <w:lang w:eastAsia="en-US"/>
              </w:rPr>
            </w:pPr>
          </w:p>
        </w:tc>
      </w:tr>
      <w:tr w14:paraId="51A9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79F3D40F">
            <w:pPr>
              <w:autoSpaceDE w:val="0"/>
              <w:autoSpaceDN w:val="0"/>
              <w:jc w:val="center"/>
              <w:rPr>
                <w:rFonts w:hAnsi="宋体" w:cs="宋体"/>
                <w:color w:val="auto"/>
                <w:kern w:val="0"/>
                <w:sz w:val="22"/>
                <w:szCs w:val="22"/>
                <w:highlight w:val="none"/>
                <w:lang w:eastAsia="en-US"/>
              </w:rPr>
            </w:pPr>
          </w:p>
        </w:tc>
        <w:tc>
          <w:tcPr>
            <w:tcW w:w="1467" w:type="dxa"/>
            <w:vAlign w:val="center"/>
          </w:tcPr>
          <w:p w14:paraId="0993560B">
            <w:pPr>
              <w:autoSpaceDE w:val="0"/>
              <w:autoSpaceDN w:val="0"/>
              <w:jc w:val="center"/>
              <w:rPr>
                <w:rFonts w:hAnsi="宋体" w:cs="宋体"/>
                <w:color w:val="auto"/>
                <w:kern w:val="0"/>
                <w:sz w:val="22"/>
                <w:szCs w:val="22"/>
                <w:highlight w:val="none"/>
                <w:lang w:eastAsia="en-US"/>
              </w:rPr>
            </w:pPr>
          </w:p>
        </w:tc>
        <w:tc>
          <w:tcPr>
            <w:tcW w:w="1140" w:type="dxa"/>
            <w:vAlign w:val="center"/>
          </w:tcPr>
          <w:p w14:paraId="0D44784F">
            <w:pPr>
              <w:autoSpaceDE w:val="0"/>
              <w:autoSpaceDN w:val="0"/>
              <w:jc w:val="center"/>
              <w:rPr>
                <w:rFonts w:hAnsi="宋体" w:cs="宋体"/>
                <w:color w:val="auto"/>
                <w:kern w:val="0"/>
                <w:sz w:val="22"/>
                <w:szCs w:val="22"/>
                <w:highlight w:val="none"/>
                <w:lang w:eastAsia="en-US"/>
              </w:rPr>
            </w:pPr>
          </w:p>
        </w:tc>
        <w:tc>
          <w:tcPr>
            <w:tcW w:w="696" w:type="dxa"/>
            <w:vAlign w:val="center"/>
          </w:tcPr>
          <w:p w14:paraId="033EB64B">
            <w:pPr>
              <w:autoSpaceDE w:val="0"/>
              <w:autoSpaceDN w:val="0"/>
              <w:jc w:val="center"/>
              <w:rPr>
                <w:rFonts w:hAnsi="宋体" w:cs="宋体"/>
                <w:color w:val="auto"/>
                <w:kern w:val="0"/>
                <w:sz w:val="22"/>
                <w:szCs w:val="22"/>
                <w:highlight w:val="none"/>
                <w:lang w:eastAsia="en-US"/>
              </w:rPr>
            </w:pPr>
          </w:p>
        </w:tc>
        <w:tc>
          <w:tcPr>
            <w:tcW w:w="560" w:type="dxa"/>
            <w:vAlign w:val="center"/>
          </w:tcPr>
          <w:p w14:paraId="4CCE5098">
            <w:pPr>
              <w:autoSpaceDE w:val="0"/>
              <w:autoSpaceDN w:val="0"/>
              <w:jc w:val="center"/>
              <w:rPr>
                <w:rFonts w:hAnsi="宋体" w:cs="宋体"/>
                <w:color w:val="auto"/>
                <w:kern w:val="0"/>
                <w:sz w:val="22"/>
                <w:szCs w:val="22"/>
                <w:highlight w:val="none"/>
                <w:lang w:eastAsia="en-US"/>
              </w:rPr>
            </w:pPr>
          </w:p>
        </w:tc>
        <w:tc>
          <w:tcPr>
            <w:tcW w:w="1304" w:type="dxa"/>
            <w:vAlign w:val="center"/>
          </w:tcPr>
          <w:p w14:paraId="58AA628F">
            <w:pPr>
              <w:autoSpaceDE w:val="0"/>
              <w:autoSpaceDN w:val="0"/>
              <w:jc w:val="center"/>
              <w:rPr>
                <w:rFonts w:hAnsi="宋体" w:cs="宋体"/>
                <w:color w:val="auto"/>
                <w:kern w:val="0"/>
                <w:sz w:val="22"/>
                <w:szCs w:val="22"/>
                <w:highlight w:val="none"/>
                <w:lang w:eastAsia="en-US"/>
              </w:rPr>
            </w:pPr>
          </w:p>
        </w:tc>
        <w:tc>
          <w:tcPr>
            <w:tcW w:w="816" w:type="dxa"/>
            <w:vAlign w:val="center"/>
          </w:tcPr>
          <w:p w14:paraId="68999FD2">
            <w:pPr>
              <w:autoSpaceDE w:val="0"/>
              <w:autoSpaceDN w:val="0"/>
              <w:jc w:val="center"/>
              <w:rPr>
                <w:rFonts w:hAnsi="宋体" w:cs="宋体"/>
                <w:color w:val="auto"/>
                <w:kern w:val="0"/>
                <w:sz w:val="22"/>
                <w:szCs w:val="22"/>
                <w:highlight w:val="none"/>
                <w:lang w:eastAsia="en-US"/>
              </w:rPr>
            </w:pPr>
          </w:p>
        </w:tc>
        <w:tc>
          <w:tcPr>
            <w:tcW w:w="1004" w:type="dxa"/>
            <w:vAlign w:val="center"/>
          </w:tcPr>
          <w:p w14:paraId="6C182FEC">
            <w:pPr>
              <w:autoSpaceDE w:val="0"/>
              <w:autoSpaceDN w:val="0"/>
              <w:jc w:val="center"/>
              <w:rPr>
                <w:rFonts w:hAnsi="宋体" w:cs="宋体"/>
                <w:color w:val="auto"/>
                <w:kern w:val="0"/>
                <w:sz w:val="22"/>
                <w:szCs w:val="22"/>
                <w:highlight w:val="none"/>
                <w:lang w:eastAsia="en-US"/>
              </w:rPr>
            </w:pPr>
          </w:p>
        </w:tc>
        <w:tc>
          <w:tcPr>
            <w:tcW w:w="1304" w:type="dxa"/>
            <w:vAlign w:val="center"/>
          </w:tcPr>
          <w:p w14:paraId="151CC3C2">
            <w:pPr>
              <w:autoSpaceDE w:val="0"/>
              <w:autoSpaceDN w:val="0"/>
              <w:jc w:val="center"/>
              <w:rPr>
                <w:rFonts w:hAnsi="宋体" w:cs="宋体"/>
                <w:color w:val="auto"/>
                <w:kern w:val="0"/>
                <w:sz w:val="22"/>
                <w:szCs w:val="22"/>
                <w:highlight w:val="none"/>
                <w:lang w:eastAsia="en-US"/>
              </w:rPr>
            </w:pPr>
          </w:p>
        </w:tc>
      </w:tr>
      <w:tr w14:paraId="23E3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FD5C2A2">
            <w:pPr>
              <w:autoSpaceDE w:val="0"/>
              <w:autoSpaceDN w:val="0"/>
              <w:jc w:val="center"/>
              <w:rPr>
                <w:rFonts w:hAnsi="宋体" w:cs="宋体"/>
                <w:color w:val="auto"/>
                <w:kern w:val="0"/>
                <w:sz w:val="22"/>
                <w:szCs w:val="22"/>
                <w:highlight w:val="none"/>
                <w:lang w:eastAsia="en-US"/>
              </w:rPr>
            </w:pPr>
          </w:p>
        </w:tc>
        <w:tc>
          <w:tcPr>
            <w:tcW w:w="1467" w:type="dxa"/>
            <w:vAlign w:val="center"/>
          </w:tcPr>
          <w:p w14:paraId="6CFFE5CC">
            <w:pPr>
              <w:autoSpaceDE w:val="0"/>
              <w:autoSpaceDN w:val="0"/>
              <w:jc w:val="center"/>
              <w:rPr>
                <w:rFonts w:hAnsi="宋体" w:cs="宋体"/>
                <w:color w:val="auto"/>
                <w:kern w:val="0"/>
                <w:sz w:val="22"/>
                <w:szCs w:val="22"/>
                <w:highlight w:val="none"/>
                <w:lang w:eastAsia="en-US"/>
              </w:rPr>
            </w:pPr>
          </w:p>
        </w:tc>
        <w:tc>
          <w:tcPr>
            <w:tcW w:w="1140" w:type="dxa"/>
            <w:vAlign w:val="center"/>
          </w:tcPr>
          <w:p w14:paraId="7827B467">
            <w:pPr>
              <w:autoSpaceDE w:val="0"/>
              <w:autoSpaceDN w:val="0"/>
              <w:jc w:val="center"/>
              <w:rPr>
                <w:rFonts w:hAnsi="宋体" w:cs="宋体"/>
                <w:color w:val="auto"/>
                <w:kern w:val="0"/>
                <w:sz w:val="22"/>
                <w:szCs w:val="22"/>
                <w:highlight w:val="none"/>
                <w:lang w:eastAsia="en-US"/>
              </w:rPr>
            </w:pPr>
          </w:p>
        </w:tc>
        <w:tc>
          <w:tcPr>
            <w:tcW w:w="696" w:type="dxa"/>
            <w:vAlign w:val="center"/>
          </w:tcPr>
          <w:p w14:paraId="3831F508">
            <w:pPr>
              <w:autoSpaceDE w:val="0"/>
              <w:autoSpaceDN w:val="0"/>
              <w:jc w:val="center"/>
              <w:rPr>
                <w:rFonts w:hAnsi="宋体" w:cs="宋体"/>
                <w:color w:val="auto"/>
                <w:kern w:val="0"/>
                <w:sz w:val="22"/>
                <w:szCs w:val="22"/>
                <w:highlight w:val="none"/>
                <w:lang w:eastAsia="en-US"/>
              </w:rPr>
            </w:pPr>
          </w:p>
        </w:tc>
        <w:tc>
          <w:tcPr>
            <w:tcW w:w="560" w:type="dxa"/>
            <w:vAlign w:val="center"/>
          </w:tcPr>
          <w:p w14:paraId="0F0E6BB7">
            <w:pPr>
              <w:autoSpaceDE w:val="0"/>
              <w:autoSpaceDN w:val="0"/>
              <w:jc w:val="center"/>
              <w:rPr>
                <w:rFonts w:hAnsi="宋体" w:cs="宋体"/>
                <w:color w:val="auto"/>
                <w:kern w:val="0"/>
                <w:sz w:val="22"/>
                <w:szCs w:val="22"/>
                <w:highlight w:val="none"/>
                <w:lang w:eastAsia="en-US"/>
              </w:rPr>
            </w:pPr>
          </w:p>
        </w:tc>
        <w:tc>
          <w:tcPr>
            <w:tcW w:w="1304" w:type="dxa"/>
            <w:vAlign w:val="center"/>
          </w:tcPr>
          <w:p w14:paraId="597E7226">
            <w:pPr>
              <w:autoSpaceDE w:val="0"/>
              <w:autoSpaceDN w:val="0"/>
              <w:jc w:val="center"/>
              <w:rPr>
                <w:rFonts w:hAnsi="宋体" w:cs="宋体"/>
                <w:color w:val="auto"/>
                <w:kern w:val="0"/>
                <w:sz w:val="22"/>
                <w:szCs w:val="22"/>
                <w:highlight w:val="none"/>
                <w:lang w:eastAsia="en-US"/>
              </w:rPr>
            </w:pPr>
          </w:p>
        </w:tc>
        <w:tc>
          <w:tcPr>
            <w:tcW w:w="816" w:type="dxa"/>
            <w:vAlign w:val="center"/>
          </w:tcPr>
          <w:p w14:paraId="3C56D010">
            <w:pPr>
              <w:autoSpaceDE w:val="0"/>
              <w:autoSpaceDN w:val="0"/>
              <w:jc w:val="center"/>
              <w:rPr>
                <w:rFonts w:hAnsi="宋体" w:cs="宋体"/>
                <w:color w:val="auto"/>
                <w:kern w:val="0"/>
                <w:sz w:val="22"/>
                <w:szCs w:val="22"/>
                <w:highlight w:val="none"/>
                <w:lang w:eastAsia="en-US"/>
              </w:rPr>
            </w:pPr>
          </w:p>
        </w:tc>
        <w:tc>
          <w:tcPr>
            <w:tcW w:w="1004" w:type="dxa"/>
            <w:vAlign w:val="center"/>
          </w:tcPr>
          <w:p w14:paraId="570011D7">
            <w:pPr>
              <w:autoSpaceDE w:val="0"/>
              <w:autoSpaceDN w:val="0"/>
              <w:jc w:val="center"/>
              <w:rPr>
                <w:rFonts w:hAnsi="宋体" w:cs="宋体"/>
                <w:color w:val="auto"/>
                <w:kern w:val="0"/>
                <w:sz w:val="22"/>
                <w:szCs w:val="22"/>
                <w:highlight w:val="none"/>
                <w:lang w:eastAsia="en-US"/>
              </w:rPr>
            </w:pPr>
          </w:p>
        </w:tc>
        <w:tc>
          <w:tcPr>
            <w:tcW w:w="1304" w:type="dxa"/>
            <w:vAlign w:val="center"/>
          </w:tcPr>
          <w:p w14:paraId="6C6446A6">
            <w:pPr>
              <w:autoSpaceDE w:val="0"/>
              <w:autoSpaceDN w:val="0"/>
              <w:jc w:val="center"/>
              <w:rPr>
                <w:rFonts w:hAnsi="宋体" w:cs="宋体"/>
                <w:color w:val="auto"/>
                <w:kern w:val="0"/>
                <w:sz w:val="22"/>
                <w:szCs w:val="22"/>
                <w:highlight w:val="none"/>
                <w:lang w:eastAsia="en-US"/>
              </w:rPr>
            </w:pPr>
          </w:p>
        </w:tc>
      </w:tr>
      <w:tr w14:paraId="404E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535ECCC6">
            <w:pPr>
              <w:autoSpaceDE w:val="0"/>
              <w:autoSpaceDN w:val="0"/>
              <w:jc w:val="center"/>
              <w:rPr>
                <w:rFonts w:hAnsi="宋体" w:cs="宋体"/>
                <w:color w:val="auto"/>
                <w:kern w:val="0"/>
                <w:sz w:val="22"/>
                <w:szCs w:val="22"/>
                <w:highlight w:val="none"/>
                <w:lang w:eastAsia="en-US"/>
              </w:rPr>
            </w:pPr>
          </w:p>
        </w:tc>
        <w:tc>
          <w:tcPr>
            <w:tcW w:w="1467" w:type="dxa"/>
            <w:vAlign w:val="center"/>
          </w:tcPr>
          <w:p w14:paraId="4E261830">
            <w:pPr>
              <w:autoSpaceDE w:val="0"/>
              <w:autoSpaceDN w:val="0"/>
              <w:jc w:val="center"/>
              <w:rPr>
                <w:rFonts w:hAnsi="宋体" w:cs="宋体"/>
                <w:color w:val="auto"/>
                <w:kern w:val="0"/>
                <w:sz w:val="22"/>
                <w:szCs w:val="22"/>
                <w:highlight w:val="none"/>
                <w:lang w:eastAsia="en-US"/>
              </w:rPr>
            </w:pPr>
          </w:p>
        </w:tc>
        <w:tc>
          <w:tcPr>
            <w:tcW w:w="1140" w:type="dxa"/>
            <w:vAlign w:val="center"/>
          </w:tcPr>
          <w:p w14:paraId="1BE01849">
            <w:pPr>
              <w:autoSpaceDE w:val="0"/>
              <w:autoSpaceDN w:val="0"/>
              <w:jc w:val="center"/>
              <w:rPr>
                <w:rFonts w:hAnsi="宋体" w:cs="宋体"/>
                <w:color w:val="auto"/>
                <w:kern w:val="0"/>
                <w:sz w:val="22"/>
                <w:szCs w:val="22"/>
                <w:highlight w:val="none"/>
                <w:lang w:eastAsia="en-US"/>
              </w:rPr>
            </w:pPr>
          </w:p>
        </w:tc>
        <w:tc>
          <w:tcPr>
            <w:tcW w:w="696" w:type="dxa"/>
            <w:vAlign w:val="center"/>
          </w:tcPr>
          <w:p w14:paraId="6815940C">
            <w:pPr>
              <w:autoSpaceDE w:val="0"/>
              <w:autoSpaceDN w:val="0"/>
              <w:jc w:val="center"/>
              <w:rPr>
                <w:rFonts w:hAnsi="宋体" w:cs="宋体"/>
                <w:color w:val="auto"/>
                <w:kern w:val="0"/>
                <w:sz w:val="22"/>
                <w:szCs w:val="22"/>
                <w:highlight w:val="none"/>
                <w:lang w:eastAsia="en-US"/>
              </w:rPr>
            </w:pPr>
          </w:p>
        </w:tc>
        <w:tc>
          <w:tcPr>
            <w:tcW w:w="560" w:type="dxa"/>
            <w:vAlign w:val="center"/>
          </w:tcPr>
          <w:p w14:paraId="7E99F98D">
            <w:pPr>
              <w:autoSpaceDE w:val="0"/>
              <w:autoSpaceDN w:val="0"/>
              <w:jc w:val="center"/>
              <w:rPr>
                <w:rFonts w:hAnsi="宋体" w:cs="宋体"/>
                <w:color w:val="auto"/>
                <w:kern w:val="0"/>
                <w:sz w:val="22"/>
                <w:szCs w:val="22"/>
                <w:highlight w:val="none"/>
                <w:lang w:eastAsia="en-US"/>
              </w:rPr>
            </w:pPr>
          </w:p>
        </w:tc>
        <w:tc>
          <w:tcPr>
            <w:tcW w:w="1304" w:type="dxa"/>
            <w:vAlign w:val="center"/>
          </w:tcPr>
          <w:p w14:paraId="45E3A0CC">
            <w:pPr>
              <w:autoSpaceDE w:val="0"/>
              <w:autoSpaceDN w:val="0"/>
              <w:jc w:val="center"/>
              <w:rPr>
                <w:rFonts w:hAnsi="宋体" w:cs="宋体"/>
                <w:color w:val="auto"/>
                <w:kern w:val="0"/>
                <w:sz w:val="22"/>
                <w:szCs w:val="22"/>
                <w:highlight w:val="none"/>
                <w:lang w:eastAsia="en-US"/>
              </w:rPr>
            </w:pPr>
          </w:p>
        </w:tc>
        <w:tc>
          <w:tcPr>
            <w:tcW w:w="816" w:type="dxa"/>
            <w:vAlign w:val="center"/>
          </w:tcPr>
          <w:p w14:paraId="6D463360">
            <w:pPr>
              <w:autoSpaceDE w:val="0"/>
              <w:autoSpaceDN w:val="0"/>
              <w:jc w:val="center"/>
              <w:rPr>
                <w:rFonts w:hAnsi="宋体" w:cs="宋体"/>
                <w:color w:val="auto"/>
                <w:kern w:val="0"/>
                <w:sz w:val="22"/>
                <w:szCs w:val="22"/>
                <w:highlight w:val="none"/>
                <w:lang w:eastAsia="en-US"/>
              </w:rPr>
            </w:pPr>
          </w:p>
        </w:tc>
        <w:tc>
          <w:tcPr>
            <w:tcW w:w="1004" w:type="dxa"/>
            <w:vAlign w:val="center"/>
          </w:tcPr>
          <w:p w14:paraId="75885BFB">
            <w:pPr>
              <w:autoSpaceDE w:val="0"/>
              <w:autoSpaceDN w:val="0"/>
              <w:jc w:val="center"/>
              <w:rPr>
                <w:rFonts w:hAnsi="宋体" w:cs="宋体"/>
                <w:color w:val="auto"/>
                <w:kern w:val="0"/>
                <w:sz w:val="22"/>
                <w:szCs w:val="22"/>
                <w:highlight w:val="none"/>
                <w:lang w:eastAsia="en-US"/>
              </w:rPr>
            </w:pPr>
          </w:p>
        </w:tc>
        <w:tc>
          <w:tcPr>
            <w:tcW w:w="1304" w:type="dxa"/>
            <w:vAlign w:val="center"/>
          </w:tcPr>
          <w:p w14:paraId="5B79A0D6">
            <w:pPr>
              <w:autoSpaceDE w:val="0"/>
              <w:autoSpaceDN w:val="0"/>
              <w:jc w:val="center"/>
              <w:rPr>
                <w:rFonts w:hAnsi="宋体" w:cs="宋体"/>
                <w:color w:val="auto"/>
                <w:kern w:val="0"/>
                <w:sz w:val="22"/>
                <w:szCs w:val="22"/>
                <w:highlight w:val="none"/>
                <w:lang w:eastAsia="en-US"/>
              </w:rPr>
            </w:pPr>
          </w:p>
        </w:tc>
      </w:tr>
      <w:tr w14:paraId="465E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5624D779">
            <w:pPr>
              <w:autoSpaceDE w:val="0"/>
              <w:autoSpaceDN w:val="0"/>
              <w:jc w:val="center"/>
              <w:rPr>
                <w:rFonts w:hAnsi="宋体" w:cs="宋体"/>
                <w:color w:val="auto"/>
                <w:kern w:val="0"/>
                <w:sz w:val="22"/>
                <w:szCs w:val="22"/>
                <w:highlight w:val="none"/>
                <w:lang w:eastAsia="en-US"/>
              </w:rPr>
            </w:pPr>
          </w:p>
        </w:tc>
        <w:tc>
          <w:tcPr>
            <w:tcW w:w="1467" w:type="dxa"/>
            <w:vAlign w:val="center"/>
          </w:tcPr>
          <w:p w14:paraId="071D6F40">
            <w:pPr>
              <w:autoSpaceDE w:val="0"/>
              <w:autoSpaceDN w:val="0"/>
              <w:jc w:val="center"/>
              <w:rPr>
                <w:rFonts w:hAnsi="宋体" w:cs="宋体"/>
                <w:color w:val="auto"/>
                <w:kern w:val="0"/>
                <w:sz w:val="22"/>
                <w:szCs w:val="22"/>
                <w:highlight w:val="none"/>
                <w:lang w:eastAsia="en-US"/>
              </w:rPr>
            </w:pPr>
          </w:p>
        </w:tc>
        <w:tc>
          <w:tcPr>
            <w:tcW w:w="1140" w:type="dxa"/>
            <w:vAlign w:val="center"/>
          </w:tcPr>
          <w:p w14:paraId="419ECCA8">
            <w:pPr>
              <w:autoSpaceDE w:val="0"/>
              <w:autoSpaceDN w:val="0"/>
              <w:jc w:val="center"/>
              <w:rPr>
                <w:rFonts w:hAnsi="宋体" w:cs="宋体"/>
                <w:color w:val="auto"/>
                <w:kern w:val="0"/>
                <w:sz w:val="22"/>
                <w:szCs w:val="22"/>
                <w:highlight w:val="none"/>
                <w:lang w:eastAsia="en-US"/>
              </w:rPr>
            </w:pPr>
          </w:p>
        </w:tc>
        <w:tc>
          <w:tcPr>
            <w:tcW w:w="696" w:type="dxa"/>
            <w:vAlign w:val="center"/>
          </w:tcPr>
          <w:p w14:paraId="77EDCE09">
            <w:pPr>
              <w:autoSpaceDE w:val="0"/>
              <w:autoSpaceDN w:val="0"/>
              <w:jc w:val="center"/>
              <w:rPr>
                <w:rFonts w:hAnsi="宋体" w:cs="宋体"/>
                <w:color w:val="auto"/>
                <w:kern w:val="0"/>
                <w:sz w:val="22"/>
                <w:szCs w:val="22"/>
                <w:highlight w:val="none"/>
                <w:lang w:eastAsia="en-US"/>
              </w:rPr>
            </w:pPr>
          </w:p>
        </w:tc>
        <w:tc>
          <w:tcPr>
            <w:tcW w:w="560" w:type="dxa"/>
            <w:vAlign w:val="center"/>
          </w:tcPr>
          <w:p w14:paraId="0B9CDFA1">
            <w:pPr>
              <w:autoSpaceDE w:val="0"/>
              <w:autoSpaceDN w:val="0"/>
              <w:jc w:val="center"/>
              <w:rPr>
                <w:rFonts w:hAnsi="宋体" w:cs="宋体"/>
                <w:color w:val="auto"/>
                <w:kern w:val="0"/>
                <w:sz w:val="22"/>
                <w:szCs w:val="22"/>
                <w:highlight w:val="none"/>
                <w:lang w:eastAsia="en-US"/>
              </w:rPr>
            </w:pPr>
          </w:p>
        </w:tc>
        <w:tc>
          <w:tcPr>
            <w:tcW w:w="1304" w:type="dxa"/>
            <w:vAlign w:val="center"/>
          </w:tcPr>
          <w:p w14:paraId="0F18F936">
            <w:pPr>
              <w:autoSpaceDE w:val="0"/>
              <w:autoSpaceDN w:val="0"/>
              <w:jc w:val="center"/>
              <w:rPr>
                <w:rFonts w:hAnsi="宋体" w:cs="宋体"/>
                <w:color w:val="auto"/>
                <w:kern w:val="0"/>
                <w:sz w:val="22"/>
                <w:szCs w:val="22"/>
                <w:highlight w:val="none"/>
                <w:lang w:eastAsia="en-US"/>
              </w:rPr>
            </w:pPr>
          </w:p>
        </w:tc>
        <w:tc>
          <w:tcPr>
            <w:tcW w:w="816" w:type="dxa"/>
            <w:vAlign w:val="center"/>
          </w:tcPr>
          <w:p w14:paraId="5333FB77">
            <w:pPr>
              <w:autoSpaceDE w:val="0"/>
              <w:autoSpaceDN w:val="0"/>
              <w:jc w:val="center"/>
              <w:rPr>
                <w:rFonts w:hAnsi="宋体" w:cs="宋体"/>
                <w:color w:val="auto"/>
                <w:kern w:val="0"/>
                <w:sz w:val="22"/>
                <w:szCs w:val="22"/>
                <w:highlight w:val="none"/>
                <w:lang w:eastAsia="en-US"/>
              </w:rPr>
            </w:pPr>
          </w:p>
        </w:tc>
        <w:tc>
          <w:tcPr>
            <w:tcW w:w="1004" w:type="dxa"/>
            <w:vAlign w:val="center"/>
          </w:tcPr>
          <w:p w14:paraId="620DDA17">
            <w:pPr>
              <w:autoSpaceDE w:val="0"/>
              <w:autoSpaceDN w:val="0"/>
              <w:jc w:val="center"/>
              <w:rPr>
                <w:rFonts w:hAnsi="宋体" w:cs="宋体"/>
                <w:color w:val="auto"/>
                <w:kern w:val="0"/>
                <w:sz w:val="22"/>
                <w:szCs w:val="22"/>
                <w:highlight w:val="none"/>
                <w:lang w:eastAsia="en-US"/>
              </w:rPr>
            </w:pPr>
          </w:p>
        </w:tc>
        <w:tc>
          <w:tcPr>
            <w:tcW w:w="1304" w:type="dxa"/>
            <w:vAlign w:val="center"/>
          </w:tcPr>
          <w:p w14:paraId="6201B39D">
            <w:pPr>
              <w:autoSpaceDE w:val="0"/>
              <w:autoSpaceDN w:val="0"/>
              <w:jc w:val="center"/>
              <w:rPr>
                <w:rFonts w:hAnsi="宋体" w:cs="宋体"/>
                <w:color w:val="auto"/>
                <w:kern w:val="0"/>
                <w:sz w:val="22"/>
                <w:szCs w:val="22"/>
                <w:highlight w:val="none"/>
                <w:lang w:eastAsia="en-US"/>
              </w:rPr>
            </w:pPr>
          </w:p>
        </w:tc>
      </w:tr>
      <w:tr w14:paraId="790A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09C9EB0B">
            <w:pPr>
              <w:autoSpaceDE w:val="0"/>
              <w:autoSpaceDN w:val="0"/>
              <w:jc w:val="center"/>
              <w:rPr>
                <w:rFonts w:hAnsi="宋体" w:cs="宋体"/>
                <w:color w:val="auto"/>
                <w:kern w:val="0"/>
                <w:sz w:val="22"/>
                <w:szCs w:val="22"/>
                <w:highlight w:val="none"/>
                <w:lang w:eastAsia="en-US"/>
              </w:rPr>
            </w:pPr>
          </w:p>
        </w:tc>
        <w:tc>
          <w:tcPr>
            <w:tcW w:w="1467" w:type="dxa"/>
            <w:vAlign w:val="center"/>
          </w:tcPr>
          <w:p w14:paraId="326F0535">
            <w:pPr>
              <w:autoSpaceDE w:val="0"/>
              <w:autoSpaceDN w:val="0"/>
              <w:jc w:val="center"/>
              <w:rPr>
                <w:rFonts w:hAnsi="宋体" w:cs="宋体"/>
                <w:color w:val="auto"/>
                <w:kern w:val="0"/>
                <w:sz w:val="22"/>
                <w:szCs w:val="22"/>
                <w:highlight w:val="none"/>
                <w:lang w:eastAsia="en-US"/>
              </w:rPr>
            </w:pPr>
          </w:p>
        </w:tc>
        <w:tc>
          <w:tcPr>
            <w:tcW w:w="1140" w:type="dxa"/>
            <w:vAlign w:val="center"/>
          </w:tcPr>
          <w:p w14:paraId="0B5EC1E7">
            <w:pPr>
              <w:autoSpaceDE w:val="0"/>
              <w:autoSpaceDN w:val="0"/>
              <w:jc w:val="center"/>
              <w:rPr>
                <w:rFonts w:hAnsi="宋体" w:cs="宋体"/>
                <w:color w:val="auto"/>
                <w:kern w:val="0"/>
                <w:sz w:val="22"/>
                <w:szCs w:val="22"/>
                <w:highlight w:val="none"/>
                <w:lang w:eastAsia="en-US"/>
              </w:rPr>
            </w:pPr>
          </w:p>
        </w:tc>
        <w:tc>
          <w:tcPr>
            <w:tcW w:w="696" w:type="dxa"/>
            <w:vAlign w:val="center"/>
          </w:tcPr>
          <w:p w14:paraId="1C99CD3B">
            <w:pPr>
              <w:autoSpaceDE w:val="0"/>
              <w:autoSpaceDN w:val="0"/>
              <w:jc w:val="center"/>
              <w:rPr>
                <w:rFonts w:hAnsi="宋体" w:cs="宋体"/>
                <w:color w:val="auto"/>
                <w:kern w:val="0"/>
                <w:sz w:val="22"/>
                <w:szCs w:val="22"/>
                <w:highlight w:val="none"/>
                <w:lang w:eastAsia="en-US"/>
              </w:rPr>
            </w:pPr>
          </w:p>
        </w:tc>
        <w:tc>
          <w:tcPr>
            <w:tcW w:w="560" w:type="dxa"/>
            <w:vAlign w:val="center"/>
          </w:tcPr>
          <w:p w14:paraId="432685F3">
            <w:pPr>
              <w:autoSpaceDE w:val="0"/>
              <w:autoSpaceDN w:val="0"/>
              <w:jc w:val="center"/>
              <w:rPr>
                <w:rFonts w:hAnsi="宋体" w:cs="宋体"/>
                <w:color w:val="auto"/>
                <w:kern w:val="0"/>
                <w:sz w:val="22"/>
                <w:szCs w:val="22"/>
                <w:highlight w:val="none"/>
                <w:lang w:eastAsia="en-US"/>
              </w:rPr>
            </w:pPr>
          </w:p>
        </w:tc>
        <w:tc>
          <w:tcPr>
            <w:tcW w:w="1304" w:type="dxa"/>
            <w:vAlign w:val="center"/>
          </w:tcPr>
          <w:p w14:paraId="3F401418">
            <w:pPr>
              <w:autoSpaceDE w:val="0"/>
              <w:autoSpaceDN w:val="0"/>
              <w:jc w:val="center"/>
              <w:rPr>
                <w:rFonts w:hAnsi="宋体" w:cs="宋体"/>
                <w:color w:val="auto"/>
                <w:kern w:val="0"/>
                <w:sz w:val="22"/>
                <w:szCs w:val="22"/>
                <w:highlight w:val="none"/>
                <w:lang w:eastAsia="en-US"/>
              </w:rPr>
            </w:pPr>
          </w:p>
        </w:tc>
        <w:tc>
          <w:tcPr>
            <w:tcW w:w="816" w:type="dxa"/>
            <w:vAlign w:val="center"/>
          </w:tcPr>
          <w:p w14:paraId="62DB1F19">
            <w:pPr>
              <w:autoSpaceDE w:val="0"/>
              <w:autoSpaceDN w:val="0"/>
              <w:jc w:val="center"/>
              <w:rPr>
                <w:rFonts w:hAnsi="宋体" w:cs="宋体"/>
                <w:color w:val="auto"/>
                <w:kern w:val="0"/>
                <w:sz w:val="22"/>
                <w:szCs w:val="22"/>
                <w:highlight w:val="none"/>
                <w:lang w:eastAsia="en-US"/>
              </w:rPr>
            </w:pPr>
          </w:p>
        </w:tc>
        <w:tc>
          <w:tcPr>
            <w:tcW w:w="1004" w:type="dxa"/>
            <w:vAlign w:val="center"/>
          </w:tcPr>
          <w:p w14:paraId="0D77499E">
            <w:pPr>
              <w:autoSpaceDE w:val="0"/>
              <w:autoSpaceDN w:val="0"/>
              <w:jc w:val="center"/>
              <w:rPr>
                <w:rFonts w:hAnsi="宋体" w:cs="宋体"/>
                <w:color w:val="auto"/>
                <w:kern w:val="0"/>
                <w:sz w:val="22"/>
                <w:szCs w:val="22"/>
                <w:highlight w:val="none"/>
                <w:lang w:eastAsia="en-US"/>
              </w:rPr>
            </w:pPr>
          </w:p>
        </w:tc>
        <w:tc>
          <w:tcPr>
            <w:tcW w:w="1304" w:type="dxa"/>
            <w:vAlign w:val="center"/>
          </w:tcPr>
          <w:p w14:paraId="0DFC3016">
            <w:pPr>
              <w:autoSpaceDE w:val="0"/>
              <w:autoSpaceDN w:val="0"/>
              <w:jc w:val="center"/>
              <w:rPr>
                <w:rFonts w:hAnsi="宋体" w:cs="宋体"/>
                <w:color w:val="auto"/>
                <w:kern w:val="0"/>
                <w:sz w:val="22"/>
                <w:szCs w:val="22"/>
                <w:highlight w:val="none"/>
                <w:lang w:eastAsia="en-US"/>
              </w:rPr>
            </w:pPr>
          </w:p>
        </w:tc>
      </w:tr>
      <w:tr w14:paraId="7E03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0E3AC0B7">
            <w:pPr>
              <w:autoSpaceDE w:val="0"/>
              <w:autoSpaceDN w:val="0"/>
              <w:jc w:val="center"/>
              <w:rPr>
                <w:rFonts w:hAnsi="宋体" w:cs="宋体"/>
                <w:color w:val="auto"/>
                <w:kern w:val="0"/>
                <w:sz w:val="22"/>
                <w:szCs w:val="22"/>
                <w:highlight w:val="none"/>
                <w:lang w:eastAsia="en-US"/>
              </w:rPr>
            </w:pPr>
          </w:p>
        </w:tc>
        <w:tc>
          <w:tcPr>
            <w:tcW w:w="1467" w:type="dxa"/>
            <w:vAlign w:val="center"/>
          </w:tcPr>
          <w:p w14:paraId="7709683E">
            <w:pPr>
              <w:autoSpaceDE w:val="0"/>
              <w:autoSpaceDN w:val="0"/>
              <w:jc w:val="center"/>
              <w:rPr>
                <w:rFonts w:hAnsi="宋体" w:cs="宋体"/>
                <w:color w:val="auto"/>
                <w:kern w:val="0"/>
                <w:sz w:val="22"/>
                <w:szCs w:val="22"/>
                <w:highlight w:val="none"/>
                <w:lang w:eastAsia="en-US"/>
              </w:rPr>
            </w:pPr>
          </w:p>
        </w:tc>
        <w:tc>
          <w:tcPr>
            <w:tcW w:w="1140" w:type="dxa"/>
            <w:vAlign w:val="center"/>
          </w:tcPr>
          <w:p w14:paraId="2FAD2577">
            <w:pPr>
              <w:autoSpaceDE w:val="0"/>
              <w:autoSpaceDN w:val="0"/>
              <w:jc w:val="center"/>
              <w:rPr>
                <w:rFonts w:hAnsi="宋体" w:cs="宋体"/>
                <w:color w:val="auto"/>
                <w:kern w:val="0"/>
                <w:sz w:val="22"/>
                <w:szCs w:val="22"/>
                <w:highlight w:val="none"/>
                <w:lang w:eastAsia="en-US"/>
              </w:rPr>
            </w:pPr>
          </w:p>
        </w:tc>
        <w:tc>
          <w:tcPr>
            <w:tcW w:w="696" w:type="dxa"/>
            <w:vAlign w:val="center"/>
          </w:tcPr>
          <w:p w14:paraId="4AAF4624">
            <w:pPr>
              <w:autoSpaceDE w:val="0"/>
              <w:autoSpaceDN w:val="0"/>
              <w:jc w:val="center"/>
              <w:rPr>
                <w:rFonts w:hAnsi="宋体" w:cs="宋体"/>
                <w:color w:val="auto"/>
                <w:kern w:val="0"/>
                <w:sz w:val="22"/>
                <w:szCs w:val="22"/>
                <w:highlight w:val="none"/>
                <w:lang w:eastAsia="en-US"/>
              </w:rPr>
            </w:pPr>
          </w:p>
        </w:tc>
        <w:tc>
          <w:tcPr>
            <w:tcW w:w="560" w:type="dxa"/>
            <w:vAlign w:val="center"/>
          </w:tcPr>
          <w:p w14:paraId="6CD0FF30">
            <w:pPr>
              <w:autoSpaceDE w:val="0"/>
              <w:autoSpaceDN w:val="0"/>
              <w:jc w:val="center"/>
              <w:rPr>
                <w:rFonts w:hAnsi="宋体" w:cs="宋体"/>
                <w:color w:val="auto"/>
                <w:kern w:val="0"/>
                <w:sz w:val="22"/>
                <w:szCs w:val="22"/>
                <w:highlight w:val="none"/>
                <w:lang w:eastAsia="en-US"/>
              </w:rPr>
            </w:pPr>
          </w:p>
        </w:tc>
        <w:tc>
          <w:tcPr>
            <w:tcW w:w="1304" w:type="dxa"/>
            <w:vAlign w:val="center"/>
          </w:tcPr>
          <w:p w14:paraId="507DEF15">
            <w:pPr>
              <w:autoSpaceDE w:val="0"/>
              <w:autoSpaceDN w:val="0"/>
              <w:jc w:val="center"/>
              <w:rPr>
                <w:rFonts w:hAnsi="宋体" w:cs="宋体"/>
                <w:color w:val="auto"/>
                <w:kern w:val="0"/>
                <w:sz w:val="22"/>
                <w:szCs w:val="22"/>
                <w:highlight w:val="none"/>
                <w:lang w:eastAsia="en-US"/>
              </w:rPr>
            </w:pPr>
          </w:p>
        </w:tc>
        <w:tc>
          <w:tcPr>
            <w:tcW w:w="816" w:type="dxa"/>
            <w:vAlign w:val="center"/>
          </w:tcPr>
          <w:p w14:paraId="3177B52B">
            <w:pPr>
              <w:autoSpaceDE w:val="0"/>
              <w:autoSpaceDN w:val="0"/>
              <w:jc w:val="center"/>
              <w:rPr>
                <w:rFonts w:hAnsi="宋体" w:cs="宋体"/>
                <w:color w:val="auto"/>
                <w:kern w:val="0"/>
                <w:sz w:val="22"/>
                <w:szCs w:val="22"/>
                <w:highlight w:val="none"/>
                <w:lang w:eastAsia="en-US"/>
              </w:rPr>
            </w:pPr>
          </w:p>
        </w:tc>
        <w:tc>
          <w:tcPr>
            <w:tcW w:w="1004" w:type="dxa"/>
            <w:vAlign w:val="center"/>
          </w:tcPr>
          <w:p w14:paraId="3C4155AA">
            <w:pPr>
              <w:autoSpaceDE w:val="0"/>
              <w:autoSpaceDN w:val="0"/>
              <w:jc w:val="center"/>
              <w:rPr>
                <w:rFonts w:hAnsi="宋体" w:cs="宋体"/>
                <w:color w:val="auto"/>
                <w:kern w:val="0"/>
                <w:sz w:val="22"/>
                <w:szCs w:val="22"/>
                <w:highlight w:val="none"/>
                <w:lang w:eastAsia="en-US"/>
              </w:rPr>
            </w:pPr>
          </w:p>
        </w:tc>
        <w:tc>
          <w:tcPr>
            <w:tcW w:w="1304" w:type="dxa"/>
            <w:vAlign w:val="center"/>
          </w:tcPr>
          <w:p w14:paraId="51FD667E">
            <w:pPr>
              <w:autoSpaceDE w:val="0"/>
              <w:autoSpaceDN w:val="0"/>
              <w:jc w:val="center"/>
              <w:rPr>
                <w:rFonts w:hAnsi="宋体" w:cs="宋体"/>
                <w:color w:val="auto"/>
                <w:kern w:val="0"/>
                <w:sz w:val="22"/>
                <w:szCs w:val="22"/>
                <w:highlight w:val="none"/>
                <w:lang w:eastAsia="en-US"/>
              </w:rPr>
            </w:pPr>
          </w:p>
        </w:tc>
      </w:tr>
      <w:tr w14:paraId="246D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39" w:type="dxa"/>
            <w:vAlign w:val="center"/>
          </w:tcPr>
          <w:p w14:paraId="617F1182">
            <w:pPr>
              <w:autoSpaceDE w:val="0"/>
              <w:autoSpaceDN w:val="0"/>
              <w:jc w:val="center"/>
              <w:rPr>
                <w:rFonts w:hAnsi="宋体" w:cs="宋体"/>
                <w:color w:val="auto"/>
                <w:kern w:val="0"/>
                <w:sz w:val="22"/>
                <w:szCs w:val="22"/>
                <w:highlight w:val="none"/>
                <w:lang w:eastAsia="en-US"/>
              </w:rPr>
            </w:pPr>
          </w:p>
        </w:tc>
        <w:tc>
          <w:tcPr>
            <w:tcW w:w="1467" w:type="dxa"/>
            <w:vAlign w:val="center"/>
          </w:tcPr>
          <w:p w14:paraId="63DBC48B">
            <w:pPr>
              <w:autoSpaceDE w:val="0"/>
              <w:autoSpaceDN w:val="0"/>
              <w:jc w:val="center"/>
              <w:rPr>
                <w:rFonts w:hAnsi="宋体" w:cs="宋体"/>
                <w:color w:val="auto"/>
                <w:kern w:val="0"/>
                <w:sz w:val="22"/>
                <w:szCs w:val="22"/>
                <w:highlight w:val="none"/>
                <w:lang w:eastAsia="en-US"/>
              </w:rPr>
            </w:pPr>
          </w:p>
        </w:tc>
        <w:tc>
          <w:tcPr>
            <w:tcW w:w="1140" w:type="dxa"/>
            <w:vAlign w:val="center"/>
          </w:tcPr>
          <w:p w14:paraId="3ACA4437">
            <w:pPr>
              <w:autoSpaceDE w:val="0"/>
              <w:autoSpaceDN w:val="0"/>
              <w:jc w:val="center"/>
              <w:rPr>
                <w:rFonts w:hAnsi="宋体" w:cs="宋体"/>
                <w:color w:val="auto"/>
                <w:kern w:val="0"/>
                <w:sz w:val="22"/>
                <w:szCs w:val="22"/>
                <w:highlight w:val="none"/>
                <w:lang w:eastAsia="en-US"/>
              </w:rPr>
            </w:pPr>
          </w:p>
        </w:tc>
        <w:tc>
          <w:tcPr>
            <w:tcW w:w="696" w:type="dxa"/>
            <w:vAlign w:val="center"/>
          </w:tcPr>
          <w:p w14:paraId="155E4247">
            <w:pPr>
              <w:autoSpaceDE w:val="0"/>
              <w:autoSpaceDN w:val="0"/>
              <w:jc w:val="center"/>
              <w:rPr>
                <w:rFonts w:hAnsi="宋体" w:cs="宋体"/>
                <w:color w:val="auto"/>
                <w:kern w:val="0"/>
                <w:sz w:val="22"/>
                <w:szCs w:val="22"/>
                <w:highlight w:val="none"/>
                <w:lang w:eastAsia="en-US"/>
              </w:rPr>
            </w:pPr>
          </w:p>
        </w:tc>
        <w:tc>
          <w:tcPr>
            <w:tcW w:w="560" w:type="dxa"/>
            <w:vAlign w:val="center"/>
          </w:tcPr>
          <w:p w14:paraId="09993DA9">
            <w:pPr>
              <w:autoSpaceDE w:val="0"/>
              <w:autoSpaceDN w:val="0"/>
              <w:jc w:val="center"/>
              <w:rPr>
                <w:rFonts w:hAnsi="宋体" w:cs="宋体"/>
                <w:color w:val="auto"/>
                <w:kern w:val="0"/>
                <w:sz w:val="22"/>
                <w:szCs w:val="22"/>
                <w:highlight w:val="none"/>
                <w:lang w:eastAsia="en-US"/>
              </w:rPr>
            </w:pPr>
          </w:p>
        </w:tc>
        <w:tc>
          <w:tcPr>
            <w:tcW w:w="1304" w:type="dxa"/>
            <w:vAlign w:val="center"/>
          </w:tcPr>
          <w:p w14:paraId="51FFE063">
            <w:pPr>
              <w:autoSpaceDE w:val="0"/>
              <w:autoSpaceDN w:val="0"/>
              <w:jc w:val="center"/>
              <w:rPr>
                <w:rFonts w:hAnsi="宋体" w:cs="宋体"/>
                <w:color w:val="auto"/>
                <w:kern w:val="0"/>
                <w:sz w:val="22"/>
                <w:szCs w:val="22"/>
                <w:highlight w:val="none"/>
                <w:lang w:eastAsia="en-US"/>
              </w:rPr>
            </w:pPr>
          </w:p>
        </w:tc>
        <w:tc>
          <w:tcPr>
            <w:tcW w:w="816" w:type="dxa"/>
            <w:vAlign w:val="center"/>
          </w:tcPr>
          <w:p w14:paraId="5CB8148D">
            <w:pPr>
              <w:autoSpaceDE w:val="0"/>
              <w:autoSpaceDN w:val="0"/>
              <w:jc w:val="center"/>
              <w:rPr>
                <w:rFonts w:hAnsi="宋体" w:cs="宋体"/>
                <w:color w:val="auto"/>
                <w:kern w:val="0"/>
                <w:sz w:val="22"/>
                <w:szCs w:val="22"/>
                <w:highlight w:val="none"/>
                <w:lang w:eastAsia="en-US"/>
              </w:rPr>
            </w:pPr>
          </w:p>
        </w:tc>
        <w:tc>
          <w:tcPr>
            <w:tcW w:w="1004" w:type="dxa"/>
            <w:vAlign w:val="center"/>
          </w:tcPr>
          <w:p w14:paraId="799DD874">
            <w:pPr>
              <w:autoSpaceDE w:val="0"/>
              <w:autoSpaceDN w:val="0"/>
              <w:jc w:val="center"/>
              <w:rPr>
                <w:rFonts w:hAnsi="宋体" w:cs="宋体"/>
                <w:color w:val="auto"/>
                <w:kern w:val="0"/>
                <w:sz w:val="22"/>
                <w:szCs w:val="22"/>
                <w:highlight w:val="none"/>
                <w:lang w:eastAsia="en-US"/>
              </w:rPr>
            </w:pPr>
          </w:p>
        </w:tc>
        <w:tc>
          <w:tcPr>
            <w:tcW w:w="1304" w:type="dxa"/>
            <w:vAlign w:val="center"/>
          </w:tcPr>
          <w:p w14:paraId="06EF9044">
            <w:pPr>
              <w:autoSpaceDE w:val="0"/>
              <w:autoSpaceDN w:val="0"/>
              <w:jc w:val="center"/>
              <w:rPr>
                <w:rFonts w:hAnsi="宋体" w:cs="宋体"/>
                <w:color w:val="auto"/>
                <w:kern w:val="0"/>
                <w:sz w:val="22"/>
                <w:szCs w:val="22"/>
                <w:highlight w:val="none"/>
                <w:lang w:eastAsia="en-US"/>
              </w:rPr>
            </w:pPr>
          </w:p>
        </w:tc>
      </w:tr>
      <w:tr w14:paraId="6DAD4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138DA8CB">
            <w:pPr>
              <w:autoSpaceDE w:val="0"/>
              <w:autoSpaceDN w:val="0"/>
              <w:jc w:val="center"/>
              <w:rPr>
                <w:rFonts w:hAnsi="宋体" w:cs="宋体"/>
                <w:color w:val="auto"/>
                <w:kern w:val="0"/>
                <w:sz w:val="22"/>
                <w:szCs w:val="22"/>
                <w:highlight w:val="none"/>
                <w:lang w:eastAsia="en-US"/>
              </w:rPr>
            </w:pPr>
          </w:p>
        </w:tc>
        <w:tc>
          <w:tcPr>
            <w:tcW w:w="1467" w:type="dxa"/>
            <w:vAlign w:val="center"/>
          </w:tcPr>
          <w:p w14:paraId="39A22558">
            <w:pPr>
              <w:autoSpaceDE w:val="0"/>
              <w:autoSpaceDN w:val="0"/>
              <w:jc w:val="center"/>
              <w:rPr>
                <w:rFonts w:hAnsi="宋体" w:cs="宋体"/>
                <w:color w:val="auto"/>
                <w:kern w:val="0"/>
                <w:sz w:val="22"/>
                <w:szCs w:val="22"/>
                <w:highlight w:val="none"/>
                <w:lang w:eastAsia="en-US"/>
              </w:rPr>
            </w:pPr>
          </w:p>
        </w:tc>
        <w:tc>
          <w:tcPr>
            <w:tcW w:w="1140" w:type="dxa"/>
            <w:vAlign w:val="center"/>
          </w:tcPr>
          <w:p w14:paraId="5EA97951">
            <w:pPr>
              <w:autoSpaceDE w:val="0"/>
              <w:autoSpaceDN w:val="0"/>
              <w:jc w:val="center"/>
              <w:rPr>
                <w:rFonts w:hAnsi="宋体" w:cs="宋体"/>
                <w:color w:val="auto"/>
                <w:kern w:val="0"/>
                <w:sz w:val="22"/>
                <w:szCs w:val="22"/>
                <w:highlight w:val="none"/>
                <w:lang w:eastAsia="en-US"/>
              </w:rPr>
            </w:pPr>
          </w:p>
        </w:tc>
        <w:tc>
          <w:tcPr>
            <w:tcW w:w="696" w:type="dxa"/>
            <w:vAlign w:val="center"/>
          </w:tcPr>
          <w:p w14:paraId="60A1DCF5">
            <w:pPr>
              <w:autoSpaceDE w:val="0"/>
              <w:autoSpaceDN w:val="0"/>
              <w:jc w:val="center"/>
              <w:rPr>
                <w:rFonts w:hAnsi="宋体" w:cs="宋体"/>
                <w:color w:val="auto"/>
                <w:kern w:val="0"/>
                <w:sz w:val="22"/>
                <w:szCs w:val="22"/>
                <w:highlight w:val="none"/>
                <w:lang w:eastAsia="en-US"/>
              </w:rPr>
            </w:pPr>
          </w:p>
        </w:tc>
        <w:tc>
          <w:tcPr>
            <w:tcW w:w="560" w:type="dxa"/>
            <w:vAlign w:val="center"/>
          </w:tcPr>
          <w:p w14:paraId="2B91CDD0">
            <w:pPr>
              <w:autoSpaceDE w:val="0"/>
              <w:autoSpaceDN w:val="0"/>
              <w:jc w:val="center"/>
              <w:rPr>
                <w:rFonts w:hAnsi="宋体" w:cs="宋体"/>
                <w:color w:val="auto"/>
                <w:kern w:val="0"/>
                <w:sz w:val="22"/>
                <w:szCs w:val="22"/>
                <w:highlight w:val="none"/>
                <w:lang w:eastAsia="en-US"/>
              </w:rPr>
            </w:pPr>
          </w:p>
        </w:tc>
        <w:tc>
          <w:tcPr>
            <w:tcW w:w="1304" w:type="dxa"/>
            <w:vAlign w:val="center"/>
          </w:tcPr>
          <w:p w14:paraId="6918CC7B">
            <w:pPr>
              <w:autoSpaceDE w:val="0"/>
              <w:autoSpaceDN w:val="0"/>
              <w:jc w:val="center"/>
              <w:rPr>
                <w:rFonts w:hAnsi="宋体" w:cs="宋体"/>
                <w:color w:val="auto"/>
                <w:kern w:val="0"/>
                <w:sz w:val="22"/>
                <w:szCs w:val="22"/>
                <w:highlight w:val="none"/>
                <w:lang w:eastAsia="en-US"/>
              </w:rPr>
            </w:pPr>
          </w:p>
        </w:tc>
        <w:tc>
          <w:tcPr>
            <w:tcW w:w="816" w:type="dxa"/>
            <w:vAlign w:val="center"/>
          </w:tcPr>
          <w:p w14:paraId="55CEC3E1">
            <w:pPr>
              <w:autoSpaceDE w:val="0"/>
              <w:autoSpaceDN w:val="0"/>
              <w:jc w:val="center"/>
              <w:rPr>
                <w:rFonts w:hAnsi="宋体" w:cs="宋体"/>
                <w:color w:val="auto"/>
                <w:kern w:val="0"/>
                <w:sz w:val="22"/>
                <w:szCs w:val="22"/>
                <w:highlight w:val="none"/>
                <w:lang w:eastAsia="en-US"/>
              </w:rPr>
            </w:pPr>
          </w:p>
        </w:tc>
        <w:tc>
          <w:tcPr>
            <w:tcW w:w="1004" w:type="dxa"/>
            <w:vAlign w:val="center"/>
          </w:tcPr>
          <w:p w14:paraId="08A4DAB2">
            <w:pPr>
              <w:autoSpaceDE w:val="0"/>
              <w:autoSpaceDN w:val="0"/>
              <w:jc w:val="center"/>
              <w:rPr>
                <w:rFonts w:hAnsi="宋体" w:cs="宋体"/>
                <w:color w:val="auto"/>
                <w:kern w:val="0"/>
                <w:sz w:val="22"/>
                <w:szCs w:val="22"/>
                <w:highlight w:val="none"/>
                <w:lang w:eastAsia="en-US"/>
              </w:rPr>
            </w:pPr>
          </w:p>
        </w:tc>
        <w:tc>
          <w:tcPr>
            <w:tcW w:w="1304" w:type="dxa"/>
            <w:vAlign w:val="center"/>
          </w:tcPr>
          <w:p w14:paraId="4AC04A86">
            <w:pPr>
              <w:autoSpaceDE w:val="0"/>
              <w:autoSpaceDN w:val="0"/>
              <w:jc w:val="center"/>
              <w:rPr>
                <w:rFonts w:hAnsi="宋体" w:cs="宋体"/>
                <w:color w:val="auto"/>
                <w:kern w:val="0"/>
                <w:sz w:val="22"/>
                <w:szCs w:val="22"/>
                <w:highlight w:val="none"/>
                <w:lang w:eastAsia="en-US"/>
              </w:rPr>
            </w:pPr>
          </w:p>
        </w:tc>
      </w:tr>
      <w:tr w14:paraId="7656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5E7DE5DB">
            <w:pPr>
              <w:autoSpaceDE w:val="0"/>
              <w:autoSpaceDN w:val="0"/>
              <w:jc w:val="center"/>
              <w:rPr>
                <w:rFonts w:hAnsi="宋体" w:cs="宋体"/>
                <w:color w:val="auto"/>
                <w:kern w:val="0"/>
                <w:sz w:val="22"/>
                <w:szCs w:val="22"/>
                <w:highlight w:val="none"/>
                <w:lang w:eastAsia="en-US"/>
              </w:rPr>
            </w:pPr>
          </w:p>
        </w:tc>
        <w:tc>
          <w:tcPr>
            <w:tcW w:w="1467" w:type="dxa"/>
            <w:vAlign w:val="center"/>
          </w:tcPr>
          <w:p w14:paraId="61CDF73E">
            <w:pPr>
              <w:autoSpaceDE w:val="0"/>
              <w:autoSpaceDN w:val="0"/>
              <w:jc w:val="center"/>
              <w:rPr>
                <w:rFonts w:hAnsi="宋体" w:cs="宋体"/>
                <w:color w:val="auto"/>
                <w:kern w:val="0"/>
                <w:sz w:val="22"/>
                <w:szCs w:val="22"/>
                <w:highlight w:val="none"/>
                <w:lang w:eastAsia="en-US"/>
              </w:rPr>
            </w:pPr>
          </w:p>
        </w:tc>
        <w:tc>
          <w:tcPr>
            <w:tcW w:w="1140" w:type="dxa"/>
            <w:vAlign w:val="center"/>
          </w:tcPr>
          <w:p w14:paraId="5F63C9CA">
            <w:pPr>
              <w:autoSpaceDE w:val="0"/>
              <w:autoSpaceDN w:val="0"/>
              <w:jc w:val="center"/>
              <w:rPr>
                <w:rFonts w:hAnsi="宋体" w:cs="宋体"/>
                <w:color w:val="auto"/>
                <w:kern w:val="0"/>
                <w:sz w:val="22"/>
                <w:szCs w:val="22"/>
                <w:highlight w:val="none"/>
                <w:lang w:eastAsia="en-US"/>
              </w:rPr>
            </w:pPr>
          </w:p>
        </w:tc>
        <w:tc>
          <w:tcPr>
            <w:tcW w:w="696" w:type="dxa"/>
            <w:vAlign w:val="center"/>
          </w:tcPr>
          <w:p w14:paraId="4241EEDF">
            <w:pPr>
              <w:autoSpaceDE w:val="0"/>
              <w:autoSpaceDN w:val="0"/>
              <w:jc w:val="center"/>
              <w:rPr>
                <w:rFonts w:hAnsi="宋体" w:cs="宋体"/>
                <w:color w:val="auto"/>
                <w:kern w:val="0"/>
                <w:sz w:val="22"/>
                <w:szCs w:val="22"/>
                <w:highlight w:val="none"/>
                <w:lang w:eastAsia="en-US"/>
              </w:rPr>
            </w:pPr>
          </w:p>
        </w:tc>
        <w:tc>
          <w:tcPr>
            <w:tcW w:w="560" w:type="dxa"/>
            <w:vAlign w:val="center"/>
          </w:tcPr>
          <w:p w14:paraId="427E5A6F">
            <w:pPr>
              <w:autoSpaceDE w:val="0"/>
              <w:autoSpaceDN w:val="0"/>
              <w:jc w:val="center"/>
              <w:rPr>
                <w:rFonts w:hAnsi="宋体" w:cs="宋体"/>
                <w:color w:val="auto"/>
                <w:kern w:val="0"/>
                <w:sz w:val="22"/>
                <w:szCs w:val="22"/>
                <w:highlight w:val="none"/>
                <w:lang w:eastAsia="en-US"/>
              </w:rPr>
            </w:pPr>
          </w:p>
        </w:tc>
        <w:tc>
          <w:tcPr>
            <w:tcW w:w="1304" w:type="dxa"/>
            <w:vAlign w:val="center"/>
          </w:tcPr>
          <w:p w14:paraId="2B31E52D">
            <w:pPr>
              <w:autoSpaceDE w:val="0"/>
              <w:autoSpaceDN w:val="0"/>
              <w:jc w:val="center"/>
              <w:rPr>
                <w:rFonts w:hAnsi="宋体" w:cs="宋体"/>
                <w:color w:val="auto"/>
                <w:kern w:val="0"/>
                <w:sz w:val="22"/>
                <w:szCs w:val="22"/>
                <w:highlight w:val="none"/>
                <w:lang w:eastAsia="en-US"/>
              </w:rPr>
            </w:pPr>
          </w:p>
        </w:tc>
        <w:tc>
          <w:tcPr>
            <w:tcW w:w="816" w:type="dxa"/>
            <w:vAlign w:val="center"/>
          </w:tcPr>
          <w:p w14:paraId="32CF0EDF">
            <w:pPr>
              <w:autoSpaceDE w:val="0"/>
              <w:autoSpaceDN w:val="0"/>
              <w:jc w:val="center"/>
              <w:rPr>
                <w:rFonts w:hAnsi="宋体" w:cs="宋体"/>
                <w:color w:val="auto"/>
                <w:kern w:val="0"/>
                <w:sz w:val="22"/>
                <w:szCs w:val="22"/>
                <w:highlight w:val="none"/>
                <w:lang w:eastAsia="en-US"/>
              </w:rPr>
            </w:pPr>
          </w:p>
        </w:tc>
        <w:tc>
          <w:tcPr>
            <w:tcW w:w="1004" w:type="dxa"/>
            <w:vAlign w:val="center"/>
          </w:tcPr>
          <w:p w14:paraId="05B9B4A8">
            <w:pPr>
              <w:autoSpaceDE w:val="0"/>
              <w:autoSpaceDN w:val="0"/>
              <w:jc w:val="center"/>
              <w:rPr>
                <w:rFonts w:hAnsi="宋体" w:cs="宋体"/>
                <w:color w:val="auto"/>
                <w:kern w:val="0"/>
                <w:sz w:val="22"/>
                <w:szCs w:val="22"/>
                <w:highlight w:val="none"/>
                <w:lang w:eastAsia="en-US"/>
              </w:rPr>
            </w:pPr>
          </w:p>
        </w:tc>
        <w:tc>
          <w:tcPr>
            <w:tcW w:w="1304" w:type="dxa"/>
            <w:vAlign w:val="center"/>
          </w:tcPr>
          <w:p w14:paraId="22A88F22">
            <w:pPr>
              <w:autoSpaceDE w:val="0"/>
              <w:autoSpaceDN w:val="0"/>
              <w:jc w:val="center"/>
              <w:rPr>
                <w:rFonts w:hAnsi="宋体" w:cs="宋体"/>
                <w:color w:val="auto"/>
                <w:kern w:val="0"/>
                <w:sz w:val="22"/>
                <w:szCs w:val="22"/>
                <w:highlight w:val="none"/>
                <w:lang w:eastAsia="en-US"/>
              </w:rPr>
            </w:pPr>
          </w:p>
        </w:tc>
      </w:tr>
      <w:tr w14:paraId="440EB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2CE6EFB4">
            <w:pPr>
              <w:autoSpaceDE w:val="0"/>
              <w:autoSpaceDN w:val="0"/>
              <w:jc w:val="center"/>
              <w:rPr>
                <w:rFonts w:hAnsi="宋体" w:cs="宋体"/>
                <w:color w:val="auto"/>
                <w:kern w:val="0"/>
                <w:sz w:val="22"/>
                <w:szCs w:val="22"/>
                <w:highlight w:val="none"/>
                <w:lang w:eastAsia="en-US"/>
              </w:rPr>
            </w:pPr>
          </w:p>
        </w:tc>
        <w:tc>
          <w:tcPr>
            <w:tcW w:w="1467" w:type="dxa"/>
            <w:vAlign w:val="center"/>
          </w:tcPr>
          <w:p w14:paraId="2BA9CD0F">
            <w:pPr>
              <w:autoSpaceDE w:val="0"/>
              <w:autoSpaceDN w:val="0"/>
              <w:jc w:val="center"/>
              <w:rPr>
                <w:rFonts w:hAnsi="宋体" w:cs="宋体"/>
                <w:color w:val="auto"/>
                <w:kern w:val="0"/>
                <w:sz w:val="22"/>
                <w:szCs w:val="22"/>
                <w:highlight w:val="none"/>
                <w:lang w:eastAsia="en-US"/>
              </w:rPr>
            </w:pPr>
          </w:p>
        </w:tc>
        <w:tc>
          <w:tcPr>
            <w:tcW w:w="1140" w:type="dxa"/>
            <w:vAlign w:val="center"/>
          </w:tcPr>
          <w:p w14:paraId="72F8E76E">
            <w:pPr>
              <w:autoSpaceDE w:val="0"/>
              <w:autoSpaceDN w:val="0"/>
              <w:jc w:val="center"/>
              <w:rPr>
                <w:rFonts w:hAnsi="宋体" w:cs="宋体"/>
                <w:color w:val="auto"/>
                <w:kern w:val="0"/>
                <w:sz w:val="22"/>
                <w:szCs w:val="22"/>
                <w:highlight w:val="none"/>
                <w:lang w:eastAsia="en-US"/>
              </w:rPr>
            </w:pPr>
          </w:p>
        </w:tc>
        <w:tc>
          <w:tcPr>
            <w:tcW w:w="696" w:type="dxa"/>
            <w:vAlign w:val="center"/>
          </w:tcPr>
          <w:p w14:paraId="67AED068">
            <w:pPr>
              <w:autoSpaceDE w:val="0"/>
              <w:autoSpaceDN w:val="0"/>
              <w:jc w:val="center"/>
              <w:rPr>
                <w:rFonts w:hAnsi="宋体" w:cs="宋体"/>
                <w:color w:val="auto"/>
                <w:kern w:val="0"/>
                <w:sz w:val="22"/>
                <w:szCs w:val="22"/>
                <w:highlight w:val="none"/>
                <w:lang w:eastAsia="en-US"/>
              </w:rPr>
            </w:pPr>
          </w:p>
        </w:tc>
        <w:tc>
          <w:tcPr>
            <w:tcW w:w="560" w:type="dxa"/>
            <w:vAlign w:val="center"/>
          </w:tcPr>
          <w:p w14:paraId="30AE615C">
            <w:pPr>
              <w:autoSpaceDE w:val="0"/>
              <w:autoSpaceDN w:val="0"/>
              <w:jc w:val="center"/>
              <w:rPr>
                <w:rFonts w:hAnsi="宋体" w:cs="宋体"/>
                <w:color w:val="auto"/>
                <w:kern w:val="0"/>
                <w:sz w:val="22"/>
                <w:szCs w:val="22"/>
                <w:highlight w:val="none"/>
                <w:lang w:eastAsia="en-US"/>
              </w:rPr>
            </w:pPr>
          </w:p>
        </w:tc>
        <w:tc>
          <w:tcPr>
            <w:tcW w:w="1304" w:type="dxa"/>
            <w:vAlign w:val="center"/>
          </w:tcPr>
          <w:p w14:paraId="1AE23AC1">
            <w:pPr>
              <w:autoSpaceDE w:val="0"/>
              <w:autoSpaceDN w:val="0"/>
              <w:jc w:val="center"/>
              <w:rPr>
                <w:rFonts w:hAnsi="宋体" w:cs="宋体"/>
                <w:color w:val="auto"/>
                <w:kern w:val="0"/>
                <w:sz w:val="22"/>
                <w:szCs w:val="22"/>
                <w:highlight w:val="none"/>
                <w:lang w:eastAsia="en-US"/>
              </w:rPr>
            </w:pPr>
          </w:p>
        </w:tc>
        <w:tc>
          <w:tcPr>
            <w:tcW w:w="816" w:type="dxa"/>
            <w:vAlign w:val="center"/>
          </w:tcPr>
          <w:p w14:paraId="34CBAB38">
            <w:pPr>
              <w:autoSpaceDE w:val="0"/>
              <w:autoSpaceDN w:val="0"/>
              <w:jc w:val="center"/>
              <w:rPr>
                <w:rFonts w:hAnsi="宋体" w:cs="宋体"/>
                <w:color w:val="auto"/>
                <w:kern w:val="0"/>
                <w:sz w:val="22"/>
                <w:szCs w:val="22"/>
                <w:highlight w:val="none"/>
                <w:lang w:eastAsia="en-US"/>
              </w:rPr>
            </w:pPr>
          </w:p>
        </w:tc>
        <w:tc>
          <w:tcPr>
            <w:tcW w:w="1004" w:type="dxa"/>
            <w:vAlign w:val="center"/>
          </w:tcPr>
          <w:p w14:paraId="0A796965">
            <w:pPr>
              <w:autoSpaceDE w:val="0"/>
              <w:autoSpaceDN w:val="0"/>
              <w:jc w:val="center"/>
              <w:rPr>
                <w:rFonts w:hAnsi="宋体" w:cs="宋体"/>
                <w:color w:val="auto"/>
                <w:kern w:val="0"/>
                <w:sz w:val="22"/>
                <w:szCs w:val="22"/>
                <w:highlight w:val="none"/>
                <w:lang w:eastAsia="en-US"/>
              </w:rPr>
            </w:pPr>
          </w:p>
        </w:tc>
        <w:tc>
          <w:tcPr>
            <w:tcW w:w="1304" w:type="dxa"/>
            <w:vAlign w:val="center"/>
          </w:tcPr>
          <w:p w14:paraId="77983235">
            <w:pPr>
              <w:autoSpaceDE w:val="0"/>
              <w:autoSpaceDN w:val="0"/>
              <w:jc w:val="center"/>
              <w:rPr>
                <w:rFonts w:hAnsi="宋体" w:cs="宋体"/>
                <w:color w:val="auto"/>
                <w:kern w:val="0"/>
                <w:sz w:val="22"/>
                <w:szCs w:val="22"/>
                <w:highlight w:val="none"/>
                <w:lang w:eastAsia="en-US"/>
              </w:rPr>
            </w:pPr>
          </w:p>
        </w:tc>
      </w:tr>
      <w:tr w14:paraId="0A78F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637754AF">
            <w:pPr>
              <w:autoSpaceDE w:val="0"/>
              <w:autoSpaceDN w:val="0"/>
              <w:jc w:val="center"/>
              <w:rPr>
                <w:rFonts w:hAnsi="宋体" w:cs="宋体"/>
                <w:color w:val="auto"/>
                <w:kern w:val="0"/>
                <w:sz w:val="22"/>
                <w:szCs w:val="22"/>
                <w:highlight w:val="none"/>
                <w:lang w:eastAsia="en-US"/>
              </w:rPr>
            </w:pPr>
          </w:p>
        </w:tc>
        <w:tc>
          <w:tcPr>
            <w:tcW w:w="1467" w:type="dxa"/>
            <w:vAlign w:val="center"/>
          </w:tcPr>
          <w:p w14:paraId="0EC6D1C3">
            <w:pPr>
              <w:autoSpaceDE w:val="0"/>
              <w:autoSpaceDN w:val="0"/>
              <w:jc w:val="center"/>
              <w:rPr>
                <w:rFonts w:hAnsi="宋体" w:cs="宋体"/>
                <w:color w:val="auto"/>
                <w:kern w:val="0"/>
                <w:sz w:val="22"/>
                <w:szCs w:val="22"/>
                <w:highlight w:val="none"/>
                <w:lang w:eastAsia="en-US"/>
              </w:rPr>
            </w:pPr>
          </w:p>
        </w:tc>
        <w:tc>
          <w:tcPr>
            <w:tcW w:w="1140" w:type="dxa"/>
            <w:vAlign w:val="center"/>
          </w:tcPr>
          <w:p w14:paraId="519D0B20">
            <w:pPr>
              <w:autoSpaceDE w:val="0"/>
              <w:autoSpaceDN w:val="0"/>
              <w:jc w:val="center"/>
              <w:rPr>
                <w:rFonts w:hAnsi="宋体" w:cs="宋体"/>
                <w:color w:val="auto"/>
                <w:kern w:val="0"/>
                <w:sz w:val="22"/>
                <w:szCs w:val="22"/>
                <w:highlight w:val="none"/>
                <w:lang w:eastAsia="en-US"/>
              </w:rPr>
            </w:pPr>
          </w:p>
        </w:tc>
        <w:tc>
          <w:tcPr>
            <w:tcW w:w="696" w:type="dxa"/>
            <w:vAlign w:val="center"/>
          </w:tcPr>
          <w:p w14:paraId="7F2D1730">
            <w:pPr>
              <w:autoSpaceDE w:val="0"/>
              <w:autoSpaceDN w:val="0"/>
              <w:jc w:val="center"/>
              <w:rPr>
                <w:rFonts w:hAnsi="宋体" w:cs="宋体"/>
                <w:color w:val="auto"/>
                <w:kern w:val="0"/>
                <w:sz w:val="22"/>
                <w:szCs w:val="22"/>
                <w:highlight w:val="none"/>
                <w:lang w:eastAsia="en-US"/>
              </w:rPr>
            </w:pPr>
          </w:p>
        </w:tc>
        <w:tc>
          <w:tcPr>
            <w:tcW w:w="560" w:type="dxa"/>
            <w:vAlign w:val="center"/>
          </w:tcPr>
          <w:p w14:paraId="5BF13A3F">
            <w:pPr>
              <w:autoSpaceDE w:val="0"/>
              <w:autoSpaceDN w:val="0"/>
              <w:jc w:val="center"/>
              <w:rPr>
                <w:rFonts w:hAnsi="宋体" w:cs="宋体"/>
                <w:color w:val="auto"/>
                <w:kern w:val="0"/>
                <w:sz w:val="22"/>
                <w:szCs w:val="22"/>
                <w:highlight w:val="none"/>
                <w:lang w:eastAsia="en-US"/>
              </w:rPr>
            </w:pPr>
          </w:p>
        </w:tc>
        <w:tc>
          <w:tcPr>
            <w:tcW w:w="1304" w:type="dxa"/>
            <w:vAlign w:val="center"/>
          </w:tcPr>
          <w:p w14:paraId="087FE7A7">
            <w:pPr>
              <w:autoSpaceDE w:val="0"/>
              <w:autoSpaceDN w:val="0"/>
              <w:jc w:val="center"/>
              <w:rPr>
                <w:rFonts w:hAnsi="宋体" w:cs="宋体"/>
                <w:color w:val="auto"/>
                <w:kern w:val="0"/>
                <w:sz w:val="22"/>
                <w:szCs w:val="22"/>
                <w:highlight w:val="none"/>
                <w:lang w:eastAsia="en-US"/>
              </w:rPr>
            </w:pPr>
          </w:p>
        </w:tc>
        <w:tc>
          <w:tcPr>
            <w:tcW w:w="816" w:type="dxa"/>
            <w:vAlign w:val="center"/>
          </w:tcPr>
          <w:p w14:paraId="000F520A">
            <w:pPr>
              <w:autoSpaceDE w:val="0"/>
              <w:autoSpaceDN w:val="0"/>
              <w:jc w:val="center"/>
              <w:rPr>
                <w:rFonts w:hAnsi="宋体" w:cs="宋体"/>
                <w:color w:val="auto"/>
                <w:kern w:val="0"/>
                <w:sz w:val="22"/>
                <w:szCs w:val="22"/>
                <w:highlight w:val="none"/>
                <w:lang w:eastAsia="en-US"/>
              </w:rPr>
            </w:pPr>
          </w:p>
        </w:tc>
        <w:tc>
          <w:tcPr>
            <w:tcW w:w="1004" w:type="dxa"/>
            <w:vAlign w:val="center"/>
          </w:tcPr>
          <w:p w14:paraId="16E6BFC6">
            <w:pPr>
              <w:autoSpaceDE w:val="0"/>
              <w:autoSpaceDN w:val="0"/>
              <w:jc w:val="center"/>
              <w:rPr>
                <w:rFonts w:hAnsi="宋体" w:cs="宋体"/>
                <w:color w:val="auto"/>
                <w:kern w:val="0"/>
                <w:sz w:val="22"/>
                <w:szCs w:val="22"/>
                <w:highlight w:val="none"/>
                <w:lang w:eastAsia="en-US"/>
              </w:rPr>
            </w:pPr>
          </w:p>
        </w:tc>
        <w:tc>
          <w:tcPr>
            <w:tcW w:w="1304" w:type="dxa"/>
            <w:vAlign w:val="center"/>
          </w:tcPr>
          <w:p w14:paraId="031FB636">
            <w:pPr>
              <w:autoSpaceDE w:val="0"/>
              <w:autoSpaceDN w:val="0"/>
              <w:jc w:val="center"/>
              <w:rPr>
                <w:rFonts w:hAnsi="宋体" w:cs="宋体"/>
                <w:color w:val="auto"/>
                <w:kern w:val="0"/>
                <w:sz w:val="22"/>
                <w:szCs w:val="22"/>
                <w:highlight w:val="none"/>
                <w:lang w:eastAsia="en-US"/>
              </w:rPr>
            </w:pPr>
          </w:p>
        </w:tc>
      </w:tr>
      <w:tr w14:paraId="126E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12E17E7C">
            <w:pPr>
              <w:autoSpaceDE w:val="0"/>
              <w:autoSpaceDN w:val="0"/>
              <w:jc w:val="center"/>
              <w:rPr>
                <w:rFonts w:hAnsi="宋体" w:cs="宋体"/>
                <w:color w:val="auto"/>
                <w:kern w:val="0"/>
                <w:sz w:val="22"/>
                <w:szCs w:val="22"/>
                <w:highlight w:val="none"/>
                <w:lang w:eastAsia="en-US"/>
              </w:rPr>
            </w:pPr>
          </w:p>
        </w:tc>
        <w:tc>
          <w:tcPr>
            <w:tcW w:w="1467" w:type="dxa"/>
            <w:vAlign w:val="center"/>
          </w:tcPr>
          <w:p w14:paraId="4D1ADADB">
            <w:pPr>
              <w:autoSpaceDE w:val="0"/>
              <w:autoSpaceDN w:val="0"/>
              <w:jc w:val="center"/>
              <w:rPr>
                <w:rFonts w:hAnsi="宋体" w:cs="宋体"/>
                <w:color w:val="auto"/>
                <w:kern w:val="0"/>
                <w:sz w:val="22"/>
                <w:szCs w:val="22"/>
                <w:highlight w:val="none"/>
                <w:lang w:eastAsia="en-US"/>
              </w:rPr>
            </w:pPr>
          </w:p>
        </w:tc>
        <w:tc>
          <w:tcPr>
            <w:tcW w:w="1140" w:type="dxa"/>
            <w:vAlign w:val="center"/>
          </w:tcPr>
          <w:p w14:paraId="5E27E945">
            <w:pPr>
              <w:autoSpaceDE w:val="0"/>
              <w:autoSpaceDN w:val="0"/>
              <w:jc w:val="center"/>
              <w:rPr>
                <w:rFonts w:hAnsi="宋体" w:cs="宋体"/>
                <w:color w:val="auto"/>
                <w:kern w:val="0"/>
                <w:sz w:val="22"/>
                <w:szCs w:val="22"/>
                <w:highlight w:val="none"/>
                <w:lang w:eastAsia="en-US"/>
              </w:rPr>
            </w:pPr>
          </w:p>
        </w:tc>
        <w:tc>
          <w:tcPr>
            <w:tcW w:w="696" w:type="dxa"/>
            <w:vAlign w:val="center"/>
          </w:tcPr>
          <w:p w14:paraId="15CBC7D4">
            <w:pPr>
              <w:autoSpaceDE w:val="0"/>
              <w:autoSpaceDN w:val="0"/>
              <w:jc w:val="center"/>
              <w:rPr>
                <w:rFonts w:hAnsi="宋体" w:cs="宋体"/>
                <w:color w:val="auto"/>
                <w:kern w:val="0"/>
                <w:sz w:val="22"/>
                <w:szCs w:val="22"/>
                <w:highlight w:val="none"/>
                <w:lang w:eastAsia="en-US"/>
              </w:rPr>
            </w:pPr>
          </w:p>
        </w:tc>
        <w:tc>
          <w:tcPr>
            <w:tcW w:w="560" w:type="dxa"/>
            <w:vAlign w:val="center"/>
          </w:tcPr>
          <w:p w14:paraId="2E70055E">
            <w:pPr>
              <w:autoSpaceDE w:val="0"/>
              <w:autoSpaceDN w:val="0"/>
              <w:jc w:val="center"/>
              <w:rPr>
                <w:rFonts w:hAnsi="宋体" w:cs="宋体"/>
                <w:color w:val="auto"/>
                <w:kern w:val="0"/>
                <w:sz w:val="22"/>
                <w:szCs w:val="22"/>
                <w:highlight w:val="none"/>
                <w:lang w:eastAsia="en-US"/>
              </w:rPr>
            </w:pPr>
          </w:p>
        </w:tc>
        <w:tc>
          <w:tcPr>
            <w:tcW w:w="1304" w:type="dxa"/>
            <w:vAlign w:val="center"/>
          </w:tcPr>
          <w:p w14:paraId="095AB5B6">
            <w:pPr>
              <w:autoSpaceDE w:val="0"/>
              <w:autoSpaceDN w:val="0"/>
              <w:jc w:val="center"/>
              <w:rPr>
                <w:rFonts w:hAnsi="宋体" w:cs="宋体"/>
                <w:color w:val="auto"/>
                <w:kern w:val="0"/>
                <w:sz w:val="22"/>
                <w:szCs w:val="22"/>
                <w:highlight w:val="none"/>
                <w:lang w:eastAsia="en-US"/>
              </w:rPr>
            </w:pPr>
          </w:p>
        </w:tc>
        <w:tc>
          <w:tcPr>
            <w:tcW w:w="816" w:type="dxa"/>
            <w:vAlign w:val="center"/>
          </w:tcPr>
          <w:p w14:paraId="7963607C">
            <w:pPr>
              <w:autoSpaceDE w:val="0"/>
              <w:autoSpaceDN w:val="0"/>
              <w:jc w:val="center"/>
              <w:rPr>
                <w:rFonts w:hAnsi="宋体" w:cs="宋体"/>
                <w:color w:val="auto"/>
                <w:kern w:val="0"/>
                <w:sz w:val="22"/>
                <w:szCs w:val="22"/>
                <w:highlight w:val="none"/>
                <w:lang w:eastAsia="en-US"/>
              </w:rPr>
            </w:pPr>
          </w:p>
        </w:tc>
        <w:tc>
          <w:tcPr>
            <w:tcW w:w="1004" w:type="dxa"/>
            <w:vAlign w:val="center"/>
          </w:tcPr>
          <w:p w14:paraId="0EA22552">
            <w:pPr>
              <w:autoSpaceDE w:val="0"/>
              <w:autoSpaceDN w:val="0"/>
              <w:jc w:val="center"/>
              <w:rPr>
                <w:rFonts w:hAnsi="宋体" w:cs="宋体"/>
                <w:color w:val="auto"/>
                <w:kern w:val="0"/>
                <w:sz w:val="22"/>
                <w:szCs w:val="22"/>
                <w:highlight w:val="none"/>
                <w:lang w:eastAsia="en-US"/>
              </w:rPr>
            </w:pPr>
          </w:p>
        </w:tc>
        <w:tc>
          <w:tcPr>
            <w:tcW w:w="1304" w:type="dxa"/>
            <w:vAlign w:val="center"/>
          </w:tcPr>
          <w:p w14:paraId="7C26F4A3">
            <w:pPr>
              <w:autoSpaceDE w:val="0"/>
              <w:autoSpaceDN w:val="0"/>
              <w:jc w:val="center"/>
              <w:rPr>
                <w:rFonts w:hAnsi="宋体" w:cs="宋体"/>
                <w:color w:val="auto"/>
                <w:kern w:val="0"/>
                <w:sz w:val="22"/>
                <w:szCs w:val="22"/>
                <w:highlight w:val="none"/>
                <w:lang w:eastAsia="en-US"/>
              </w:rPr>
            </w:pPr>
          </w:p>
        </w:tc>
      </w:tr>
      <w:tr w14:paraId="6A89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39" w:type="dxa"/>
            <w:vAlign w:val="center"/>
          </w:tcPr>
          <w:p w14:paraId="7A6D6A79">
            <w:pPr>
              <w:autoSpaceDE w:val="0"/>
              <w:autoSpaceDN w:val="0"/>
              <w:jc w:val="center"/>
              <w:rPr>
                <w:rFonts w:hAnsi="宋体" w:cs="宋体"/>
                <w:color w:val="auto"/>
                <w:kern w:val="0"/>
                <w:sz w:val="22"/>
                <w:szCs w:val="22"/>
                <w:highlight w:val="none"/>
                <w:lang w:eastAsia="en-US"/>
              </w:rPr>
            </w:pPr>
          </w:p>
        </w:tc>
        <w:tc>
          <w:tcPr>
            <w:tcW w:w="1467" w:type="dxa"/>
            <w:vAlign w:val="center"/>
          </w:tcPr>
          <w:p w14:paraId="6613B107">
            <w:pPr>
              <w:autoSpaceDE w:val="0"/>
              <w:autoSpaceDN w:val="0"/>
              <w:jc w:val="center"/>
              <w:rPr>
                <w:rFonts w:hAnsi="宋体" w:cs="宋体"/>
                <w:color w:val="auto"/>
                <w:kern w:val="0"/>
                <w:sz w:val="22"/>
                <w:szCs w:val="22"/>
                <w:highlight w:val="none"/>
                <w:lang w:eastAsia="en-US"/>
              </w:rPr>
            </w:pPr>
          </w:p>
        </w:tc>
        <w:tc>
          <w:tcPr>
            <w:tcW w:w="1140" w:type="dxa"/>
            <w:vAlign w:val="center"/>
          </w:tcPr>
          <w:p w14:paraId="05DBEC8A">
            <w:pPr>
              <w:autoSpaceDE w:val="0"/>
              <w:autoSpaceDN w:val="0"/>
              <w:jc w:val="center"/>
              <w:rPr>
                <w:rFonts w:hAnsi="宋体" w:cs="宋体"/>
                <w:color w:val="auto"/>
                <w:kern w:val="0"/>
                <w:sz w:val="22"/>
                <w:szCs w:val="22"/>
                <w:highlight w:val="none"/>
                <w:lang w:eastAsia="en-US"/>
              </w:rPr>
            </w:pPr>
          </w:p>
        </w:tc>
        <w:tc>
          <w:tcPr>
            <w:tcW w:w="696" w:type="dxa"/>
            <w:vAlign w:val="center"/>
          </w:tcPr>
          <w:p w14:paraId="0D8024EA">
            <w:pPr>
              <w:autoSpaceDE w:val="0"/>
              <w:autoSpaceDN w:val="0"/>
              <w:jc w:val="center"/>
              <w:rPr>
                <w:rFonts w:hAnsi="宋体" w:cs="宋体"/>
                <w:color w:val="auto"/>
                <w:kern w:val="0"/>
                <w:sz w:val="22"/>
                <w:szCs w:val="22"/>
                <w:highlight w:val="none"/>
                <w:lang w:eastAsia="en-US"/>
              </w:rPr>
            </w:pPr>
          </w:p>
        </w:tc>
        <w:tc>
          <w:tcPr>
            <w:tcW w:w="560" w:type="dxa"/>
            <w:vAlign w:val="center"/>
          </w:tcPr>
          <w:p w14:paraId="4B874D3A">
            <w:pPr>
              <w:autoSpaceDE w:val="0"/>
              <w:autoSpaceDN w:val="0"/>
              <w:jc w:val="center"/>
              <w:rPr>
                <w:rFonts w:hAnsi="宋体" w:cs="宋体"/>
                <w:color w:val="auto"/>
                <w:kern w:val="0"/>
                <w:sz w:val="22"/>
                <w:szCs w:val="22"/>
                <w:highlight w:val="none"/>
                <w:lang w:eastAsia="en-US"/>
              </w:rPr>
            </w:pPr>
          </w:p>
        </w:tc>
        <w:tc>
          <w:tcPr>
            <w:tcW w:w="1304" w:type="dxa"/>
            <w:vAlign w:val="center"/>
          </w:tcPr>
          <w:p w14:paraId="32F2759A">
            <w:pPr>
              <w:autoSpaceDE w:val="0"/>
              <w:autoSpaceDN w:val="0"/>
              <w:jc w:val="center"/>
              <w:rPr>
                <w:rFonts w:hAnsi="宋体" w:cs="宋体"/>
                <w:color w:val="auto"/>
                <w:kern w:val="0"/>
                <w:sz w:val="22"/>
                <w:szCs w:val="22"/>
                <w:highlight w:val="none"/>
                <w:lang w:eastAsia="en-US"/>
              </w:rPr>
            </w:pPr>
          </w:p>
        </w:tc>
        <w:tc>
          <w:tcPr>
            <w:tcW w:w="816" w:type="dxa"/>
            <w:vAlign w:val="center"/>
          </w:tcPr>
          <w:p w14:paraId="5A25A27F">
            <w:pPr>
              <w:autoSpaceDE w:val="0"/>
              <w:autoSpaceDN w:val="0"/>
              <w:jc w:val="center"/>
              <w:rPr>
                <w:rFonts w:hAnsi="宋体" w:cs="宋体"/>
                <w:color w:val="auto"/>
                <w:kern w:val="0"/>
                <w:sz w:val="22"/>
                <w:szCs w:val="22"/>
                <w:highlight w:val="none"/>
                <w:lang w:eastAsia="en-US"/>
              </w:rPr>
            </w:pPr>
          </w:p>
        </w:tc>
        <w:tc>
          <w:tcPr>
            <w:tcW w:w="1004" w:type="dxa"/>
            <w:vAlign w:val="center"/>
          </w:tcPr>
          <w:p w14:paraId="50DD2CF3">
            <w:pPr>
              <w:autoSpaceDE w:val="0"/>
              <w:autoSpaceDN w:val="0"/>
              <w:jc w:val="center"/>
              <w:rPr>
                <w:rFonts w:hAnsi="宋体" w:cs="宋体"/>
                <w:color w:val="auto"/>
                <w:kern w:val="0"/>
                <w:sz w:val="22"/>
                <w:szCs w:val="22"/>
                <w:highlight w:val="none"/>
                <w:lang w:eastAsia="en-US"/>
              </w:rPr>
            </w:pPr>
          </w:p>
        </w:tc>
        <w:tc>
          <w:tcPr>
            <w:tcW w:w="1304" w:type="dxa"/>
            <w:vAlign w:val="center"/>
          </w:tcPr>
          <w:p w14:paraId="377083A4">
            <w:pPr>
              <w:autoSpaceDE w:val="0"/>
              <w:autoSpaceDN w:val="0"/>
              <w:jc w:val="center"/>
              <w:rPr>
                <w:rFonts w:hAnsi="宋体" w:cs="宋体"/>
                <w:color w:val="auto"/>
                <w:kern w:val="0"/>
                <w:sz w:val="22"/>
                <w:szCs w:val="22"/>
                <w:highlight w:val="none"/>
                <w:lang w:eastAsia="en-US"/>
              </w:rPr>
            </w:pPr>
          </w:p>
        </w:tc>
      </w:tr>
      <w:tr w14:paraId="7F6E0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98920E2">
            <w:pPr>
              <w:autoSpaceDE w:val="0"/>
              <w:autoSpaceDN w:val="0"/>
              <w:jc w:val="center"/>
              <w:rPr>
                <w:rFonts w:hAnsi="宋体" w:cs="宋体"/>
                <w:color w:val="auto"/>
                <w:kern w:val="0"/>
                <w:sz w:val="22"/>
                <w:szCs w:val="22"/>
                <w:highlight w:val="none"/>
                <w:lang w:eastAsia="en-US"/>
              </w:rPr>
            </w:pPr>
          </w:p>
        </w:tc>
        <w:tc>
          <w:tcPr>
            <w:tcW w:w="1467" w:type="dxa"/>
            <w:vAlign w:val="center"/>
          </w:tcPr>
          <w:p w14:paraId="40DA16CF">
            <w:pPr>
              <w:autoSpaceDE w:val="0"/>
              <w:autoSpaceDN w:val="0"/>
              <w:jc w:val="center"/>
              <w:rPr>
                <w:rFonts w:hAnsi="宋体" w:cs="宋体"/>
                <w:color w:val="auto"/>
                <w:kern w:val="0"/>
                <w:sz w:val="22"/>
                <w:szCs w:val="22"/>
                <w:highlight w:val="none"/>
                <w:lang w:eastAsia="en-US"/>
              </w:rPr>
            </w:pPr>
          </w:p>
        </w:tc>
        <w:tc>
          <w:tcPr>
            <w:tcW w:w="1140" w:type="dxa"/>
            <w:vAlign w:val="center"/>
          </w:tcPr>
          <w:p w14:paraId="6C4DCAB2">
            <w:pPr>
              <w:autoSpaceDE w:val="0"/>
              <w:autoSpaceDN w:val="0"/>
              <w:jc w:val="center"/>
              <w:rPr>
                <w:rFonts w:hAnsi="宋体" w:cs="宋体"/>
                <w:color w:val="auto"/>
                <w:kern w:val="0"/>
                <w:sz w:val="22"/>
                <w:szCs w:val="22"/>
                <w:highlight w:val="none"/>
                <w:lang w:eastAsia="en-US"/>
              </w:rPr>
            </w:pPr>
          </w:p>
        </w:tc>
        <w:tc>
          <w:tcPr>
            <w:tcW w:w="696" w:type="dxa"/>
            <w:vAlign w:val="center"/>
          </w:tcPr>
          <w:p w14:paraId="64385458">
            <w:pPr>
              <w:autoSpaceDE w:val="0"/>
              <w:autoSpaceDN w:val="0"/>
              <w:jc w:val="center"/>
              <w:rPr>
                <w:rFonts w:hAnsi="宋体" w:cs="宋体"/>
                <w:color w:val="auto"/>
                <w:kern w:val="0"/>
                <w:sz w:val="22"/>
                <w:szCs w:val="22"/>
                <w:highlight w:val="none"/>
                <w:lang w:eastAsia="en-US"/>
              </w:rPr>
            </w:pPr>
          </w:p>
        </w:tc>
        <w:tc>
          <w:tcPr>
            <w:tcW w:w="560" w:type="dxa"/>
            <w:vAlign w:val="center"/>
          </w:tcPr>
          <w:p w14:paraId="2446EC0F">
            <w:pPr>
              <w:autoSpaceDE w:val="0"/>
              <w:autoSpaceDN w:val="0"/>
              <w:jc w:val="center"/>
              <w:rPr>
                <w:rFonts w:hAnsi="宋体" w:cs="宋体"/>
                <w:color w:val="auto"/>
                <w:kern w:val="0"/>
                <w:sz w:val="22"/>
                <w:szCs w:val="22"/>
                <w:highlight w:val="none"/>
                <w:lang w:eastAsia="en-US"/>
              </w:rPr>
            </w:pPr>
          </w:p>
        </w:tc>
        <w:tc>
          <w:tcPr>
            <w:tcW w:w="1304" w:type="dxa"/>
            <w:vAlign w:val="center"/>
          </w:tcPr>
          <w:p w14:paraId="5D9376BB">
            <w:pPr>
              <w:autoSpaceDE w:val="0"/>
              <w:autoSpaceDN w:val="0"/>
              <w:jc w:val="center"/>
              <w:rPr>
                <w:rFonts w:hAnsi="宋体" w:cs="宋体"/>
                <w:color w:val="auto"/>
                <w:kern w:val="0"/>
                <w:sz w:val="22"/>
                <w:szCs w:val="22"/>
                <w:highlight w:val="none"/>
                <w:lang w:eastAsia="en-US"/>
              </w:rPr>
            </w:pPr>
          </w:p>
        </w:tc>
        <w:tc>
          <w:tcPr>
            <w:tcW w:w="816" w:type="dxa"/>
            <w:vAlign w:val="center"/>
          </w:tcPr>
          <w:p w14:paraId="294E9550">
            <w:pPr>
              <w:autoSpaceDE w:val="0"/>
              <w:autoSpaceDN w:val="0"/>
              <w:jc w:val="center"/>
              <w:rPr>
                <w:rFonts w:hAnsi="宋体" w:cs="宋体"/>
                <w:color w:val="auto"/>
                <w:kern w:val="0"/>
                <w:sz w:val="22"/>
                <w:szCs w:val="22"/>
                <w:highlight w:val="none"/>
                <w:lang w:eastAsia="en-US"/>
              </w:rPr>
            </w:pPr>
          </w:p>
        </w:tc>
        <w:tc>
          <w:tcPr>
            <w:tcW w:w="1004" w:type="dxa"/>
            <w:vAlign w:val="center"/>
          </w:tcPr>
          <w:p w14:paraId="4F3A681C">
            <w:pPr>
              <w:autoSpaceDE w:val="0"/>
              <w:autoSpaceDN w:val="0"/>
              <w:jc w:val="center"/>
              <w:rPr>
                <w:rFonts w:hAnsi="宋体" w:cs="宋体"/>
                <w:color w:val="auto"/>
                <w:kern w:val="0"/>
                <w:sz w:val="22"/>
                <w:szCs w:val="22"/>
                <w:highlight w:val="none"/>
                <w:lang w:eastAsia="en-US"/>
              </w:rPr>
            </w:pPr>
          </w:p>
        </w:tc>
        <w:tc>
          <w:tcPr>
            <w:tcW w:w="1304" w:type="dxa"/>
            <w:vAlign w:val="center"/>
          </w:tcPr>
          <w:p w14:paraId="07D91396">
            <w:pPr>
              <w:autoSpaceDE w:val="0"/>
              <w:autoSpaceDN w:val="0"/>
              <w:jc w:val="center"/>
              <w:rPr>
                <w:rFonts w:hAnsi="宋体" w:cs="宋体"/>
                <w:color w:val="auto"/>
                <w:kern w:val="0"/>
                <w:sz w:val="22"/>
                <w:szCs w:val="22"/>
                <w:highlight w:val="none"/>
                <w:lang w:eastAsia="en-US"/>
              </w:rPr>
            </w:pPr>
          </w:p>
        </w:tc>
      </w:tr>
      <w:tr w14:paraId="08A01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47E63BBC">
            <w:pPr>
              <w:autoSpaceDE w:val="0"/>
              <w:autoSpaceDN w:val="0"/>
              <w:jc w:val="center"/>
              <w:rPr>
                <w:rFonts w:hAnsi="宋体" w:cs="宋体"/>
                <w:color w:val="auto"/>
                <w:kern w:val="0"/>
                <w:sz w:val="22"/>
                <w:szCs w:val="22"/>
                <w:highlight w:val="none"/>
                <w:lang w:eastAsia="en-US"/>
              </w:rPr>
            </w:pPr>
          </w:p>
        </w:tc>
        <w:tc>
          <w:tcPr>
            <w:tcW w:w="1467" w:type="dxa"/>
            <w:vAlign w:val="center"/>
          </w:tcPr>
          <w:p w14:paraId="69381C51">
            <w:pPr>
              <w:autoSpaceDE w:val="0"/>
              <w:autoSpaceDN w:val="0"/>
              <w:jc w:val="center"/>
              <w:rPr>
                <w:rFonts w:hAnsi="宋体" w:cs="宋体"/>
                <w:color w:val="auto"/>
                <w:kern w:val="0"/>
                <w:sz w:val="22"/>
                <w:szCs w:val="22"/>
                <w:highlight w:val="none"/>
                <w:lang w:eastAsia="en-US"/>
              </w:rPr>
            </w:pPr>
          </w:p>
        </w:tc>
        <w:tc>
          <w:tcPr>
            <w:tcW w:w="1140" w:type="dxa"/>
            <w:vAlign w:val="center"/>
          </w:tcPr>
          <w:p w14:paraId="54B62113">
            <w:pPr>
              <w:autoSpaceDE w:val="0"/>
              <w:autoSpaceDN w:val="0"/>
              <w:jc w:val="center"/>
              <w:rPr>
                <w:rFonts w:hAnsi="宋体" w:cs="宋体"/>
                <w:color w:val="auto"/>
                <w:kern w:val="0"/>
                <w:sz w:val="22"/>
                <w:szCs w:val="22"/>
                <w:highlight w:val="none"/>
                <w:lang w:eastAsia="en-US"/>
              </w:rPr>
            </w:pPr>
          </w:p>
        </w:tc>
        <w:tc>
          <w:tcPr>
            <w:tcW w:w="696" w:type="dxa"/>
            <w:vAlign w:val="center"/>
          </w:tcPr>
          <w:p w14:paraId="78C60298">
            <w:pPr>
              <w:autoSpaceDE w:val="0"/>
              <w:autoSpaceDN w:val="0"/>
              <w:jc w:val="center"/>
              <w:rPr>
                <w:rFonts w:hAnsi="宋体" w:cs="宋体"/>
                <w:color w:val="auto"/>
                <w:kern w:val="0"/>
                <w:sz w:val="22"/>
                <w:szCs w:val="22"/>
                <w:highlight w:val="none"/>
                <w:lang w:eastAsia="en-US"/>
              </w:rPr>
            </w:pPr>
          </w:p>
        </w:tc>
        <w:tc>
          <w:tcPr>
            <w:tcW w:w="560" w:type="dxa"/>
            <w:vAlign w:val="center"/>
          </w:tcPr>
          <w:p w14:paraId="26CB31B9">
            <w:pPr>
              <w:autoSpaceDE w:val="0"/>
              <w:autoSpaceDN w:val="0"/>
              <w:jc w:val="center"/>
              <w:rPr>
                <w:rFonts w:hAnsi="宋体" w:cs="宋体"/>
                <w:color w:val="auto"/>
                <w:kern w:val="0"/>
                <w:sz w:val="22"/>
                <w:szCs w:val="22"/>
                <w:highlight w:val="none"/>
                <w:lang w:eastAsia="en-US"/>
              </w:rPr>
            </w:pPr>
          </w:p>
        </w:tc>
        <w:tc>
          <w:tcPr>
            <w:tcW w:w="1304" w:type="dxa"/>
            <w:vAlign w:val="center"/>
          </w:tcPr>
          <w:p w14:paraId="71589809">
            <w:pPr>
              <w:autoSpaceDE w:val="0"/>
              <w:autoSpaceDN w:val="0"/>
              <w:jc w:val="center"/>
              <w:rPr>
                <w:rFonts w:hAnsi="宋体" w:cs="宋体"/>
                <w:color w:val="auto"/>
                <w:kern w:val="0"/>
                <w:sz w:val="22"/>
                <w:szCs w:val="22"/>
                <w:highlight w:val="none"/>
                <w:lang w:eastAsia="en-US"/>
              </w:rPr>
            </w:pPr>
          </w:p>
        </w:tc>
        <w:tc>
          <w:tcPr>
            <w:tcW w:w="816" w:type="dxa"/>
            <w:vAlign w:val="center"/>
          </w:tcPr>
          <w:p w14:paraId="2C1326AF">
            <w:pPr>
              <w:autoSpaceDE w:val="0"/>
              <w:autoSpaceDN w:val="0"/>
              <w:jc w:val="center"/>
              <w:rPr>
                <w:rFonts w:hAnsi="宋体" w:cs="宋体"/>
                <w:color w:val="auto"/>
                <w:kern w:val="0"/>
                <w:sz w:val="22"/>
                <w:szCs w:val="22"/>
                <w:highlight w:val="none"/>
                <w:lang w:eastAsia="en-US"/>
              </w:rPr>
            </w:pPr>
          </w:p>
        </w:tc>
        <w:tc>
          <w:tcPr>
            <w:tcW w:w="1004" w:type="dxa"/>
            <w:vAlign w:val="center"/>
          </w:tcPr>
          <w:p w14:paraId="3E445C6C">
            <w:pPr>
              <w:autoSpaceDE w:val="0"/>
              <w:autoSpaceDN w:val="0"/>
              <w:jc w:val="center"/>
              <w:rPr>
                <w:rFonts w:hAnsi="宋体" w:cs="宋体"/>
                <w:color w:val="auto"/>
                <w:kern w:val="0"/>
                <w:sz w:val="22"/>
                <w:szCs w:val="22"/>
                <w:highlight w:val="none"/>
                <w:lang w:eastAsia="en-US"/>
              </w:rPr>
            </w:pPr>
          </w:p>
        </w:tc>
        <w:tc>
          <w:tcPr>
            <w:tcW w:w="1304" w:type="dxa"/>
            <w:vAlign w:val="center"/>
          </w:tcPr>
          <w:p w14:paraId="3BEBD6EE">
            <w:pPr>
              <w:autoSpaceDE w:val="0"/>
              <w:autoSpaceDN w:val="0"/>
              <w:jc w:val="center"/>
              <w:rPr>
                <w:rFonts w:hAnsi="宋体" w:cs="宋体"/>
                <w:color w:val="auto"/>
                <w:kern w:val="0"/>
                <w:sz w:val="22"/>
                <w:szCs w:val="22"/>
                <w:highlight w:val="none"/>
                <w:lang w:eastAsia="en-US"/>
              </w:rPr>
            </w:pPr>
          </w:p>
        </w:tc>
      </w:tr>
      <w:tr w14:paraId="67299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2EE5AE71">
            <w:pPr>
              <w:autoSpaceDE w:val="0"/>
              <w:autoSpaceDN w:val="0"/>
              <w:jc w:val="center"/>
              <w:rPr>
                <w:rFonts w:hAnsi="宋体" w:cs="宋体"/>
                <w:color w:val="auto"/>
                <w:kern w:val="0"/>
                <w:sz w:val="22"/>
                <w:szCs w:val="22"/>
                <w:highlight w:val="none"/>
                <w:lang w:eastAsia="en-US"/>
              </w:rPr>
            </w:pPr>
          </w:p>
        </w:tc>
        <w:tc>
          <w:tcPr>
            <w:tcW w:w="1467" w:type="dxa"/>
            <w:vAlign w:val="center"/>
          </w:tcPr>
          <w:p w14:paraId="3AB19E4E">
            <w:pPr>
              <w:autoSpaceDE w:val="0"/>
              <w:autoSpaceDN w:val="0"/>
              <w:jc w:val="center"/>
              <w:rPr>
                <w:rFonts w:hAnsi="宋体" w:cs="宋体"/>
                <w:color w:val="auto"/>
                <w:kern w:val="0"/>
                <w:sz w:val="22"/>
                <w:szCs w:val="22"/>
                <w:highlight w:val="none"/>
                <w:lang w:eastAsia="en-US"/>
              </w:rPr>
            </w:pPr>
          </w:p>
        </w:tc>
        <w:tc>
          <w:tcPr>
            <w:tcW w:w="1140" w:type="dxa"/>
            <w:vAlign w:val="center"/>
          </w:tcPr>
          <w:p w14:paraId="2541C088">
            <w:pPr>
              <w:autoSpaceDE w:val="0"/>
              <w:autoSpaceDN w:val="0"/>
              <w:jc w:val="center"/>
              <w:rPr>
                <w:rFonts w:hAnsi="宋体" w:cs="宋体"/>
                <w:color w:val="auto"/>
                <w:kern w:val="0"/>
                <w:sz w:val="22"/>
                <w:szCs w:val="22"/>
                <w:highlight w:val="none"/>
                <w:lang w:eastAsia="en-US"/>
              </w:rPr>
            </w:pPr>
          </w:p>
        </w:tc>
        <w:tc>
          <w:tcPr>
            <w:tcW w:w="696" w:type="dxa"/>
            <w:vAlign w:val="center"/>
          </w:tcPr>
          <w:p w14:paraId="7FE5877D">
            <w:pPr>
              <w:autoSpaceDE w:val="0"/>
              <w:autoSpaceDN w:val="0"/>
              <w:jc w:val="center"/>
              <w:rPr>
                <w:rFonts w:hAnsi="宋体" w:cs="宋体"/>
                <w:color w:val="auto"/>
                <w:kern w:val="0"/>
                <w:sz w:val="22"/>
                <w:szCs w:val="22"/>
                <w:highlight w:val="none"/>
                <w:lang w:eastAsia="en-US"/>
              </w:rPr>
            </w:pPr>
          </w:p>
        </w:tc>
        <w:tc>
          <w:tcPr>
            <w:tcW w:w="560" w:type="dxa"/>
            <w:vAlign w:val="center"/>
          </w:tcPr>
          <w:p w14:paraId="323A6BF8">
            <w:pPr>
              <w:autoSpaceDE w:val="0"/>
              <w:autoSpaceDN w:val="0"/>
              <w:jc w:val="center"/>
              <w:rPr>
                <w:rFonts w:hAnsi="宋体" w:cs="宋体"/>
                <w:color w:val="auto"/>
                <w:kern w:val="0"/>
                <w:sz w:val="22"/>
                <w:szCs w:val="22"/>
                <w:highlight w:val="none"/>
                <w:lang w:eastAsia="en-US"/>
              </w:rPr>
            </w:pPr>
          </w:p>
        </w:tc>
        <w:tc>
          <w:tcPr>
            <w:tcW w:w="1304" w:type="dxa"/>
            <w:vAlign w:val="center"/>
          </w:tcPr>
          <w:p w14:paraId="64B1D758">
            <w:pPr>
              <w:autoSpaceDE w:val="0"/>
              <w:autoSpaceDN w:val="0"/>
              <w:jc w:val="center"/>
              <w:rPr>
                <w:rFonts w:hAnsi="宋体" w:cs="宋体"/>
                <w:color w:val="auto"/>
                <w:kern w:val="0"/>
                <w:sz w:val="22"/>
                <w:szCs w:val="22"/>
                <w:highlight w:val="none"/>
                <w:lang w:eastAsia="en-US"/>
              </w:rPr>
            </w:pPr>
          </w:p>
        </w:tc>
        <w:tc>
          <w:tcPr>
            <w:tcW w:w="816" w:type="dxa"/>
            <w:vAlign w:val="center"/>
          </w:tcPr>
          <w:p w14:paraId="5410ACBB">
            <w:pPr>
              <w:autoSpaceDE w:val="0"/>
              <w:autoSpaceDN w:val="0"/>
              <w:jc w:val="center"/>
              <w:rPr>
                <w:rFonts w:hAnsi="宋体" w:cs="宋体"/>
                <w:color w:val="auto"/>
                <w:kern w:val="0"/>
                <w:sz w:val="22"/>
                <w:szCs w:val="22"/>
                <w:highlight w:val="none"/>
                <w:lang w:eastAsia="en-US"/>
              </w:rPr>
            </w:pPr>
          </w:p>
        </w:tc>
        <w:tc>
          <w:tcPr>
            <w:tcW w:w="1004" w:type="dxa"/>
            <w:vAlign w:val="center"/>
          </w:tcPr>
          <w:p w14:paraId="1D1F0E42">
            <w:pPr>
              <w:autoSpaceDE w:val="0"/>
              <w:autoSpaceDN w:val="0"/>
              <w:jc w:val="center"/>
              <w:rPr>
                <w:rFonts w:hAnsi="宋体" w:cs="宋体"/>
                <w:color w:val="auto"/>
                <w:kern w:val="0"/>
                <w:sz w:val="22"/>
                <w:szCs w:val="22"/>
                <w:highlight w:val="none"/>
                <w:lang w:eastAsia="en-US"/>
              </w:rPr>
            </w:pPr>
          </w:p>
        </w:tc>
        <w:tc>
          <w:tcPr>
            <w:tcW w:w="1304" w:type="dxa"/>
            <w:vAlign w:val="center"/>
          </w:tcPr>
          <w:p w14:paraId="64348624">
            <w:pPr>
              <w:autoSpaceDE w:val="0"/>
              <w:autoSpaceDN w:val="0"/>
              <w:jc w:val="center"/>
              <w:rPr>
                <w:rFonts w:hAnsi="宋体" w:cs="宋体"/>
                <w:color w:val="auto"/>
                <w:kern w:val="0"/>
                <w:sz w:val="22"/>
                <w:szCs w:val="22"/>
                <w:highlight w:val="none"/>
                <w:lang w:eastAsia="en-US"/>
              </w:rPr>
            </w:pPr>
          </w:p>
        </w:tc>
      </w:tr>
      <w:tr w14:paraId="3EB1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67F8F269">
            <w:pPr>
              <w:autoSpaceDE w:val="0"/>
              <w:autoSpaceDN w:val="0"/>
              <w:jc w:val="center"/>
              <w:rPr>
                <w:rFonts w:hAnsi="宋体" w:cs="宋体"/>
                <w:color w:val="auto"/>
                <w:kern w:val="0"/>
                <w:sz w:val="22"/>
                <w:szCs w:val="22"/>
                <w:highlight w:val="none"/>
                <w:lang w:eastAsia="en-US"/>
              </w:rPr>
            </w:pPr>
          </w:p>
        </w:tc>
        <w:tc>
          <w:tcPr>
            <w:tcW w:w="1467" w:type="dxa"/>
            <w:vAlign w:val="center"/>
          </w:tcPr>
          <w:p w14:paraId="5589FB4B">
            <w:pPr>
              <w:autoSpaceDE w:val="0"/>
              <w:autoSpaceDN w:val="0"/>
              <w:jc w:val="center"/>
              <w:rPr>
                <w:rFonts w:hAnsi="宋体" w:cs="宋体"/>
                <w:color w:val="auto"/>
                <w:kern w:val="0"/>
                <w:sz w:val="22"/>
                <w:szCs w:val="22"/>
                <w:highlight w:val="none"/>
                <w:lang w:eastAsia="en-US"/>
              </w:rPr>
            </w:pPr>
          </w:p>
        </w:tc>
        <w:tc>
          <w:tcPr>
            <w:tcW w:w="1140" w:type="dxa"/>
            <w:vAlign w:val="center"/>
          </w:tcPr>
          <w:p w14:paraId="58BC497A">
            <w:pPr>
              <w:autoSpaceDE w:val="0"/>
              <w:autoSpaceDN w:val="0"/>
              <w:jc w:val="center"/>
              <w:rPr>
                <w:rFonts w:hAnsi="宋体" w:cs="宋体"/>
                <w:color w:val="auto"/>
                <w:kern w:val="0"/>
                <w:sz w:val="22"/>
                <w:szCs w:val="22"/>
                <w:highlight w:val="none"/>
                <w:lang w:eastAsia="en-US"/>
              </w:rPr>
            </w:pPr>
          </w:p>
        </w:tc>
        <w:tc>
          <w:tcPr>
            <w:tcW w:w="696" w:type="dxa"/>
            <w:vAlign w:val="center"/>
          </w:tcPr>
          <w:p w14:paraId="52627015">
            <w:pPr>
              <w:autoSpaceDE w:val="0"/>
              <w:autoSpaceDN w:val="0"/>
              <w:jc w:val="center"/>
              <w:rPr>
                <w:rFonts w:hAnsi="宋体" w:cs="宋体"/>
                <w:color w:val="auto"/>
                <w:kern w:val="0"/>
                <w:sz w:val="22"/>
                <w:szCs w:val="22"/>
                <w:highlight w:val="none"/>
                <w:lang w:eastAsia="en-US"/>
              </w:rPr>
            </w:pPr>
          </w:p>
        </w:tc>
        <w:tc>
          <w:tcPr>
            <w:tcW w:w="560" w:type="dxa"/>
            <w:vAlign w:val="center"/>
          </w:tcPr>
          <w:p w14:paraId="56D47B58">
            <w:pPr>
              <w:autoSpaceDE w:val="0"/>
              <w:autoSpaceDN w:val="0"/>
              <w:jc w:val="center"/>
              <w:rPr>
                <w:rFonts w:hAnsi="宋体" w:cs="宋体"/>
                <w:color w:val="auto"/>
                <w:kern w:val="0"/>
                <w:sz w:val="22"/>
                <w:szCs w:val="22"/>
                <w:highlight w:val="none"/>
                <w:lang w:eastAsia="en-US"/>
              </w:rPr>
            </w:pPr>
          </w:p>
        </w:tc>
        <w:tc>
          <w:tcPr>
            <w:tcW w:w="1304" w:type="dxa"/>
            <w:vAlign w:val="center"/>
          </w:tcPr>
          <w:p w14:paraId="717F1755">
            <w:pPr>
              <w:autoSpaceDE w:val="0"/>
              <w:autoSpaceDN w:val="0"/>
              <w:jc w:val="center"/>
              <w:rPr>
                <w:rFonts w:hAnsi="宋体" w:cs="宋体"/>
                <w:color w:val="auto"/>
                <w:kern w:val="0"/>
                <w:sz w:val="22"/>
                <w:szCs w:val="22"/>
                <w:highlight w:val="none"/>
                <w:lang w:eastAsia="en-US"/>
              </w:rPr>
            </w:pPr>
          </w:p>
        </w:tc>
        <w:tc>
          <w:tcPr>
            <w:tcW w:w="816" w:type="dxa"/>
            <w:vAlign w:val="center"/>
          </w:tcPr>
          <w:p w14:paraId="36581166">
            <w:pPr>
              <w:autoSpaceDE w:val="0"/>
              <w:autoSpaceDN w:val="0"/>
              <w:jc w:val="center"/>
              <w:rPr>
                <w:rFonts w:hAnsi="宋体" w:cs="宋体"/>
                <w:color w:val="auto"/>
                <w:kern w:val="0"/>
                <w:sz w:val="22"/>
                <w:szCs w:val="22"/>
                <w:highlight w:val="none"/>
                <w:lang w:eastAsia="en-US"/>
              </w:rPr>
            </w:pPr>
          </w:p>
        </w:tc>
        <w:tc>
          <w:tcPr>
            <w:tcW w:w="1004" w:type="dxa"/>
            <w:vAlign w:val="center"/>
          </w:tcPr>
          <w:p w14:paraId="71474237">
            <w:pPr>
              <w:autoSpaceDE w:val="0"/>
              <w:autoSpaceDN w:val="0"/>
              <w:jc w:val="center"/>
              <w:rPr>
                <w:rFonts w:hAnsi="宋体" w:cs="宋体"/>
                <w:color w:val="auto"/>
                <w:kern w:val="0"/>
                <w:sz w:val="22"/>
                <w:szCs w:val="22"/>
                <w:highlight w:val="none"/>
                <w:lang w:eastAsia="en-US"/>
              </w:rPr>
            </w:pPr>
          </w:p>
        </w:tc>
        <w:tc>
          <w:tcPr>
            <w:tcW w:w="1304" w:type="dxa"/>
            <w:vAlign w:val="center"/>
          </w:tcPr>
          <w:p w14:paraId="30E7E8FE">
            <w:pPr>
              <w:autoSpaceDE w:val="0"/>
              <w:autoSpaceDN w:val="0"/>
              <w:jc w:val="center"/>
              <w:rPr>
                <w:rFonts w:hAnsi="宋体" w:cs="宋体"/>
                <w:color w:val="auto"/>
                <w:kern w:val="0"/>
                <w:sz w:val="22"/>
                <w:szCs w:val="22"/>
                <w:highlight w:val="none"/>
                <w:lang w:eastAsia="en-US"/>
              </w:rPr>
            </w:pPr>
          </w:p>
        </w:tc>
      </w:tr>
      <w:tr w14:paraId="10D7D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14224BD">
            <w:pPr>
              <w:autoSpaceDE w:val="0"/>
              <w:autoSpaceDN w:val="0"/>
              <w:jc w:val="center"/>
              <w:rPr>
                <w:rFonts w:hAnsi="宋体" w:cs="宋体"/>
                <w:color w:val="auto"/>
                <w:kern w:val="0"/>
                <w:sz w:val="22"/>
                <w:szCs w:val="22"/>
                <w:highlight w:val="none"/>
                <w:lang w:eastAsia="en-US"/>
              </w:rPr>
            </w:pPr>
          </w:p>
        </w:tc>
        <w:tc>
          <w:tcPr>
            <w:tcW w:w="1467" w:type="dxa"/>
            <w:vAlign w:val="center"/>
          </w:tcPr>
          <w:p w14:paraId="732E8CCA">
            <w:pPr>
              <w:autoSpaceDE w:val="0"/>
              <w:autoSpaceDN w:val="0"/>
              <w:jc w:val="center"/>
              <w:rPr>
                <w:rFonts w:hAnsi="宋体" w:cs="宋体"/>
                <w:color w:val="auto"/>
                <w:kern w:val="0"/>
                <w:sz w:val="22"/>
                <w:szCs w:val="22"/>
                <w:highlight w:val="none"/>
                <w:lang w:eastAsia="en-US"/>
              </w:rPr>
            </w:pPr>
          </w:p>
        </w:tc>
        <w:tc>
          <w:tcPr>
            <w:tcW w:w="1140" w:type="dxa"/>
            <w:vAlign w:val="center"/>
          </w:tcPr>
          <w:p w14:paraId="5904CF03">
            <w:pPr>
              <w:autoSpaceDE w:val="0"/>
              <w:autoSpaceDN w:val="0"/>
              <w:jc w:val="center"/>
              <w:rPr>
                <w:rFonts w:hAnsi="宋体" w:cs="宋体"/>
                <w:color w:val="auto"/>
                <w:kern w:val="0"/>
                <w:sz w:val="22"/>
                <w:szCs w:val="22"/>
                <w:highlight w:val="none"/>
                <w:lang w:eastAsia="en-US"/>
              </w:rPr>
            </w:pPr>
          </w:p>
        </w:tc>
        <w:tc>
          <w:tcPr>
            <w:tcW w:w="696" w:type="dxa"/>
            <w:vAlign w:val="center"/>
          </w:tcPr>
          <w:p w14:paraId="2A05BC81">
            <w:pPr>
              <w:autoSpaceDE w:val="0"/>
              <w:autoSpaceDN w:val="0"/>
              <w:jc w:val="center"/>
              <w:rPr>
                <w:rFonts w:hAnsi="宋体" w:cs="宋体"/>
                <w:color w:val="auto"/>
                <w:kern w:val="0"/>
                <w:sz w:val="22"/>
                <w:szCs w:val="22"/>
                <w:highlight w:val="none"/>
                <w:lang w:eastAsia="en-US"/>
              </w:rPr>
            </w:pPr>
          </w:p>
        </w:tc>
        <w:tc>
          <w:tcPr>
            <w:tcW w:w="560" w:type="dxa"/>
            <w:vAlign w:val="center"/>
          </w:tcPr>
          <w:p w14:paraId="74E22430">
            <w:pPr>
              <w:autoSpaceDE w:val="0"/>
              <w:autoSpaceDN w:val="0"/>
              <w:jc w:val="center"/>
              <w:rPr>
                <w:rFonts w:hAnsi="宋体" w:cs="宋体"/>
                <w:color w:val="auto"/>
                <w:kern w:val="0"/>
                <w:sz w:val="22"/>
                <w:szCs w:val="22"/>
                <w:highlight w:val="none"/>
                <w:lang w:eastAsia="en-US"/>
              </w:rPr>
            </w:pPr>
          </w:p>
        </w:tc>
        <w:tc>
          <w:tcPr>
            <w:tcW w:w="1304" w:type="dxa"/>
            <w:vAlign w:val="center"/>
          </w:tcPr>
          <w:p w14:paraId="5E73198E">
            <w:pPr>
              <w:autoSpaceDE w:val="0"/>
              <w:autoSpaceDN w:val="0"/>
              <w:jc w:val="center"/>
              <w:rPr>
                <w:rFonts w:hAnsi="宋体" w:cs="宋体"/>
                <w:color w:val="auto"/>
                <w:kern w:val="0"/>
                <w:sz w:val="22"/>
                <w:szCs w:val="22"/>
                <w:highlight w:val="none"/>
                <w:lang w:eastAsia="en-US"/>
              </w:rPr>
            </w:pPr>
          </w:p>
        </w:tc>
        <w:tc>
          <w:tcPr>
            <w:tcW w:w="816" w:type="dxa"/>
            <w:vAlign w:val="center"/>
          </w:tcPr>
          <w:p w14:paraId="61D395E3">
            <w:pPr>
              <w:autoSpaceDE w:val="0"/>
              <w:autoSpaceDN w:val="0"/>
              <w:jc w:val="center"/>
              <w:rPr>
                <w:rFonts w:hAnsi="宋体" w:cs="宋体"/>
                <w:color w:val="auto"/>
                <w:kern w:val="0"/>
                <w:sz w:val="22"/>
                <w:szCs w:val="22"/>
                <w:highlight w:val="none"/>
                <w:lang w:eastAsia="en-US"/>
              </w:rPr>
            </w:pPr>
          </w:p>
        </w:tc>
        <w:tc>
          <w:tcPr>
            <w:tcW w:w="1004" w:type="dxa"/>
            <w:vAlign w:val="center"/>
          </w:tcPr>
          <w:p w14:paraId="24C2D4FC">
            <w:pPr>
              <w:autoSpaceDE w:val="0"/>
              <w:autoSpaceDN w:val="0"/>
              <w:jc w:val="center"/>
              <w:rPr>
                <w:rFonts w:hAnsi="宋体" w:cs="宋体"/>
                <w:color w:val="auto"/>
                <w:kern w:val="0"/>
                <w:sz w:val="22"/>
                <w:szCs w:val="22"/>
                <w:highlight w:val="none"/>
                <w:lang w:eastAsia="en-US"/>
              </w:rPr>
            </w:pPr>
          </w:p>
        </w:tc>
        <w:tc>
          <w:tcPr>
            <w:tcW w:w="1304" w:type="dxa"/>
            <w:vAlign w:val="center"/>
          </w:tcPr>
          <w:p w14:paraId="1AD9ED05">
            <w:pPr>
              <w:autoSpaceDE w:val="0"/>
              <w:autoSpaceDN w:val="0"/>
              <w:jc w:val="center"/>
              <w:rPr>
                <w:rFonts w:hAnsi="宋体" w:cs="宋体"/>
                <w:color w:val="auto"/>
                <w:kern w:val="0"/>
                <w:sz w:val="22"/>
                <w:szCs w:val="22"/>
                <w:highlight w:val="none"/>
                <w:lang w:eastAsia="en-US"/>
              </w:rPr>
            </w:pPr>
          </w:p>
        </w:tc>
      </w:tr>
      <w:tr w14:paraId="0CB3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2E725C9A">
            <w:pPr>
              <w:autoSpaceDE w:val="0"/>
              <w:autoSpaceDN w:val="0"/>
              <w:jc w:val="center"/>
              <w:rPr>
                <w:rFonts w:hAnsi="宋体" w:cs="宋体"/>
                <w:color w:val="auto"/>
                <w:kern w:val="0"/>
                <w:sz w:val="22"/>
                <w:szCs w:val="22"/>
                <w:highlight w:val="none"/>
                <w:lang w:eastAsia="en-US"/>
              </w:rPr>
            </w:pPr>
          </w:p>
        </w:tc>
        <w:tc>
          <w:tcPr>
            <w:tcW w:w="1467" w:type="dxa"/>
            <w:vAlign w:val="center"/>
          </w:tcPr>
          <w:p w14:paraId="38F83DEF">
            <w:pPr>
              <w:autoSpaceDE w:val="0"/>
              <w:autoSpaceDN w:val="0"/>
              <w:jc w:val="center"/>
              <w:rPr>
                <w:rFonts w:hAnsi="宋体" w:cs="宋体"/>
                <w:color w:val="auto"/>
                <w:kern w:val="0"/>
                <w:sz w:val="22"/>
                <w:szCs w:val="22"/>
                <w:highlight w:val="none"/>
                <w:lang w:eastAsia="en-US"/>
              </w:rPr>
            </w:pPr>
          </w:p>
        </w:tc>
        <w:tc>
          <w:tcPr>
            <w:tcW w:w="1140" w:type="dxa"/>
            <w:vAlign w:val="center"/>
          </w:tcPr>
          <w:p w14:paraId="50A1BC6F">
            <w:pPr>
              <w:autoSpaceDE w:val="0"/>
              <w:autoSpaceDN w:val="0"/>
              <w:jc w:val="center"/>
              <w:rPr>
                <w:rFonts w:hAnsi="宋体" w:cs="宋体"/>
                <w:color w:val="auto"/>
                <w:kern w:val="0"/>
                <w:sz w:val="22"/>
                <w:szCs w:val="22"/>
                <w:highlight w:val="none"/>
                <w:lang w:eastAsia="en-US"/>
              </w:rPr>
            </w:pPr>
          </w:p>
        </w:tc>
        <w:tc>
          <w:tcPr>
            <w:tcW w:w="696" w:type="dxa"/>
            <w:vAlign w:val="center"/>
          </w:tcPr>
          <w:p w14:paraId="3D19B497">
            <w:pPr>
              <w:autoSpaceDE w:val="0"/>
              <w:autoSpaceDN w:val="0"/>
              <w:jc w:val="center"/>
              <w:rPr>
                <w:rFonts w:hAnsi="宋体" w:cs="宋体"/>
                <w:color w:val="auto"/>
                <w:kern w:val="0"/>
                <w:sz w:val="22"/>
                <w:szCs w:val="22"/>
                <w:highlight w:val="none"/>
                <w:lang w:eastAsia="en-US"/>
              </w:rPr>
            </w:pPr>
          </w:p>
        </w:tc>
        <w:tc>
          <w:tcPr>
            <w:tcW w:w="560" w:type="dxa"/>
            <w:vAlign w:val="center"/>
          </w:tcPr>
          <w:p w14:paraId="452199F5">
            <w:pPr>
              <w:autoSpaceDE w:val="0"/>
              <w:autoSpaceDN w:val="0"/>
              <w:jc w:val="center"/>
              <w:rPr>
                <w:rFonts w:hAnsi="宋体" w:cs="宋体"/>
                <w:color w:val="auto"/>
                <w:kern w:val="0"/>
                <w:sz w:val="22"/>
                <w:szCs w:val="22"/>
                <w:highlight w:val="none"/>
                <w:lang w:eastAsia="en-US"/>
              </w:rPr>
            </w:pPr>
          </w:p>
        </w:tc>
        <w:tc>
          <w:tcPr>
            <w:tcW w:w="1304" w:type="dxa"/>
            <w:vAlign w:val="center"/>
          </w:tcPr>
          <w:p w14:paraId="54B40937">
            <w:pPr>
              <w:autoSpaceDE w:val="0"/>
              <w:autoSpaceDN w:val="0"/>
              <w:jc w:val="center"/>
              <w:rPr>
                <w:rFonts w:hAnsi="宋体" w:cs="宋体"/>
                <w:color w:val="auto"/>
                <w:kern w:val="0"/>
                <w:sz w:val="22"/>
                <w:szCs w:val="22"/>
                <w:highlight w:val="none"/>
                <w:lang w:eastAsia="en-US"/>
              </w:rPr>
            </w:pPr>
          </w:p>
        </w:tc>
        <w:tc>
          <w:tcPr>
            <w:tcW w:w="816" w:type="dxa"/>
            <w:vAlign w:val="center"/>
          </w:tcPr>
          <w:p w14:paraId="5DB57E5A">
            <w:pPr>
              <w:autoSpaceDE w:val="0"/>
              <w:autoSpaceDN w:val="0"/>
              <w:jc w:val="center"/>
              <w:rPr>
                <w:rFonts w:hAnsi="宋体" w:cs="宋体"/>
                <w:color w:val="auto"/>
                <w:kern w:val="0"/>
                <w:sz w:val="22"/>
                <w:szCs w:val="22"/>
                <w:highlight w:val="none"/>
                <w:lang w:eastAsia="en-US"/>
              </w:rPr>
            </w:pPr>
          </w:p>
        </w:tc>
        <w:tc>
          <w:tcPr>
            <w:tcW w:w="1004" w:type="dxa"/>
            <w:vAlign w:val="center"/>
          </w:tcPr>
          <w:p w14:paraId="6BEC5687">
            <w:pPr>
              <w:autoSpaceDE w:val="0"/>
              <w:autoSpaceDN w:val="0"/>
              <w:jc w:val="center"/>
              <w:rPr>
                <w:rFonts w:hAnsi="宋体" w:cs="宋体"/>
                <w:color w:val="auto"/>
                <w:kern w:val="0"/>
                <w:sz w:val="22"/>
                <w:szCs w:val="22"/>
                <w:highlight w:val="none"/>
                <w:lang w:eastAsia="en-US"/>
              </w:rPr>
            </w:pPr>
          </w:p>
        </w:tc>
        <w:tc>
          <w:tcPr>
            <w:tcW w:w="1304" w:type="dxa"/>
            <w:vAlign w:val="center"/>
          </w:tcPr>
          <w:p w14:paraId="3ADAFC30">
            <w:pPr>
              <w:autoSpaceDE w:val="0"/>
              <w:autoSpaceDN w:val="0"/>
              <w:jc w:val="center"/>
              <w:rPr>
                <w:rFonts w:hAnsi="宋体" w:cs="宋体"/>
                <w:color w:val="auto"/>
                <w:kern w:val="0"/>
                <w:sz w:val="22"/>
                <w:szCs w:val="22"/>
                <w:highlight w:val="none"/>
                <w:lang w:eastAsia="en-US"/>
              </w:rPr>
            </w:pPr>
          </w:p>
        </w:tc>
      </w:tr>
    </w:tbl>
    <w:p w14:paraId="7D302195">
      <w:pPr>
        <w:spacing w:line="20" w:lineRule="exact"/>
        <w:jc w:val="center"/>
        <w:rPr>
          <w:rFonts w:ascii="宋体" w:hAnsi="宋体"/>
          <w:color w:val="auto"/>
          <w:szCs w:val="21"/>
          <w:highlight w:val="none"/>
        </w:rPr>
      </w:pPr>
    </w:p>
    <w:p w14:paraId="01E4E1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备注：本表仅填</w:t>
      </w:r>
      <w:r>
        <w:rPr>
          <w:rFonts w:hint="eastAsia" w:ascii="宋体" w:hAnsi="宋体"/>
          <w:color w:val="auto"/>
          <w:szCs w:val="21"/>
          <w:highlight w:val="none"/>
          <w:lang w:eastAsia="zh-CN"/>
        </w:rPr>
        <w:t>比选文件</w:t>
      </w:r>
      <w:r>
        <w:rPr>
          <w:rFonts w:hint="eastAsia" w:ascii="宋体" w:hAnsi="宋体"/>
          <w:color w:val="auto"/>
          <w:szCs w:val="21"/>
          <w:highlight w:val="none"/>
        </w:rPr>
        <w:t>资格要求的人员相关信息</w:t>
      </w:r>
    </w:p>
    <w:p w14:paraId="3A0AE770">
      <w:pPr>
        <w:pStyle w:val="4"/>
        <w:spacing w:before="0" w:after="0" w:line="240" w:lineRule="auto"/>
        <w:jc w:val="center"/>
        <w:rPr>
          <w:rFonts w:ascii="宋体" w:hAnsi="宋体"/>
          <w:color w:val="auto"/>
          <w:highlight w:val="none"/>
        </w:rPr>
      </w:pPr>
      <w:r>
        <w:rPr>
          <w:rFonts w:ascii="宋体" w:hAnsi="宋体"/>
          <w:color w:val="auto"/>
          <w:highlight w:val="none"/>
        </w:rPr>
        <w:br w:type="page"/>
      </w:r>
      <w:bookmarkEnd w:id="837"/>
      <w:bookmarkEnd w:id="838"/>
      <w:bookmarkStart w:id="842" w:name="_Toc9497"/>
      <w:r>
        <w:rPr>
          <w:rFonts w:hint="eastAsia" w:ascii="宋体" w:hAnsi="宋体"/>
          <w:b w:val="0"/>
          <w:bCs w:val="0"/>
          <w:color w:val="auto"/>
          <w:highlight w:val="none"/>
        </w:rPr>
        <w:t>（</w:t>
      </w:r>
      <w:r>
        <w:rPr>
          <w:rFonts w:hint="eastAsia" w:ascii="宋体" w:hAnsi="宋体"/>
          <w:b w:val="0"/>
          <w:bCs w:val="0"/>
          <w:color w:val="auto"/>
          <w:highlight w:val="none"/>
          <w:lang w:val="en-US" w:eastAsia="zh-CN"/>
        </w:rPr>
        <w:t>四</w:t>
      </w:r>
      <w:r>
        <w:rPr>
          <w:rFonts w:hint="eastAsia" w:ascii="宋体" w:hAnsi="宋体"/>
          <w:b w:val="0"/>
          <w:bCs w:val="0"/>
          <w:color w:val="auto"/>
          <w:highlight w:val="none"/>
        </w:rPr>
        <w:t>）主要人员简历表</w:t>
      </w:r>
      <w:bookmarkEnd w:id="842"/>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054027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9EE49AC">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3E2D3187">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B92928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4A127089">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63F52F56">
            <w:pPr>
              <w:autoSpaceDE w:val="0"/>
              <w:autoSpaceDN w:val="0"/>
              <w:adjustRightInd w:val="0"/>
              <w:snapToGrid w:val="0"/>
              <w:jc w:val="center"/>
              <w:rPr>
                <w:rFonts w:ascii="宋体" w:hAnsi="宋体"/>
                <w:color w:val="auto"/>
                <w:kern w:val="0"/>
                <w:szCs w:val="21"/>
                <w:highlight w:val="none"/>
              </w:rPr>
            </w:pPr>
            <w:r>
              <w:rPr>
                <w:color w:val="auto"/>
                <w:highlight w:val="none"/>
              </w:rPr>
              <w:t>执业资格证书（或上岗证书）名称</w:t>
            </w:r>
          </w:p>
        </w:tc>
        <w:tc>
          <w:tcPr>
            <w:tcW w:w="2528" w:type="dxa"/>
            <w:vAlign w:val="center"/>
          </w:tcPr>
          <w:p w14:paraId="30831D16">
            <w:pPr>
              <w:autoSpaceDE w:val="0"/>
              <w:autoSpaceDN w:val="0"/>
              <w:adjustRightInd w:val="0"/>
              <w:snapToGrid w:val="0"/>
              <w:jc w:val="center"/>
              <w:rPr>
                <w:rFonts w:ascii="宋体" w:hAnsi="宋体"/>
                <w:color w:val="auto"/>
                <w:kern w:val="0"/>
                <w:szCs w:val="21"/>
                <w:highlight w:val="none"/>
              </w:rPr>
            </w:pPr>
          </w:p>
        </w:tc>
      </w:tr>
      <w:tr w14:paraId="48A21C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973E370">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3AA3342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436B3930">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学历</w:t>
            </w:r>
          </w:p>
        </w:tc>
        <w:tc>
          <w:tcPr>
            <w:tcW w:w="1175" w:type="dxa"/>
            <w:vAlign w:val="center"/>
          </w:tcPr>
          <w:p w14:paraId="527445C9">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18D4544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w:t>
            </w:r>
            <w:r>
              <w:rPr>
                <w:rFonts w:hint="eastAsia" w:ascii="宋体" w:hAnsi="宋体"/>
                <w:color w:val="auto"/>
                <w:kern w:val="0"/>
                <w:szCs w:val="21"/>
                <w:highlight w:val="none"/>
              </w:rPr>
              <w:t>项目</w:t>
            </w:r>
            <w:r>
              <w:rPr>
                <w:rFonts w:ascii="宋体" w:hAnsi="宋体"/>
                <w:color w:val="auto"/>
                <w:kern w:val="0"/>
                <w:szCs w:val="21"/>
                <w:highlight w:val="none"/>
              </w:rPr>
              <w:t>任职</w:t>
            </w:r>
          </w:p>
        </w:tc>
        <w:tc>
          <w:tcPr>
            <w:tcW w:w="2528" w:type="dxa"/>
            <w:vAlign w:val="center"/>
          </w:tcPr>
          <w:p w14:paraId="24D27227">
            <w:pPr>
              <w:autoSpaceDE w:val="0"/>
              <w:autoSpaceDN w:val="0"/>
              <w:adjustRightInd w:val="0"/>
              <w:snapToGrid w:val="0"/>
              <w:jc w:val="center"/>
              <w:rPr>
                <w:rFonts w:ascii="宋体" w:hAnsi="宋体"/>
                <w:color w:val="auto"/>
                <w:kern w:val="0"/>
                <w:szCs w:val="21"/>
                <w:highlight w:val="none"/>
              </w:rPr>
            </w:pPr>
          </w:p>
        </w:tc>
      </w:tr>
      <w:tr w14:paraId="65F003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EA8F2D0">
            <w:pPr>
              <w:tabs>
                <w:tab w:val="left" w:pos="520"/>
              </w:tabs>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工作年限</w:t>
            </w:r>
          </w:p>
        </w:tc>
        <w:tc>
          <w:tcPr>
            <w:tcW w:w="3385" w:type="dxa"/>
            <w:gridSpan w:val="4"/>
            <w:vAlign w:val="center"/>
          </w:tcPr>
          <w:p w14:paraId="3F30A9F3">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719DB52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从事设计工作年限</w:t>
            </w:r>
          </w:p>
        </w:tc>
        <w:tc>
          <w:tcPr>
            <w:tcW w:w="2528" w:type="dxa"/>
            <w:vAlign w:val="center"/>
          </w:tcPr>
          <w:p w14:paraId="20E6AED1">
            <w:pPr>
              <w:autoSpaceDE w:val="0"/>
              <w:autoSpaceDN w:val="0"/>
              <w:adjustRightInd w:val="0"/>
              <w:snapToGrid w:val="0"/>
              <w:jc w:val="center"/>
              <w:rPr>
                <w:rFonts w:ascii="宋体" w:hAnsi="宋体"/>
                <w:color w:val="auto"/>
                <w:kern w:val="0"/>
                <w:szCs w:val="21"/>
                <w:highlight w:val="none"/>
              </w:rPr>
            </w:pPr>
          </w:p>
        </w:tc>
      </w:tr>
      <w:tr w14:paraId="2FD19E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CD7AC0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45CDDD72">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5EFFE1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DE3CF2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16A6D0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27291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70CEEA5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3062814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0CE8086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6A4CFB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B4291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908127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6FA569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E845980">
            <w:pPr>
              <w:autoSpaceDE w:val="0"/>
              <w:autoSpaceDN w:val="0"/>
              <w:adjustRightInd w:val="0"/>
              <w:snapToGrid w:val="0"/>
              <w:jc w:val="center"/>
              <w:rPr>
                <w:rFonts w:ascii="宋体" w:hAnsi="宋体"/>
                <w:color w:val="auto"/>
                <w:kern w:val="0"/>
                <w:szCs w:val="21"/>
                <w:highlight w:val="none"/>
              </w:rPr>
            </w:pPr>
          </w:p>
        </w:tc>
      </w:tr>
      <w:tr w14:paraId="36AEC5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5CACE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D8D862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F60230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4ADAC99">
            <w:pPr>
              <w:autoSpaceDE w:val="0"/>
              <w:autoSpaceDN w:val="0"/>
              <w:adjustRightInd w:val="0"/>
              <w:snapToGrid w:val="0"/>
              <w:jc w:val="center"/>
              <w:rPr>
                <w:rFonts w:ascii="宋体" w:hAnsi="宋体"/>
                <w:color w:val="auto"/>
                <w:kern w:val="0"/>
                <w:szCs w:val="21"/>
                <w:highlight w:val="none"/>
              </w:rPr>
            </w:pPr>
          </w:p>
        </w:tc>
      </w:tr>
      <w:tr w14:paraId="6BC68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087790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C73319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9288A3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5D09C2A">
            <w:pPr>
              <w:autoSpaceDE w:val="0"/>
              <w:autoSpaceDN w:val="0"/>
              <w:adjustRightInd w:val="0"/>
              <w:snapToGrid w:val="0"/>
              <w:jc w:val="center"/>
              <w:rPr>
                <w:rFonts w:ascii="宋体" w:hAnsi="宋体"/>
                <w:color w:val="auto"/>
                <w:kern w:val="0"/>
                <w:szCs w:val="21"/>
                <w:highlight w:val="none"/>
              </w:rPr>
            </w:pPr>
          </w:p>
        </w:tc>
      </w:tr>
      <w:tr w14:paraId="50BF12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DDB71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3607E0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0A9424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7C7A574">
            <w:pPr>
              <w:autoSpaceDE w:val="0"/>
              <w:autoSpaceDN w:val="0"/>
              <w:adjustRightInd w:val="0"/>
              <w:snapToGrid w:val="0"/>
              <w:jc w:val="center"/>
              <w:rPr>
                <w:rFonts w:ascii="宋体" w:hAnsi="宋体"/>
                <w:color w:val="auto"/>
                <w:kern w:val="0"/>
                <w:szCs w:val="21"/>
                <w:highlight w:val="none"/>
              </w:rPr>
            </w:pPr>
          </w:p>
        </w:tc>
      </w:tr>
      <w:tr w14:paraId="13DB2E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7F6F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1FDAFC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9D0C83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1C2ACB">
            <w:pPr>
              <w:autoSpaceDE w:val="0"/>
              <w:autoSpaceDN w:val="0"/>
              <w:adjustRightInd w:val="0"/>
              <w:snapToGrid w:val="0"/>
              <w:jc w:val="center"/>
              <w:rPr>
                <w:rFonts w:ascii="宋体" w:hAnsi="宋体"/>
                <w:color w:val="auto"/>
                <w:kern w:val="0"/>
                <w:szCs w:val="21"/>
                <w:highlight w:val="none"/>
              </w:rPr>
            </w:pPr>
          </w:p>
        </w:tc>
      </w:tr>
      <w:tr w14:paraId="61901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3B295F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6EC98B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0BE11D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529CE3F">
            <w:pPr>
              <w:autoSpaceDE w:val="0"/>
              <w:autoSpaceDN w:val="0"/>
              <w:adjustRightInd w:val="0"/>
              <w:snapToGrid w:val="0"/>
              <w:jc w:val="center"/>
              <w:rPr>
                <w:rFonts w:ascii="宋体" w:hAnsi="宋体"/>
                <w:color w:val="auto"/>
                <w:kern w:val="0"/>
                <w:szCs w:val="21"/>
                <w:highlight w:val="none"/>
              </w:rPr>
            </w:pPr>
          </w:p>
        </w:tc>
      </w:tr>
      <w:tr w14:paraId="60461B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BF903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B3A293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8D5751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8C913A3">
            <w:pPr>
              <w:autoSpaceDE w:val="0"/>
              <w:autoSpaceDN w:val="0"/>
              <w:adjustRightInd w:val="0"/>
              <w:snapToGrid w:val="0"/>
              <w:jc w:val="center"/>
              <w:rPr>
                <w:rFonts w:ascii="宋体" w:hAnsi="宋体"/>
                <w:color w:val="auto"/>
                <w:kern w:val="0"/>
                <w:szCs w:val="21"/>
                <w:highlight w:val="none"/>
              </w:rPr>
            </w:pPr>
          </w:p>
        </w:tc>
      </w:tr>
      <w:tr w14:paraId="6CF5C0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3ECECE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F17E81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512A33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BF4F339">
            <w:pPr>
              <w:autoSpaceDE w:val="0"/>
              <w:autoSpaceDN w:val="0"/>
              <w:adjustRightInd w:val="0"/>
              <w:snapToGrid w:val="0"/>
              <w:jc w:val="center"/>
              <w:rPr>
                <w:rFonts w:ascii="宋体" w:hAnsi="宋体"/>
                <w:color w:val="auto"/>
                <w:kern w:val="0"/>
                <w:szCs w:val="21"/>
                <w:highlight w:val="none"/>
              </w:rPr>
            </w:pPr>
          </w:p>
        </w:tc>
      </w:tr>
      <w:tr w14:paraId="60C381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C4A4D0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CA6A18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6E8A04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8F9A3B3">
            <w:pPr>
              <w:autoSpaceDE w:val="0"/>
              <w:autoSpaceDN w:val="0"/>
              <w:adjustRightInd w:val="0"/>
              <w:snapToGrid w:val="0"/>
              <w:jc w:val="center"/>
              <w:rPr>
                <w:rFonts w:ascii="宋体" w:hAnsi="宋体"/>
                <w:color w:val="auto"/>
                <w:kern w:val="0"/>
                <w:szCs w:val="21"/>
                <w:highlight w:val="none"/>
              </w:rPr>
            </w:pPr>
          </w:p>
        </w:tc>
      </w:tr>
      <w:tr w14:paraId="704B7C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96306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C84837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DDB8EB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AC9B5BC">
            <w:pPr>
              <w:autoSpaceDE w:val="0"/>
              <w:autoSpaceDN w:val="0"/>
              <w:adjustRightInd w:val="0"/>
              <w:snapToGrid w:val="0"/>
              <w:jc w:val="center"/>
              <w:rPr>
                <w:rFonts w:ascii="宋体" w:hAnsi="宋体"/>
                <w:color w:val="auto"/>
                <w:kern w:val="0"/>
                <w:szCs w:val="21"/>
                <w:highlight w:val="none"/>
              </w:rPr>
            </w:pPr>
          </w:p>
        </w:tc>
      </w:tr>
      <w:tr w14:paraId="1778F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9A7BF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C3B7B3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E12A72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EB58A77">
            <w:pPr>
              <w:autoSpaceDE w:val="0"/>
              <w:autoSpaceDN w:val="0"/>
              <w:adjustRightInd w:val="0"/>
              <w:snapToGrid w:val="0"/>
              <w:jc w:val="center"/>
              <w:rPr>
                <w:rFonts w:ascii="宋体" w:hAnsi="宋体"/>
                <w:color w:val="auto"/>
                <w:kern w:val="0"/>
                <w:szCs w:val="21"/>
                <w:highlight w:val="none"/>
              </w:rPr>
            </w:pPr>
          </w:p>
        </w:tc>
      </w:tr>
      <w:tr w14:paraId="7986C3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E9607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EE0B39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0D5793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526B410">
            <w:pPr>
              <w:autoSpaceDE w:val="0"/>
              <w:autoSpaceDN w:val="0"/>
              <w:adjustRightInd w:val="0"/>
              <w:snapToGrid w:val="0"/>
              <w:jc w:val="center"/>
              <w:rPr>
                <w:rFonts w:ascii="宋体" w:hAnsi="宋体"/>
                <w:color w:val="auto"/>
                <w:kern w:val="0"/>
                <w:szCs w:val="21"/>
                <w:highlight w:val="none"/>
              </w:rPr>
            </w:pPr>
          </w:p>
        </w:tc>
      </w:tr>
    </w:tbl>
    <w:p w14:paraId="104376BF">
      <w:pPr>
        <w:spacing w:line="360" w:lineRule="auto"/>
        <w:rPr>
          <w:rFonts w:ascii="宋体" w:hAnsi="宋体"/>
          <w:color w:val="auto"/>
          <w:highlight w:val="none"/>
        </w:rPr>
      </w:pPr>
      <w:bookmarkStart w:id="843" w:name="_Toc224103515"/>
    </w:p>
    <w:p w14:paraId="3824DE3E">
      <w:pPr>
        <w:rPr>
          <w:rFonts w:ascii="宋体" w:hAnsi="宋体"/>
          <w:color w:val="auto"/>
          <w:highlight w:val="none"/>
        </w:rPr>
      </w:pPr>
      <w:bookmarkStart w:id="844" w:name="_Toc509218864"/>
      <w:bookmarkStart w:id="845" w:name="_Toc534185841"/>
      <w:bookmarkStart w:id="846" w:name="_Toc287607888"/>
      <w:bookmarkStart w:id="847" w:name="_Toc430530550"/>
      <w:bookmarkStart w:id="848" w:name="_Toc287620834"/>
      <w:bookmarkStart w:id="849" w:name="_Toc277082660"/>
      <w:r>
        <w:rPr>
          <w:rFonts w:hint="eastAsia" w:ascii="宋体" w:hAnsi="宋体"/>
          <w:color w:val="auto"/>
          <w:highlight w:val="none"/>
        </w:rPr>
        <w:br w:type="page"/>
      </w:r>
    </w:p>
    <w:bookmarkEnd w:id="843"/>
    <w:bookmarkEnd w:id="844"/>
    <w:bookmarkEnd w:id="845"/>
    <w:bookmarkEnd w:id="846"/>
    <w:bookmarkEnd w:id="847"/>
    <w:bookmarkEnd w:id="848"/>
    <w:bookmarkEnd w:id="849"/>
    <w:p w14:paraId="0CB90B9A">
      <w:pPr>
        <w:pStyle w:val="4"/>
        <w:spacing w:before="0" w:line="360" w:lineRule="auto"/>
        <w:jc w:val="center"/>
        <w:rPr>
          <w:rFonts w:ascii="宋体" w:hAnsi="宋体"/>
          <w:b w:val="0"/>
          <w:color w:val="auto"/>
          <w:highlight w:val="none"/>
        </w:rPr>
      </w:pPr>
      <w:bookmarkStart w:id="850" w:name="_Toc224103520"/>
      <w:bookmarkStart w:id="851" w:name="_Toc534185843"/>
      <w:bookmarkStart w:id="852" w:name="_Toc277082663"/>
      <w:bookmarkStart w:id="853" w:name="_Toc287607893"/>
      <w:bookmarkStart w:id="854" w:name="_Toc287620839"/>
      <w:bookmarkStart w:id="855" w:name="_Toc509218866"/>
      <w:bookmarkStart w:id="856" w:name="_Toc430530552"/>
      <w:bookmarkStart w:id="857" w:name="_Toc12708"/>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w:t>
      </w:r>
      <w:bookmarkEnd w:id="850"/>
      <w:bookmarkEnd w:id="851"/>
      <w:bookmarkEnd w:id="852"/>
      <w:bookmarkEnd w:id="853"/>
      <w:bookmarkEnd w:id="854"/>
      <w:bookmarkEnd w:id="855"/>
      <w:bookmarkEnd w:id="856"/>
      <w:r>
        <w:rPr>
          <w:rFonts w:hint="eastAsia" w:ascii="宋体" w:hAnsi="宋体"/>
          <w:b w:val="0"/>
          <w:color w:val="auto"/>
          <w:highlight w:val="none"/>
        </w:rPr>
        <w:t>承诺</w:t>
      </w:r>
      <w:bookmarkEnd w:id="857"/>
    </w:p>
    <w:p w14:paraId="6504C9A7">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7BD2BA9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竞选人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3D775CB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7831EAE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15D5FF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0FE6D02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（3）被列入《重庆市工程建设领域招标投标信用管理暂行办法》规定的重庆市工程建设领域招标投标失信惩戒对象名单且在记分有效期内；</w:t>
      </w:r>
    </w:p>
    <w:p w14:paraId="397C80F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860A99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w:t>
      </w:r>
      <w:r>
        <w:rPr>
          <w:rFonts w:hint="eastAsia" w:ascii="宋体" w:hAnsi="宋体"/>
          <w:color w:val="auto"/>
          <w:szCs w:val="21"/>
          <w:highlight w:val="none"/>
          <w:lang w:val="en-US" w:eastAsia="zh-CN"/>
        </w:rPr>
        <w:t>行业</w:t>
      </w:r>
      <w:r>
        <w:rPr>
          <w:rFonts w:hint="eastAsia" w:ascii="宋体" w:hAnsi="宋体"/>
          <w:color w:val="auto"/>
          <w:szCs w:val="21"/>
          <w:highlight w:val="none"/>
        </w:rPr>
        <w:t>主管部门暂停在渝承揽新业务且在暂停期内。</w:t>
      </w:r>
    </w:p>
    <w:p w14:paraId="7039BD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2、项目负责人</w:t>
      </w:r>
    </w:p>
    <w:p w14:paraId="12D7D41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2.1我公司承诺拟派项目负责人履职和未被禁止参与投标。</w:t>
      </w:r>
    </w:p>
    <w:p w14:paraId="51BEEA5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（1）拟派项目负责人中标后在本项目履职，签订合同时拟派的项目负责人与</w:t>
      </w:r>
      <w:r>
        <w:rPr>
          <w:rFonts w:hint="eastAsia" w:ascii="宋体" w:hAnsi="宋体"/>
          <w:color w:val="auto"/>
          <w:szCs w:val="21"/>
          <w:highlight w:val="none"/>
          <w:lang w:eastAsia="zh-CN"/>
        </w:rPr>
        <w:t>竞选文件</w:t>
      </w:r>
      <w:r>
        <w:rPr>
          <w:rFonts w:hint="eastAsia" w:ascii="宋体" w:hAnsi="宋体"/>
          <w:color w:val="auto"/>
          <w:szCs w:val="21"/>
          <w:highlight w:val="none"/>
        </w:rPr>
        <w:t>中的项目负责人一致，并满足办理相关手续的要求。不能按承诺履职的，按合同相关条款处罚并上报行政主管部门，给贵单位造成损失的，我公司依法承担违约赔偿责任。拟派项目负责人中标后不得随意更换。</w:t>
      </w:r>
    </w:p>
    <w:p w14:paraId="1516363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（2）拟派项目负责人未被重庆市</w:t>
      </w:r>
      <w:r>
        <w:rPr>
          <w:rFonts w:hint="eastAsia" w:ascii="宋体" w:hAnsi="宋体"/>
          <w:color w:val="auto"/>
          <w:szCs w:val="21"/>
          <w:highlight w:val="none"/>
          <w:lang w:eastAsia="zh-CN"/>
        </w:rPr>
        <w:t>市级有关</w:t>
      </w:r>
      <w:r>
        <w:rPr>
          <w:rFonts w:hint="eastAsia" w:ascii="宋体" w:hAnsi="宋体"/>
          <w:color w:val="auto"/>
          <w:szCs w:val="21"/>
          <w:highlight w:val="none"/>
          <w:lang w:val="en-US" w:eastAsia="zh-CN"/>
        </w:rPr>
        <w:t>行业</w:t>
      </w:r>
      <w:r>
        <w:rPr>
          <w:rFonts w:hint="eastAsia" w:ascii="宋体" w:hAnsi="宋体"/>
          <w:color w:val="auto"/>
          <w:szCs w:val="21"/>
          <w:highlight w:val="none"/>
        </w:rPr>
        <w:t>主管部门暂停在渝承揽新业务。若被暂停在渝承揽新业务但仍参加投标，将被否决投标；已取得中标候选人资格或中标资格的，贵单位有权取消其中标候选人资格或中标资格；给贵单位造成损失的，我公司依法承担赔偿责任</w:t>
      </w:r>
      <w:r>
        <w:rPr>
          <w:rFonts w:hint="eastAsia" w:ascii="宋体" w:hAnsi="宋体"/>
          <w:color w:val="auto"/>
          <w:szCs w:val="21"/>
          <w:highlight w:val="none"/>
          <w:lang w:val="en-US" w:eastAsia="zh-CN"/>
        </w:rPr>
        <w:t>或</w:t>
      </w:r>
      <w:r>
        <w:rPr>
          <w:rFonts w:hint="eastAsia" w:ascii="宋体" w:hAnsi="宋体"/>
          <w:color w:val="auto"/>
          <w:szCs w:val="21"/>
          <w:highlight w:val="none"/>
        </w:rPr>
        <w:t>违约</w:t>
      </w:r>
      <w:r>
        <w:rPr>
          <w:rFonts w:hint="eastAsia" w:ascii="宋体" w:hAnsi="宋体"/>
          <w:color w:val="auto"/>
          <w:szCs w:val="21"/>
          <w:highlight w:val="none"/>
          <w:lang w:val="en-US" w:eastAsia="zh-CN"/>
        </w:rPr>
        <w:t>责任</w:t>
      </w:r>
      <w:r>
        <w:rPr>
          <w:rFonts w:hint="eastAsia" w:ascii="宋体" w:hAnsi="宋体"/>
          <w:color w:val="auto"/>
          <w:szCs w:val="21"/>
          <w:highlight w:val="none"/>
        </w:rPr>
        <w:t>。</w:t>
      </w:r>
    </w:p>
    <w:p w14:paraId="2AACFB1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我公司若中标，在签订合同之前，根据项目实际情况组建项目设计团队，出具任命文件。任命文件应当明确设计团队的职责、岗位设置、人员配备，并书面通知贵单位。专业设计人员应持有建设行政主管部门要求的岗位证书或注册证书或职称证书，并提供</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为其缴纳的养老保险证明材料。中标后不能满足该要求的，取消我公司中标资格；签订合同后不满足该要求的，按合同相关条款处罚并上报行政主管部门；给贵单位造成损失的，我公司依法承担违约赔偿责任。</w:t>
      </w:r>
    </w:p>
    <w:p w14:paraId="75A7963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公司在资格审查部分及商务部分中提供的相关证明材料真实有效，不存在弄虚作假情形。贵单位在合同签订前均有权对我公司提供的资料进行核实，若发现弄虚作假，取消我公司中标资格，并按相关法律法规报招标投标监督部门，投标保证金不予退还，我公司自愿承担因此造成的相关责任并赔偿相应损失。</w:t>
      </w:r>
    </w:p>
    <w:p w14:paraId="3ADD2A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4、我公司不存在第二章“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 1.4.3 项规定的任何一种情形。</w:t>
      </w:r>
    </w:p>
    <w:p w14:paraId="7AEA46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5、我公司的</w:t>
      </w:r>
      <w:r>
        <w:rPr>
          <w:rFonts w:hint="eastAsia" w:ascii="宋体" w:hAnsi="宋体"/>
          <w:color w:val="auto"/>
          <w:szCs w:val="21"/>
          <w:highlight w:val="none"/>
          <w:lang w:eastAsia="zh-CN"/>
        </w:rPr>
        <w:t>竞选文件</w:t>
      </w:r>
      <w:r>
        <w:rPr>
          <w:rFonts w:hint="eastAsia" w:ascii="宋体" w:hAnsi="宋体"/>
          <w:color w:val="auto"/>
          <w:szCs w:val="21"/>
          <w:highlight w:val="none"/>
        </w:rPr>
        <w:t>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 1.12.1 项的规定。</w:t>
      </w:r>
    </w:p>
    <w:p w14:paraId="104E3D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6、我公司的</w:t>
      </w:r>
      <w:r>
        <w:rPr>
          <w:rFonts w:hint="eastAsia" w:ascii="宋体" w:hAnsi="宋体"/>
          <w:color w:val="auto"/>
          <w:szCs w:val="21"/>
          <w:highlight w:val="none"/>
          <w:lang w:eastAsia="zh-CN"/>
        </w:rPr>
        <w:t>竞选文件</w:t>
      </w:r>
      <w:r>
        <w:rPr>
          <w:rFonts w:hint="eastAsia" w:ascii="宋体" w:hAnsi="宋体"/>
          <w:color w:val="auto"/>
          <w:szCs w:val="21"/>
          <w:highlight w:val="none"/>
        </w:rPr>
        <w:t>符合</w:t>
      </w:r>
      <w:r>
        <w:rPr>
          <w:rFonts w:hint="eastAsia" w:ascii="宋体" w:hAnsi="宋体"/>
          <w:color w:val="auto"/>
          <w:szCs w:val="21"/>
          <w:highlight w:val="none"/>
          <w:lang w:eastAsia="zh-CN"/>
        </w:rPr>
        <w:t>比选文件</w:t>
      </w:r>
      <w:r>
        <w:rPr>
          <w:rFonts w:hint="eastAsia" w:ascii="宋体" w:hAnsi="宋体"/>
          <w:color w:val="auto"/>
          <w:szCs w:val="21"/>
          <w:highlight w:val="none"/>
        </w:rPr>
        <w:t>第四章“合同条款及格式”规定，</w:t>
      </w:r>
      <w:r>
        <w:rPr>
          <w:rFonts w:hint="eastAsia" w:ascii="宋体" w:hAnsi="宋体"/>
          <w:color w:val="auto"/>
          <w:szCs w:val="21"/>
          <w:highlight w:val="none"/>
          <w:lang w:eastAsia="zh-CN"/>
        </w:rPr>
        <w:t>竞选文件</w:t>
      </w:r>
      <w:r>
        <w:rPr>
          <w:rFonts w:hint="eastAsia" w:ascii="宋体" w:hAnsi="宋体"/>
          <w:color w:val="auto"/>
          <w:szCs w:val="21"/>
          <w:highlight w:val="none"/>
        </w:rPr>
        <w:t>中没有贵单位不能接受的条件。</w:t>
      </w:r>
    </w:p>
    <w:p w14:paraId="38E94B2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7、我公司的</w:t>
      </w:r>
      <w:r>
        <w:rPr>
          <w:rFonts w:hint="eastAsia" w:ascii="宋体" w:hAnsi="宋体"/>
          <w:color w:val="auto"/>
          <w:szCs w:val="21"/>
          <w:highlight w:val="none"/>
          <w:lang w:eastAsia="zh-CN"/>
        </w:rPr>
        <w:t>竞选文件</w:t>
      </w:r>
      <w:r>
        <w:rPr>
          <w:rFonts w:hint="eastAsia" w:ascii="宋体" w:hAnsi="宋体"/>
          <w:color w:val="auto"/>
          <w:szCs w:val="21"/>
          <w:highlight w:val="none"/>
        </w:rPr>
        <w:t>符合</w:t>
      </w:r>
      <w:r>
        <w:rPr>
          <w:rFonts w:hint="eastAsia" w:ascii="宋体" w:hAnsi="宋体"/>
          <w:color w:val="auto"/>
          <w:szCs w:val="21"/>
          <w:highlight w:val="none"/>
          <w:lang w:eastAsia="zh-CN"/>
        </w:rPr>
        <w:t>比选文件</w:t>
      </w:r>
      <w:r>
        <w:rPr>
          <w:rFonts w:hint="eastAsia" w:ascii="宋体" w:hAnsi="宋体"/>
          <w:color w:val="auto"/>
          <w:szCs w:val="21"/>
          <w:highlight w:val="none"/>
        </w:rPr>
        <w:t>第五章“发包人要求”</w:t>
      </w:r>
      <w:r>
        <w:rPr>
          <w:rFonts w:hint="eastAsia" w:ascii="宋体" w:hAnsi="宋体" w:cs="宋体"/>
          <w:color w:val="auto"/>
          <w:kern w:val="0"/>
          <w:highlight w:val="none"/>
        </w:rPr>
        <w:t>中的实质性要求和条件</w:t>
      </w:r>
      <w:r>
        <w:rPr>
          <w:rFonts w:hint="eastAsia" w:ascii="宋体" w:hAnsi="宋体"/>
          <w:color w:val="auto"/>
          <w:szCs w:val="21"/>
          <w:highlight w:val="none"/>
        </w:rPr>
        <w:t>。</w:t>
      </w:r>
    </w:p>
    <w:p w14:paraId="439AD06E">
      <w:pPr>
        <w:snapToGrid w:val="0"/>
        <w:spacing w:line="400" w:lineRule="exact"/>
        <w:ind w:firstLine="420" w:firstLineChars="200"/>
        <w:rPr>
          <w:rFonts w:ascii="宋体" w:hAnsi="宋体"/>
          <w:color w:val="auto"/>
          <w:szCs w:val="21"/>
          <w:highlight w:val="none"/>
        </w:rPr>
      </w:pPr>
    </w:p>
    <w:p w14:paraId="3C36B84B">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8BF56A8">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D0F31F3">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71FDBC6">
      <w:pPr>
        <w:widowControl/>
        <w:jc w:val="left"/>
        <w:rPr>
          <w:color w:val="auto"/>
          <w:highlight w:val="none"/>
        </w:rPr>
      </w:pPr>
      <w:r>
        <w:rPr>
          <w:color w:val="auto"/>
          <w:highlight w:val="none"/>
        </w:rPr>
        <w:br w:type="page"/>
      </w:r>
    </w:p>
    <w:p w14:paraId="2BA6FB28">
      <w:pPr>
        <w:rPr>
          <w:color w:val="auto"/>
          <w:highlight w:val="none"/>
        </w:rPr>
      </w:pPr>
    </w:p>
    <w:p w14:paraId="4FCBB644">
      <w:pPr>
        <w:pStyle w:val="4"/>
        <w:spacing w:before="0" w:line="360" w:lineRule="auto"/>
        <w:jc w:val="center"/>
        <w:rPr>
          <w:rFonts w:ascii="宋体" w:hAnsi="宋体"/>
          <w:color w:val="auto"/>
          <w:highlight w:val="none"/>
        </w:rPr>
      </w:pPr>
      <w:bookmarkStart w:id="858" w:name="_Toc2214"/>
      <w:r>
        <w:rPr>
          <w:rFonts w:hint="eastAsia" w:ascii="宋体" w:hAnsi="宋体"/>
          <w:b w:val="0"/>
          <w:color w:val="auto"/>
          <w:highlight w:val="none"/>
        </w:rPr>
        <w:t>（</w:t>
      </w:r>
      <w:r>
        <w:rPr>
          <w:rFonts w:hint="eastAsia" w:ascii="宋体" w:hAnsi="宋体"/>
          <w:b w:val="0"/>
          <w:color w:val="auto"/>
          <w:highlight w:val="none"/>
          <w:lang w:val="en-US" w:eastAsia="zh-CN"/>
        </w:rPr>
        <w:t>六</w:t>
      </w:r>
      <w:r>
        <w:rPr>
          <w:rFonts w:hint="eastAsia" w:ascii="宋体" w:hAnsi="宋体"/>
          <w:b w:val="0"/>
          <w:color w:val="auto"/>
          <w:highlight w:val="none"/>
        </w:rPr>
        <w:t>）其他资料</w:t>
      </w:r>
      <w:bookmarkEnd w:id="858"/>
    </w:p>
    <w:bookmarkEnd w:id="611"/>
    <w:bookmarkEnd w:id="612"/>
    <w:bookmarkEnd w:id="613"/>
    <w:p w14:paraId="68C7663F">
      <w:pPr>
        <w:rPr>
          <w:rFonts w:hint="default" w:eastAsia="宋体"/>
          <w:color w:val="auto"/>
          <w:highlight w:val="none"/>
          <w:lang w:val="en-US" w:eastAsia="zh-CN"/>
        </w:rPr>
      </w:pPr>
      <w:r>
        <w:rPr>
          <w:rFonts w:hint="eastAsia"/>
          <w:color w:val="auto"/>
          <w:highlight w:val="none"/>
          <w:lang w:val="en-US" w:eastAsia="zh-CN"/>
        </w:rPr>
        <w:t>1、</w:t>
      </w:r>
      <w:r>
        <w:rPr>
          <w:rFonts w:ascii="宋体" w:hAnsi="宋体"/>
          <w:color w:val="auto"/>
          <w:szCs w:val="21"/>
          <w:highlight w:val="none"/>
        </w:rPr>
        <w:t>……</w:t>
      </w:r>
    </w:p>
    <w:p w14:paraId="328DB8EC">
      <w:pPr>
        <w:rPr>
          <w:color w:val="auto"/>
          <w:highlight w:val="none"/>
        </w:rPr>
      </w:pPr>
    </w:p>
    <w:p w14:paraId="32354867">
      <w:pPr>
        <w:pStyle w:val="17"/>
        <w:rPr>
          <w:color w:val="auto"/>
          <w:highlight w:val="none"/>
        </w:rPr>
      </w:pPr>
    </w:p>
    <w:p w14:paraId="7508DCAE">
      <w:pPr>
        <w:rPr>
          <w:color w:val="auto"/>
          <w:highlight w:val="none"/>
        </w:rPr>
      </w:pPr>
    </w:p>
    <w:p w14:paraId="38800084">
      <w:pPr>
        <w:pStyle w:val="17"/>
        <w:rPr>
          <w:color w:val="auto"/>
          <w:highlight w:val="none"/>
        </w:rPr>
      </w:pPr>
    </w:p>
    <w:p w14:paraId="678EFE24">
      <w:pPr>
        <w:rPr>
          <w:color w:val="auto"/>
          <w:highlight w:val="none"/>
        </w:rPr>
      </w:pPr>
    </w:p>
    <w:p w14:paraId="19A2DF94">
      <w:pPr>
        <w:pStyle w:val="17"/>
        <w:rPr>
          <w:color w:val="auto"/>
          <w:highlight w:val="none"/>
        </w:rPr>
      </w:pPr>
    </w:p>
    <w:p w14:paraId="72BC0E2F">
      <w:pPr>
        <w:rPr>
          <w:color w:val="auto"/>
          <w:highlight w:val="none"/>
        </w:rPr>
      </w:pPr>
    </w:p>
    <w:p w14:paraId="3F4320D7">
      <w:pPr>
        <w:pStyle w:val="17"/>
        <w:rPr>
          <w:color w:val="auto"/>
          <w:highlight w:val="none"/>
        </w:rPr>
      </w:pPr>
    </w:p>
    <w:p w14:paraId="44AB6426">
      <w:pPr>
        <w:rPr>
          <w:color w:val="auto"/>
          <w:highlight w:val="none"/>
        </w:rPr>
      </w:pPr>
    </w:p>
    <w:p w14:paraId="431B37CD">
      <w:pPr>
        <w:pStyle w:val="17"/>
        <w:rPr>
          <w:color w:val="auto"/>
          <w:highlight w:val="none"/>
        </w:rPr>
      </w:pPr>
    </w:p>
    <w:p w14:paraId="4BF44523">
      <w:pPr>
        <w:rPr>
          <w:color w:val="auto"/>
          <w:highlight w:val="none"/>
        </w:rPr>
      </w:pPr>
    </w:p>
    <w:p w14:paraId="5971DC89">
      <w:pPr>
        <w:pStyle w:val="17"/>
        <w:rPr>
          <w:color w:val="auto"/>
          <w:highlight w:val="none"/>
        </w:rPr>
      </w:pPr>
    </w:p>
    <w:p w14:paraId="006FADF0">
      <w:pPr>
        <w:rPr>
          <w:color w:val="auto"/>
          <w:highlight w:val="none"/>
        </w:rPr>
      </w:pPr>
    </w:p>
    <w:p w14:paraId="22C97185">
      <w:pPr>
        <w:pStyle w:val="17"/>
        <w:rPr>
          <w:color w:val="auto"/>
          <w:highlight w:val="none"/>
        </w:rPr>
      </w:pPr>
    </w:p>
    <w:p w14:paraId="242196D0">
      <w:pPr>
        <w:rPr>
          <w:color w:val="auto"/>
          <w:highlight w:val="none"/>
        </w:rPr>
      </w:pPr>
    </w:p>
    <w:p w14:paraId="12EF2865">
      <w:pPr>
        <w:pStyle w:val="17"/>
        <w:rPr>
          <w:color w:val="auto"/>
          <w:highlight w:val="none"/>
        </w:rPr>
      </w:pPr>
    </w:p>
    <w:p w14:paraId="3DF3B498">
      <w:pPr>
        <w:rPr>
          <w:color w:val="auto"/>
          <w:highlight w:val="none"/>
        </w:rPr>
      </w:pPr>
    </w:p>
    <w:p w14:paraId="743F372F">
      <w:pPr>
        <w:pStyle w:val="17"/>
        <w:rPr>
          <w:color w:val="auto"/>
          <w:highlight w:val="none"/>
        </w:rPr>
      </w:pPr>
    </w:p>
    <w:p w14:paraId="05C94F2B">
      <w:pPr>
        <w:rPr>
          <w:color w:val="auto"/>
          <w:highlight w:val="none"/>
        </w:rPr>
      </w:pPr>
    </w:p>
    <w:p w14:paraId="619566EE">
      <w:pPr>
        <w:pStyle w:val="17"/>
        <w:rPr>
          <w:color w:val="auto"/>
          <w:highlight w:val="none"/>
        </w:rPr>
      </w:pPr>
    </w:p>
    <w:p w14:paraId="1C675762">
      <w:pPr>
        <w:rPr>
          <w:color w:val="auto"/>
          <w:highlight w:val="none"/>
        </w:rPr>
      </w:pPr>
    </w:p>
    <w:p w14:paraId="7C9320F6">
      <w:pPr>
        <w:pStyle w:val="17"/>
        <w:rPr>
          <w:color w:val="auto"/>
          <w:highlight w:val="none"/>
        </w:rPr>
      </w:pPr>
    </w:p>
    <w:p w14:paraId="69BF0D28">
      <w:pPr>
        <w:rPr>
          <w:color w:val="auto"/>
          <w:highlight w:val="none"/>
        </w:rPr>
      </w:pPr>
    </w:p>
    <w:p w14:paraId="6B5CF68B">
      <w:pPr>
        <w:pStyle w:val="17"/>
        <w:rPr>
          <w:color w:val="auto"/>
          <w:highlight w:val="none"/>
        </w:rPr>
      </w:pPr>
    </w:p>
    <w:p w14:paraId="04D19507">
      <w:pPr>
        <w:rPr>
          <w:color w:val="auto"/>
          <w:highlight w:val="none"/>
        </w:rPr>
      </w:pPr>
    </w:p>
    <w:p w14:paraId="212368F4">
      <w:pPr>
        <w:pStyle w:val="17"/>
        <w:rPr>
          <w:color w:val="auto"/>
          <w:highlight w:val="none"/>
        </w:rPr>
      </w:pPr>
    </w:p>
    <w:p w14:paraId="07A6C460">
      <w:pPr>
        <w:rPr>
          <w:color w:val="auto"/>
          <w:highlight w:val="none"/>
        </w:rPr>
      </w:pPr>
    </w:p>
    <w:p w14:paraId="179DE560">
      <w:pPr>
        <w:pStyle w:val="17"/>
        <w:rPr>
          <w:color w:val="auto"/>
          <w:highlight w:val="none"/>
        </w:rPr>
      </w:pPr>
    </w:p>
    <w:p w14:paraId="5BB01F43">
      <w:pPr>
        <w:rPr>
          <w:color w:val="auto"/>
          <w:highlight w:val="none"/>
        </w:rPr>
      </w:pPr>
    </w:p>
    <w:p w14:paraId="63360ADA">
      <w:pPr>
        <w:pStyle w:val="17"/>
        <w:rPr>
          <w:color w:val="auto"/>
          <w:highlight w:val="none"/>
        </w:rPr>
      </w:pPr>
    </w:p>
    <w:p w14:paraId="47B5B4F2">
      <w:pPr>
        <w:rPr>
          <w:color w:val="auto"/>
          <w:highlight w:val="none"/>
        </w:rPr>
      </w:pPr>
    </w:p>
    <w:p w14:paraId="14570AA8">
      <w:pPr>
        <w:pStyle w:val="17"/>
        <w:rPr>
          <w:color w:val="auto"/>
          <w:highlight w:val="none"/>
        </w:rPr>
      </w:pPr>
    </w:p>
    <w:p w14:paraId="5D51EF4D">
      <w:pPr>
        <w:rPr>
          <w:color w:val="auto"/>
          <w:highlight w:val="none"/>
        </w:rPr>
      </w:pPr>
    </w:p>
    <w:p w14:paraId="2C0ADE39">
      <w:pPr>
        <w:pStyle w:val="17"/>
        <w:rPr>
          <w:color w:val="auto"/>
          <w:highlight w:val="none"/>
        </w:rPr>
      </w:pPr>
    </w:p>
    <w:p w14:paraId="745B3F6F">
      <w:pPr>
        <w:rPr>
          <w:color w:val="auto"/>
          <w:highlight w:val="none"/>
        </w:rPr>
      </w:pPr>
    </w:p>
    <w:p w14:paraId="3986B87C">
      <w:pPr>
        <w:pStyle w:val="17"/>
        <w:rPr>
          <w:color w:val="auto"/>
          <w:highlight w:val="none"/>
        </w:rPr>
      </w:pPr>
    </w:p>
    <w:p w14:paraId="4140A3F9">
      <w:pPr>
        <w:rPr>
          <w:color w:val="auto"/>
          <w:highlight w:val="none"/>
        </w:rPr>
      </w:pPr>
    </w:p>
    <w:p w14:paraId="1EA6F310">
      <w:pPr>
        <w:pStyle w:val="17"/>
        <w:rPr>
          <w:color w:val="auto"/>
          <w:highlight w:val="none"/>
        </w:rPr>
      </w:pPr>
    </w:p>
    <w:p w14:paraId="3839BF58">
      <w:pPr>
        <w:rPr>
          <w:color w:val="auto"/>
          <w:highlight w:val="none"/>
        </w:rPr>
      </w:pPr>
    </w:p>
    <w:p w14:paraId="0195CBBD">
      <w:pPr>
        <w:pStyle w:val="17"/>
        <w:rPr>
          <w:color w:val="auto"/>
          <w:highlight w:val="none"/>
        </w:rPr>
      </w:pPr>
    </w:p>
    <w:p w14:paraId="40B196F5">
      <w:pPr>
        <w:rPr>
          <w:color w:val="auto"/>
          <w:highlight w:val="none"/>
        </w:rPr>
      </w:pPr>
    </w:p>
    <w:p w14:paraId="30195464">
      <w:pPr>
        <w:pStyle w:val="17"/>
        <w:rPr>
          <w:color w:val="auto"/>
          <w:highlight w:val="none"/>
        </w:rPr>
      </w:pPr>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3F99">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467F">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1BF8">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66938DE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93D7">
    <w:pPr>
      <w:pStyle w:val="3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OTk2YmZjZjk1ODc5MjY5ZjA2ZTRkM2U4ZGMwMmQ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5E0D"/>
    <w:rsid w:val="0088121D"/>
    <w:rsid w:val="00883DE3"/>
    <w:rsid w:val="008855A1"/>
    <w:rsid w:val="00895CA5"/>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20110AA"/>
    <w:rsid w:val="027B37D5"/>
    <w:rsid w:val="02C73591"/>
    <w:rsid w:val="03DE5A5A"/>
    <w:rsid w:val="04DE3380"/>
    <w:rsid w:val="0519082B"/>
    <w:rsid w:val="06205B52"/>
    <w:rsid w:val="069E4D70"/>
    <w:rsid w:val="070F5865"/>
    <w:rsid w:val="07113D89"/>
    <w:rsid w:val="07152EBE"/>
    <w:rsid w:val="07396E51"/>
    <w:rsid w:val="076D1CAF"/>
    <w:rsid w:val="08581A70"/>
    <w:rsid w:val="09D848E1"/>
    <w:rsid w:val="09FF1FA9"/>
    <w:rsid w:val="0AF1029B"/>
    <w:rsid w:val="0B7E4269"/>
    <w:rsid w:val="0D8B5E9F"/>
    <w:rsid w:val="0DD94183"/>
    <w:rsid w:val="0F4C5F6E"/>
    <w:rsid w:val="0F5C08A7"/>
    <w:rsid w:val="0FED59A3"/>
    <w:rsid w:val="0FF25A15"/>
    <w:rsid w:val="10221450"/>
    <w:rsid w:val="110B2037"/>
    <w:rsid w:val="12F64B6E"/>
    <w:rsid w:val="137D703E"/>
    <w:rsid w:val="13800B4E"/>
    <w:rsid w:val="13BC6EF1"/>
    <w:rsid w:val="13F24C28"/>
    <w:rsid w:val="149A3C1F"/>
    <w:rsid w:val="14B724B2"/>
    <w:rsid w:val="155A4791"/>
    <w:rsid w:val="162437A1"/>
    <w:rsid w:val="169C4016"/>
    <w:rsid w:val="16AD4009"/>
    <w:rsid w:val="16D56E4E"/>
    <w:rsid w:val="170813D5"/>
    <w:rsid w:val="17936E30"/>
    <w:rsid w:val="1975219A"/>
    <w:rsid w:val="198F308C"/>
    <w:rsid w:val="19DC4E7C"/>
    <w:rsid w:val="1A2F6BB8"/>
    <w:rsid w:val="1BA20022"/>
    <w:rsid w:val="1CB87339"/>
    <w:rsid w:val="1E064989"/>
    <w:rsid w:val="1E16738A"/>
    <w:rsid w:val="1F2E2E47"/>
    <w:rsid w:val="1F617814"/>
    <w:rsid w:val="1F9D6372"/>
    <w:rsid w:val="1FB931AC"/>
    <w:rsid w:val="200D0F83"/>
    <w:rsid w:val="20675240"/>
    <w:rsid w:val="20905657"/>
    <w:rsid w:val="20B61DE1"/>
    <w:rsid w:val="20ED4838"/>
    <w:rsid w:val="219D292A"/>
    <w:rsid w:val="21B41DD4"/>
    <w:rsid w:val="21C347B6"/>
    <w:rsid w:val="24415E66"/>
    <w:rsid w:val="252B12D5"/>
    <w:rsid w:val="25421E95"/>
    <w:rsid w:val="2614570C"/>
    <w:rsid w:val="27757904"/>
    <w:rsid w:val="27914D3A"/>
    <w:rsid w:val="27D50A22"/>
    <w:rsid w:val="28AA3FD9"/>
    <w:rsid w:val="29630A8C"/>
    <w:rsid w:val="29AA0E8A"/>
    <w:rsid w:val="29BD1AEA"/>
    <w:rsid w:val="2A1B05EA"/>
    <w:rsid w:val="2AB721F8"/>
    <w:rsid w:val="2B2142FB"/>
    <w:rsid w:val="2B28694F"/>
    <w:rsid w:val="2E0423DE"/>
    <w:rsid w:val="2E3903BB"/>
    <w:rsid w:val="2EA80FBB"/>
    <w:rsid w:val="2F666780"/>
    <w:rsid w:val="2FAE20C9"/>
    <w:rsid w:val="2FBD25C4"/>
    <w:rsid w:val="3079709D"/>
    <w:rsid w:val="30FF126C"/>
    <w:rsid w:val="329A0AD5"/>
    <w:rsid w:val="32AE7E18"/>
    <w:rsid w:val="32D57EA5"/>
    <w:rsid w:val="331146EB"/>
    <w:rsid w:val="336F70E4"/>
    <w:rsid w:val="339419CA"/>
    <w:rsid w:val="3427225A"/>
    <w:rsid w:val="34607C42"/>
    <w:rsid w:val="35020CF9"/>
    <w:rsid w:val="364036D2"/>
    <w:rsid w:val="367233F4"/>
    <w:rsid w:val="368D7B3B"/>
    <w:rsid w:val="36C06910"/>
    <w:rsid w:val="3756532C"/>
    <w:rsid w:val="38190834"/>
    <w:rsid w:val="385D19D4"/>
    <w:rsid w:val="39171A1D"/>
    <w:rsid w:val="3A891C5C"/>
    <w:rsid w:val="3BBC418D"/>
    <w:rsid w:val="3C027E20"/>
    <w:rsid w:val="3E3F16E6"/>
    <w:rsid w:val="3E980CCF"/>
    <w:rsid w:val="3F012022"/>
    <w:rsid w:val="3F2B55C2"/>
    <w:rsid w:val="3FA36C10"/>
    <w:rsid w:val="414A6C1C"/>
    <w:rsid w:val="42B10760"/>
    <w:rsid w:val="44BB7E29"/>
    <w:rsid w:val="45320228"/>
    <w:rsid w:val="45730A88"/>
    <w:rsid w:val="45CC1560"/>
    <w:rsid w:val="46580E55"/>
    <w:rsid w:val="46927A9B"/>
    <w:rsid w:val="46DD15C6"/>
    <w:rsid w:val="47DA5987"/>
    <w:rsid w:val="489D01C2"/>
    <w:rsid w:val="48A1490F"/>
    <w:rsid w:val="49A32653"/>
    <w:rsid w:val="4B3F7D91"/>
    <w:rsid w:val="4E0A6825"/>
    <w:rsid w:val="4E343884"/>
    <w:rsid w:val="4EA76741"/>
    <w:rsid w:val="4EE94FAC"/>
    <w:rsid w:val="519B0373"/>
    <w:rsid w:val="521D586D"/>
    <w:rsid w:val="52610E93"/>
    <w:rsid w:val="52BC5F5E"/>
    <w:rsid w:val="54DD5342"/>
    <w:rsid w:val="567B0F10"/>
    <w:rsid w:val="56CB0A2B"/>
    <w:rsid w:val="58061765"/>
    <w:rsid w:val="58A91394"/>
    <w:rsid w:val="58AA4B33"/>
    <w:rsid w:val="59282B75"/>
    <w:rsid w:val="59557F0E"/>
    <w:rsid w:val="5BEC7116"/>
    <w:rsid w:val="5CB54F34"/>
    <w:rsid w:val="5E5D237F"/>
    <w:rsid w:val="5E937F8B"/>
    <w:rsid w:val="5ECA6A83"/>
    <w:rsid w:val="5EE17A4E"/>
    <w:rsid w:val="5F1115F5"/>
    <w:rsid w:val="5FAE10CF"/>
    <w:rsid w:val="5FB32C8F"/>
    <w:rsid w:val="5FBF1411"/>
    <w:rsid w:val="5FC513BF"/>
    <w:rsid w:val="60376493"/>
    <w:rsid w:val="604105CB"/>
    <w:rsid w:val="60B13F1F"/>
    <w:rsid w:val="612105D5"/>
    <w:rsid w:val="61CC3E4D"/>
    <w:rsid w:val="62ED43A3"/>
    <w:rsid w:val="62F834F6"/>
    <w:rsid w:val="6370314E"/>
    <w:rsid w:val="63B514A9"/>
    <w:rsid w:val="642E4744"/>
    <w:rsid w:val="6435150A"/>
    <w:rsid w:val="64A75E62"/>
    <w:rsid w:val="652735EC"/>
    <w:rsid w:val="66741E8A"/>
    <w:rsid w:val="67236729"/>
    <w:rsid w:val="67CA6313"/>
    <w:rsid w:val="67D509EC"/>
    <w:rsid w:val="685C47AD"/>
    <w:rsid w:val="687436E1"/>
    <w:rsid w:val="692B7D65"/>
    <w:rsid w:val="69693445"/>
    <w:rsid w:val="69894F6A"/>
    <w:rsid w:val="6ADE7537"/>
    <w:rsid w:val="6C862716"/>
    <w:rsid w:val="6CCF08E7"/>
    <w:rsid w:val="6D417909"/>
    <w:rsid w:val="6D4725EE"/>
    <w:rsid w:val="6D4C3D11"/>
    <w:rsid w:val="6DDC4663"/>
    <w:rsid w:val="6E103B09"/>
    <w:rsid w:val="70001CFE"/>
    <w:rsid w:val="702B57EE"/>
    <w:rsid w:val="709C4221"/>
    <w:rsid w:val="70C71D41"/>
    <w:rsid w:val="71665B90"/>
    <w:rsid w:val="71B0505E"/>
    <w:rsid w:val="72611747"/>
    <w:rsid w:val="72B50B7E"/>
    <w:rsid w:val="737D0F13"/>
    <w:rsid w:val="7438794A"/>
    <w:rsid w:val="74772F92"/>
    <w:rsid w:val="750B0F29"/>
    <w:rsid w:val="750B356A"/>
    <w:rsid w:val="75941C9A"/>
    <w:rsid w:val="75AF3192"/>
    <w:rsid w:val="761373CF"/>
    <w:rsid w:val="769D09FF"/>
    <w:rsid w:val="77AF370B"/>
    <w:rsid w:val="77E872FF"/>
    <w:rsid w:val="787C42EA"/>
    <w:rsid w:val="787D605D"/>
    <w:rsid w:val="7B443337"/>
    <w:rsid w:val="7D807FDA"/>
    <w:rsid w:val="7D8D12C0"/>
    <w:rsid w:val="7E3037AE"/>
    <w:rsid w:val="7E9C52E7"/>
    <w:rsid w:val="7F9401FE"/>
    <w:rsid w:val="7FB64187"/>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1"/>
    <w:link w:val="63"/>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64"/>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65"/>
    <w:qFormat/>
    <w:uiPriority w:val="0"/>
    <w:pPr>
      <w:keepNext/>
      <w:keepLines/>
      <w:ind w:firstLine="200" w:firstLineChars="200"/>
      <w:outlineLvl w:val="5"/>
    </w:pPr>
    <w:rPr>
      <w:rFonts w:hAnsi="Arial"/>
    </w:rPr>
  </w:style>
  <w:style w:type="paragraph" w:styleId="9">
    <w:name w:val="heading 7"/>
    <w:basedOn w:val="1"/>
    <w:next w:val="1"/>
    <w:link w:val="66"/>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0"/>
    <w:qFormat/>
    <w:uiPriority w:val="0"/>
    <w:pPr>
      <w:shd w:val="clear" w:color="auto" w:fill="000080"/>
    </w:pPr>
  </w:style>
  <w:style w:type="paragraph" w:styleId="15">
    <w:name w:val="annotation text"/>
    <w:basedOn w:val="1"/>
    <w:link w:val="71"/>
    <w:qFormat/>
    <w:uiPriority w:val="0"/>
    <w:pPr>
      <w:jc w:val="left"/>
    </w:pPr>
  </w:style>
  <w:style w:type="paragraph" w:styleId="16">
    <w:name w:val="Body Text 3"/>
    <w:basedOn w:val="1"/>
    <w:link w:val="72"/>
    <w:qFormat/>
    <w:uiPriority w:val="0"/>
    <w:pPr>
      <w:spacing w:after="120"/>
    </w:pPr>
    <w:rPr>
      <w:sz w:val="16"/>
      <w:szCs w:val="16"/>
    </w:rPr>
  </w:style>
  <w:style w:type="paragraph" w:styleId="17">
    <w:name w:val="Body Text"/>
    <w:basedOn w:val="1"/>
    <w:next w:val="1"/>
    <w:link w:val="69"/>
    <w:qFormat/>
    <w:uiPriority w:val="0"/>
    <w:pPr>
      <w:spacing w:after="120"/>
    </w:pPr>
  </w:style>
  <w:style w:type="paragraph" w:styleId="18">
    <w:name w:val="Body Text Indent"/>
    <w:basedOn w:val="1"/>
    <w:link w:val="73"/>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5"/>
    <w:qFormat/>
    <w:uiPriority w:val="99"/>
    <w:pPr>
      <w:ind w:left="100" w:leftChars="2500"/>
    </w:pPr>
  </w:style>
  <w:style w:type="paragraph" w:styleId="26">
    <w:name w:val="Body Text Indent 2"/>
    <w:basedOn w:val="1"/>
    <w:link w:val="76"/>
    <w:qFormat/>
    <w:uiPriority w:val="0"/>
    <w:pPr>
      <w:widowControl/>
      <w:spacing w:line="480" w:lineRule="auto"/>
      <w:ind w:firstLine="560"/>
      <w:jc w:val="left"/>
    </w:pPr>
    <w:rPr>
      <w:kern w:val="0"/>
      <w:sz w:val="28"/>
    </w:rPr>
  </w:style>
  <w:style w:type="paragraph" w:styleId="27">
    <w:name w:val="endnote text"/>
    <w:basedOn w:val="1"/>
    <w:link w:val="77"/>
    <w:qFormat/>
    <w:uiPriority w:val="0"/>
    <w:pPr>
      <w:widowControl/>
      <w:snapToGrid w:val="0"/>
      <w:jc w:val="left"/>
    </w:pPr>
    <w:rPr>
      <w:rFonts w:ascii="Arial" w:hAnsi="Arial" w:cs="Arial"/>
      <w:kern w:val="0"/>
      <w:sz w:val="20"/>
      <w:lang w:eastAsia="en-US"/>
    </w:rPr>
  </w:style>
  <w:style w:type="paragraph" w:styleId="28">
    <w:name w:val="Balloon Text"/>
    <w:basedOn w:val="1"/>
    <w:link w:val="78"/>
    <w:qFormat/>
    <w:uiPriority w:val="99"/>
    <w:rPr>
      <w:sz w:val="18"/>
      <w:szCs w:val="18"/>
    </w:rPr>
  </w:style>
  <w:style w:type="paragraph" w:styleId="29">
    <w:name w:val="footer"/>
    <w:basedOn w:val="1"/>
    <w:link w:val="79"/>
    <w:qFormat/>
    <w:uiPriority w:val="99"/>
    <w:pPr>
      <w:tabs>
        <w:tab w:val="center" w:pos="4153"/>
        <w:tab w:val="right" w:pos="8306"/>
      </w:tabs>
      <w:snapToGrid w:val="0"/>
      <w:jc w:val="left"/>
    </w:pPr>
    <w:rPr>
      <w:sz w:val="18"/>
      <w:szCs w:val="18"/>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1"/>
    <w:qFormat/>
    <w:uiPriority w:val="0"/>
    <w:pPr>
      <w:widowControl/>
      <w:jc w:val="center"/>
    </w:pPr>
    <w:rPr>
      <w:kern w:val="0"/>
      <w:sz w:val="20"/>
      <w:u w:val="single"/>
      <w:lang w:eastAsia="en-US"/>
    </w:rPr>
  </w:style>
  <w:style w:type="paragraph" w:styleId="34">
    <w:name w:val="footnote text"/>
    <w:basedOn w:val="1"/>
    <w:link w:val="82"/>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3"/>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4"/>
    <w:qFormat/>
    <w:uiPriority w:val="0"/>
    <w:rPr>
      <w:i/>
      <w:iCs/>
      <w:sz w:val="26"/>
    </w:rPr>
  </w:style>
  <w:style w:type="paragraph" w:styleId="40">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6"/>
    <w:qFormat/>
    <w:uiPriority w:val="0"/>
    <w:pPr>
      <w:widowControl/>
      <w:jc w:val="center"/>
    </w:pPr>
    <w:rPr>
      <w:kern w:val="0"/>
      <w:sz w:val="20"/>
      <w:u w:val="single"/>
      <w:lang w:eastAsia="en-US"/>
    </w:rPr>
  </w:style>
  <w:style w:type="paragraph" w:styleId="44">
    <w:name w:val="annotation subject"/>
    <w:basedOn w:val="15"/>
    <w:next w:val="15"/>
    <w:link w:val="87"/>
    <w:qFormat/>
    <w:uiPriority w:val="99"/>
    <w:rPr>
      <w:b/>
      <w:bCs/>
    </w:rPr>
  </w:style>
  <w:style w:type="table" w:styleId="46">
    <w:name w:val="Table Grid"/>
    <w:basedOn w:val="4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99"/>
    <w:rPr>
      <w:color w:val="800080"/>
      <w:u w:val="single"/>
    </w:rPr>
  </w:style>
  <w:style w:type="character" w:styleId="52">
    <w:name w:val="Emphasis"/>
    <w:qFormat/>
    <w:uiPriority w:val="20"/>
    <w:rPr>
      <w:i/>
      <w:iCs/>
    </w:rPr>
  </w:style>
  <w:style w:type="character" w:styleId="53">
    <w:name w:val="HTML Definition"/>
    <w:basedOn w:val="47"/>
    <w:unhideWhenUsed/>
    <w:qFormat/>
    <w:uiPriority w:val="99"/>
  </w:style>
  <w:style w:type="character" w:styleId="54">
    <w:name w:val="HTML Variable"/>
    <w:basedOn w:val="47"/>
    <w:unhideWhenUsed/>
    <w:qFormat/>
    <w:uiPriority w:val="99"/>
  </w:style>
  <w:style w:type="character" w:styleId="55">
    <w:name w:val="Hyperlink"/>
    <w:qFormat/>
    <w:uiPriority w:val="99"/>
    <w:rPr>
      <w:color w:val="0000FF"/>
      <w:u w:val="single"/>
    </w:rPr>
  </w:style>
  <w:style w:type="character" w:styleId="56">
    <w:name w:val="HTML Code"/>
    <w:basedOn w:val="47"/>
    <w:unhideWhenUsed/>
    <w:qFormat/>
    <w:uiPriority w:val="99"/>
    <w:rPr>
      <w:rFonts w:ascii="Courier New" w:hAnsi="Courier New"/>
      <w:sz w:val="20"/>
    </w:rPr>
  </w:style>
  <w:style w:type="character" w:styleId="57">
    <w:name w:val="annotation reference"/>
    <w:basedOn w:val="47"/>
    <w:qFormat/>
    <w:uiPriority w:val="0"/>
    <w:rPr>
      <w:sz w:val="21"/>
      <w:szCs w:val="21"/>
    </w:rPr>
  </w:style>
  <w:style w:type="character" w:styleId="58">
    <w:name w:val="HTML Cite"/>
    <w:basedOn w:val="47"/>
    <w:unhideWhenUsed/>
    <w:qFormat/>
    <w:uiPriority w:val="99"/>
  </w:style>
  <w:style w:type="character" w:styleId="59">
    <w:name w:val="footnote reference"/>
    <w:qFormat/>
    <w:uiPriority w:val="0"/>
    <w:rPr>
      <w:vertAlign w:val="superscript"/>
    </w:rPr>
  </w:style>
  <w:style w:type="character" w:customStyle="1" w:styleId="60">
    <w:name w:val="标题 1 Char2"/>
    <w:basedOn w:val="47"/>
    <w:link w:val="2"/>
    <w:qFormat/>
    <w:uiPriority w:val="9"/>
    <w:rPr>
      <w:rFonts w:ascii="Times New Roman" w:hAnsi="Times New Roman" w:eastAsia="宋体" w:cs="Times New Roman"/>
      <w:b/>
      <w:bCs/>
      <w:kern w:val="44"/>
      <w:sz w:val="44"/>
      <w:szCs w:val="44"/>
    </w:rPr>
  </w:style>
  <w:style w:type="character" w:customStyle="1" w:styleId="61">
    <w:name w:val="标题 2 Char2"/>
    <w:basedOn w:val="47"/>
    <w:link w:val="3"/>
    <w:qFormat/>
    <w:uiPriority w:val="9"/>
    <w:rPr>
      <w:rFonts w:ascii="Cambria" w:hAnsi="Cambria" w:eastAsia="宋体" w:cs="Times New Roman"/>
      <w:b/>
      <w:bCs/>
      <w:sz w:val="32"/>
      <w:szCs w:val="32"/>
    </w:rPr>
  </w:style>
  <w:style w:type="character" w:customStyle="1" w:styleId="62">
    <w:name w:val="标题 3 Char2"/>
    <w:basedOn w:val="47"/>
    <w:link w:val="4"/>
    <w:qFormat/>
    <w:uiPriority w:val="0"/>
    <w:rPr>
      <w:rFonts w:ascii="Times New Roman" w:hAnsi="Times New Roman" w:eastAsia="宋体" w:cs="Times New Roman"/>
      <w:b/>
      <w:bCs/>
      <w:sz w:val="32"/>
      <w:szCs w:val="32"/>
    </w:rPr>
  </w:style>
  <w:style w:type="character" w:customStyle="1" w:styleId="63">
    <w:name w:val="标题 4 Char2"/>
    <w:basedOn w:val="47"/>
    <w:link w:val="5"/>
    <w:qFormat/>
    <w:uiPriority w:val="0"/>
    <w:rPr>
      <w:rFonts w:ascii="宋体" w:hAnsi="宋体" w:eastAsia="宋体" w:cs="宋体"/>
      <w:b/>
      <w:bCs/>
      <w:kern w:val="0"/>
      <w:sz w:val="24"/>
      <w:szCs w:val="24"/>
    </w:rPr>
  </w:style>
  <w:style w:type="character" w:customStyle="1" w:styleId="64">
    <w:name w:val="标题 5 Char2"/>
    <w:basedOn w:val="47"/>
    <w:link w:val="6"/>
    <w:qFormat/>
    <w:uiPriority w:val="0"/>
    <w:rPr>
      <w:rFonts w:ascii="宋体" w:hAnsi="宋体" w:eastAsia="宋体" w:cs="宋体"/>
      <w:b/>
      <w:bCs/>
      <w:kern w:val="0"/>
      <w:sz w:val="20"/>
      <w:szCs w:val="20"/>
    </w:rPr>
  </w:style>
  <w:style w:type="character" w:customStyle="1" w:styleId="65">
    <w:name w:val="标题 6 Char2"/>
    <w:basedOn w:val="47"/>
    <w:link w:val="7"/>
    <w:qFormat/>
    <w:uiPriority w:val="0"/>
    <w:rPr>
      <w:rFonts w:ascii="Times New Roman" w:hAnsi="Arial" w:eastAsia="仿宋_GB2312" w:cs="Times New Roman"/>
      <w:kern w:val="0"/>
      <w:sz w:val="30"/>
      <w:szCs w:val="20"/>
    </w:rPr>
  </w:style>
  <w:style w:type="character" w:customStyle="1" w:styleId="66">
    <w:name w:val="标题 7 Char2"/>
    <w:basedOn w:val="47"/>
    <w:link w:val="9"/>
    <w:qFormat/>
    <w:uiPriority w:val="0"/>
    <w:rPr>
      <w:rFonts w:ascii="Times New Roman" w:hAnsi="Times New Roman" w:eastAsia="仿宋_GB2312" w:cs="Times New Roman"/>
      <w:kern w:val="0"/>
      <w:sz w:val="30"/>
      <w:szCs w:val="20"/>
    </w:rPr>
  </w:style>
  <w:style w:type="character" w:customStyle="1" w:styleId="67">
    <w:name w:val="标题 8 Char2"/>
    <w:basedOn w:val="47"/>
    <w:link w:val="10"/>
    <w:qFormat/>
    <w:uiPriority w:val="0"/>
    <w:rPr>
      <w:rFonts w:ascii="Times New Roman" w:hAnsi="Arial" w:eastAsia="仿宋_GB2312" w:cs="Times New Roman"/>
      <w:kern w:val="0"/>
      <w:sz w:val="30"/>
      <w:szCs w:val="20"/>
    </w:rPr>
  </w:style>
  <w:style w:type="character" w:customStyle="1" w:styleId="68">
    <w:name w:val="标题 9 Char2"/>
    <w:basedOn w:val="47"/>
    <w:link w:val="11"/>
    <w:qFormat/>
    <w:uiPriority w:val="0"/>
    <w:rPr>
      <w:rFonts w:ascii="Times New Roman" w:hAnsi="Times New Roman" w:eastAsia="仿宋_GB2312" w:cs="Times New Roman"/>
      <w:kern w:val="0"/>
      <w:sz w:val="30"/>
      <w:szCs w:val="20"/>
    </w:rPr>
  </w:style>
  <w:style w:type="character" w:customStyle="1" w:styleId="69">
    <w:name w:val="正文文本 Char4"/>
    <w:basedOn w:val="47"/>
    <w:link w:val="17"/>
    <w:qFormat/>
    <w:uiPriority w:val="0"/>
    <w:rPr>
      <w:rFonts w:ascii="Times New Roman" w:hAnsi="Times New Roman" w:eastAsia="宋体" w:cs="Times New Roman"/>
      <w:szCs w:val="24"/>
    </w:rPr>
  </w:style>
  <w:style w:type="character" w:customStyle="1" w:styleId="70">
    <w:name w:val="文档结构图 Char4"/>
    <w:basedOn w:val="47"/>
    <w:link w:val="14"/>
    <w:qFormat/>
    <w:uiPriority w:val="0"/>
    <w:rPr>
      <w:rFonts w:ascii="Times New Roman" w:hAnsi="Times New Roman" w:eastAsia="宋体" w:cs="Times New Roman"/>
      <w:szCs w:val="24"/>
      <w:shd w:val="clear" w:color="auto" w:fill="000080"/>
    </w:rPr>
  </w:style>
  <w:style w:type="character" w:customStyle="1" w:styleId="71">
    <w:name w:val="批注文字 Char3"/>
    <w:basedOn w:val="47"/>
    <w:link w:val="15"/>
    <w:qFormat/>
    <w:uiPriority w:val="0"/>
    <w:rPr>
      <w:rFonts w:ascii="Times New Roman" w:hAnsi="Times New Roman" w:eastAsia="宋体" w:cs="Times New Roman"/>
      <w:szCs w:val="24"/>
    </w:rPr>
  </w:style>
  <w:style w:type="character" w:customStyle="1" w:styleId="72">
    <w:name w:val="正文文本 3 Char3"/>
    <w:basedOn w:val="47"/>
    <w:link w:val="16"/>
    <w:qFormat/>
    <w:uiPriority w:val="0"/>
    <w:rPr>
      <w:rFonts w:ascii="Times New Roman" w:hAnsi="Times New Roman" w:eastAsia="宋体" w:cs="Times New Roman"/>
      <w:sz w:val="16"/>
      <w:szCs w:val="16"/>
    </w:rPr>
  </w:style>
  <w:style w:type="character" w:customStyle="1" w:styleId="73">
    <w:name w:val="正文文本缩进 Char3"/>
    <w:basedOn w:val="47"/>
    <w:link w:val="18"/>
    <w:qFormat/>
    <w:uiPriority w:val="0"/>
    <w:rPr>
      <w:rFonts w:ascii="Times New Roman" w:hAnsi="Times New Roman" w:eastAsia="宋体" w:cs="Times New Roman"/>
      <w:szCs w:val="24"/>
    </w:rPr>
  </w:style>
  <w:style w:type="character" w:customStyle="1" w:styleId="74">
    <w:name w:val="纯文本 Char3"/>
    <w:basedOn w:val="47"/>
    <w:link w:val="23"/>
    <w:qFormat/>
    <w:uiPriority w:val="0"/>
    <w:rPr>
      <w:rFonts w:ascii="宋体" w:hAnsi="Courier New" w:eastAsia="宋体" w:cs="Courier New"/>
      <w:szCs w:val="21"/>
    </w:rPr>
  </w:style>
  <w:style w:type="character" w:customStyle="1" w:styleId="75">
    <w:name w:val="日期 Char4"/>
    <w:basedOn w:val="47"/>
    <w:link w:val="25"/>
    <w:qFormat/>
    <w:uiPriority w:val="99"/>
    <w:rPr>
      <w:rFonts w:ascii="Times New Roman" w:hAnsi="Times New Roman" w:eastAsia="宋体" w:cs="Times New Roman"/>
      <w:szCs w:val="24"/>
    </w:rPr>
  </w:style>
  <w:style w:type="character" w:customStyle="1" w:styleId="76">
    <w:name w:val="正文文本缩进 2 Char3"/>
    <w:basedOn w:val="47"/>
    <w:link w:val="26"/>
    <w:qFormat/>
    <w:uiPriority w:val="0"/>
    <w:rPr>
      <w:rFonts w:ascii="Times New Roman" w:hAnsi="Times New Roman" w:eastAsia="宋体" w:cs="Times New Roman"/>
      <w:kern w:val="0"/>
      <w:sz w:val="28"/>
      <w:szCs w:val="24"/>
    </w:rPr>
  </w:style>
  <w:style w:type="character" w:customStyle="1" w:styleId="77">
    <w:name w:val="尾注文本 Char3"/>
    <w:basedOn w:val="47"/>
    <w:link w:val="27"/>
    <w:qFormat/>
    <w:uiPriority w:val="0"/>
    <w:rPr>
      <w:rFonts w:ascii="Arial" w:hAnsi="Arial" w:eastAsia="宋体" w:cs="Arial"/>
      <w:kern w:val="0"/>
      <w:sz w:val="20"/>
      <w:szCs w:val="24"/>
      <w:lang w:eastAsia="en-US"/>
    </w:rPr>
  </w:style>
  <w:style w:type="character" w:customStyle="1" w:styleId="78">
    <w:name w:val="批注框文本 Char4"/>
    <w:basedOn w:val="47"/>
    <w:link w:val="28"/>
    <w:qFormat/>
    <w:uiPriority w:val="99"/>
    <w:rPr>
      <w:rFonts w:ascii="Times New Roman" w:hAnsi="Times New Roman" w:eastAsia="宋体" w:cs="Times New Roman"/>
      <w:sz w:val="18"/>
      <w:szCs w:val="18"/>
    </w:rPr>
  </w:style>
  <w:style w:type="character" w:customStyle="1" w:styleId="79">
    <w:name w:val="页脚 Char2"/>
    <w:basedOn w:val="47"/>
    <w:link w:val="29"/>
    <w:qFormat/>
    <w:uiPriority w:val="99"/>
    <w:rPr>
      <w:rFonts w:ascii="Times New Roman" w:hAnsi="Times New Roman" w:eastAsia="宋体" w:cs="Times New Roman"/>
      <w:sz w:val="18"/>
      <w:szCs w:val="18"/>
    </w:rPr>
  </w:style>
  <w:style w:type="character" w:customStyle="1" w:styleId="80">
    <w:name w:val="页眉 Char2"/>
    <w:basedOn w:val="47"/>
    <w:link w:val="30"/>
    <w:qFormat/>
    <w:uiPriority w:val="99"/>
    <w:rPr>
      <w:rFonts w:ascii="Times New Roman" w:hAnsi="Times New Roman" w:eastAsia="宋体" w:cs="Times New Roman"/>
      <w:sz w:val="18"/>
      <w:szCs w:val="18"/>
    </w:rPr>
  </w:style>
  <w:style w:type="character" w:customStyle="1" w:styleId="81">
    <w:name w:val="副标题 Char3"/>
    <w:basedOn w:val="47"/>
    <w:link w:val="33"/>
    <w:qFormat/>
    <w:uiPriority w:val="0"/>
    <w:rPr>
      <w:rFonts w:ascii="Times New Roman" w:hAnsi="Times New Roman" w:eastAsia="宋体" w:cs="Times New Roman"/>
      <w:kern w:val="0"/>
      <w:sz w:val="20"/>
      <w:szCs w:val="24"/>
      <w:u w:val="single"/>
      <w:lang w:eastAsia="en-US"/>
    </w:rPr>
  </w:style>
  <w:style w:type="character" w:customStyle="1" w:styleId="82">
    <w:name w:val="脚注文本 Char3"/>
    <w:basedOn w:val="47"/>
    <w:link w:val="34"/>
    <w:qFormat/>
    <w:uiPriority w:val="0"/>
    <w:rPr>
      <w:rFonts w:ascii="Arial" w:hAnsi="Arial" w:eastAsia="宋体" w:cs="Arial"/>
      <w:kern w:val="0"/>
      <w:sz w:val="18"/>
      <w:szCs w:val="18"/>
      <w:lang w:eastAsia="en-US"/>
    </w:rPr>
  </w:style>
  <w:style w:type="character" w:customStyle="1" w:styleId="83">
    <w:name w:val="正文文本缩进 3 Char3"/>
    <w:basedOn w:val="47"/>
    <w:link w:val="36"/>
    <w:qFormat/>
    <w:uiPriority w:val="0"/>
    <w:rPr>
      <w:rFonts w:ascii="宋体" w:hAnsi="宋体" w:eastAsia="宋体" w:cs="Times New Roman"/>
      <w:sz w:val="28"/>
      <w:szCs w:val="28"/>
    </w:rPr>
  </w:style>
  <w:style w:type="character" w:customStyle="1" w:styleId="84">
    <w:name w:val="正文文本 2 Char"/>
    <w:basedOn w:val="47"/>
    <w:link w:val="39"/>
    <w:qFormat/>
    <w:uiPriority w:val="0"/>
    <w:rPr>
      <w:rFonts w:ascii="Times New Roman" w:hAnsi="Times New Roman" w:eastAsia="宋体" w:cs="Times New Roman"/>
      <w:i/>
      <w:iCs/>
      <w:sz w:val="26"/>
      <w:szCs w:val="24"/>
    </w:rPr>
  </w:style>
  <w:style w:type="character" w:customStyle="1" w:styleId="85">
    <w:name w:val="HTML 预设格式 Char3"/>
    <w:basedOn w:val="47"/>
    <w:link w:val="40"/>
    <w:qFormat/>
    <w:uiPriority w:val="0"/>
    <w:rPr>
      <w:rFonts w:ascii="宋体" w:hAnsi="宋体" w:eastAsia="宋体" w:cs="宋体"/>
      <w:color w:val="000000"/>
      <w:kern w:val="0"/>
      <w:sz w:val="24"/>
      <w:szCs w:val="24"/>
    </w:rPr>
  </w:style>
  <w:style w:type="character" w:customStyle="1" w:styleId="86">
    <w:name w:val="标题 Char3"/>
    <w:basedOn w:val="47"/>
    <w:link w:val="43"/>
    <w:qFormat/>
    <w:uiPriority w:val="0"/>
    <w:rPr>
      <w:rFonts w:ascii="Times New Roman" w:hAnsi="Times New Roman" w:eastAsia="宋体" w:cs="Times New Roman"/>
      <w:kern w:val="0"/>
      <w:sz w:val="20"/>
      <w:szCs w:val="24"/>
      <w:u w:val="single"/>
      <w:lang w:eastAsia="en-US"/>
    </w:rPr>
  </w:style>
  <w:style w:type="character" w:customStyle="1" w:styleId="87">
    <w:name w:val="批注主题 Char4"/>
    <w:basedOn w:val="71"/>
    <w:link w:val="44"/>
    <w:qFormat/>
    <w:uiPriority w:val="99"/>
    <w:rPr>
      <w:rFonts w:ascii="Times New Roman" w:hAnsi="Times New Roman" w:eastAsia="宋体" w:cs="Times New Roman"/>
      <w:b/>
      <w:bCs/>
      <w:szCs w:val="24"/>
    </w:rPr>
  </w:style>
  <w:style w:type="paragraph" w:customStyle="1" w:styleId="88">
    <w:name w:val="列出段落1"/>
    <w:basedOn w:val="1"/>
    <w:qFormat/>
    <w:uiPriority w:val="99"/>
    <w:pPr>
      <w:ind w:firstLine="420" w:firstLineChars="200"/>
    </w:pPr>
    <w:rPr>
      <w:sz w:val="28"/>
      <w:szCs w:val="28"/>
    </w:rPr>
  </w:style>
  <w:style w:type="paragraph" w:customStyle="1" w:styleId="8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0">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9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3">
    <w:name w:val="1 Char"/>
    <w:basedOn w:val="1"/>
    <w:qFormat/>
    <w:uiPriority w:val="0"/>
    <w:pPr>
      <w:widowControl/>
      <w:spacing w:after="160" w:line="240" w:lineRule="exact"/>
      <w:jc w:val="left"/>
    </w:pPr>
    <w:rPr>
      <w:rFonts w:ascii="Calibri" w:hAnsi="Calibri"/>
      <w:szCs w:val="20"/>
    </w:rPr>
  </w:style>
  <w:style w:type="paragraph" w:customStyle="1" w:styleId="94">
    <w:name w:val="列表段落1"/>
    <w:basedOn w:val="1"/>
    <w:qFormat/>
    <w:uiPriority w:val="34"/>
    <w:pPr>
      <w:ind w:firstLine="420" w:firstLineChars="200"/>
    </w:pPr>
    <w:rPr>
      <w:rFonts w:ascii="Calibri" w:hAnsi="Calibri"/>
    </w:rPr>
  </w:style>
  <w:style w:type="paragraph" w:customStyle="1" w:styleId="95">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96">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9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8">
    <w:name w:val="TOC 标题2"/>
    <w:basedOn w:val="2"/>
    <w:next w:val="1"/>
    <w:unhideWhenUsed/>
    <w:qFormat/>
    <w:uiPriority w:val="0"/>
    <w:pPr>
      <w:outlineLvl w:val="9"/>
    </w:pPr>
    <w:rPr>
      <w:rFonts w:ascii="Calibri" w:hAnsi="Calibri"/>
    </w:rPr>
  </w:style>
  <w:style w:type="paragraph" w:customStyle="1" w:styleId="99">
    <w:name w:val="样式1"/>
    <w:basedOn w:val="1"/>
    <w:next w:val="5"/>
    <w:qFormat/>
    <w:uiPriority w:val="0"/>
    <w:pPr>
      <w:spacing w:line="360" w:lineRule="auto"/>
      <w:ind w:firstLine="420" w:firstLineChars="200"/>
    </w:pPr>
    <w:rPr>
      <w:rFonts w:ascii="宋体" w:hAnsi="宋体"/>
      <w:szCs w:val="21"/>
    </w:rPr>
  </w:style>
  <w:style w:type="paragraph" w:customStyle="1" w:styleId="100">
    <w:name w:val="列出段落111"/>
    <w:basedOn w:val="1"/>
    <w:qFormat/>
    <w:uiPriority w:val="0"/>
    <w:pPr>
      <w:ind w:firstLine="420" w:firstLineChars="200"/>
    </w:pPr>
    <w:rPr>
      <w:sz w:val="28"/>
      <w:szCs w:val="28"/>
    </w:rPr>
  </w:style>
  <w:style w:type="paragraph" w:customStyle="1" w:styleId="10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2">
    <w:name w:val="pa-27"/>
    <w:basedOn w:val="1"/>
    <w:qFormat/>
    <w:uiPriority w:val="0"/>
    <w:pPr>
      <w:widowControl/>
      <w:spacing w:line="360" w:lineRule="atLeast"/>
      <w:ind w:firstLine="420"/>
    </w:pPr>
    <w:rPr>
      <w:rFonts w:ascii="宋体" w:hAnsi="宋体" w:cs="宋体"/>
      <w:kern w:val="0"/>
      <w:sz w:val="24"/>
    </w:rPr>
  </w:style>
  <w:style w:type="paragraph" w:customStyle="1" w:styleId="10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6">
    <w:name w:val="Char Char Char Char"/>
    <w:basedOn w:val="14"/>
    <w:qFormat/>
    <w:uiPriority w:val="0"/>
    <w:pPr>
      <w:spacing w:line="360" w:lineRule="auto"/>
      <w:ind w:firstLine="200" w:firstLineChars="200"/>
    </w:pPr>
    <w:rPr>
      <w:rFonts w:ascii="Tahoma" w:hAnsi="Tahoma"/>
      <w:sz w:val="24"/>
    </w:rPr>
  </w:style>
  <w:style w:type="paragraph" w:customStyle="1" w:styleId="107">
    <w:name w:val="表格内容"/>
    <w:basedOn w:val="1"/>
    <w:qFormat/>
    <w:uiPriority w:val="0"/>
    <w:pPr>
      <w:suppressLineNumbers/>
      <w:suppressAutoHyphens/>
    </w:p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0">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明显引用1"/>
    <w:basedOn w:val="1"/>
    <w:next w:val="1"/>
    <w:link w:val="112"/>
    <w:qFormat/>
    <w:uiPriority w:val="0"/>
    <w:pPr>
      <w:pBdr>
        <w:bottom w:val="single" w:color="4F81BD" w:sz="4" w:space="4"/>
      </w:pBdr>
      <w:spacing w:before="200" w:after="280"/>
      <w:ind w:left="936" w:right="936"/>
    </w:pPr>
    <w:rPr>
      <w:b/>
      <w:bCs/>
      <w:i/>
      <w:iCs/>
      <w:color w:val="4F81BD"/>
      <w:szCs w:val="22"/>
    </w:rPr>
  </w:style>
  <w:style w:type="character" w:customStyle="1" w:styleId="112">
    <w:name w:val="明显引用 Char4"/>
    <w:basedOn w:val="47"/>
    <w:link w:val="111"/>
    <w:qFormat/>
    <w:uiPriority w:val="0"/>
    <w:rPr>
      <w:rFonts w:ascii="Times New Roman" w:hAnsi="Times New Roman" w:eastAsia="宋体" w:cs="Times New Roman"/>
      <w:b/>
      <w:bCs/>
      <w:i/>
      <w:iCs/>
      <w:color w:val="4F81BD"/>
    </w:rPr>
  </w:style>
  <w:style w:type="paragraph" w:customStyle="1" w:styleId="113">
    <w:name w:val="表体"/>
    <w:basedOn w:val="1"/>
    <w:next w:val="1"/>
    <w:qFormat/>
    <w:uiPriority w:val="0"/>
    <w:pPr>
      <w:spacing w:line="0" w:lineRule="atLeast"/>
    </w:pPr>
    <w:rPr>
      <w:rFonts w:ascii="Calibri" w:hAnsi="Calibri"/>
      <w:b/>
      <w:snapToGrid w:val="0"/>
      <w:szCs w:val="20"/>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5">
    <w:name w:val="pa-34"/>
    <w:basedOn w:val="1"/>
    <w:qFormat/>
    <w:uiPriority w:val="0"/>
    <w:pPr>
      <w:widowControl/>
      <w:spacing w:line="360" w:lineRule="atLeast"/>
      <w:ind w:firstLine="420"/>
      <w:jc w:val="left"/>
    </w:pPr>
    <w:rPr>
      <w:rFonts w:ascii="宋体" w:hAnsi="宋体" w:cs="宋体"/>
      <w:kern w:val="0"/>
      <w:sz w:val="24"/>
    </w:rPr>
  </w:style>
  <w:style w:type="paragraph" w:customStyle="1" w:styleId="11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8">
    <w:name w:val="p16"/>
    <w:basedOn w:val="1"/>
    <w:qFormat/>
    <w:uiPriority w:val="0"/>
    <w:pPr>
      <w:widowControl/>
    </w:pPr>
    <w:rPr>
      <w:rFonts w:ascii="Calibri" w:hAnsi="Calibri" w:cs="宋体"/>
      <w:kern w:val="0"/>
      <w:szCs w:val="21"/>
    </w:rPr>
  </w:style>
  <w:style w:type="paragraph" w:customStyle="1" w:styleId="1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标题4"/>
    <w:basedOn w:val="3"/>
    <w:next w:val="20"/>
    <w:link w:val="287"/>
    <w:qFormat/>
    <w:uiPriority w:val="0"/>
    <w:pPr>
      <w:spacing w:line="413" w:lineRule="auto"/>
    </w:pPr>
    <w:rPr>
      <w:rFonts w:ascii="Arial" w:hAnsi="Arial"/>
      <w:kern w:val="0"/>
      <w:sz w:val="24"/>
    </w:rPr>
  </w:style>
  <w:style w:type="paragraph" w:customStyle="1" w:styleId="123">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6">
    <w:name w:val="WW-表格内容"/>
    <w:basedOn w:val="1"/>
    <w:qFormat/>
    <w:uiPriority w:val="0"/>
    <w:pPr>
      <w:suppressLineNumbers/>
      <w:suppressAutoHyphens/>
    </w:pPr>
  </w:style>
  <w:style w:type="paragraph" w:customStyle="1" w:styleId="127">
    <w:name w:val="Char"/>
    <w:basedOn w:val="1"/>
    <w:qFormat/>
    <w:uiPriority w:val="0"/>
  </w:style>
  <w:style w:type="paragraph" w:customStyle="1" w:styleId="12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0">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2">
    <w:name w:val="Char9 Char Char Char Char Char Char"/>
    <w:basedOn w:val="14"/>
    <w:qFormat/>
    <w:uiPriority w:val="0"/>
    <w:pPr>
      <w:spacing w:line="360" w:lineRule="auto"/>
      <w:ind w:firstLine="200" w:firstLineChars="200"/>
    </w:pPr>
    <w:rPr>
      <w:rFonts w:ascii="Tahoma" w:hAnsi="Tahoma"/>
      <w:sz w:val="24"/>
    </w:rPr>
  </w:style>
  <w:style w:type="paragraph" w:customStyle="1" w:styleId="13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5">
    <w:name w:val="p15"/>
    <w:basedOn w:val="1"/>
    <w:qFormat/>
    <w:uiPriority w:val="0"/>
    <w:pPr>
      <w:widowControl/>
      <w:spacing w:after="120"/>
    </w:pPr>
    <w:rPr>
      <w:kern w:val="0"/>
      <w:szCs w:val="21"/>
    </w:rPr>
  </w:style>
  <w:style w:type="paragraph" w:customStyle="1" w:styleId="13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7">
    <w:name w:val="正  文"/>
    <w:basedOn w:val="1"/>
    <w:qFormat/>
    <w:uiPriority w:val="0"/>
    <w:pPr>
      <w:spacing w:line="360" w:lineRule="auto"/>
      <w:ind w:firstLine="200" w:firstLineChars="200"/>
    </w:pPr>
    <w:rPr>
      <w:rFonts w:ascii="宋体" w:hAnsi="Calibri"/>
      <w:sz w:val="24"/>
    </w:rPr>
  </w:style>
  <w:style w:type="paragraph" w:customStyle="1" w:styleId="138">
    <w:name w:val="列出段落11"/>
    <w:basedOn w:val="1"/>
    <w:qFormat/>
    <w:uiPriority w:val="0"/>
    <w:pPr>
      <w:ind w:firstLine="420" w:firstLineChars="200"/>
    </w:pPr>
    <w:rPr>
      <w:sz w:val="28"/>
      <w:szCs w:val="28"/>
    </w:rPr>
  </w:style>
  <w:style w:type="paragraph" w:customStyle="1" w:styleId="1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1">
    <w:name w:val="_Style 96"/>
    <w:semiHidden/>
    <w:qFormat/>
    <w:uiPriority w:val="99"/>
    <w:rPr>
      <w:rFonts w:ascii="Calibri" w:hAnsi="Calibri" w:eastAsia="宋体" w:cs="Times New Roman"/>
      <w:kern w:val="2"/>
      <w:sz w:val="21"/>
      <w:szCs w:val="24"/>
      <w:lang w:val="en-US" w:eastAsia="zh-CN" w:bidi="ar-SA"/>
    </w:rPr>
  </w:style>
  <w:style w:type="paragraph" w:customStyle="1" w:styleId="142">
    <w:name w:val="表格文字"/>
    <w:basedOn w:val="1"/>
    <w:qFormat/>
    <w:uiPriority w:val="0"/>
    <w:pPr>
      <w:adjustRightInd w:val="0"/>
      <w:spacing w:line="420" w:lineRule="atLeast"/>
      <w:jc w:val="left"/>
      <w:textAlignment w:val="baseline"/>
    </w:pPr>
    <w:rPr>
      <w:kern w:val="0"/>
      <w:szCs w:val="20"/>
    </w:rPr>
  </w:style>
  <w:style w:type="paragraph" w:customStyle="1" w:styleId="143">
    <w:name w:val="表格"/>
    <w:basedOn w:val="1"/>
    <w:qFormat/>
    <w:uiPriority w:val="0"/>
    <w:pPr>
      <w:jc w:val="center"/>
      <w:textAlignment w:val="center"/>
    </w:pPr>
    <w:rPr>
      <w:rFonts w:ascii="华文细黑" w:hAnsi="华文细黑"/>
      <w:kern w:val="0"/>
      <w:szCs w:val="20"/>
    </w:rPr>
  </w:style>
  <w:style w:type="paragraph" w:customStyle="1" w:styleId="144">
    <w:name w:val="Char1"/>
    <w:basedOn w:val="1"/>
    <w:qFormat/>
    <w:uiPriority w:val="0"/>
  </w:style>
  <w:style w:type="paragraph" w:customStyle="1" w:styleId="145">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6">
    <w:name w:val="引用2"/>
    <w:basedOn w:val="1"/>
    <w:next w:val="1"/>
    <w:link w:val="249"/>
    <w:qFormat/>
    <w:uiPriority w:val="0"/>
    <w:rPr>
      <w:i/>
      <w:iCs/>
      <w:color w:val="000000"/>
    </w:rPr>
  </w:style>
  <w:style w:type="paragraph" w:customStyle="1" w:styleId="14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48">
    <w:name w:val="引用1"/>
    <w:basedOn w:val="1"/>
    <w:next w:val="1"/>
    <w:link w:val="149"/>
    <w:qFormat/>
    <w:uiPriority w:val="0"/>
    <w:rPr>
      <w:i/>
      <w:iCs/>
      <w:color w:val="000000"/>
      <w:szCs w:val="22"/>
    </w:rPr>
  </w:style>
  <w:style w:type="character" w:customStyle="1" w:styleId="149">
    <w:name w:val="引用 Char4"/>
    <w:basedOn w:val="47"/>
    <w:link w:val="148"/>
    <w:qFormat/>
    <w:uiPriority w:val="0"/>
    <w:rPr>
      <w:rFonts w:ascii="Times New Roman" w:hAnsi="Times New Roman" w:eastAsia="宋体" w:cs="Times New Roman"/>
      <w:i/>
      <w:iCs/>
      <w:color w:val="000000"/>
    </w:rPr>
  </w:style>
  <w:style w:type="paragraph" w:customStyle="1" w:styleId="150">
    <w:name w:val="修订1"/>
    <w:qFormat/>
    <w:uiPriority w:val="99"/>
    <w:rPr>
      <w:rFonts w:ascii="Times New Roman" w:hAnsi="Times New Roman" w:eastAsia="宋体" w:cs="Times New Roman"/>
      <w:kern w:val="2"/>
      <w:sz w:val="21"/>
      <w:szCs w:val="24"/>
      <w:lang w:val="en-US" w:eastAsia="zh-CN" w:bidi="ar-SA"/>
    </w:rPr>
  </w:style>
  <w:style w:type="paragraph" w:customStyle="1" w:styleId="15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52">
    <w:name w:val="Char2"/>
    <w:basedOn w:val="1"/>
    <w:qFormat/>
    <w:uiPriority w:val="0"/>
    <w:rPr>
      <w:rFonts w:ascii="Calibri" w:hAnsi="Calibri"/>
    </w:rPr>
  </w:style>
  <w:style w:type="paragraph" w:customStyle="1" w:styleId="153">
    <w:name w:val="标题5"/>
    <w:basedOn w:val="4"/>
    <w:link w:val="286"/>
    <w:qFormat/>
    <w:uiPriority w:val="0"/>
    <w:pPr>
      <w:spacing w:line="413" w:lineRule="auto"/>
    </w:pPr>
    <w:rPr>
      <w:rFonts w:ascii="Arial" w:hAnsi="Arial"/>
      <w:kern w:val="0"/>
      <w:sz w:val="24"/>
    </w:rPr>
  </w:style>
  <w:style w:type="paragraph" w:customStyle="1" w:styleId="15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表格标题"/>
    <w:basedOn w:val="107"/>
    <w:qFormat/>
    <w:uiPriority w:val="0"/>
  </w:style>
  <w:style w:type="paragraph" w:customStyle="1" w:styleId="15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5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5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WW-表格标题"/>
    <w:basedOn w:val="126"/>
    <w:qFormat/>
    <w:uiPriority w:val="0"/>
  </w:style>
  <w:style w:type="paragraph" w:customStyle="1" w:styleId="16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64">
    <w:name w:val="明显引用12"/>
    <w:basedOn w:val="1"/>
    <w:next w:val="1"/>
    <w:link w:val="255"/>
    <w:qFormat/>
    <w:uiPriority w:val="30"/>
    <w:pPr>
      <w:pBdr>
        <w:bottom w:val="single" w:color="4F81BD" w:sz="4" w:space="4"/>
      </w:pBdr>
      <w:spacing w:before="200" w:after="280"/>
      <w:ind w:left="936" w:right="936"/>
    </w:pPr>
    <w:rPr>
      <w:b/>
      <w:bCs/>
      <w:i/>
      <w:iCs/>
      <w:color w:val="4F81BD"/>
      <w:szCs w:val="20"/>
    </w:rPr>
  </w:style>
  <w:style w:type="paragraph" w:customStyle="1" w:styleId="165">
    <w:name w:val="标准样式1"/>
    <w:basedOn w:val="1"/>
    <w:qFormat/>
    <w:uiPriority w:val="0"/>
    <w:pPr>
      <w:spacing w:line="600" w:lineRule="exact"/>
      <w:ind w:firstLine="567"/>
    </w:pPr>
    <w:rPr>
      <w:rFonts w:ascii="Calibri" w:hAnsi="Calibri"/>
      <w:sz w:val="28"/>
    </w:rPr>
  </w:style>
  <w:style w:type="paragraph" w:customStyle="1" w:styleId="1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67">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68">
    <w:name w:val="引用11"/>
    <w:basedOn w:val="1"/>
    <w:next w:val="1"/>
    <w:link w:val="268"/>
    <w:qFormat/>
    <w:uiPriority w:val="29"/>
    <w:rPr>
      <w:i/>
      <w:iCs/>
      <w:color w:val="000000"/>
      <w:szCs w:val="20"/>
    </w:rPr>
  </w:style>
  <w:style w:type="paragraph" w:customStyle="1" w:styleId="169">
    <w:name w:val="_Style 87"/>
    <w:basedOn w:val="1"/>
    <w:qFormat/>
    <w:uiPriority w:val="99"/>
    <w:pPr>
      <w:ind w:firstLine="420" w:firstLineChars="200"/>
    </w:pPr>
    <w:rPr>
      <w:rFonts w:ascii="Calibri" w:hAnsi="Calibri"/>
      <w:sz w:val="28"/>
      <w:szCs w:val="28"/>
    </w:rPr>
  </w:style>
  <w:style w:type="paragraph" w:customStyle="1" w:styleId="170">
    <w:name w:val="自定样式1"/>
    <w:basedOn w:val="1"/>
    <w:qFormat/>
    <w:uiPriority w:val="0"/>
    <w:pPr>
      <w:suppressAutoHyphens/>
      <w:jc w:val="center"/>
    </w:pPr>
    <w:rPr>
      <w:rFonts w:ascii="宋体" w:hAnsi="宋体"/>
      <w:color w:val="000000"/>
      <w:sz w:val="18"/>
    </w:rPr>
  </w:style>
  <w:style w:type="paragraph" w:customStyle="1" w:styleId="17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73">
    <w:name w:val="未处理的提及1"/>
    <w:unhideWhenUsed/>
    <w:qFormat/>
    <w:uiPriority w:val="99"/>
    <w:rPr>
      <w:color w:val="808080"/>
      <w:shd w:val="clear" w:color="auto" w:fill="E6E6E6"/>
    </w:rPr>
  </w:style>
  <w:style w:type="character" w:customStyle="1" w:styleId="174">
    <w:name w:val="正文文本 3 Char"/>
    <w:qFormat/>
    <w:uiPriority w:val="0"/>
    <w:rPr>
      <w:kern w:val="2"/>
      <w:sz w:val="16"/>
      <w:szCs w:val="16"/>
    </w:rPr>
  </w:style>
  <w:style w:type="character" w:customStyle="1" w:styleId="175">
    <w:name w:val="正文文本缩进 Char2"/>
    <w:semiHidden/>
    <w:qFormat/>
    <w:uiPriority w:val="99"/>
    <w:rPr>
      <w:rFonts w:ascii="Calibri" w:hAnsi="Calibri" w:eastAsia="宋体" w:cs="Times New Roman"/>
      <w:szCs w:val="24"/>
    </w:rPr>
  </w:style>
  <w:style w:type="character" w:customStyle="1" w:styleId="176">
    <w:name w:val="标题 3 Char"/>
    <w:qFormat/>
    <w:uiPriority w:val="0"/>
    <w:rPr>
      <w:rFonts w:ascii="仿宋_GB2312" w:hAnsi="Calibri" w:eastAsia="仿宋_GB2312" w:cs="Times New Roman"/>
      <w:b/>
      <w:kern w:val="0"/>
      <w:sz w:val="24"/>
      <w:szCs w:val="28"/>
    </w:rPr>
  </w:style>
  <w:style w:type="character" w:customStyle="1" w:styleId="177">
    <w:name w:val="批注框文本 Char2"/>
    <w:qFormat/>
    <w:uiPriority w:val="99"/>
    <w:rPr>
      <w:kern w:val="2"/>
      <w:sz w:val="18"/>
      <w:szCs w:val="18"/>
    </w:rPr>
  </w:style>
  <w:style w:type="character" w:customStyle="1" w:styleId="178">
    <w:name w:val="textcontents"/>
    <w:qFormat/>
    <w:uiPriority w:val="0"/>
    <w:rPr>
      <w:rFonts w:cs="Times New Roman"/>
    </w:rPr>
  </w:style>
  <w:style w:type="character" w:customStyle="1" w:styleId="179">
    <w:name w:val="ht1"/>
    <w:qFormat/>
    <w:uiPriority w:val="0"/>
    <w:rPr>
      <w:rFonts w:ascii="黑体" w:eastAsia="黑体"/>
      <w:b/>
      <w:bCs/>
    </w:rPr>
  </w:style>
  <w:style w:type="character" w:customStyle="1" w:styleId="180">
    <w:name w:val="标题 Char"/>
    <w:qFormat/>
    <w:uiPriority w:val="0"/>
    <w:rPr>
      <w:rFonts w:ascii="Cambria" w:hAnsi="Cambria" w:eastAsia="宋体" w:cs="Times New Roman"/>
      <w:b/>
      <w:bCs/>
      <w:kern w:val="2"/>
      <w:sz w:val="32"/>
      <w:szCs w:val="32"/>
    </w:rPr>
  </w:style>
  <w:style w:type="character" w:customStyle="1" w:styleId="181">
    <w:name w:val="14t1"/>
    <w:qFormat/>
    <w:uiPriority w:val="0"/>
    <w:rPr>
      <w:rFonts w:hint="eastAsia" w:ascii="宋体" w:hAnsi="宋体" w:eastAsia="宋体"/>
      <w:sz w:val="11"/>
      <w:szCs w:val="11"/>
    </w:rPr>
  </w:style>
  <w:style w:type="character" w:customStyle="1" w:styleId="182">
    <w:name w:val="Char Char36"/>
    <w:qFormat/>
    <w:uiPriority w:val="0"/>
    <w:rPr>
      <w:rFonts w:ascii="仿宋_GB2312" w:eastAsia="仿宋_GB2312" w:cs="MingLiU"/>
      <w:b/>
      <w:sz w:val="24"/>
      <w:szCs w:val="28"/>
    </w:rPr>
  </w:style>
  <w:style w:type="character" w:customStyle="1" w:styleId="183">
    <w:name w:val="文档结构图 Char"/>
    <w:qFormat/>
    <w:uiPriority w:val="0"/>
    <w:rPr>
      <w:rFonts w:ascii="宋体"/>
      <w:kern w:val="2"/>
      <w:sz w:val="18"/>
      <w:szCs w:val="18"/>
    </w:rPr>
  </w:style>
  <w:style w:type="character" w:customStyle="1" w:styleId="184">
    <w:name w:val="普通文字 Char Char2"/>
    <w:qFormat/>
    <w:uiPriority w:val="0"/>
    <w:rPr>
      <w:rFonts w:ascii="宋体" w:hAnsi="Courier New"/>
      <w:kern w:val="2"/>
      <w:sz w:val="28"/>
      <w:szCs w:val="28"/>
    </w:rPr>
  </w:style>
  <w:style w:type="character" w:customStyle="1" w:styleId="185">
    <w:name w:val="HTML 预设格式 Char"/>
    <w:qFormat/>
    <w:uiPriority w:val="0"/>
    <w:rPr>
      <w:rFonts w:ascii="宋体" w:hAnsi="宋体" w:eastAsia="宋体" w:cs="宋体"/>
      <w:color w:val="000000"/>
      <w:sz w:val="24"/>
      <w:szCs w:val="24"/>
    </w:rPr>
  </w:style>
  <w:style w:type="character" w:customStyle="1" w:styleId="186">
    <w:name w:val="纯文本 Char"/>
    <w:qFormat/>
    <w:uiPriority w:val="0"/>
    <w:rPr>
      <w:rFonts w:ascii="宋体" w:hAnsi="Courier New"/>
      <w:sz w:val="28"/>
      <w:szCs w:val="28"/>
    </w:rPr>
  </w:style>
  <w:style w:type="character" w:customStyle="1" w:styleId="187">
    <w:name w:val="批注框文本 Char"/>
    <w:qFormat/>
    <w:uiPriority w:val="0"/>
    <w:rPr>
      <w:sz w:val="18"/>
      <w:szCs w:val="18"/>
    </w:rPr>
  </w:style>
  <w:style w:type="character" w:customStyle="1" w:styleId="188">
    <w:name w:val="页脚 Char"/>
    <w:qFormat/>
    <w:uiPriority w:val="0"/>
    <w:rPr>
      <w:sz w:val="18"/>
      <w:szCs w:val="18"/>
    </w:rPr>
  </w:style>
  <w:style w:type="character" w:customStyle="1" w:styleId="189">
    <w:name w:val="正文文本缩进 3 Char"/>
    <w:qFormat/>
    <w:uiPriority w:val="0"/>
    <w:rPr>
      <w:kern w:val="2"/>
      <w:sz w:val="16"/>
      <w:szCs w:val="16"/>
    </w:rPr>
  </w:style>
  <w:style w:type="character" w:customStyle="1" w:styleId="190">
    <w:name w:val="标题 8 Char"/>
    <w:qFormat/>
    <w:uiPriority w:val="0"/>
    <w:rPr>
      <w:rFonts w:ascii="Arial" w:hAnsi="Arial" w:eastAsia="黑体" w:cs="Times New Roman"/>
      <w:sz w:val="24"/>
      <w:szCs w:val="24"/>
    </w:rPr>
  </w:style>
  <w:style w:type="character" w:customStyle="1" w:styleId="191">
    <w:name w:val="正文文本缩进 2 Char1"/>
    <w:qFormat/>
    <w:uiPriority w:val="0"/>
    <w:rPr>
      <w:sz w:val="28"/>
      <w:szCs w:val="24"/>
    </w:rPr>
  </w:style>
  <w:style w:type="character" w:customStyle="1" w:styleId="192">
    <w:name w:val="标题 5 Char1"/>
    <w:qFormat/>
    <w:uiPriority w:val="0"/>
    <w:rPr>
      <w:rFonts w:ascii="宋体" w:hAnsi="宋体" w:eastAsia="宋体" w:cs="宋体"/>
      <w:b/>
      <w:bCs/>
      <w:sz w:val="20"/>
      <w:szCs w:val="20"/>
    </w:rPr>
  </w:style>
  <w:style w:type="character" w:customStyle="1" w:styleId="193">
    <w:name w:val="批注文字 Char"/>
    <w:qFormat/>
    <w:uiPriority w:val="0"/>
    <w:rPr>
      <w:rFonts w:ascii="Times New Roman" w:hAnsi="Times New Roman" w:eastAsia="宋体" w:cs="Times New Roman"/>
      <w:kern w:val="2"/>
      <w:sz w:val="21"/>
      <w:szCs w:val="24"/>
    </w:rPr>
  </w:style>
  <w:style w:type="character" w:customStyle="1" w:styleId="194">
    <w:name w:val="style121"/>
    <w:qFormat/>
    <w:uiPriority w:val="0"/>
    <w:rPr>
      <w:rFonts w:hint="eastAsia" w:ascii="宋体" w:hAnsi="宋体" w:eastAsia="宋体"/>
      <w:sz w:val="18"/>
      <w:szCs w:val="18"/>
    </w:rPr>
  </w:style>
  <w:style w:type="character" w:customStyle="1" w:styleId="195">
    <w:name w:val="Section Char"/>
    <w:qFormat/>
    <w:uiPriority w:val="0"/>
    <w:rPr>
      <w:rFonts w:ascii="仿宋_GB2312" w:eastAsia="仿宋_GB2312" w:cs="MingLiU"/>
      <w:b/>
      <w:sz w:val="24"/>
      <w:szCs w:val="28"/>
      <w:lang w:val="en-US" w:eastAsia="zh-CN" w:bidi="ar-SA"/>
    </w:rPr>
  </w:style>
  <w:style w:type="character" w:customStyle="1" w:styleId="196">
    <w:name w:val="正文文本 3 Char1"/>
    <w:qFormat/>
    <w:uiPriority w:val="0"/>
    <w:rPr>
      <w:kern w:val="2"/>
      <w:sz w:val="16"/>
      <w:szCs w:val="16"/>
    </w:rPr>
  </w:style>
  <w:style w:type="character" w:customStyle="1" w:styleId="197">
    <w:name w:val="文档结构图 Char1"/>
    <w:qFormat/>
    <w:uiPriority w:val="0"/>
    <w:rPr>
      <w:rFonts w:ascii="宋体"/>
      <w:kern w:val="2"/>
      <w:sz w:val="18"/>
      <w:szCs w:val="18"/>
    </w:rPr>
  </w:style>
  <w:style w:type="character" w:customStyle="1" w:styleId="198">
    <w:name w:val="标题 9 Char"/>
    <w:qFormat/>
    <w:uiPriority w:val="0"/>
    <w:rPr>
      <w:rFonts w:ascii="Arial" w:hAnsi="Arial" w:eastAsia="黑体" w:cs="Times New Roman"/>
      <w:szCs w:val="21"/>
    </w:rPr>
  </w:style>
  <w:style w:type="character" w:customStyle="1" w:styleId="199">
    <w:name w:val="页眉 Char1"/>
    <w:semiHidden/>
    <w:qFormat/>
    <w:uiPriority w:val="99"/>
    <w:rPr>
      <w:kern w:val="2"/>
      <w:sz w:val="18"/>
      <w:szCs w:val="18"/>
    </w:rPr>
  </w:style>
  <w:style w:type="character" w:customStyle="1" w:styleId="200">
    <w:name w:val="Char Char35"/>
    <w:qFormat/>
    <w:uiPriority w:val="0"/>
    <w:rPr>
      <w:rFonts w:ascii="仿宋_GB2312" w:eastAsia="仿宋_GB2312" w:cs="MingLiU"/>
      <w:b/>
      <w:sz w:val="24"/>
      <w:szCs w:val="28"/>
    </w:rPr>
  </w:style>
  <w:style w:type="character" w:customStyle="1" w:styleId="201">
    <w:name w:val="日期 Char2"/>
    <w:qFormat/>
    <w:uiPriority w:val="99"/>
    <w:rPr>
      <w:kern w:val="2"/>
      <w:sz w:val="21"/>
      <w:szCs w:val="24"/>
    </w:rPr>
  </w:style>
  <w:style w:type="character" w:customStyle="1" w:styleId="202">
    <w:name w:val="Char Char22"/>
    <w:qFormat/>
    <w:uiPriority w:val="0"/>
    <w:rPr>
      <w:b/>
      <w:bCs/>
      <w:kern w:val="2"/>
      <w:sz w:val="32"/>
      <w:szCs w:val="32"/>
    </w:rPr>
  </w:style>
  <w:style w:type="character" w:customStyle="1" w:styleId="203">
    <w:name w:val="正文文本缩进 2 Char2"/>
    <w:semiHidden/>
    <w:qFormat/>
    <w:uiPriority w:val="99"/>
    <w:rPr>
      <w:rFonts w:ascii="Calibri" w:hAnsi="Calibri" w:eastAsia="宋体" w:cs="Times New Roman"/>
      <w:szCs w:val="24"/>
    </w:rPr>
  </w:style>
  <w:style w:type="character" w:customStyle="1" w:styleId="204">
    <w:name w:val="明显强调1"/>
    <w:qFormat/>
    <w:uiPriority w:val="0"/>
    <w:rPr>
      <w:b/>
      <w:bCs/>
      <w:i/>
      <w:iCs/>
      <w:color w:val="4F81BD"/>
    </w:rPr>
  </w:style>
  <w:style w:type="character" w:customStyle="1" w:styleId="205">
    <w:name w:val="Char Char14"/>
    <w:qFormat/>
    <w:uiPriority w:val="0"/>
    <w:rPr>
      <w:kern w:val="2"/>
      <w:sz w:val="18"/>
      <w:szCs w:val="18"/>
    </w:rPr>
  </w:style>
  <w:style w:type="character" w:customStyle="1" w:styleId="206">
    <w:name w:val="s3"/>
    <w:qFormat/>
    <w:uiPriority w:val="0"/>
  </w:style>
  <w:style w:type="character" w:customStyle="1" w:styleId="207">
    <w:name w:val="标题 1 Char"/>
    <w:qFormat/>
    <w:uiPriority w:val="0"/>
    <w:rPr>
      <w:rFonts w:ascii="Times New Roman" w:hAnsi="Times New Roman" w:eastAsia="宋体" w:cs="Times New Roman"/>
      <w:b/>
      <w:bCs/>
      <w:kern w:val="44"/>
      <w:sz w:val="44"/>
      <w:szCs w:val="44"/>
    </w:rPr>
  </w:style>
  <w:style w:type="character" w:customStyle="1" w:styleId="208">
    <w:name w:val="日期 Char3"/>
    <w:semiHidden/>
    <w:qFormat/>
    <w:uiPriority w:val="99"/>
    <w:rPr>
      <w:rFonts w:ascii="Calibri" w:hAnsi="Calibri" w:eastAsia="宋体" w:cs="Times New Roman"/>
      <w:szCs w:val="24"/>
    </w:rPr>
  </w:style>
  <w:style w:type="character" w:customStyle="1" w:styleId="209">
    <w:name w:val="title11"/>
    <w:qFormat/>
    <w:uiPriority w:val="0"/>
    <w:rPr>
      <w:b/>
      <w:bCs/>
      <w:color w:val="FFFFFF"/>
      <w:sz w:val="11"/>
      <w:szCs w:val="11"/>
    </w:rPr>
  </w:style>
  <w:style w:type="character" w:customStyle="1" w:styleId="210">
    <w:name w:val="明显引用 Char2"/>
    <w:qFormat/>
    <w:uiPriority w:val="99"/>
    <w:rPr>
      <w:b/>
      <w:bCs/>
      <w:i/>
      <w:iCs/>
      <w:color w:val="4F81BD"/>
      <w:kern w:val="2"/>
      <w:sz w:val="21"/>
      <w:szCs w:val="24"/>
    </w:rPr>
  </w:style>
  <w:style w:type="character" w:customStyle="1" w:styleId="211">
    <w:name w:val="批注框文本 Char3"/>
    <w:semiHidden/>
    <w:qFormat/>
    <w:uiPriority w:val="99"/>
    <w:rPr>
      <w:rFonts w:ascii="Calibri" w:hAnsi="Calibri" w:eastAsia="宋体" w:cs="Times New Roman"/>
      <w:sz w:val="18"/>
      <w:szCs w:val="18"/>
    </w:rPr>
  </w:style>
  <w:style w:type="character" w:customStyle="1" w:styleId="212">
    <w:name w:val="Char Char33"/>
    <w:qFormat/>
    <w:uiPriority w:val="0"/>
    <w:rPr>
      <w:rFonts w:ascii="仿宋_GB2312" w:eastAsia="仿宋_GB2312" w:cs="MingLiU"/>
      <w:b/>
      <w:sz w:val="24"/>
      <w:szCs w:val="28"/>
    </w:rPr>
  </w:style>
  <w:style w:type="character" w:customStyle="1" w:styleId="213">
    <w:name w:val="标题 2 Char"/>
    <w:qFormat/>
    <w:uiPriority w:val="0"/>
    <w:rPr>
      <w:rFonts w:ascii="仿宋_GB2312" w:hAnsi="Calibri" w:eastAsia="仿宋_GB2312" w:cs="Times New Roman"/>
      <w:b/>
      <w:spacing w:val="1"/>
      <w:w w:val="99"/>
      <w:kern w:val="0"/>
      <w:sz w:val="28"/>
      <w:szCs w:val="32"/>
    </w:rPr>
  </w:style>
  <w:style w:type="character" w:customStyle="1" w:styleId="214">
    <w:name w:val="l1"/>
    <w:basedOn w:val="47"/>
    <w:qFormat/>
    <w:uiPriority w:val="0"/>
  </w:style>
  <w:style w:type="character" w:customStyle="1" w:styleId="215">
    <w:name w:val="手改 Char Char"/>
    <w:qFormat/>
    <w:uiPriority w:val="0"/>
    <w:rPr>
      <w:kern w:val="2"/>
      <w:sz w:val="21"/>
      <w:szCs w:val="24"/>
    </w:rPr>
  </w:style>
  <w:style w:type="character" w:customStyle="1" w:styleId="216">
    <w:name w:val="style21"/>
    <w:qFormat/>
    <w:uiPriority w:val="0"/>
    <w:rPr>
      <w:b/>
      <w:bCs/>
      <w:sz w:val="28"/>
      <w:szCs w:val="28"/>
    </w:rPr>
  </w:style>
  <w:style w:type="character" w:customStyle="1" w:styleId="217">
    <w:name w:val="Char Char24"/>
    <w:qFormat/>
    <w:uiPriority w:val="0"/>
    <w:rPr>
      <w:b/>
      <w:bCs/>
      <w:kern w:val="44"/>
      <w:sz w:val="44"/>
      <w:szCs w:val="44"/>
    </w:rPr>
  </w:style>
  <w:style w:type="character" w:customStyle="1" w:styleId="218">
    <w:name w:val="纯文本 Char1"/>
    <w:qFormat/>
    <w:uiPriority w:val="0"/>
    <w:rPr>
      <w:rFonts w:ascii="宋体" w:hAnsi="Courier New" w:cs="Courier New"/>
      <w:kern w:val="2"/>
      <w:sz w:val="21"/>
      <w:szCs w:val="21"/>
    </w:rPr>
  </w:style>
  <w:style w:type="character" w:customStyle="1" w:styleId="219">
    <w:name w:val="尾注文本 Char"/>
    <w:qFormat/>
    <w:uiPriority w:val="0"/>
    <w:rPr>
      <w:kern w:val="2"/>
      <w:sz w:val="21"/>
      <w:szCs w:val="24"/>
    </w:rPr>
  </w:style>
  <w:style w:type="character" w:customStyle="1" w:styleId="220">
    <w:name w:val="日期 Char1"/>
    <w:qFormat/>
    <w:uiPriority w:val="0"/>
    <w:rPr>
      <w:kern w:val="2"/>
      <w:sz w:val="21"/>
      <w:szCs w:val="22"/>
    </w:rPr>
  </w:style>
  <w:style w:type="character" w:customStyle="1" w:styleId="221">
    <w:name w:val="正文文本 Char1"/>
    <w:qFormat/>
    <w:uiPriority w:val="0"/>
    <w:rPr>
      <w:kern w:val="2"/>
      <w:sz w:val="21"/>
      <w:szCs w:val="22"/>
    </w:rPr>
  </w:style>
  <w:style w:type="character" w:customStyle="1" w:styleId="222">
    <w:name w:val="标题 9 Char1"/>
    <w:qFormat/>
    <w:uiPriority w:val="0"/>
    <w:rPr>
      <w:rFonts w:ascii="Times New Roman" w:hAnsi="Times New Roman" w:eastAsia="仿宋_GB2312" w:cs="Times New Roman"/>
      <w:sz w:val="30"/>
      <w:szCs w:val="20"/>
    </w:rPr>
  </w:style>
  <w:style w:type="character" w:customStyle="1" w:styleId="223">
    <w:name w:val="脚注文本 Char1"/>
    <w:qFormat/>
    <w:uiPriority w:val="0"/>
    <w:rPr>
      <w:rFonts w:ascii="Arial" w:hAnsi="Arial" w:cs="Arial"/>
      <w:sz w:val="18"/>
      <w:szCs w:val="18"/>
      <w:lang w:eastAsia="en-US"/>
    </w:rPr>
  </w:style>
  <w:style w:type="character" w:customStyle="1" w:styleId="224">
    <w:name w:val="正文文本缩进 Char"/>
    <w:qFormat/>
    <w:uiPriority w:val="0"/>
    <w:rPr>
      <w:rFonts w:ascii="黑体" w:hAnsi="宋体" w:eastAsia="黑体"/>
      <w:color w:val="000000"/>
      <w:sz w:val="28"/>
      <w:szCs w:val="32"/>
    </w:rPr>
  </w:style>
  <w:style w:type="character" w:customStyle="1" w:styleId="225">
    <w:name w:val="HTML 预设格式 Char1"/>
    <w:qFormat/>
    <w:uiPriority w:val="0"/>
    <w:rPr>
      <w:rFonts w:ascii="宋体" w:hAnsi="宋体" w:cs="宋体"/>
      <w:color w:val="000000"/>
      <w:sz w:val="24"/>
      <w:szCs w:val="24"/>
    </w:rPr>
  </w:style>
  <w:style w:type="character" w:customStyle="1" w:styleId="226">
    <w:name w:val="引用 Char3"/>
    <w:qFormat/>
    <w:uiPriority w:val="29"/>
    <w:rPr>
      <w:rFonts w:ascii="Calibri" w:hAnsi="Calibri" w:eastAsia="宋体" w:cs="Times New Roman"/>
      <w:i/>
      <w:iCs/>
      <w:color w:val="000000"/>
      <w:szCs w:val="24"/>
    </w:rPr>
  </w:style>
  <w:style w:type="character" w:customStyle="1" w:styleId="227">
    <w:name w:val="标题 7 Char1"/>
    <w:qFormat/>
    <w:uiPriority w:val="0"/>
    <w:rPr>
      <w:rFonts w:ascii="Times New Roman" w:hAnsi="Times New Roman" w:eastAsia="仿宋_GB2312" w:cs="Times New Roman"/>
      <w:sz w:val="30"/>
      <w:szCs w:val="20"/>
    </w:rPr>
  </w:style>
  <w:style w:type="character" w:customStyle="1" w:styleId="228">
    <w:name w:val="普通文字 Char Char1"/>
    <w:qFormat/>
    <w:uiPriority w:val="0"/>
    <w:rPr>
      <w:rFonts w:ascii="宋体" w:hAnsi="Courier New"/>
      <w:kern w:val="2"/>
      <w:sz w:val="28"/>
      <w:szCs w:val="28"/>
    </w:rPr>
  </w:style>
  <w:style w:type="character" w:customStyle="1" w:styleId="229">
    <w:name w:val="明显参考1"/>
    <w:qFormat/>
    <w:uiPriority w:val="0"/>
    <w:rPr>
      <w:b/>
      <w:bCs/>
      <w:smallCaps/>
      <w:color w:val="C0504D"/>
      <w:spacing w:val="5"/>
      <w:u w:val="single"/>
    </w:rPr>
  </w:style>
  <w:style w:type="character" w:customStyle="1" w:styleId="230">
    <w:name w:val="正文文本缩进 Char1"/>
    <w:qFormat/>
    <w:uiPriority w:val="0"/>
    <w:rPr>
      <w:kern w:val="2"/>
      <w:sz w:val="21"/>
      <w:szCs w:val="24"/>
    </w:rPr>
  </w:style>
  <w:style w:type="character" w:customStyle="1" w:styleId="231">
    <w:name w:val="页眉 Char"/>
    <w:qFormat/>
    <w:uiPriority w:val="0"/>
    <w:rPr>
      <w:sz w:val="18"/>
      <w:szCs w:val="18"/>
    </w:rPr>
  </w:style>
  <w:style w:type="character" w:customStyle="1" w:styleId="232">
    <w:name w:val="style31"/>
    <w:qFormat/>
    <w:uiPriority w:val="0"/>
    <w:rPr>
      <w:sz w:val="10"/>
      <w:szCs w:val="10"/>
    </w:rPr>
  </w:style>
  <w:style w:type="character" w:customStyle="1" w:styleId="233">
    <w:name w:val="日期 Char"/>
    <w:qFormat/>
    <w:uiPriority w:val="0"/>
    <w:rPr>
      <w:rFonts w:eastAsia="宋体"/>
      <w:szCs w:val="24"/>
    </w:rPr>
  </w:style>
  <w:style w:type="character" w:customStyle="1" w:styleId="234">
    <w:name w:val="标题 1 Char1"/>
    <w:qFormat/>
    <w:uiPriority w:val="0"/>
    <w:rPr>
      <w:rFonts w:ascii="Times New Roman" w:hAnsi="Times New Roman" w:eastAsia="宋体" w:cs="Times New Roman"/>
      <w:b/>
      <w:bCs/>
      <w:kern w:val="44"/>
      <w:sz w:val="44"/>
      <w:szCs w:val="44"/>
    </w:rPr>
  </w:style>
  <w:style w:type="character" w:customStyle="1" w:styleId="235">
    <w:name w:val="main_tdbg_7601"/>
    <w:qFormat/>
    <w:uiPriority w:val="0"/>
    <w:rPr>
      <w:sz w:val="14"/>
      <w:szCs w:val="14"/>
    </w:rPr>
  </w:style>
  <w:style w:type="character" w:customStyle="1" w:styleId="236">
    <w:name w:val="尾注文本 Char1"/>
    <w:qFormat/>
    <w:uiPriority w:val="0"/>
    <w:rPr>
      <w:rFonts w:ascii="Arial" w:hAnsi="Arial" w:cs="Arial"/>
      <w:szCs w:val="24"/>
      <w:lang w:eastAsia="en-US"/>
    </w:rPr>
  </w:style>
  <w:style w:type="character" w:customStyle="1" w:styleId="237">
    <w:name w:val="副标题 Char2"/>
    <w:qFormat/>
    <w:uiPriority w:val="11"/>
    <w:rPr>
      <w:rFonts w:ascii="Cambria" w:hAnsi="Cambria" w:eastAsia="宋体" w:cs="Times New Roman"/>
      <w:b/>
      <w:bCs/>
      <w:kern w:val="28"/>
      <w:sz w:val="32"/>
      <w:szCs w:val="32"/>
    </w:rPr>
  </w:style>
  <w:style w:type="character" w:customStyle="1" w:styleId="238">
    <w:name w:val="正文文本缩进 3 Char2"/>
    <w:semiHidden/>
    <w:qFormat/>
    <w:uiPriority w:val="99"/>
    <w:rPr>
      <w:rFonts w:ascii="Calibri" w:hAnsi="Calibri" w:eastAsia="宋体" w:cs="Times New Roman"/>
      <w:sz w:val="16"/>
      <w:szCs w:val="16"/>
    </w:rPr>
  </w:style>
  <w:style w:type="character" w:customStyle="1" w:styleId="239">
    <w:name w:val="Char Char34"/>
    <w:qFormat/>
    <w:uiPriority w:val="0"/>
    <w:rPr>
      <w:rFonts w:ascii="仿宋_GB2312" w:eastAsia="仿宋_GB2312" w:cs="MingLiU"/>
      <w:b/>
      <w:spacing w:val="1"/>
      <w:w w:val="99"/>
      <w:sz w:val="28"/>
      <w:szCs w:val="32"/>
    </w:rPr>
  </w:style>
  <w:style w:type="character" w:customStyle="1" w:styleId="240">
    <w:name w:val="docpro"/>
    <w:basedOn w:val="47"/>
    <w:qFormat/>
    <w:uiPriority w:val="0"/>
  </w:style>
  <w:style w:type="character" w:customStyle="1" w:styleId="241">
    <w:name w:val="ITTHEADER1 Char"/>
    <w:qFormat/>
    <w:uiPriority w:val="0"/>
    <w:rPr>
      <w:rFonts w:eastAsia="黑体"/>
      <w:kern w:val="2"/>
      <w:sz w:val="44"/>
      <w:szCs w:val="44"/>
      <w:lang w:val="en-US" w:eastAsia="zh-CN" w:bidi="ar-SA"/>
    </w:rPr>
  </w:style>
  <w:style w:type="character" w:customStyle="1" w:styleId="242">
    <w:name w:val="副标题 Char"/>
    <w:qFormat/>
    <w:uiPriority w:val="0"/>
    <w:rPr>
      <w:rFonts w:ascii="Cambria" w:hAnsi="Cambria" w:eastAsia="宋体" w:cs="Times New Roman"/>
      <w:b/>
      <w:bCs/>
      <w:kern w:val="28"/>
      <w:sz w:val="32"/>
      <w:szCs w:val="32"/>
    </w:rPr>
  </w:style>
  <w:style w:type="character" w:customStyle="1" w:styleId="243">
    <w:name w:val="标题 Char2"/>
    <w:qFormat/>
    <w:uiPriority w:val="10"/>
    <w:rPr>
      <w:rFonts w:ascii="Cambria" w:hAnsi="Cambria" w:eastAsia="宋体" w:cs="Times New Roman"/>
      <w:b/>
      <w:bCs/>
      <w:sz w:val="32"/>
      <w:szCs w:val="32"/>
    </w:rPr>
  </w:style>
  <w:style w:type="character" w:customStyle="1" w:styleId="244">
    <w:name w:val="正文文本 Char2"/>
    <w:qFormat/>
    <w:uiPriority w:val="99"/>
    <w:rPr>
      <w:kern w:val="2"/>
      <w:sz w:val="21"/>
      <w:szCs w:val="24"/>
    </w:rPr>
  </w:style>
  <w:style w:type="character" w:customStyle="1" w:styleId="245">
    <w:name w:val="0d1471"/>
    <w:qFormat/>
    <w:uiPriority w:val="0"/>
    <w:rPr>
      <w:color w:val="000000"/>
      <w:sz w:val="11"/>
      <w:szCs w:val="11"/>
      <w:u w:val="none"/>
    </w:rPr>
  </w:style>
  <w:style w:type="character" w:customStyle="1" w:styleId="246">
    <w:name w:val="批注主题 Char"/>
    <w:qFormat/>
    <w:uiPriority w:val="0"/>
    <w:rPr>
      <w:rFonts w:ascii="宋体" w:hAnsi="宋体" w:eastAsia="宋体"/>
      <w:kern w:val="2"/>
      <w:sz w:val="24"/>
      <w:szCs w:val="28"/>
      <w:lang w:val="en-US" w:eastAsia="zh-CN" w:bidi="ar-SA"/>
    </w:rPr>
  </w:style>
  <w:style w:type="character" w:customStyle="1" w:styleId="247">
    <w:name w:val="正文文本 2 Char1"/>
    <w:semiHidden/>
    <w:qFormat/>
    <w:uiPriority w:val="99"/>
    <w:rPr>
      <w:rFonts w:ascii="Calibri" w:hAnsi="Calibri" w:eastAsia="宋体" w:cs="Times New Roman"/>
      <w:szCs w:val="24"/>
    </w:rPr>
  </w:style>
  <w:style w:type="character" w:customStyle="1" w:styleId="248">
    <w:name w:val="批注框文本 Char1"/>
    <w:qFormat/>
    <w:uiPriority w:val="0"/>
    <w:rPr>
      <w:kern w:val="2"/>
      <w:sz w:val="18"/>
      <w:szCs w:val="18"/>
    </w:rPr>
  </w:style>
  <w:style w:type="character" w:customStyle="1" w:styleId="249">
    <w:name w:val="引用 Char"/>
    <w:link w:val="146"/>
    <w:qFormat/>
    <w:uiPriority w:val="0"/>
    <w:rPr>
      <w:rFonts w:ascii="Times New Roman" w:hAnsi="Times New Roman" w:eastAsia="宋体" w:cs="Times New Roman"/>
      <w:i/>
      <w:iCs/>
      <w:color w:val="000000"/>
      <w:szCs w:val="24"/>
    </w:rPr>
  </w:style>
  <w:style w:type="character" w:customStyle="1" w:styleId="250">
    <w:name w:val="font161"/>
    <w:qFormat/>
    <w:uiPriority w:val="0"/>
    <w:rPr>
      <w:b/>
      <w:bCs/>
      <w:sz w:val="32"/>
      <w:szCs w:val="32"/>
    </w:rPr>
  </w:style>
  <w:style w:type="character" w:customStyle="1" w:styleId="251">
    <w:name w:val="Char Char32"/>
    <w:qFormat/>
    <w:uiPriority w:val="0"/>
    <w:rPr>
      <w:rFonts w:ascii="仿宋_GB2312" w:eastAsia="仿宋_GB2312" w:cs="MingLiU"/>
      <w:b/>
      <w:spacing w:val="1"/>
      <w:w w:val="99"/>
      <w:sz w:val="28"/>
      <w:szCs w:val="32"/>
    </w:rPr>
  </w:style>
  <w:style w:type="character" w:customStyle="1" w:styleId="252">
    <w:name w:val="标题 2 Char1"/>
    <w:qFormat/>
    <w:uiPriority w:val="0"/>
    <w:rPr>
      <w:rFonts w:ascii="Cambria" w:hAnsi="Cambria" w:eastAsia="宋体" w:cs="Times New Roman"/>
      <w:b/>
      <w:bCs/>
      <w:kern w:val="2"/>
      <w:sz w:val="32"/>
      <w:szCs w:val="32"/>
    </w:rPr>
  </w:style>
  <w:style w:type="character" w:customStyle="1" w:styleId="253">
    <w:name w:val="ss16"/>
    <w:qFormat/>
    <w:uiPriority w:val="0"/>
    <w:rPr>
      <w:rFonts w:hint="eastAsia" w:ascii="宋体" w:hAnsi="宋体" w:eastAsia="宋体"/>
      <w:color w:val="000000"/>
      <w:sz w:val="9"/>
      <w:szCs w:val="9"/>
    </w:rPr>
  </w:style>
  <w:style w:type="character" w:customStyle="1" w:styleId="254">
    <w:name w:val="批注主题 Char3"/>
    <w:semiHidden/>
    <w:qFormat/>
    <w:uiPriority w:val="99"/>
    <w:rPr>
      <w:rFonts w:ascii="Calibri" w:hAnsi="Calibri" w:eastAsia="宋体" w:cs="Times New Roman"/>
      <w:b/>
      <w:bCs/>
      <w:szCs w:val="24"/>
    </w:rPr>
  </w:style>
  <w:style w:type="character" w:customStyle="1" w:styleId="255">
    <w:name w:val="明显引用 Char1"/>
    <w:link w:val="164"/>
    <w:qFormat/>
    <w:uiPriority w:val="30"/>
    <w:rPr>
      <w:rFonts w:ascii="Times New Roman" w:hAnsi="Times New Roman" w:eastAsia="宋体" w:cs="Times New Roman"/>
      <w:b/>
      <w:bCs/>
      <w:i/>
      <w:iCs/>
      <w:color w:val="4F81BD"/>
      <w:szCs w:val="20"/>
    </w:rPr>
  </w:style>
  <w:style w:type="character" w:customStyle="1" w:styleId="256">
    <w:name w:val="HTML 预设格式 Char2"/>
    <w:semiHidden/>
    <w:qFormat/>
    <w:uiPriority w:val="99"/>
    <w:rPr>
      <w:rFonts w:ascii="Courier New" w:hAnsi="Courier New" w:eastAsia="宋体" w:cs="Courier New"/>
      <w:sz w:val="20"/>
      <w:szCs w:val="20"/>
    </w:rPr>
  </w:style>
  <w:style w:type="character" w:customStyle="1" w:styleId="257">
    <w:name w:val="Char Char17"/>
    <w:qFormat/>
    <w:uiPriority w:val="0"/>
    <w:rPr>
      <w:kern w:val="2"/>
      <w:sz w:val="26"/>
      <w:szCs w:val="24"/>
    </w:rPr>
  </w:style>
  <w:style w:type="character" w:customStyle="1" w:styleId="258">
    <w:name w:val="标题 3 Char1"/>
    <w:qFormat/>
    <w:uiPriority w:val="0"/>
    <w:rPr>
      <w:rFonts w:ascii="Times New Roman" w:hAnsi="Times New Roman" w:eastAsia="宋体" w:cs="Times New Roman"/>
      <w:b/>
      <w:bCs/>
      <w:kern w:val="2"/>
      <w:sz w:val="32"/>
      <w:szCs w:val="32"/>
    </w:rPr>
  </w:style>
  <w:style w:type="character" w:customStyle="1" w:styleId="259">
    <w:name w:val="标题 5 Char"/>
    <w:qFormat/>
    <w:uiPriority w:val="0"/>
    <w:rPr>
      <w:rFonts w:ascii="Calibri" w:hAnsi="Calibri" w:eastAsia="宋体" w:cs="Times New Roman"/>
      <w:b/>
      <w:bCs/>
      <w:sz w:val="28"/>
      <w:szCs w:val="28"/>
    </w:rPr>
  </w:style>
  <w:style w:type="character" w:customStyle="1" w:styleId="260">
    <w:name w:val="页脚 Char1"/>
    <w:semiHidden/>
    <w:qFormat/>
    <w:uiPriority w:val="99"/>
    <w:rPr>
      <w:kern w:val="2"/>
      <w:sz w:val="18"/>
      <w:szCs w:val="18"/>
    </w:rPr>
  </w:style>
  <w:style w:type="character" w:customStyle="1" w:styleId="261">
    <w:name w:val="unnamed1"/>
    <w:basedOn w:val="47"/>
    <w:qFormat/>
    <w:uiPriority w:val="0"/>
  </w:style>
  <w:style w:type="character" w:customStyle="1" w:styleId="262">
    <w:name w:val="Char Char9"/>
    <w:qFormat/>
    <w:locked/>
    <w:uiPriority w:val="0"/>
    <w:rPr>
      <w:rFonts w:ascii="仿宋_GB2312" w:eastAsia="仿宋_GB2312" w:cs="MingLiU"/>
      <w:b/>
      <w:sz w:val="24"/>
      <w:szCs w:val="28"/>
      <w:lang w:val="en-US" w:eastAsia="zh-CN" w:bidi="ar-SA"/>
    </w:rPr>
  </w:style>
  <w:style w:type="character" w:customStyle="1" w:styleId="263">
    <w:name w:val="批注主题 Char1"/>
    <w:qFormat/>
    <w:uiPriority w:val="0"/>
    <w:rPr>
      <w:b/>
      <w:bCs/>
      <w:kern w:val="2"/>
      <w:sz w:val="21"/>
      <w:szCs w:val="22"/>
    </w:rPr>
  </w:style>
  <w:style w:type="character" w:customStyle="1" w:styleId="264">
    <w:name w:val="纯文本 Char2"/>
    <w:semiHidden/>
    <w:qFormat/>
    <w:uiPriority w:val="99"/>
    <w:rPr>
      <w:rFonts w:ascii="宋体" w:hAnsi="Courier New" w:eastAsia="宋体" w:cs="Courier New"/>
      <w:szCs w:val="21"/>
    </w:rPr>
  </w:style>
  <w:style w:type="character" w:customStyle="1" w:styleId="265">
    <w:name w:val="intel3"/>
    <w:basedOn w:val="47"/>
    <w:qFormat/>
    <w:uiPriority w:val="0"/>
  </w:style>
  <w:style w:type="character" w:customStyle="1" w:styleId="266">
    <w:name w:val="subhead1"/>
    <w:qFormat/>
    <w:uiPriority w:val="0"/>
    <w:rPr>
      <w:rFonts w:hint="default" w:ascii="Tahoma" w:hAnsi="Tahoma" w:cs="Tahoma"/>
      <w:color w:val="000000"/>
      <w:sz w:val="18"/>
      <w:szCs w:val="18"/>
      <w:u w:val="none"/>
      <w:shd w:val="clear" w:color="auto" w:fill="FFFFFF"/>
    </w:rPr>
  </w:style>
  <w:style w:type="character" w:customStyle="1" w:styleId="267">
    <w:name w:val="脚注文本 Char"/>
    <w:qFormat/>
    <w:uiPriority w:val="0"/>
    <w:rPr>
      <w:rFonts w:ascii="Arial" w:hAnsi="Arial" w:eastAsia="宋体" w:cs="Arial"/>
      <w:sz w:val="18"/>
      <w:szCs w:val="18"/>
      <w:lang w:eastAsia="en-US"/>
    </w:rPr>
  </w:style>
  <w:style w:type="character" w:customStyle="1" w:styleId="268">
    <w:name w:val="引用 Char1"/>
    <w:link w:val="168"/>
    <w:qFormat/>
    <w:uiPriority w:val="29"/>
    <w:rPr>
      <w:rFonts w:ascii="Times New Roman" w:hAnsi="Times New Roman" w:eastAsia="宋体" w:cs="Times New Roman"/>
      <w:i/>
      <w:iCs/>
      <w:color w:val="000000"/>
      <w:szCs w:val="20"/>
    </w:rPr>
  </w:style>
  <w:style w:type="character" w:customStyle="1" w:styleId="269">
    <w:name w:val="正文文本缩进 2 Char"/>
    <w:qFormat/>
    <w:uiPriority w:val="0"/>
    <w:rPr>
      <w:kern w:val="2"/>
      <w:sz w:val="21"/>
      <w:szCs w:val="24"/>
    </w:rPr>
  </w:style>
  <w:style w:type="character" w:customStyle="1" w:styleId="270">
    <w:name w:val="脚注文本 Char2"/>
    <w:semiHidden/>
    <w:qFormat/>
    <w:uiPriority w:val="99"/>
    <w:rPr>
      <w:rFonts w:ascii="Calibri" w:hAnsi="Calibri" w:eastAsia="宋体" w:cs="Times New Roman"/>
      <w:sz w:val="18"/>
      <w:szCs w:val="18"/>
    </w:rPr>
  </w:style>
  <w:style w:type="character" w:customStyle="1" w:styleId="271">
    <w:name w:val="ca-141"/>
    <w:qFormat/>
    <w:uiPriority w:val="0"/>
    <w:rPr>
      <w:rFonts w:hint="eastAsia" w:ascii="仿宋_GB2312" w:eastAsia="仿宋_GB2312"/>
      <w:sz w:val="21"/>
      <w:szCs w:val="21"/>
    </w:rPr>
  </w:style>
  <w:style w:type="character" w:customStyle="1" w:styleId="272">
    <w:name w:val="标题 Char1"/>
    <w:qFormat/>
    <w:uiPriority w:val="10"/>
    <w:rPr>
      <w:szCs w:val="24"/>
      <w:u w:val="single"/>
      <w:lang w:eastAsia="en-US"/>
    </w:rPr>
  </w:style>
  <w:style w:type="character" w:customStyle="1" w:styleId="273">
    <w:name w:val="style161"/>
    <w:qFormat/>
    <w:uiPriority w:val="0"/>
    <w:rPr>
      <w:b/>
      <w:bCs/>
      <w:color w:val="333333"/>
    </w:rPr>
  </w:style>
  <w:style w:type="character" w:customStyle="1" w:styleId="274">
    <w:name w:val="Char Char11"/>
    <w:qFormat/>
    <w:locked/>
    <w:uiPriority w:val="0"/>
    <w:rPr>
      <w:rFonts w:eastAsia="黑体"/>
      <w:kern w:val="2"/>
      <w:sz w:val="44"/>
      <w:szCs w:val="44"/>
      <w:lang w:val="en-US" w:eastAsia="zh-CN" w:bidi="ar-SA"/>
    </w:rPr>
  </w:style>
  <w:style w:type="character" w:customStyle="1" w:styleId="275">
    <w:name w:val="标题 7 Char"/>
    <w:qFormat/>
    <w:uiPriority w:val="0"/>
    <w:rPr>
      <w:rFonts w:ascii="Calibri" w:hAnsi="Calibri" w:eastAsia="宋体" w:cs="Times New Roman"/>
      <w:b/>
      <w:bCs/>
      <w:sz w:val="24"/>
      <w:szCs w:val="24"/>
    </w:rPr>
  </w:style>
  <w:style w:type="character" w:customStyle="1" w:styleId="276">
    <w:name w:val="批注文字 Char1"/>
    <w:qFormat/>
    <w:uiPriority w:val="99"/>
    <w:rPr>
      <w:rFonts w:ascii="Times New Roman" w:hAnsi="Times New Roman" w:eastAsia="宋体" w:cs="Times New Roman"/>
      <w:szCs w:val="24"/>
    </w:rPr>
  </w:style>
  <w:style w:type="character" w:customStyle="1" w:styleId="277">
    <w:name w:val="明显引用 Char"/>
    <w:qFormat/>
    <w:uiPriority w:val="0"/>
    <w:rPr>
      <w:rFonts w:ascii="Times New Roman" w:hAnsi="Times New Roman" w:eastAsia="宋体" w:cs="Times New Roman"/>
      <w:b/>
      <w:bCs/>
      <w:i/>
      <w:iCs/>
      <w:color w:val="4F81BD"/>
      <w:kern w:val="2"/>
      <w:sz w:val="21"/>
      <w:szCs w:val="24"/>
    </w:rPr>
  </w:style>
  <w:style w:type="character" w:customStyle="1" w:styleId="278">
    <w:name w:val="正文文本缩进 3 Char1"/>
    <w:qFormat/>
    <w:uiPriority w:val="0"/>
    <w:rPr>
      <w:rFonts w:ascii="宋体" w:hAnsi="宋体"/>
      <w:kern w:val="2"/>
      <w:sz w:val="28"/>
      <w:szCs w:val="28"/>
    </w:rPr>
  </w:style>
  <w:style w:type="character" w:customStyle="1" w:styleId="279">
    <w:name w:val="正文文本 Char"/>
    <w:qFormat/>
    <w:uiPriority w:val="0"/>
    <w:rPr>
      <w:sz w:val="26"/>
      <w:szCs w:val="24"/>
    </w:rPr>
  </w:style>
  <w:style w:type="character" w:customStyle="1" w:styleId="280">
    <w:name w:val="Char Char12"/>
    <w:qFormat/>
    <w:uiPriority w:val="0"/>
    <w:rPr>
      <w:rFonts w:eastAsia="黑体"/>
      <w:kern w:val="2"/>
      <w:sz w:val="44"/>
      <w:szCs w:val="44"/>
      <w:lang w:val="en-US" w:eastAsia="zh-CN" w:bidi="ar-SA"/>
    </w:rPr>
  </w:style>
  <w:style w:type="character" w:customStyle="1" w:styleId="281">
    <w:name w:val="标题 4 Char"/>
    <w:qFormat/>
    <w:uiPriority w:val="0"/>
    <w:rPr>
      <w:rFonts w:ascii="仿宋_GB2312" w:hAnsi="Calibri" w:eastAsia="仿宋_GB2312" w:cs="Times New Roman"/>
      <w:b/>
      <w:kern w:val="0"/>
      <w:sz w:val="24"/>
      <w:szCs w:val="28"/>
    </w:rPr>
  </w:style>
  <w:style w:type="character" w:customStyle="1" w:styleId="282">
    <w:name w:val="明显引用 Char3"/>
    <w:qFormat/>
    <w:uiPriority w:val="30"/>
    <w:rPr>
      <w:rFonts w:ascii="Calibri" w:hAnsi="Calibri" w:eastAsia="宋体" w:cs="Times New Roman"/>
      <w:b/>
      <w:bCs/>
      <w:i/>
      <w:iCs/>
      <w:color w:val="4F81BD"/>
      <w:szCs w:val="24"/>
    </w:rPr>
  </w:style>
  <w:style w:type="character" w:customStyle="1" w:styleId="283">
    <w:name w:val="引用 Char2"/>
    <w:qFormat/>
    <w:uiPriority w:val="99"/>
    <w:rPr>
      <w:i/>
      <w:iCs/>
      <w:color w:val="000000"/>
      <w:kern w:val="2"/>
      <w:sz w:val="21"/>
      <w:szCs w:val="24"/>
    </w:rPr>
  </w:style>
  <w:style w:type="character" w:customStyle="1" w:styleId="284">
    <w:name w:val="不明显强调1"/>
    <w:qFormat/>
    <w:uiPriority w:val="0"/>
    <w:rPr>
      <w:i/>
      <w:iCs/>
      <w:color w:val="808080"/>
    </w:rPr>
  </w:style>
  <w:style w:type="character" w:customStyle="1" w:styleId="285">
    <w:name w:val="color_red1"/>
    <w:qFormat/>
    <w:uiPriority w:val="0"/>
    <w:rPr>
      <w:color w:val="FA0004"/>
    </w:rPr>
  </w:style>
  <w:style w:type="character" w:customStyle="1" w:styleId="286">
    <w:name w:val="标题5 Char Char"/>
    <w:link w:val="153"/>
    <w:qFormat/>
    <w:uiPriority w:val="0"/>
    <w:rPr>
      <w:rFonts w:ascii="Arial" w:hAnsi="Arial" w:eastAsia="宋体" w:cs="Times New Roman"/>
      <w:b/>
      <w:bCs/>
      <w:kern w:val="0"/>
      <w:sz w:val="24"/>
      <w:szCs w:val="32"/>
    </w:rPr>
  </w:style>
  <w:style w:type="character" w:customStyle="1" w:styleId="287">
    <w:name w:val="标题4 Char Char"/>
    <w:link w:val="122"/>
    <w:qFormat/>
    <w:uiPriority w:val="0"/>
    <w:rPr>
      <w:rFonts w:ascii="Arial" w:hAnsi="Arial" w:eastAsia="宋体" w:cs="Times New Roman"/>
      <w:b/>
      <w:bCs/>
      <w:kern w:val="0"/>
      <w:sz w:val="24"/>
      <w:szCs w:val="32"/>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副标题 Char1"/>
    <w:qFormat/>
    <w:uiPriority w:val="0"/>
    <w:rPr>
      <w:szCs w:val="24"/>
      <w:u w:val="single"/>
      <w:lang w:eastAsia="en-US"/>
    </w:rPr>
  </w:style>
  <w:style w:type="character" w:customStyle="1" w:styleId="295">
    <w:name w:val="正文文本 Char3"/>
    <w:semiHidden/>
    <w:qFormat/>
    <w:uiPriority w:val="99"/>
    <w:rPr>
      <w:rFonts w:ascii="Calibri" w:hAnsi="Calibri" w:eastAsia="宋体" w:cs="Times New Roman"/>
      <w:szCs w:val="24"/>
    </w:rPr>
  </w:style>
  <w:style w:type="character" w:customStyle="1" w:styleId="296">
    <w:name w:val="标题 4 Char1"/>
    <w:qFormat/>
    <w:uiPriority w:val="0"/>
    <w:rPr>
      <w:rFonts w:ascii="宋体" w:hAnsi="宋体" w:eastAsia="宋体" w:cs="宋体"/>
      <w:b/>
      <w:bCs/>
      <w:sz w:val="24"/>
      <w:szCs w:val="24"/>
    </w:rPr>
  </w:style>
  <w:style w:type="character" w:customStyle="1" w:styleId="297">
    <w:name w:val="文档结构图 Char3"/>
    <w:semiHidden/>
    <w:qFormat/>
    <w:uiPriority w:val="99"/>
    <w:rPr>
      <w:rFonts w:ascii="宋体" w:hAnsi="Calibri" w:eastAsia="宋体" w:cs="Times New Roman"/>
      <w:sz w:val="18"/>
      <w:szCs w:val="18"/>
    </w:rPr>
  </w:style>
  <w:style w:type="character" w:customStyle="1" w:styleId="298">
    <w:name w:val="正文文本 3 Char2"/>
    <w:semiHidden/>
    <w:qFormat/>
    <w:uiPriority w:val="99"/>
    <w:rPr>
      <w:rFonts w:ascii="Calibri" w:hAnsi="Calibri" w:eastAsia="宋体" w:cs="Times New Roman"/>
      <w:sz w:val="16"/>
      <w:szCs w:val="16"/>
    </w:rPr>
  </w:style>
  <w:style w:type="character" w:customStyle="1" w:styleId="299">
    <w:name w:val="Char Char23"/>
    <w:qFormat/>
    <w:uiPriority w:val="0"/>
    <w:rPr>
      <w:rFonts w:ascii="Cambria" w:hAnsi="Cambria" w:eastAsia="宋体" w:cs="Times New Roman"/>
      <w:b/>
      <w:bCs/>
      <w:kern w:val="2"/>
      <w:sz w:val="32"/>
      <w:szCs w:val="32"/>
    </w:rPr>
  </w:style>
  <w:style w:type="character" w:customStyle="1" w:styleId="300">
    <w:name w:val="尾注文本 Char2"/>
    <w:semiHidden/>
    <w:qFormat/>
    <w:uiPriority w:val="99"/>
    <w:rPr>
      <w:rFonts w:ascii="Calibri" w:hAnsi="Calibri" w:eastAsia="宋体" w:cs="Times New Roman"/>
      <w:szCs w:val="24"/>
    </w:rPr>
  </w:style>
  <w:style w:type="character" w:customStyle="1" w:styleId="301">
    <w:name w:val="书籍标题1"/>
    <w:qFormat/>
    <w:uiPriority w:val="0"/>
    <w:rPr>
      <w:b/>
      <w:bCs/>
      <w:smallCaps/>
      <w:spacing w:val="5"/>
    </w:rPr>
  </w:style>
  <w:style w:type="character" w:customStyle="1" w:styleId="302">
    <w:name w:val="ITTHEADER2 Char"/>
    <w:qFormat/>
    <w:uiPriority w:val="0"/>
    <w:rPr>
      <w:rFonts w:ascii="仿宋_GB2312" w:eastAsia="仿宋_GB2312" w:cs="MingLiU"/>
      <w:b/>
      <w:spacing w:val="1"/>
      <w:w w:val="99"/>
      <w:sz w:val="28"/>
      <w:szCs w:val="32"/>
      <w:lang w:val="en-US" w:eastAsia="zh-CN" w:bidi="ar-SA"/>
    </w:rPr>
  </w:style>
  <w:style w:type="character" w:customStyle="1" w:styleId="303">
    <w:name w:val="批注文字 Char Char"/>
    <w:qFormat/>
    <w:uiPriority w:val="0"/>
    <w:rPr>
      <w:rFonts w:ascii="宋体" w:hAnsi="Times New Roman" w:eastAsia="宋体" w:cs="Times New Roman"/>
      <w:sz w:val="28"/>
      <w:szCs w:val="20"/>
    </w:rPr>
  </w:style>
  <w:style w:type="character" w:customStyle="1" w:styleId="304">
    <w:name w:val="批注主题 Char2"/>
    <w:qFormat/>
    <w:uiPriority w:val="99"/>
    <w:rPr>
      <w:b/>
      <w:bCs/>
      <w:kern w:val="2"/>
      <w:sz w:val="21"/>
      <w:szCs w:val="24"/>
    </w:rPr>
  </w:style>
  <w:style w:type="character" w:customStyle="1" w:styleId="305">
    <w:name w:val="normaltext1"/>
    <w:qFormat/>
    <w:uiPriority w:val="0"/>
    <w:rPr>
      <w:rFonts w:hint="default" w:ascii="ˎ̥" w:hAnsi="ˎ̥"/>
      <w:sz w:val="9"/>
      <w:szCs w:val="9"/>
    </w:rPr>
  </w:style>
  <w:style w:type="character" w:customStyle="1" w:styleId="306">
    <w:name w:val="不明显参考1"/>
    <w:qFormat/>
    <w:uiPriority w:val="0"/>
    <w:rPr>
      <w:smallCaps/>
      <w:color w:val="C0504D"/>
      <w:u w:val="single"/>
    </w:rPr>
  </w:style>
  <w:style w:type="character" w:customStyle="1" w:styleId="307">
    <w:name w:val="标题 6 Char"/>
    <w:qFormat/>
    <w:uiPriority w:val="0"/>
    <w:rPr>
      <w:rFonts w:ascii="Arial" w:hAnsi="Arial" w:eastAsia="黑体" w:cs="Times New Roman"/>
      <w:b/>
      <w:bCs/>
      <w:sz w:val="24"/>
      <w:szCs w:val="24"/>
    </w:rPr>
  </w:style>
  <w:style w:type="character" w:customStyle="1" w:styleId="308">
    <w:name w:val="未处理的提及2"/>
    <w:basedOn w:val="47"/>
    <w:unhideWhenUsed/>
    <w:qFormat/>
    <w:uiPriority w:val="99"/>
    <w:rPr>
      <w:color w:val="605E5C"/>
      <w:shd w:val="clear" w:color="auto" w:fill="E1DFDD"/>
    </w:rPr>
  </w:style>
  <w:style w:type="paragraph" w:customStyle="1" w:styleId="309">
    <w:name w:val="Table Paragraph"/>
    <w:basedOn w:val="1"/>
    <w:qFormat/>
    <w:uiPriority w:val="1"/>
    <w:rPr>
      <w:rFonts w:ascii="宋体" w:hAnsi="宋体" w:cs="宋体"/>
    </w:rPr>
  </w:style>
  <w:style w:type="table" w:customStyle="1" w:styleId="310">
    <w:name w:val="网格型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1">
    <w:name w:val="占位符文本1"/>
    <w:basedOn w:val="47"/>
    <w:semiHidden/>
    <w:qFormat/>
    <w:uiPriority w:val="99"/>
    <w:rPr>
      <w:color w:val="808080"/>
    </w:rPr>
  </w:style>
  <w:style w:type="character" w:customStyle="1" w:styleId="312">
    <w:name w:val="datetime"/>
    <w:basedOn w:val="47"/>
    <w:qFormat/>
    <w:uiPriority w:val="0"/>
    <w:rPr>
      <w:color w:val="808080"/>
      <w:sz w:val="21"/>
      <w:szCs w:val="21"/>
    </w:rPr>
  </w:style>
  <w:style w:type="character" w:customStyle="1" w:styleId="313">
    <w:name w:val="datetime1"/>
    <w:basedOn w:val="47"/>
    <w:qFormat/>
    <w:uiPriority w:val="0"/>
  </w:style>
  <w:style w:type="character" w:customStyle="1" w:styleId="314">
    <w:name w:val="datetime2"/>
    <w:basedOn w:val="47"/>
    <w:qFormat/>
    <w:uiPriority w:val="0"/>
  </w:style>
  <w:style w:type="character" w:customStyle="1" w:styleId="315">
    <w:name w:val="datetime3"/>
    <w:basedOn w:val="47"/>
    <w:qFormat/>
    <w:uiPriority w:val="0"/>
  </w:style>
  <w:style w:type="character" w:customStyle="1" w:styleId="316">
    <w:name w:val="datetime4"/>
    <w:basedOn w:val="47"/>
    <w:qFormat/>
    <w:uiPriority w:val="0"/>
    <w:rPr>
      <w:color w:val="808080"/>
      <w:sz w:val="21"/>
      <w:szCs w:val="21"/>
    </w:rPr>
  </w:style>
  <w:style w:type="character" w:customStyle="1" w:styleId="317">
    <w:name w:val="cldh_img"/>
    <w:basedOn w:val="47"/>
    <w:qFormat/>
    <w:uiPriority w:val="0"/>
  </w:style>
  <w:style w:type="character" w:customStyle="1" w:styleId="318">
    <w:name w:val="cldh_img1"/>
    <w:basedOn w:val="47"/>
    <w:qFormat/>
    <w:uiPriority w:val="0"/>
  </w:style>
  <w:style w:type="character" w:customStyle="1" w:styleId="319">
    <w:name w:val="cldh_img2"/>
    <w:basedOn w:val="47"/>
    <w:qFormat/>
    <w:uiPriority w:val="0"/>
  </w:style>
  <w:style w:type="table" w:customStyle="1" w:styleId="32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23">
    <w:name w:val="未处理的提及3"/>
    <w:basedOn w:val="47"/>
    <w:unhideWhenUsed/>
    <w:qFormat/>
    <w:uiPriority w:val="99"/>
    <w:rPr>
      <w:color w:val="605E5C"/>
      <w:shd w:val="clear" w:color="auto" w:fill="E1DFDD"/>
    </w:rPr>
  </w:style>
  <w:style w:type="paragraph" w:customStyle="1" w:styleId="32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25">
    <w:name w:val="未处理的提及4"/>
    <w:basedOn w:val="47"/>
    <w:unhideWhenUsed/>
    <w:qFormat/>
    <w:uiPriority w:val="99"/>
    <w:rPr>
      <w:color w:val="605E5C"/>
      <w:shd w:val="clear" w:color="auto" w:fill="E1DFDD"/>
    </w:rPr>
  </w:style>
  <w:style w:type="paragraph" w:customStyle="1" w:styleId="32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327">
    <w:name w:val="NormalCharacter"/>
    <w:semiHidden/>
    <w:qFormat/>
    <w:uiPriority w:val="0"/>
  </w:style>
  <w:style w:type="paragraph" w:customStyle="1" w:styleId="328">
    <w:name w:val="列表段落2"/>
    <w:basedOn w:val="1"/>
    <w:qFormat/>
    <w:uiPriority w:val="0"/>
    <w:pPr>
      <w:ind w:firstLine="420" w:firstLineChars="200"/>
    </w:pPr>
    <w:rPr>
      <w:rFonts w:ascii="Times New Roman" w:hAnsi="Times New Roman"/>
      <w:spacing w:val="6"/>
      <w:sz w:val="24"/>
      <w:szCs w:val="20"/>
    </w:rPr>
  </w:style>
  <w:style w:type="paragraph" w:customStyle="1" w:styleId="3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115</Pages>
  <Words>956</Words>
  <Characters>1189</Characters>
  <Lines>854</Lines>
  <Paragraphs>240</Paragraphs>
  <TotalTime>4</TotalTime>
  <ScaleCrop>false</ScaleCrop>
  <LinksUpToDate>false</LinksUpToDate>
  <CharactersWithSpaces>1459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123</cp:lastModifiedBy>
  <dcterms:modified xsi:type="dcterms:W3CDTF">2025-09-09T12:15:34Z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181D35387A3C4E79BFF585C2FA7E3B4B_13</vt:lpwstr>
  </property>
  <property fmtid="{D5CDD505-2E9C-101B-9397-08002B2CF9AE}" pid="4" name="KSOTemplateDocerSaveRecord">
    <vt:lpwstr>eyJoZGlkIjoiMzdlOTk2YmZjZjk1ODc5MjY5ZjA2ZTRkM2U4ZGMwMmQiLCJ1c2VySWQiOiIyOTIwNjkxNDIifQ==</vt:lpwstr>
  </property>
</Properties>
</file>