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A9C3E">
      <w:pPr>
        <w:jc w:val="center"/>
        <w:outlineLvl w:val="0"/>
        <w:rPr>
          <w:rFonts w:ascii="Times New Roman" w:hAnsi="Times New Roman" w:eastAsia="方正黑体_GBK"/>
          <w:color w:val="000000"/>
          <w:spacing w:val="80"/>
          <w:sz w:val="112"/>
          <w:szCs w:val="112"/>
        </w:rPr>
      </w:pPr>
      <w:r>
        <w:rPr>
          <w:rFonts w:hint="eastAsia" w:ascii="Times New Roman" w:hAnsi="Times New Roman" w:eastAsia="方正黑体_GBK"/>
          <w:color w:val="000000"/>
          <w:spacing w:val="80"/>
          <w:sz w:val="112"/>
          <w:szCs w:val="112"/>
        </w:rPr>
        <w:t>询</w:t>
      </w:r>
      <w:r>
        <w:rPr>
          <w:rFonts w:hint="eastAsia" w:ascii="Times New Roman" w:hAnsi="Times New Roman" w:eastAsia="方正黑体_GBK"/>
          <w:color w:val="000000"/>
          <w:spacing w:val="80"/>
          <w:sz w:val="112"/>
          <w:szCs w:val="112"/>
          <w:lang w:val="en-US" w:eastAsia="zh-CN"/>
        </w:rPr>
        <w:t>价</w:t>
      </w:r>
      <w:r>
        <w:rPr>
          <w:rFonts w:hint="eastAsia" w:ascii="Times New Roman" w:hAnsi="Times New Roman" w:eastAsia="方正黑体_GBK"/>
          <w:color w:val="000000"/>
          <w:spacing w:val="80"/>
          <w:sz w:val="112"/>
          <w:szCs w:val="112"/>
        </w:rPr>
        <w:t>采购文件</w:t>
      </w:r>
    </w:p>
    <w:p w14:paraId="27D676A4">
      <w:pPr>
        <w:jc w:val="center"/>
        <w:outlineLvl w:val="0"/>
        <w:rPr>
          <w:rFonts w:ascii="Times New Roman" w:hAnsi="Times New Roman" w:eastAsia="方正黑体_GBK"/>
          <w:color w:val="000000"/>
          <w:spacing w:val="80"/>
          <w:sz w:val="44"/>
          <w:szCs w:val="44"/>
        </w:rPr>
      </w:pPr>
      <w:r>
        <w:rPr>
          <w:rFonts w:hint="eastAsia" w:ascii="Times New Roman" w:hAnsi="Times New Roman" w:eastAsia="方正黑体_GBK"/>
          <w:color w:val="000000"/>
          <w:spacing w:val="80"/>
          <w:sz w:val="44"/>
          <w:szCs w:val="44"/>
        </w:rPr>
        <w:t>（</w:t>
      </w:r>
      <w:r>
        <w:rPr>
          <w:rFonts w:hint="eastAsia" w:ascii="Times New Roman" w:hAnsi="Times New Roman" w:eastAsia="方正黑体_GBK"/>
          <w:color w:val="000000"/>
          <w:spacing w:val="80"/>
          <w:sz w:val="44"/>
          <w:szCs w:val="44"/>
          <w:lang w:val="en-US" w:eastAsia="zh-CN"/>
        </w:rPr>
        <w:t>低价中标</w:t>
      </w:r>
      <w:r>
        <w:rPr>
          <w:rFonts w:hint="eastAsia" w:ascii="Times New Roman" w:hAnsi="Times New Roman" w:eastAsia="方正黑体_GBK"/>
          <w:color w:val="000000"/>
          <w:spacing w:val="80"/>
          <w:sz w:val="44"/>
          <w:szCs w:val="44"/>
        </w:rPr>
        <w:t>法）</w:t>
      </w:r>
    </w:p>
    <w:p w14:paraId="2F0B5352">
      <w:pPr>
        <w:spacing w:line="700" w:lineRule="exact"/>
        <w:jc w:val="center"/>
        <w:rPr>
          <w:rFonts w:ascii="Times New Roman" w:hAnsi="Times New Roman" w:eastAsia="黑体"/>
          <w:color w:val="000000"/>
          <w:sz w:val="32"/>
        </w:rPr>
      </w:pPr>
    </w:p>
    <w:p w14:paraId="26169808">
      <w:pPr>
        <w:spacing w:line="700" w:lineRule="exact"/>
        <w:jc w:val="center"/>
        <w:rPr>
          <w:rFonts w:ascii="Times New Roman" w:hAnsi="Times New Roman" w:eastAsia="黑体"/>
          <w:color w:val="000000"/>
          <w:sz w:val="32"/>
        </w:rPr>
      </w:pPr>
    </w:p>
    <w:p w14:paraId="0289A318">
      <w:pPr>
        <w:spacing w:line="700" w:lineRule="exact"/>
        <w:jc w:val="center"/>
        <w:rPr>
          <w:rFonts w:ascii="Times New Roman" w:hAnsi="Times New Roman" w:eastAsia="黑体"/>
          <w:color w:val="000000"/>
          <w:sz w:val="32"/>
        </w:rPr>
      </w:pPr>
    </w:p>
    <w:p w14:paraId="6F8F71CE">
      <w:pPr>
        <w:spacing w:line="700" w:lineRule="exact"/>
        <w:jc w:val="center"/>
        <w:rPr>
          <w:rFonts w:ascii="Times New Roman" w:hAnsi="Times New Roman" w:eastAsia="黑体"/>
          <w:color w:val="000000"/>
          <w:sz w:val="32"/>
        </w:rPr>
      </w:pPr>
    </w:p>
    <w:p w14:paraId="26350B62">
      <w:pPr>
        <w:widowControl/>
        <w:ind w:left="2518" w:leftChars="342" w:hanging="1800" w:hangingChars="500"/>
        <w:jc w:val="both"/>
        <w:rPr>
          <w:rFonts w:hint="default"/>
          <w:lang w:val="en-US"/>
        </w:rPr>
      </w:pPr>
      <w:r>
        <w:rPr>
          <w:rFonts w:hint="eastAsia" w:ascii="Times New Roman" w:hAnsi="Times New Roman" w:eastAsia="方正黑体_GBK"/>
          <w:color w:val="000000"/>
          <w:sz w:val="36"/>
          <w:szCs w:val="30"/>
        </w:rPr>
        <w:t>项目名称：</w:t>
      </w:r>
      <w:r>
        <w:rPr>
          <w:rFonts w:hint="eastAsia" w:ascii="Times New Roman" w:hAnsi="Times New Roman" w:eastAsia="方正黑体_GBK"/>
          <w:color w:val="000000"/>
          <w:sz w:val="36"/>
          <w:szCs w:val="30"/>
          <w:u w:val="single"/>
          <w:lang w:val="en-US" w:eastAsia="zh-CN"/>
        </w:rPr>
        <w:t>璧山区星级社会工作服务指导中心</w:t>
      </w:r>
      <w:r>
        <w:rPr>
          <w:rFonts w:hint="eastAsia" w:ascii="Times New Roman" w:hAnsi="Times New Roman" w:eastAsia="方正黑体_GBK"/>
          <w:color w:val="000000"/>
          <w:sz w:val="36"/>
          <w:szCs w:val="30"/>
          <w:u w:val="single"/>
          <w:lang w:val="en-US" w:eastAsia="zh-CN"/>
        </w:rPr>
        <w:br w:type="textWrapping"/>
      </w:r>
      <w:r>
        <w:rPr>
          <w:rFonts w:hint="eastAsia" w:ascii="Times New Roman" w:hAnsi="Times New Roman" w:eastAsia="方正黑体_GBK"/>
          <w:color w:val="000000"/>
          <w:sz w:val="36"/>
          <w:szCs w:val="30"/>
          <w:u w:val="single"/>
          <w:lang w:val="en-US" w:eastAsia="zh-CN"/>
        </w:rPr>
        <w:t>弱电设备采购</w:t>
      </w:r>
    </w:p>
    <w:p w14:paraId="7AA1D4C8">
      <w:pPr>
        <w:widowControl/>
        <w:ind w:firstLine="720" w:firstLineChars="200"/>
        <w:jc w:val="both"/>
        <w:rPr>
          <w:rFonts w:hint="default" w:ascii="Times New Roman" w:hAnsi="Times New Roman" w:eastAsia="方正黑体_GBK"/>
          <w:color w:val="000000"/>
          <w:sz w:val="36"/>
          <w:szCs w:val="30"/>
          <w:u w:val="single"/>
          <w:lang w:val="en-US" w:eastAsia="zh-CN"/>
        </w:rPr>
      </w:pPr>
      <w:r>
        <w:rPr>
          <w:rFonts w:hint="eastAsia" w:ascii="Times New Roman" w:hAnsi="Times New Roman" w:eastAsia="方正黑体_GBK"/>
          <w:color w:val="000000"/>
          <w:sz w:val="36"/>
          <w:szCs w:val="30"/>
        </w:rPr>
        <w:t>采</w:t>
      </w:r>
      <w:r>
        <w:rPr>
          <w:rFonts w:hint="eastAsia" w:ascii="Times New Roman" w:hAnsi="Times New Roman" w:eastAsia="方正黑体_GBK"/>
          <w:color w:val="000000"/>
          <w:sz w:val="36"/>
          <w:szCs w:val="30"/>
          <w:lang w:val="en-US" w:eastAsia="zh-CN"/>
        </w:rPr>
        <w:t xml:space="preserve"> </w:t>
      </w:r>
      <w:r>
        <w:rPr>
          <w:rFonts w:hint="eastAsia" w:ascii="Times New Roman" w:hAnsi="Times New Roman" w:eastAsia="方正黑体_GBK"/>
          <w:color w:val="000000"/>
          <w:sz w:val="36"/>
          <w:szCs w:val="30"/>
        </w:rPr>
        <w:t>购</w:t>
      </w:r>
      <w:r>
        <w:rPr>
          <w:rFonts w:hint="eastAsia" w:ascii="Times New Roman" w:hAnsi="Times New Roman" w:eastAsia="方正黑体_GBK"/>
          <w:color w:val="000000"/>
          <w:sz w:val="36"/>
          <w:szCs w:val="30"/>
          <w:lang w:val="en-US" w:eastAsia="zh-CN"/>
        </w:rPr>
        <w:t xml:space="preserve"> </w:t>
      </w:r>
      <w:r>
        <w:rPr>
          <w:rFonts w:hint="eastAsia" w:ascii="Times New Roman" w:hAnsi="Times New Roman" w:eastAsia="方正黑体_GBK"/>
          <w:color w:val="000000"/>
          <w:sz w:val="36"/>
          <w:szCs w:val="30"/>
        </w:rPr>
        <w:t>人：</w:t>
      </w:r>
      <w:r>
        <w:rPr>
          <w:rFonts w:hint="eastAsia" w:ascii="Times New Roman" w:hAnsi="Times New Roman" w:eastAsia="方正黑体_GBK"/>
          <w:color w:val="000000"/>
          <w:sz w:val="36"/>
          <w:szCs w:val="30"/>
          <w:u w:val="single"/>
        </w:rPr>
        <w:t>重庆西算大数据有限公司</w:t>
      </w:r>
    </w:p>
    <w:p w14:paraId="2023EA50">
      <w:pPr>
        <w:snapToGrid w:val="0"/>
        <w:spacing w:line="560" w:lineRule="exact"/>
        <w:jc w:val="center"/>
        <w:rPr>
          <w:rFonts w:hint="eastAsia" w:ascii="Times New Roman" w:hAnsi="Times New Roman" w:eastAsia="方正黑体_GBK"/>
          <w:color w:val="000000"/>
          <w:sz w:val="36"/>
          <w:szCs w:val="30"/>
        </w:rPr>
      </w:pPr>
    </w:p>
    <w:p w14:paraId="79935E4A">
      <w:pPr>
        <w:snapToGrid w:val="0"/>
        <w:spacing w:line="560" w:lineRule="exact"/>
        <w:jc w:val="center"/>
        <w:rPr>
          <w:rFonts w:hint="eastAsia" w:ascii="Times New Roman" w:hAnsi="Times New Roman" w:eastAsia="方正黑体_GBK"/>
          <w:color w:val="000000"/>
          <w:sz w:val="36"/>
          <w:szCs w:val="30"/>
        </w:rPr>
      </w:pPr>
    </w:p>
    <w:p w14:paraId="5AAD966A">
      <w:pPr>
        <w:snapToGrid w:val="0"/>
        <w:spacing w:line="560" w:lineRule="exact"/>
        <w:jc w:val="center"/>
        <w:rPr>
          <w:rFonts w:hint="eastAsia" w:ascii="Times New Roman" w:hAnsi="Times New Roman" w:eastAsia="方正黑体_GBK"/>
          <w:color w:val="000000"/>
          <w:sz w:val="36"/>
          <w:szCs w:val="30"/>
        </w:rPr>
      </w:pPr>
    </w:p>
    <w:p w14:paraId="44D6AE19">
      <w:pPr>
        <w:snapToGrid w:val="0"/>
        <w:spacing w:line="560" w:lineRule="exact"/>
        <w:jc w:val="center"/>
        <w:rPr>
          <w:rFonts w:hint="eastAsia" w:ascii="Times New Roman" w:hAnsi="Times New Roman" w:eastAsia="方正黑体_GBK"/>
          <w:color w:val="000000"/>
          <w:sz w:val="36"/>
          <w:szCs w:val="30"/>
        </w:rPr>
      </w:pPr>
      <w:r>
        <w:rPr>
          <w:rFonts w:hint="eastAsia" w:ascii="Times New Roman" w:hAnsi="Times New Roman" w:eastAsia="方正黑体_GBK"/>
          <w:color w:val="000000"/>
          <w:sz w:val="36"/>
          <w:szCs w:val="30"/>
          <w:lang w:val="en-US" w:eastAsia="zh-CN"/>
        </w:rPr>
        <w:t>2026</w:t>
      </w:r>
      <w:r>
        <w:rPr>
          <w:rFonts w:hint="eastAsia" w:ascii="Times New Roman" w:hAnsi="Times New Roman" w:eastAsia="方正黑体_GBK"/>
          <w:color w:val="000000"/>
          <w:sz w:val="36"/>
          <w:szCs w:val="30"/>
        </w:rPr>
        <w:t>年</w:t>
      </w:r>
      <w:r>
        <w:rPr>
          <w:rFonts w:hint="eastAsia" w:ascii="Times New Roman" w:hAnsi="Times New Roman" w:eastAsia="方正黑体_GBK"/>
          <w:color w:val="000000"/>
          <w:sz w:val="36"/>
          <w:szCs w:val="30"/>
          <w:lang w:val="en-US" w:eastAsia="zh-CN"/>
        </w:rPr>
        <w:t>6</w:t>
      </w:r>
      <w:r>
        <w:rPr>
          <w:rFonts w:hint="eastAsia" w:ascii="Times New Roman" w:hAnsi="Times New Roman" w:eastAsia="方正黑体_GBK"/>
          <w:color w:val="000000"/>
          <w:sz w:val="36"/>
          <w:szCs w:val="30"/>
        </w:rPr>
        <w:t>月</w:t>
      </w:r>
    </w:p>
    <w:p w14:paraId="3A220461">
      <w:pPr>
        <w:snapToGrid w:val="0"/>
        <w:spacing w:line="560" w:lineRule="exact"/>
        <w:rPr>
          <w:rFonts w:hint="eastAsia" w:ascii="Times New Roman" w:hAnsi="Times New Roman" w:eastAsia="方正黑体_GBK"/>
          <w:sz w:val="28"/>
          <w:szCs w:val="28"/>
        </w:rPr>
      </w:pPr>
    </w:p>
    <w:p w14:paraId="13206249">
      <w:pPr>
        <w:spacing w:line="400" w:lineRule="exact"/>
        <w:rPr>
          <w:rFonts w:ascii="Times New Roman" w:hAnsi="Times New Roman" w:eastAsia="方正仿宋_GBK"/>
          <w:sz w:val="24"/>
        </w:rPr>
        <w:sectPr>
          <w:headerReference r:id="rId3" w:type="default"/>
          <w:footerReference r:id="rId4" w:type="default"/>
          <w:pgSz w:w="11906" w:h="16838"/>
          <w:pgMar w:top="1984" w:right="1446" w:bottom="1644" w:left="1446" w:header="851" w:footer="1474" w:gutter="0"/>
          <w:pgNumType w:fmt="decimal"/>
          <w:cols w:space="720" w:num="1"/>
          <w:docGrid w:type="lines" w:linePitch="312" w:charSpace="0"/>
        </w:sectPr>
      </w:pPr>
    </w:p>
    <w:p w14:paraId="1FCA7850">
      <w:pPr>
        <w:snapToGrid w:val="0"/>
        <w:spacing w:line="560" w:lineRule="exact"/>
        <w:rPr>
          <w:rFonts w:ascii="Times New Roman" w:hAnsi="Times New Roman" w:eastAsia="方正黑体_GBK"/>
          <w:sz w:val="28"/>
          <w:szCs w:val="28"/>
        </w:rPr>
      </w:pPr>
      <w:bookmarkStart w:id="0" w:name="_Toc7625"/>
      <w:bookmarkStart w:id="1" w:name="_Toc313893526"/>
      <w:bookmarkStart w:id="2" w:name="_Toc25458"/>
      <w:bookmarkStart w:id="3" w:name="_Toc18159"/>
      <w:bookmarkStart w:id="4" w:name="_Toc18881"/>
      <w:bookmarkStart w:id="5" w:name="_Toc26820"/>
      <w:bookmarkStart w:id="6" w:name="_Toc12808"/>
      <w:bookmarkStart w:id="7" w:name="_Toc317775175"/>
      <w:bookmarkStart w:id="8" w:name="_Toc3463"/>
      <w:r>
        <w:rPr>
          <w:rFonts w:hint="eastAsia" w:ascii="Times New Roman" w:hAnsi="Times New Roman" w:eastAsia="方正黑体_GBK"/>
          <w:sz w:val="32"/>
          <w:szCs w:val="32"/>
        </w:rPr>
        <w:t xml:space="preserve"> </w:t>
      </w:r>
      <w:r>
        <w:rPr>
          <w:rFonts w:hint="eastAsia" w:ascii="Times New Roman" w:hAnsi="Times New Roman" w:eastAsia="方正黑体_GBK"/>
          <w:sz w:val="28"/>
          <w:szCs w:val="28"/>
        </w:rPr>
        <w:t xml:space="preserve">  </w:t>
      </w:r>
      <w:r>
        <w:rPr>
          <w:rFonts w:ascii="Times New Roman" w:hAnsi="Times New Roman" w:eastAsia="方正黑体_GBK"/>
          <w:sz w:val="28"/>
          <w:szCs w:val="28"/>
        </w:rPr>
        <w:t>一、询</w:t>
      </w:r>
      <w:r>
        <w:rPr>
          <w:rFonts w:hint="eastAsia" w:ascii="Times New Roman" w:hAnsi="Times New Roman" w:eastAsia="方正黑体_GBK"/>
          <w:sz w:val="28"/>
          <w:szCs w:val="28"/>
          <w:lang w:val="en-US" w:eastAsia="zh-CN"/>
        </w:rPr>
        <w:t>价</w:t>
      </w:r>
      <w:r>
        <w:rPr>
          <w:rFonts w:ascii="Times New Roman" w:hAnsi="Times New Roman" w:eastAsia="方正黑体_GBK"/>
          <w:sz w:val="28"/>
          <w:szCs w:val="28"/>
        </w:rPr>
        <w:t>采购内容</w:t>
      </w:r>
      <w:bookmarkEnd w:id="0"/>
      <w:bookmarkEnd w:id="1"/>
      <w:bookmarkEnd w:id="2"/>
      <w:bookmarkEnd w:id="3"/>
      <w:bookmarkEnd w:id="4"/>
      <w:bookmarkEnd w:id="5"/>
      <w:bookmarkEnd w:id="6"/>
      <w:bookmarkEnd w:id="7"/>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6"/>
        <w:gridCol w:w="1971"/>
        <w:gridCol w:w="2165"/>
        <w:gridCol w:w="1461"/>
      </w:tblGrid>
      <w:tr w14:paraId="01E8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jc w:val="center"/>
        </w:trPr>
        <w:tc>
          <w:tcPr>
            <w:tcW w:w="3406" w:type="dxa"/>
            <w:tcBorders>
              <w:top w:val="single" w:color="auto" w:sz="4" w:space="0"/>
              <w:left w:val="single" w:color="auto" w:sz="4" w:space="0"/>
              <w:right w:val="single" w:color="auto" w:sz="4" w:space="0"/>
            </w:tcBorders>
            <w:noWrap w:val="0"/>
            <w:vAlign w:val="center"/>
          </w:tcPr>
          <w:p w14:paraId="1B20FDF4">
            <w:pPr>
              <w:widowControl/>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项目名称</w:t>
            </w:r>
          </w:p>
        </w:tc>
        <w:tc>
          <w:tcPr>
            <w:tcW w:w="1971" w:type="dxa"/>
            <w:tcBorders>
              <w:top w:val="single" w:color="auto" w:sz="4" w:space="0"/>
              <w:left w:val="single" w:color="auto" w:sz="4" w:space="0"/>
              <w:right w:val="single" w:color="auto" w:sz="4" w:space="0"/>
            </w:tcBorders>
            <w:noWrap w:val="0"/>
            <w:vAlign w:val="center"/>
          </w:tcPr>
          <w:p w14:paraId="55F989B1">
            <w:pPr>
              <w:widowControl/>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采购限价</w:t>
            </w:r>
          </w:p>
          <w:p w14:paraId="5C44E112">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（万元</w:t>
            </w:r>
            <w:r>
              <w:rPr>
                <w:rFonts w:hint="eastAsia" w:ascii="Times New Roman" w:hAnsi="Times New Roman" w:eastAsia="方正小标宋_GBK" w:cs="方正小标宋_GBK"/>
                <w:kern w:val="0"/>
                <w:sz w:val="28"/>
                <w:szCs w:val="28"/>
                <w:lang w:eastAsia="zh-CN"/>
              </w:rPr>
              <w:t>，</w:t>
            </w:r>
            <w:r>
              <w:rPr>
                <w:rFonts w:hint="eastAsia" w:ascii="Times New Roman" w:hAnsi="Times New Roman" w:eastAsia="方正小标宋_GBK" w:cs="方正小标宋_GBK"/>
                <w:kern w:val="0"/>
                <w:sz w:val="28"/>
                <w:szCs w:val="28"/>
                <w:lang w:val="en-US" w:eastAsia="zh-CN"/>
              </w:rPr>
              <w:t>含税</w:t>
            </w:r>
            <w:r>
              <w:rPr>
                <w:rFonts w:hint="eastAsia" w:ascii="Times New Roman" w:hAnsi="Times New Roman" w:eastAsia="方正小标宋_GBK" w:cs="方正小标宋_GBK"/>
                <w:kern w:val="0"/>
                <w:sz w:val="28"/>
                <w:szCs w:val="28"/>
              </w:rPr>
              <w:t>）</w:t>
            </w:r>
          </w:p>
        </w:tc>
        <w:tc>
          <w:tcPr>
            <w:tcW w:w="2165" w:type="dxa"/>
            <w:tcBorders>
              <w:top w:val="single" w:color="auto" w:sz="4" w:space="0"/>
              <w:left w:val="single" w:color="auto" w:sz="4" w:space="0"/>
              <w:right w:val="single" w:color="auto" w:sz="4" w:space="0"/>
            </w:tcBorders>
            <w:noWrap w:val="0"/>
            <w:vAlign w:val="center"/>
          </w:tcPr>
          <w:p w14:paraId="25338598">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资金来源</w:t>
            </w:r>
          </w:p>
        </w:tc>
        <w:tc>
          <w:tcPr>
            <w:tcW w:w="1461" w:type="dxa"/>
            <w:tcBorders>
              <w:top w:val="single" w:color="auto" w:sz="4" w:space="0"/>
              <w:left w:val="single" w:color="auto" w:sz="4" w:space="0"/>
              <w:right w:val="single" w:color="auto" w:sz="4" w:space="0"/>
            </w:tcBorders>
            <w:noWrap w:val="0"/>
            <w:vAlign w:val="center"/>
          </w:tcPr>
          <w:p w14:paraId="1BE65D00">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备注</w:t>
            </w:r>
          </w:p>
        </w:tc>
      </w:tr>
      <w:tr w14:paraId="6C95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3406" w:type="dxa"/>
            <w:tcBorders>
              <w:top w:val="single" w:color="auto" w:sz="4" w:space="0"/>
              <w:left w:val="single" w:color="auto" w:sz="4" w:space="0"/>
              <w:right w:val="single" w:color="auto" w:sz="4" w:space="0"/>
            </w:tcBorders>
            <w:shd w:val="clear" w:color="auto" w:fill="auto"/>
            <w:noWrap w:val="0"/>
            <w:vAlign w:val="center"/>
          </w:tcPr>
          <w:p w14:paraId="4458F9BB">
            <w:pPr>
              <w:widowControl/>
              <w:spacing w:line="500" w:lineRule="exact"/>
              <w:jc w:val="center"/>
              <w:rPr>
                <w:rFonts w:hint="default" w:ascii="Times New Roman" w:hAnsi="Times New Roman" w:eastAsia="方正仿宋_GBK"/>
                <w:sz w:val="28"/>
                <w:szCs w:val="28"/>
                <w:lang w:val="en-US" w:eastAsia="zh-CN"/>
              </w:rPr>
            </w:pPr>
            <w:bookmarkStart w:id="9" w:name="_Hlk344477914"/>
            <w:r>
              <w:rPr>
                <w:rFonts w:hint="eastAsia" w:ascii="方正仿宋_GBK" w:hAnsi="方正仿宋_GBK" w:eastAsia="方正仿宋_GBK" w:cs="方正仿宋_GBK"/>
                <w:color w:val="000000"/>
                <w:sz w:val="28"/>
                <w:szCs w:val="28"/>
                <w:highlight w:val="none"/>
                <w:u w:val="none"/>
                <w:shd w:val="clear"/>
                <w:lang w:val="en-US" w:eastAsia="zh-CN"/>
              </w:rPr>
              <w:t>璧山区星级社会工作服务指导中心弱电设备采购</w:t>
            </w:r>
          </w:p>
        </w:tc>
        <w:tc>
          <w:tcPr>
            <w:tcW w:w="1971" w:type="dxa"/>
            <w:tcBorders>
              <w:top w:val="single" w:color="auto" w:sz="4" w:space="0"/>
              <w:left w:val="single" w:color="auto" w:sz="4" w:space="0"/>
              <w:right w:val="single" w:color="auto" w:sz="4" w:space="0"/>
            </w:tcBorders>
            <w:noWrap w:val="0"/>
            <w:vAlign w:val="center"/>
          </w:tcPr>
          <w:p w14:paraId="09CA18EB">
            <w:pPr>
              <w:widowControl/>
              <w:spacing w:line="300" w:lineRule="exact"/>
              <w:jc w:val="center"/>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19.8</w:t>
            </w:r>
          </w:p>
        </w:tc>
        <w:tc>
          <w:tcPr>
            <w:tcW w:w="2165" w:type="dxa"/>
            <w:tcBorders>
              <w:top w:val="single" w:color="auto" w:sz="4" w:space="0"/>
              <w:left w:val="single" w:color="auto" w:sz="4" w:space="0"/>
              <w:right w:val="single" w:color="auto" w:sz="4" w:space="0"/>
            </w:tcBorders>
            <w:noWrap w:val="0"/>
            <w:vAlign w:val="center"/>
          </w:tcPr>
          <w:p w14:paraId="4ACD7BFA">
            <w:pPr>
              <w:widowControl/>
              <w:spacing w:line="560" w:lineRule="exact"/>
              <w:jc w:val="center"/>
              <w:rPr>
                <w:rFonts w:hint="eastAsia" w:ascii="Times New Roman" w:hAnsi="Times New Roman" w:eastAsia="方正仿宋_GBK"/>
                <w:kern w:val="0"/>
                <w:sz w:val="28"/>
                <w:szCs w:val="28"/>
              </w:rPr>
            </w:pPr>
            <w:r>
              <w:rPr>
                <w:rFonts w:hint="eastAsia" w:ascii="Times New Roman" w:hAnsi="Times New Roman" w:eastAsia="方正仿宋_GBK"/>
                <w:sz w:val="28"/>
                <w:szCs w:val="28"/>
              </w:rPr>
              <w:t>业主自筹资金</w:t>
            </w:r>
          </w:p>
        </w:tc>
        <w:tc>
          <w:tcPr>
            <w:tcW w:w="1461" w:type="dxa"/>
            <w:tcBorders>
              <w:top w:val="single" w:color="auto" w:sz="4" w:space="0"/>
              <w:left w:val="single" w:color="auto" w:sz="4" w:space="0"/>
              <w:right w:val="single" w:color="auto" w:sz="4" w:space="0"/>
            </w:tcBorders>
            <w:noWrap w:val="0"/>
            <w:vAlign w:val="center"/>
          </w:tcPr>
          <w:p w14:paraId="78F202B5">
            <w:pPr>
              <w:spacing w:line="400" w:lineRule="exact"/>
              <w:rPr>
                <w:rFonts w:ascii="Times New Roman" w:hAnsi="Times New Roman" w:eastAsia="方正仿宋_GBK"/>
                <w:b/>
                <w:sz w:val="28"/>
                <w:szCs w:val="28"/>
              </w:rPr>
            </w:pPr>
          </w:p>
        </w:tc>
      </w:tr>
      <w:bookmarkEnd w:id="9"/>
    </w:tbl>
    <w:p w14:paraId="3BF086D8">
      <w:pPr>
        <w:snapToGrid w:val="0"/>
        <w:spacing w:line="560" w:lineRule="exact"/>
        <w:ind w:firstLine="560" w:firstLineChars="200"/>
        <w:rPr>
          <w:rFonts w:hint="eastAsia" w:ascii="Times New Roman" w:hAnsi="Times New Roman" w:eastAsia="方正仿宋_GBK" w:cs="Times New Roman"/>
          <w:b/>
          <w:bCs/>
          <w:color w:val="000000"/>
          <w:sz w:val="28"/>
          <w:szCs w:val="28"/>
          <w:lang w:val="en-US" w:eastAsia="zh-CN"/>
        </w:rPr>
      </w:pPr>
      <w:bookmarkStart w:id="10" w:name="_Toc19437"/>
      <w:bookmarkStart w:id="11" w:name="_Toc1790"/>
      <w:bookmarkStart w:id="12" w:name="_Toc15727"/>
      <w:bookmarkStart w:id="13" w:name="_Toc22399"/>
      <w:bookmarkStart w:id="14" w:name="_Toc373860293"/>
      <w:bookmarkStart w:id="15" w:name="_Toc317775178"/>
      <w:bookmarkStart w:id="16" w:name="_Toc15576"/>
      <w:bookmarkStart w:id="17" w:name="_Toc25190"/>
      <w:bookmarkStart w:id="18" w:name="_Toc6462"/>
      <w:r>
        <w:rPr>
          <w:rFonts w:ascii="Times New Roman" w:hAnsi="Times New Roman" w:eastAsia="方正黑体_GBK"/>
          <w:sz w:val="28"/>
          <w:szCs w:val="28"/>
        </w:rPr>
        <w:t>二、</w:t>
      </w:r>
      <w:r>
        <w:rPr>
          <w:rFonts w:hint="eastAsia" w:ascii="Times New Roman" w:hAnsi="Times New Roman" w:eastAsia="方正黑体_GBK"/>
          <w:sz w:val="28"/>
          <w:szCs w:val="28"/>
          <w:lang w:eastAsia="zh-CN"/>
        </w:rPr>
        <w:t>询价</w:t>
      </w:r>
      <w:r>
        <w:rPr>
          <w:rFonts w:ascii="Times New Roman" w:hAnsi="Times New Roman" w:eastAsia="方正黑体_GBK"/>
          <w:sz w:val="28"/>
          <w:szCs w:val="28"/>
        </w:rPr>
        <w:t>资格</w:t>
      </w:r>
      <w:bookmarkEnd w:id="10"/>
      <w:bookmarkEnd w:id="11"/>
      <w:bookmarkEnd w:id="12"/>
      <w:bookmarkEnd w:id="13"/>
      <w:bookmarkEnd w:id="14"/>
      <w:bookmarkEnd w:id="15"/>
      <w:bookmarkEnd w:id="16"/>
      <w:bookmarkEnd w:id="17"/>
      <w:bookmarkEnd w:id="18"/>
    </w:p>
    <w:p w14:paraId="3FA38FF0">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（一）基本条件</w:t>
      </w:r>
    </w:p>
    <w:p w14:paraId="2D6D385D">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1、</w:t>
      </w:r>
      <w:r>
        <w:rPr>
          <w:rFonts w:hint="default" w:ascii="Times New Roman" w:hAnsi="Times New Roman" w:eastAsia="方正仿宋_GBK" w:cs="Times New Roman"/>
          <w:color w:val="000000"/>
          <w:sz w:val="28"/>
          <w:szCs w:val="28"/>
          <w:lang w:val="en-US" w:eastAsia="zh-CN"/>
        </w:rPr>
        <w:t>坚持党的领导，遵守宪法和法律，恪守职业道德。</w:t>
      </w:r>
    </w:p>
    <w:p w14:paraId="6A859B9F">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2、具有独立承担民事责任的能力。</w:t>
      </w:r>
    </w:p>
    <w:p w14:paraId="7B93967C">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3、具有良好的商业信誉和健全的财务会计制度。</w:t>
      </w:r>
    </w:p>
    <w:p w14:paraId="790A5FCB">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4、有依法缴纳税收和社会保障资金的良好记录。</w:t>
      </w:r>
    </w:p>
    <w:p w14:paraId="4BE4F18D">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lang w:val="en-US" w:eastAsia="zh-CN"/>
        </w:rPr>
        <w:t>遵纪守法，未受过刑事处罚、行政处罚及行业处分。</w:t>
      </w:r>
    </w:p>
    <w:p w14:paraId="611F2B09">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6、法律、行政法规规定的其他条件。</w:t>
      </w:r>
    </w:p>
    <w:p w14:paraId="3B98F19B">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（二）资质条件</w:t>
      </w:r>
    </w:p>
    <w:p w14:paraId="2BB483A5">
      <w:pPr>
        <w:spacing w:line="500" w:lineRule="exact"/>
        <w:ind w:firstLine="1120" w:firstLineChars="4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无。</w:t>
      </w:r>
    </w:p>
    <w:p w14:paraId="219EE1C9">
      <w:pPr>
        <w:pStyle w:val="12"/>
        <w:numPr>
          <w:ilvl w:val="0"/>
          <w:numId w:val="1"/>
        </w:numPr>
        <w:ind w:left="0" w:leftChars="0" w:firstLine="0" w:firstLineChars="0"/>
        <w:rPr>
          <w:rFonts w:hint="eastAsia" w:ascii="Times New Roman" w:hAnsi="Times New Roman" w:eastAsia="方正黑体_GBK" w:cs="Times New Roman"/>
          <w:sz w:val="28"/>
          <w:szCs w:val="28"/>
        </w:rPr>
      </w:pPr>
      <w:r>
        <w:rPr>
          <w:rFonts w:ascii="Times New Roman" w:hAnsi="Times New Roman" w:eastAsia="方正黑体_GBK"/>
          <w:sz w:val="28"/>
          <w:szCs w:val="28"/>
        </w:rPr>
        <w:t>采购</w:t>
      </w:r>
      <w:r>
        <w:rPr>
          <w:rFonts w:hint="eastAsia" w:ascii="Times New Roman" w:hAnsi="Times New Roman" w:eastAsia="方正黑体_GBK" w:cs="Times New Roman"/>
          <w:sz w:val="28"/>
          <w:szCs w:val="28"/>
        </w:rPr>
        <w:t>产品名称、参数、数量</w:t>
      </w:r>
    </w:p>
    <w:p w14:paraId="0E7E5C35">
      <w:pPr>
        <w:pStyle w:val="12"/>
        <w:widowControl w:val="0"/>
        <w:numPr>
          <w:ilvl w:val="0"/>
          <w:numId w:val="0"/>
        </w:numPr>
        <w:jc w:val="both"/>
        <w:rPr>
          <w:rFonts w:hint="eastAsia" w:ascii="Times New Roman" w:hAnsi="Times New Roman" w:eastAsia="方正黑体_GBK" w:cs="Times New Roman"/>
          <w:sz w:val="28"/>
          <w:szCs w:val="28"/>
        </w:rPr>
      </w:pPr>
    </w:p>
    <w:tbl>
      <w:tblPr>
        <w:tblStyle w:val="8"/>
        <w:tblW w:w="969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671"/>
        <w:gridCol w:w="6265"/>
        <w:gridCol w:w="455"/>
        <w:gridCol w:w="771"/>
      </w:tblGrid>
      <w:tr w14:paraId="7505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D41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序号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47F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设备名称</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15F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技术参数</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F2D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单位</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B1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数量</w:t>
            </w:r>
          </w:p>
        </w:tc>
      </w:tr>
      <w:tr w14:paraId="3959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B11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一、视频监控</w:t>
            </w:r>
          </w:p>
        </w:tc>
      </w:tr>
      <w:tr w14:paraId="07FB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086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E7C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400万筒型网络摄像机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A88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400万筒型网络摄像机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最高分辨率可达2560 × 1440 @25 fps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支持SmartIR，防止夜间红外过曝</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支持背光补偿，强光抑制，3D数字降噪，数字宽动态，适应不同使用环境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支持开放型网络视频接口，ISAPI，SDK，GB28181协议，支持萤石平台接入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1个内置麦克风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智能补光，支持白光/红外双补光，红外光最远可达50 m，白光最远可达30 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符合IP67防尘防水设计，可靠性高</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传感器类型：1/2.7" Progressive Scan CMOS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最低照度：彩色：0.005 Lux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宽动态：数字宽动态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焦距&amp;视场角：4 mm，水平视场角：70°，垂直视场角：35°，对角视场角：85°</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 mm，水平视场角：46°，垂直视场角：24°，对角视场角：54°</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 mm，水平视场角：43°，垂直视场角：24°，对角视场角：50°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12 mm，水平视场角：27°，垂直视场角：15°，对角视场角：31°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红外波长范围：850 nm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防补光过曝：支持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补光灯类型：智能补光，可切换白光灯、红外灯</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补光距离：红外光最远可达50 m，白光最远可达30 m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最大分辨率：2560 × 1440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视频压缩标准：主码流：H.265，支持超级智能编码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子码流：H.265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音频：1个内置麦克风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网络：1个RJ45 10 M/100 M自适应以太网口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启动及工作温湿度：-30 ℃~60 ℃，湿度小于95%（无凝结）</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存储温湿度：-30 ℃~60 ℃，湿度小于95%（无凝结）</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恢复出厂设置：支持客户端或浏览器恢复</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供电方式：DC：12 V ± 25%，支持防反接保护</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PoE：IEEE 802.3af，Class 3</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电流及功耗：DC：12 V，0.42 A，最大功耗：5 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PoE：IEEE 802.3af，CLASS 3，最大功耗：6.5 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电源接口类型：Ø5.5 mm圆口</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725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EDC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w:t>
            </w:r>
          </w:p>
        </w:tc>
      </w:tr>
      <w:tr w14:paraId="2ACE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519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F90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400万海螺型网络摄像机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B66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400万海螺型网络摄像机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最高分辨率可达2560 × 1440 @25 fps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支持SmartIR，防止夜间红外过曝</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支持背光补偿，强光抑制，3D数字降噪，数字宽动态，适应不同环境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支持开放型网络视频接口，ISAPI，SDK，GB28181协议，支持萤石平台接入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1个内置麦克风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智能补光，支持白光/红外双补光，红外光最远可达30 m，白光最远可达20 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符合IP67防尘防水设计，可靠性高</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传感器类型：1/2.7" Progressive Scan CMOS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最低照度：彩色：0.005 Lux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宽动态：数字宽动态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调节角度：水平：0°~360°，垂直：0°~75°，旋转：0°~360°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焦距&amp;视场角：2.8 mm：水平视场角：94°，垂直视场角：49°，对角视场角：114°</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 mm，水平视场角：70°，垂直视场角：35°，对角视场角：85°</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 mm，水平视场角：46°，垂直视场角：24°，对角视场角：54°</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8 mm，水平视场角：43°，垂直视场角：24°，对角视场角：50°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红外波长范围：850 nm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防补光过曝：支持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补光灯类型：智能补光，可切换白光灯、红外灯</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补光距离：红外光最远可达30 m，白光最远可达20 m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最大分辨率：2560 × 1440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视频压缩标准：主码流：H.265，支持超级智能编码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子码流：H.265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音频：1个内置麦克风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网络：1个RJ45 10 M/100 M自适应以太网口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存储温湿度：-30 ℃~60 ℃，湿度小于95%（无凝结）</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启动及工作温湿度：-30 ℃~60 ℃，湿度小于95%（无凝结）</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恢复出厂设置：支持客户端或浏览器恢复</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供电方式：DC：12 V ± 25%，支持防反接保护</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PoE：IEEE 802.3af，CLASS 3</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电流及功耗：DC：12 V，0.42 A，最大功耗：5 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PoE： IEEE 802.3af，CLASS 3，最大功耗：6.5 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电源接口类型：Ø5.5 mm圆口</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C69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C96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20</w:t>
            </w:r>
          </w:p>
        </w:tc>
      </w:tr>
      <w:tr w14:paraId="69A6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0CD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3B1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摄像机专用支架</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91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颜色: 白</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材质: 铝合金</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最小管径: 184.6 × 94 × 65mm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承重: 0.7KG</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C80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15C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28</w:t>
            </w:r>
          </w:p>
        </w:tc>
      </w:tr>
      <w:tr w14:paraId="4424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800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54D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48口POE交换机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EDF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二层网管型千兆POE交换机（48个千兆POE电口+4个千兆光口）</w:t>
            </w:r>
          </w:p>
          <w:p w14:paraId="5A4AD95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 xml:space="preserve"> 支持所有端口线速转发，满足了用户对高带宽的需求。</w:t>
            </w:r>
          </w:p>
          <w:p w14:paraId="368F0F9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支持虚拟化技术，就是把多台物理设备互相连接起来，使其虚拟为一台逻辑设备，用户可以将这多台设备看成一台单一设备进行管理和使用。</w:t>
            </w:r>
          </w:p>
          <w:p w14:paraId="68CB301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支持802.3at/POE+供电标准。</w:t>
            </w:r>
          </w:p>
          <w:p w14:paraId="7812906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支持ARP入侵检测功能，可有效防止黑客或攻击者通过ARP报文实施日趋盛行的“ARP欺骗攻击”。支持IP Source Guard特性，防止包括MAC欺骗、IP欺骗、MAC/IP欺骗在内的非法地址仿冒，以及DoS攻击。另外，利用DHCP Snooping的信任端口特性还可以有效杜绝私设DHCP服务器，保证DHCP环境的真实性和一致性。支持端口安全特性族，可以有效防范基于MAC地址的攻击，实现基于MAC地址允许/限制流量。提供802.1X和MAC认证方式对接入的用户进行认证。通过这些功能的应用可以对接入用户的合法性进行充分的检查和控制。</w:t>
            </w:r>
          </w:p>
          <w:p w14:paraId="60AD46F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持SNMPv1/v2/v3（Simple Network Management Protocol）。支持CLI命令行，Web网管，TELNET，使设备管理更方便，并且支持SSH2.0等加密方式，使得管理更加安全。</w:t>
            </w:r>
          </w:p>
          <w:p w14:paraId="3EBB81C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支持端口限速以及流限速功能，防止恶意侵占网络带宽，也为网络带宽的精细化管理提供了手段。</w:t>
            </w:r>
          </w:p>
          <w:p w14:paraId="6330267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支持L2（Layer 2）~L4（Layer 4）包过滤功能，提供流分类技术。提供灵活的对列调度算法，可以同时基于端口和队列进行设置，支持SP、WRR、SP+WRR三种模式。</w:t>
            </w:r>
          </w:p>
          <w:p w14:paraId="1491BC4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采用节能设计，大幅降低设备的功耗和辐射，达到家用电器的辐射标准，对人体无伤害。</w:t>
            </w:r>
          </w:p>
          <w:p w14:paraId="07F1411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p>
          <w:p w14:paraId="1380E33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尺寸（宽×高×深）：440 mm × 43.6 mm × 260 mm</w:t>
            </w:r>
          </w:p>
          <w:p w14:paraId="6857B2D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标准机架高度：1U</w:t>
            </w:r>
          </w:p>
          <w:p w14:paraId="0604866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重量：≤4.1 kg</w:t>
            </w:r>
          </w:p>
          <w:p w14:paraId="5FFC4FE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工作温度：-5 ℃～45 ℃</w:t>
            </w:r>
          </w:p>
          <w:p w14:paraId="547EF0E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工作湿度：5%~95%（非凝结）</w:t>
            </w:r>
          </w:p>
          <w:p w14:paraId="26070D5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空载功耗：27W</w:t>
            </w:r>
          </w:p>
          <w:p w14:paraId="505355A6">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整机最大功耗：473W（POE供电375W）</w:t>
            </w:r>
          </w:p>
          <w:p w14:paraId="4618AF9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交换容量：672Gbps/6.72Tbps</w:t>
            </w:r>
          </w:p>
          <w:p w14:paraId="2EBCF72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 xml:space="preserve">包转发率：126/166Mpps </w:t>
            </w:r>
          </w:p>
          <w:p w14:paraId="2C29339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端口规格：48个千兆(POE+)电口</w:t>
            </w:r>
          </w:p>
          <w:p w14:paraId="4719D8F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4个千兆光口</w:t>
            </w:r>
          </w:p>
          <w:p w14:paraId="10FB2DC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电源特性：AC：90V～290V AC，47-63Hz</w:t>
            </w:r>
          </w:p>
          <w:p w14:paraId="1AEA2B3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MAC地址表：支持黑洞MAC地址</w:t>
            </w:r>
          </w:p>
          <w:p w14:paraId="0C20F21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支持设置端口MAC地址学习最大个数</w:t>
            </w:r>
          </w:p>
          <w:p w14:paraId="69BE4C5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ARP：支持ARP Detection功能</w:t>
            </w:r>
          </w:p>
          <w:p w14:paraId="2300A48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支持ARP限速</w:t>
            </w:r>
          </w:p>
          <w:p w14:paraId="089E1BC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IPv4路由：支持 IPv4 静态路由</w:t>
            </w:r>
          </w:p>
          <w:p w14:paraId="3BAA4A7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IPv6路由：支持 IPv6 静态路由</w:t>
            </w:r>
          </w:p>
          <w:p w14:paraId="7C205F6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STP：支持STP/RSTP/MSTP</w:t>
            </w:r>
          </w:p>
          <w:p w14:paraId="2D95892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链路聚合：支持 LACP</w:t>
            </w:r>
          </w:p>
          <w:p w14:paraId="60A037F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聚合组最大支持8个端口</w:t>
            </w:r>
          </w:p>
          <w:p w14:paraId="52AB2DD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风暴控制：支持风暴控制</w:t>
            </w:r>
          </w:p>
          <w:p w14:paraId="7AE6844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流量抑制：支持广播/多播/单播流量抑制</w:t>
            </w:r>
          </w:p>
          <w:p w14:paraId="71B95A0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支持基于端口速率百分比的风暴抑制</w:t>
            </w:r>
          </w:p>
          <w:p w14:paraId="53B53B3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支持基于PPS的风暴抑制</w:t>
            </w:r>
          </w:p>
          <w:p w14:paraId="4C00015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端口镜像：支持端口镜像、支持流镜像</w:t>
            </w:r>
          </w:p>
          <w:p w14:paraId="4AF2811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QoS：支持SP/WRR/SP+WRR队列调度</w:t>
            </w:r>
          </w:p>
          <w:p w14:paraId="6783195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ACL：支持包过滤功能</w:t>
            </w:r>
          </w:p>
          <w:p w14:paraId="7E6E982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支持双向ACL</w:t>
            </w:r>
          </w:p>
          <w:p w14:paraId="0E3C926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支持基于端口的限速</w:t>
            </w:r>
          </w:p>
          <w:p w14:paraId="0ADFE90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支持基于流的重定向</w:t>
            </w:r>
          </w:p>
          <w:p w14:paraId="0F84644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安全特性：支持用户分级管理和口令保护</w:t>
            </w:r>
          </w:p>
          <w:p w14:paraId="23B31DE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支持SSH2.0</w:t>
            </w:r>
          </w:p>
          <w:p w14:paraId="18C0F22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支持端口隔离</w:t>
            </w:r>
          </w:p>
          <w:p w14:paraId="33D20AA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 802.1X</w:t>
            </w:r>
          </w:p>
          <w:p w14:paraId="5DC48B9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支持端口安全</w:t>
            </w:r>
          </w:p>
          <w:p w14:paraId="757FB8F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支持MAC地址认证</w:t>
            </w:r>
          </w:p>
          <w:p w14:paraId="41731FF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支持IP Source Guard</w:t>
            </w:r>
          </w:p>
          <w:p w14:paraId="11D69B3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 xml:space="preserve">支持HTTPs </w:t>
            </w:r>
          </w:p>
          <w:p w14:paraId="47D0666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PoE标准：IEEE 802.3af,IEEE 802.3at</w:t>
            </w:r>
          </w:p>
          <w:p w14:paraId="3AE9C46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PoE端口：48个10/100/1000Base-T(POE+)电口</w:t>
            </w:r>
          </w:p>
          <w:p w14:paraId="02B5DC1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端口最大供电功率：35W</w:t>
            </w:r>
          </w:p>
          <w:p w14:paraId="711184A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 xml:space="preserve">整机最大供电功率：375W </w:t>
            </w:r>
          </w:p>
          <w:p w14:paraId="0DE6E86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Console口：支持Console口</w:t>
            </w:r>
          </w:p>
          <w:p w14:paraId="0178F00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SSH：支持SSH</w:t>
            </w:r>
          </w:p>
          <w:p w14:paraId="30E8C93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Telnet：支持Telnet</w:t>
            </w:r>
          </w:p>
          <w:p w14:paraId="7E10F66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SNMP：支持SNMP V1/V2/V3</w:t>
            </w:r>
          </w:p>
          <w:p w14:paraId="1C24FBF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NTP：支持NTP时钟</w:t>
            </w:r>
          </w:p>
          <w:p w14:paraId="3EBDC98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RMON：支持RMON</w:t>
            </w:r>
          </w:p>
          <w:p w14:paraId="0946DDB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FTP：支持FTP文件上下载管理</w:t>
            </w:r>
          </w:p>
          <w:p w14:paraId="3E058D2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TFTP：支持TFTP文件上下载管理</w:t>
            </w:r>
          </w:p>
          <w:p w14:paraId="1527416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CFM：支持CFM</w:t>
            </w:r>
          </w:p>
          <w:p w14:paraId="49EA462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EFM：支持EFM</w:t>
            </w:r>
          </w:p>
          <w:p w14:paraId="0A5ABCC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DLDP：支持DLDP，可检测发现单向连通链路</w:t>
            </w:r>
          </w:p>
          <w:p w14:paraId="5288816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系统日志：支持系统工作日志</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19A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3B1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64D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9EE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490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网络硬盘录像机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259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具有2个HDMI接口、2个VGA接口、2个RJ45千兆网络接口、2个USB2.0接口、2个USB3.0接口、1个RS232接口、1个RS485接口（可接入RS485键盘）；具有1路音频输入接口、2路音频输出接口，16路报警输入接口、4路报警输出接口；可内置8个SATA接口硬盘;</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支持最大接入带宽384Mbps，最大存储带宽384Mbps，最大转发带宽256Mbps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支持预览时对实时视频流进行手动打标签，通过标签检索可以检索到相关的录像片段。（应标时须提供具有CNAS及CMA标识的第三方检测报告证明）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在专家模式下，支持高空抛物摄像机按视野进行区域划分，并支持轮巡预览</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设备支持分组管理，支持将接入的视频通道按分组管理；支持以分组方式进行预览、回放和检索；自定义视图支持以分组方式拖动通道进行配置（应标时须提供具有CNAS及CMA标识的第三方检测报告证明）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切片回放功能，支持按月、日、小时维度进行切片展示，按月最大支持30个切片，按日最大支持24个切片，按时最大支持60个切片（应标时须提供具有CNAS及CMA标识的第三方检测报告证明）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接入能力：64路H.264、H.265格式高清码流接入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解码能力：最大支持32×1080P</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显示能力：最大支持8K+1080P、2×4K异源输出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支持预览的单窗口轮巡，设备支持在多画面的固定窗口上进行轮巡预览，其他预览窗口不轮巡。（应标时须提供具有CNAS及CMA标识的第三方检测报告证明）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RAID模式：RAID0、RAID1、RAID5、RAID6、RAID10，支持全局热备盘，仅支持监控级AI盘或企业级硬盘启用RAID</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支持网络端口扫描行为预警，可自动封禁IP，并上报预警，支持远程下发IP拦截</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支持音视频动态调整组合分配功能，可将任一路音频与任一路视频组合成复合流编码</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25F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CBF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D7A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BFB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AFC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监控级硬盘</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3BF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标称容量：4TB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外形规格：3.5-inch</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接口类型：SATA</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刻录技术：CMR</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转速：5400RPM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缓存：256MB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最大读取速度：180MB/s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接口传输速率（最大值）：6.0Gb/s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平均读写功率（W）：3.7W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加载/卸载周期：600,000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MTBF：1,000,000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年负荷（TB/年）：180TB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工作状态温度(°C)：0-65℃</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尺寸：147mm(L)×101.6mm(W)×20.2mm(H) </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BBA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FBB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2E9E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018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4CC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网线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FBC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六类非屏蔽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F4A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箱</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DCD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3</w:t>
            </w:r>
          </w:p>
        </w:tc>
      </w:tr>
      <w:tr w14:paraId="4F76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932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D1D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UPS电源主机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B96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单进单出,输入220VAC，输出220VAC，3KW</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D18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2DC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D61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ABC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9</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57E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蓄电池</w:t>
            </w:r>
          </w:p>
        </w:tc>
        <w:tc>
          <w:tcPr>
            <w:tcW w:w="6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FD3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12V17AH</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3F8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B0E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w:t>
            </w:r>
          </w:p>
        </w:tc>
      </w:tr>
      <w:tr w14:paraId="668A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D79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576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电池柜</w:t>
            </w:r>
          </w:p>
        </w:tc>
        <w:tc>
          <w:tcPr>
            <w:tcW w:w="6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7F6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A2（含6平方电池连接线）</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0DF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684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1E46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10A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二、网络及无线网络</w:t>
            </w:r>
          </w:p>
        </w:tc>
      </w:tr>
      <w:tr w14:paraId="46FE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926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1A5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面板AP</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492F">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1、提供第三方国产化芯片证明。</w:t>
            </w:r>
          </w:p>
          <w:p w14:paraId="49421B8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2、支持802.11ax标准；2.4GHz和5GHz双频段支持MU-MIMO。</w:t>
            </w:r>
          </w:p>
          <w:p w14:paraId="3B51C5A7">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3、支持整机速率≥1.77Gbps。</w:t>
            </w:r>
          </w:p>
          <w:p w14:paraId="30D586F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4、支持总空间流数≥4 。</w:t>
            </w:r>
          </w:p>
          <w:p w14:paraId="5E3B27C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5、1个GE上行接口 + 1个GE下行接口，标准86*86mm尺寸。</w:t>
            </w:r>
          </w:p>
          <w:p w14:paraId="0B4B551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6、支持WPA3新一代加密协议，进一步保护Wi-Fi网络安全；支持DTLS硬件加密，保证接入AP 的合法性，提高无线网络安全。</w:t>
            </w:r>
          </w:p>
          <w:p w14:paraId="41EB1AF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7、内置智能天线，支持基于智能切换算法自动调节覆盖方向和信号强度，可以随终端的移动进行精准稳定的覆盖。</w:t>
            </w:r>
          </w:p>
          <w:p w14:paraId="719ABFA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8、最大功耗≤9.1W。</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F20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C86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23</w:t>
            </w:r>
          </w:p>
        </w:tc>
      </w:tr>
      <w:tr w14:paraId="38DE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36C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548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AC无线控制器</w:t>
            </w:r>
          </w:p>
        </w:tc>
        <w:tc>
          <w:tcPr>
            <w:tcW w:w="6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2A0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1、最大管理AP数量≥128，默认支持128个AP授权管理许可，并提供官网链接及截图证明</w:t>
            </w:r>
          </w:p>
          <w:p w14:paraId="3E18EE8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2、最大接入用户数量≥2K，并提供官网链接及截图证明</w:t>
            </w:r>
          </w:p>
          <w:p w14:paraId="4C35CD9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3、支持直接转发、隧道转发</w:t>
            </w:r>
          </w:p>
          <w:p w14:paraId="7751A10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4、转发性能≥10Gbps，并提供官网链接及截图证明</w:t>
            </w:r>
          </w:p>
          <w:p w14:paraId="4BC97FF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5、2个10GE光口, 10个GE电口，并提供官网链接及截图证明</w:t>
            </w:r>
          </w:p>
          <w:p w14:paraId="353E17B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6、支持URL过滤，允许或禁止用户访问某些网页资源，并提供官网链接及截图证明</w:t>
            </w:r>
          </w:p>
          <w:p w14:paraId="43CCD15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7、支持反病毒功能，并提供官网链接及截图证明</w:t>
            </w:r>
          </w:p>
          <w:p w14:paraId="41B5E3A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8、支持入侵防御，检测和中止入侵行为（包括缓冲区溢出攻击、木马、蠕虫等），并提供官网链接及截图证明</w:t>
            </w:r>
          </w:p>
          <w:p w14:paraId="6366DCA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9、支持设备冗余备份功能，可支持1+1或N+1备份，并支持主备AC间配置同步</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15C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771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1EF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A28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7B7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POE交换机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95B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1、交换容量≥672Gbps，堆叠后的交换容量≥6.72Tbps，并提供官网链接及截图</w:t>
            </w:r>
          </w:p>
          <w:p w14:paraId="0561333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2、包转发率≥171Mpps，堆叠后的交换容量≥256Mpps，并提供官网链接及截图</w:t>
            </w:r>
            <w:r>
              <w:rPr>
                <w:rFonts w:hint="eastAsia" w:ascii="Times New Roman" w:hAnsi="Times New Roman" w:eastAsia="方正仿宋_GBK" w:cs="方正仿宋_GBK"/>
                <w:i w:val="0"/>
                <w:iCs w:val="0"/>
                <w:color w:val="000000"/>
                <w:kern w:val="0"/>
                <w:sz w:val="20"/>
                <w:szCs w:val="20"/>
                <w:u w:val="none"/>
                <w:lang w:val="en-US" w:eastAsia="zh-CN" w:bidi="ar"/>
              </w:rPr>
              <w:tab/>
            </w:r>
          </w:p>
          <w:p w14:paraId="727BF82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3、24个千兆电口；4个万兆光口，支持自适应为1000M；提供官网链接及截图</w:t>
            </w:r>
            <w:r>
              <w:rPr>
                <w:rFonts w:hint="eastAsia" w:ascii="Times New Roman" w:hAnsi="Times New Roman" w:eastAsia="方正仿宋_GBK" w:cs="方正仿宋_GBK"/>
                <w:i w:val="0"/>
                <w:iCs w:val="0"/>
                <w:color w:val="000000"/>
                <w:kern w:val="0"/>
                <w:sz w:val="20"/>
                <w:szCs w:val="20"/>
                <w:u w:val="none"/>
                <w:lang w:val="en-US" w:eastAsia="zh-CN" w:bidi="ar"/>
              </w:rPr>
              <w:tab/>
            </w:r>
            <w:bookmarkStart w:id="35" w:name="_GoBack"/>
            <w:bookmarkEnd w:id="35"/>
          </w:p>
          <w:p w14:paraId="28AB7197">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4、支持Console接口，用于命令行管理</w:t>
            </w:r>
          </w:p>
          <w:p w14:paraId="3DA9E22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5、支持独立的网络指示灯，可以快速感知设备是否联网、是否被云管纳管。设备上线，清晰可见。</w:t>
            </w:r>
          </w:p>
          <w:p w14:paraId="687CF4AE">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6、支持MAC地址≥32K，并提供官网链接及截图</w:t>
            </w:r>
          </w:p>
          <w:p w14:paraId="444809E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支持4K VLAN，支持Voice VLAN，支持基于 MAC/协议/IP子网/端口的 VLAN，支持 VLAN Stacking并提供官网链接及截图</w:t>
            </w:r>
          </w:p>
          <w:p w14:paraId="1CBF875D">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7、支持 STP（IEEE 802.1d），RSTP（IEEE 802.1w）和 MSTP（IEEE 802.1s）协议；提供官网链接及截图</w:t>
            </w:r>
          </w:p>
          <w:p w14:paraId="5CA1E79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8、支持POE/POE+，POE功率≥400W，并提供官网链接及截图</w:t>
            </w:r>
          </w:p>
          <w:p w14:paraId="1B7BA5B7">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9、交换机电源上电时，支持秒级实现对PD设备的供电，并提供官网链接及截图</w:t>
            </w:r>
          </w:p>
          <w:p w14:paraId="717B66CD">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10、当POE交换机掉电重启时，不需要等待交换机重启完成，只需要交换机上电后就可以继续为PD设备供电，极大缩短PD设备掉电时间，并提供官网链接及截图</w:t>
            </w:r>
          </w:p>
          <w:p w14:paraId="509D7B6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11、交换机重启时（版本升级），对下挂PD设备供电不会中断，保证交换机重启过程中PD设备不掉电，实现POE供电零中断，并提供官网链接及截图</w:t>
            </w:r>
          </w:p>
          <w:p w14:paraId="24F84BD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CPU和交换芯片要求为国产化，提供权威第三方测试报告证明。</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E3C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783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644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981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FD5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出口路由</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212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1.带机量≥300，提供官网URL链接及截图证明</w:t>
            </w:r>
          </w:p>
          <w:p w14:paraId="39E1433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2.出口带宽≥2Gbps，提供官网URL链接及截图证明</w:t>
            </w:r>
          </w:p>
          <w:p w14:paraId="5B4D90B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3.包转发能力上传≥500Kpps,下载≥420Kpps；提供官网URL链接及截图证明；</w:t>
            </w:r>
          </w:p>
          <w:p w14:paraId="5DEB5A84">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4.交换容量≥16Gbps，提供官网URL链接及截图证明</w:t>
            </w:r>
          </w:p>
          <w:p w14:paraId="6F69890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5.EMC测试标准</w:t>
            </w:r>
            <w:r>
              <w:rPr>
                <w:rFonts w:hint="eastAsia" w:ascii="Times New Roman" w:hAnsi="Times New Roman" w:eastAsia="方正仿宋_GBK" w:cs="方正仿宋_GBK"/>
                <w:i w:val="0"/>
                <w:iCs w:val="0"/>
                <w:color w:val="000000"/>
                <w:kern w:val="0"/>
                <w:sz w:val="20"/>
                <w:szCs w:val="20"/>
                <w:u w:val="none"/>
                <w:lang w:val="en-US" w:eastAsia="zh-CN" w:bidi="ar"/>
              </w:rPr>
              <w:tab/>
            </w:r>
            <w:r>
              <w:rPr>
                <w:rFonts w:hint="eastAsia" w:ascii="Times New Roman" w:hAnsi="Times New Roman" w:eastAsia="方正仿宋_GBK" w:cs="方正仿宋_GBK"/>
                <w:i w:val="0"/>
                <w:iCs w:val="0"/>
                <w:color w:val="000000"/>
                <w:kern w:val="0"/>
                <w:sz w:val="20"/>
                <w:szCs w:val="20"/>
                <w:u w:val="none"/>
                <w:lang w:val="en-US" w:eastAsia="zh-CN" w:bidi="ar"/>
              </w:rPr>
              <w:t>通过6KV电压，CLASS B等级标准电磁测试</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D00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494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426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8BE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D5A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机柜</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F95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1.名称:机柜</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2.采用优质 SPCC 冷轧钢板，表面经过脱脂、磷化处理，静电喷塑；</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2.底部采用万向轮和可调整支撑螺钉结构；</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3.门体可选结构，机柜前后门带锁，配有专用钥匙，支持底座安装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4.尺寸24U（含PDU）600*1000*1200mm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5.防护等级：IP20。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5B1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625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389B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F96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B0E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48口配线架</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D5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含48个六类非屏蔽模块</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AE6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329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1109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3A5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7</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B0A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理线架</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B1B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48口</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859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678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5CD8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ED8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4B5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机柜PDU</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AB6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10A，8位，国标插孔</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1F9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1BE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7B39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992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9</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BD2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六类RJ45-RJ45跳线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EC2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产品应用：百兆以太网、千兆以太网、2.5G以太网、5G以太网</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产品标准：YD/T 926.3-2009 、ISO/IEC 11801:2017 、TIA-568.2-D:2018</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产品特性：①导体采用优质无氧铜，保证优良的拉伸和电阻性能</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②多股结构，线缆柔软，可承受反复弯曲，适用于任何弯曲的连接场合</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③水晶头采用PC料，触点表面镀金50μ(inch)，插拔寿命&gt;1000次</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④水晶头簧片采用磷青铜3叉结构，保证连接的稳定、牢靠</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⑤一体化注塑帽套结构，提高跳线插拔时按压自锁弹片的舒适度和便</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60B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根</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839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100</w:t>
            </w:r>
          </w:p>
        </w:tc>
      </w:tr>
      <w:tr w14:paraId="1E8E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EBD6">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三、音视频设备</w:t>
            </w:r>
          </w:p>
        </w:tc>
      </w:tr>
      <w:tr w14:paraId="6494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0F0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EE5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highlight w:val="none"/>
                <w:u w:val="none"/>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大厅LED屏</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2D4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1、像素间距：≤1.86mm；亮度≥600cd/㎡；对比度≥6000:1；色温1000-20000K可调。</w:t>
            </w:r>
          </w:p>
          <w:p w14:paraId="4E3C8AF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2、刷新频率：≥3840Hz；换帧频率：≥60Hz，支持120Hz等3D显示技术。</w:t>
            </w:r>
          </w:p>
          <w:p w14:paraId="6BDAFF5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3、带有智能（黑屏）节电功能，开启智能节电功能比没有开启节能60%以上（应标时须提供具有CNAS及CMA标识的第三方检测报告证明）</w:t>
            </w:r>
            <w:r>
              <w:rPr>
                <w:rFonts w:hint="eastAsia" w:ascii="Times New Roman" w:hAnsi="Times New Roman" w:eastAsia="方正仿宋_GBK" w:cs="方正仿宋_GBK"/>
                <w:i w:val="0"/>
                <w:iCs w:val="0"/>
                <w:color w:val="000000"/>
                <w:kern w:val="0"/>
                <w:sz w:val="20"/>
                <w:szCs w:val="20"/>
                <w:highlight w:val="none"/>
                <w:u w:val="none"/>
                <w:lang w:val="en-US" w:eastAsia="zh-CN" w:bidi="ar"/>
              </w:rPr>
              <w:br w:type="textWrapping"/>
            </w:r>
            <w:r>
              <w:rPr>
                <w:rFonts w:hint="eastAsia" w:ascii="Times New Roman" w:hAnsi="Times New Roman" w:eastAsia="方正仿宋_GBK" w:cs="方正仿宋_GBK"/>
                <w:i w:val="0"/>
                <w:iCs w:val="0"/>
                <w:color w:val="000000"/>
                <w:kern w:val="0"/>
                <w:sz w:val="20"/>
                <w:szCs w:val="20"/>
                <w:highlight w:val="none"/>
                <w:u w:val="none"/>
                <w:lang w:val="en-US" w:eastAsia="zh-CN" w:bidi="ar"/>
              </w:rPr>
              <w:t>。</w:t>
            </w:r>
          </w:p>
          <w:p w14:paraId="5AE4256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4、像素失控率≤0.0001，无连续失控率。衰减率（工作3年）≤15%。</w:t>
            </w:r>
          </w:p>
          <w:p w14:paraId="7428FCD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5、功耗（W/㎡）：峰值功耗≤400，平均功耗≤200；休眠模式带电黑屏功耗（W）≤20W/㎡。</w:t>
            </w:r>
          </w:p>
          <w:p w14:paraId="5B2DA2C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6、室温下，LED显示屏供电电源的功率因数不小于95%，转换效率不小于86%。</w:t>
            </w:r>
          </w:p>
          <w:p w14:paraId="672CC26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7、在正常工作条件下和出现单一故障后，SELV电路所呈现的电压是可以接触的安全电压。</w:t>
            </w:r>
          </w:p>
          <w:p w14:paraId="4728B8A1">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8、色域覆盖率：≥120%。亮度均匀：≥98%。亮度鉴别等级C级：Bj≥20。</w:t>
            </w:r>
          </w:p>
          <w:p w14:paraId="3A24C5C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9、屏幕温升：最大亮度白色连续工作2小时，模组表面温升＜20℃（温升20K）。</w:t>
            </w:r>
          </w:p>
          <w:p w14:paraId="7103E88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10、支持自动GAMMA校正技术，通过构造非线性校正曲线和色坐标换系数矩阵实现了显示效果的不断改善，各项重要指标如色彩还原性、色温调节范围、亮度均匀性、色度均匀性、刷新率等。</w:t>
            </w:r>
          </w:p>
          <w:p w14:paraId="0523497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11、屏体依据视频源和频率，低延时，延时1帧；画面延时≤500ns。</w:t>
            </w:r>
          </w:p>
          <w:p w14:paraId="6020975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12、支持鬼影消除、第一扫偏暗消除、低灰偏色补偿、低灰均匀性、低灰横条纹消除、慢速开启、十字架消除、去除坏点、毛毛虫消除、余辉消除、亮度缓慢变亮功能、支持摩尔纹抑制功能，减轻摩尔纹视觉主观效果80%（应标时须提供具有CNAS及CMA标识的第三方检测报告证明）。</w:t>
            </w:r>
          </w:p>
          <w:p w14:paraId="744F03EF">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13、显示效果：符合高清显示，色温均匀性好，亮度均匀性好，对比度高、色域广；符合LED显示屏绿色健康分级认证技术（应标时须提供具有CNAS及CMA标识的第三方检测报告证明）</w:t>
            </w:r>
            <w:r>
              <w:rPr>
                <w:rFonts w:hint="eastAsia" w:ascii="Times New Roman" w:hAnsi="Times New Roman" w:eastAsia="方正仿宋_GBK" w:cs="方正仿宋_GBK"/>
                <w:i w:val="0"/>
                <w:iCs w:val="0"/>
                <w:color w:val="000000"/>
                <w:kern w:val="0"/>
                <w:sz w:val="20"/>
                <w:szCs w:val="20"/>
                <w:highlight w:val="none"/>
                <w:u w:val="none"/>
                <w:lang w:val="en-US" w:eastAsia="zh-CN" w:bidi="ar"/>
              </w:rPr>
              <w:br w:type="textWrapping"/>
            </w:r>
            <w:r>
              <w:rPr>
                <w:rFonts w:hint="eastAsia" w:ascii="Times New Roman" w:hAnsi="Times New Roman" w:eastAsia="方正仿宋_GBK" w:cs="方正仿宋_GBK"/>
                <w:i w:val="0"/>
                <w:iCs w:val="0"/>
                <w:color w:val="000000"/>
                <w:kern w:val="0"/>
                <w:sz w:val="20"/>
                <w:szCs w:val="20"/>
                <w:highlight w:val="none"/>
                <w:u w:val="none"/>
                <w:lang w:val="en-US" w:eastAsia="zh-CN" w:bidi="ar"/>
              </w:rPr>
              <w:t>。</w:t>
            </w:r>
          </w:p>
          <w:p w14:paraId="25571F4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14、失真效果：显示画面无几何畸变、扭曲、比例失调情况，无亮度、色温非线性失真。</w:t>
            </w:r>
          </w:p>
          <w:p w14:paraId="6BDD4C8D">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15、具备拼缝微调节机构，保证拼缝精度达到0.1mm以下。</w:t>
            </w:r>
          </w:p>
          <w:p w14:paraId="08965A4E">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16、显示屏系统支持海量图像演示和多媒体控制，可对所有输入信号进行预览，通过平板进行信号切换、管理。</w:t>
            </w:r>
          </w:p>
          <w:p w14:paraId="51141F8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17、采用网线传导加扰技术，使用时无需配置，接上电源后即可实现各端口的网线传导加扰，防止传输信息怕失泄密及防止劫持相关设备。</w:t>
            </w:r>
          </w:p>
          <w:p w14:paraId="73C77B9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18、具有良好的抗还原性能，具有良好的覆盖性，实现无缝干扰，覆盖范围广，抑制传导辐射，对视频信息无二次转发与加强作用。</w:t>
            </w:r>
          </w:p>
          <w:p w14:paraId="1BEDD11E">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19、采用信息相关方式阻止电力通信，采用电子对抗原理，防止电磁传导辐射泄露有用信息，防止劫持相关控制设备。</w:t>
            </w:r>
          </w:p>
          <w:p w14:paraId="39FD6E0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20、光生物安全/蓝光检测：符合光生物安全要求，蓝光危害符合RGO,无危害。</w:t>
            </w:r>
          </w:p>
          <w:p w14:paraId="08D023A4">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21、模拟10级烈度地震2行2列单元组成拼接显示屏，垂直、水平振动10~55~10Hz，峰值加速度0.25kg，1倍频程，每一轴向循环扫频50次，每次时间5min（应标时须提供具有CNAS及CMA标识的第三方检测报告证明）。</w:t>
            </w:r>
          </w:p>
          <w:p w14:paraId="6E1D01A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highlight w:val="none"/>
                <w:u w:val="none"/>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20.含电源、发送卡、排线、安装辅材及人工等。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5D5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9141">
            <w:pPr>
              <w:keepNext w:val="0"/>
              <w:keepLines w:val="0"/>
              <w:widowControl/>
              <w:suppressLineNumbers w:val="0"/>
              <w:jc w:val="center"/>
              <w:textAlignment w:val="center"/>
              <w:rPr>
                <w:rFonts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8.65</w:t>
            </w:r>
          </w:p>
        </w:tc>
      </w:tr>
      <w:tr w14:paraId="1A2E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D7F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AA1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LED电源</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7D9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1、动态负载：10%-100%load：≤800mV（峰值）。</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2、额定输入电压：200-240VAC；额定输出电压4.5Vdc。</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3、输入频率：50Hz。</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4、额定输出电流：0-40A。</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5、过流保护：48-76A。</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6、自然对流撒热，需紧贴客户金属机箱外壳散热。</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7、输出端短路时电源保护，消除短路后自动恢复工作。</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8、对地泄漏电流：输入230VAC/50Hz I≤1mA。</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951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761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26</w:t>
            </w:r>
          </w:p>
        </w:tc>
      </w:tr>
      <w:tr w14:paraId="185A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17C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10E6">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LED全彩接收卡</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B1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带载范围320*1024，输出接口HUB75E*16</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D7E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43D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13</w:t>
            </w:r>
          </w:p>
        </w:tc>
      </w:tr>
      <w:tr w14:paraId="027B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CAA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E45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LED屏体辅材</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50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室内屏辅材：数据长排线、接收卡连接网线、电源间连接YC线、分组电源线</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10D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C1C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8.65</w:t>
            </w:r>
          </w:p>
        </w:tc>
      </w:tr>
      <w:tr w14:paraId="7832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6DD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C83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LED框架结构</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788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现场定制钢架结构，由装饰造型收口</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8AD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884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8.65</w:t>
            </w:r>
          </w:p>
        </w:tc>
      </w:tr>
      <w:tr w14:paraId="441C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111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C16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LED视频处理器</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C24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1.≥四画面;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2.带载≥520万、横向≥10240、纵向≥8192;</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3.支持2xHDMI 1.3、1xHDMI 2.0(IN&amp;LOOP)、1x3G-SDI(IN&amp;LOOP，选配)、1xUSB 3.0(播放U盘内的图片或视频);</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4.支持灵活走线;</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5.支持≥6个2K图层;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6.支持光电转换器模式和视频控制器模式切换;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7.支持微信小程序、Unico、NovaLCT、前面板按钮、可视化平台控制;</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8.支持全链路备份。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40B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C72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162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911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7</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E1C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LED吸顶音箱</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1BB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1.8寸重低音同轴吸顶音响；</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2.额定功率100W；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3.开孔尺寸282mm</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D92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92F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402C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847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227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LED合并式功放</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25B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1.机箱：1U机箱。</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2.输出功率立体声@8Ω：350W×2；立体声@4Ω：600W×2</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3.功放类型：采用最新D类数字功放设计方案，失真小，效率高。</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4.电源：电源采用开关电源技术，效率高，有效的抑制电源谐波，达到欧盟绿色电源标准。</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5.开机软启动，防止开机时向电网吸收大电流，干扰其它用电设备。</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6.智能控制强制散热设计，风机噪音小，散热效率高等特点。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7.输入灵敏度：2.2dBu(1V)；输入阻抗：10KΩ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8.频率响应(@1W功率下)：20Hz-20KHz/±1dB @8Ω</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9.信噪比（A计权）：≥93dB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10.THD+N(@1/8功率下) ：≤0.01%</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11.智能削峰限幅器，控制功率模块及扬声器系统在安全范围内工作。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12.具备标准XLR输入接口，和LINK输出口，简洁的接口更加方便不同用户需求。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13.具有：过压保护，欠压保护，过流保护，直流保护，输出短路保护，温控风扇等功能。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1A8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2AA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D34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443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69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LED配电箱</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5F4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10KW超薄配电箱，支持远程开关电</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E56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458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5389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968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2BD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LED主电源线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84F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21590"/>
                  <wp:effectExtent l="0" t="0" r="8890" b="6985"/>
                  <wp:wrapNone/>
                  <wp:docPr id="38" name="Picture_7"/>
                  <wp:cNvGraphicFramePr/>
                  <a:graphic xmlns:a="http://schemas.openxmlformats.org/drawingml/2006/main">
                    <a:graphicData uri="http://schemas.openxmlformats.org/drawingml/2006/picture">
                      <pic:pic xmlns:pic="http://schemas.openxmlformats.org/drawingml/2006/picture">
                        <pic:nvPicPr>
                          <pic:cNvPr id="38" name="Picture_7"/>
                          <pic:cNvPicPr/>
                        </pic:nvPicPr>
                        <pic:blipFill>
                          <a:blip r:embed="rId9"/>
                          <a:stretch>
                            <a:fillRect/>
                          </a:stretch>
                        </pic:blipFill>
                        <pic:spPr>
                          <a:xfrm>
                            <a:off x="0" y="0"/>
                            <a:ext cx="10160" cy="21590"/>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21590"/>
                  <wp:effectExtent l="0" t="0" r="8890" b="6985"/>
                  <wp:wrapNone/>
                  <wp:docPr id="43" name="Picture_7_SpCnt_1"/>
                  <wp:cNvGraphicFramePr/>
                  <a:graphic xmlns:a="http://schemas.openxmlformats.org/drawingml/2006/main">
                    <a:graphicData uri="http://schemas.openxmlformats.org/drawingml/2006/picture">
                      <pic:pic xmlns:pic="http://schemas.openxmlformats.org/drawingml/2006/picture">
                        <pic:nvPicPr>
                          <pic:cNvPr id="43" name="Picture_7_SpCnt_1"/>
                          <pic:cNvPicPr/>
                        </pic:nvPicPr>
                        <pic:blipFill>
                          <a:blip r:embed="rId9"/>
                          <a:stretch>
                            <a:fillRect/>
                          </a:stretch>
                        </pic:blipFill>
                        <pic:spPr>
                          <a:xfrm>
                            <a:off x="0" y="0"/>
                            <a:ext cx="10160" cy="21590"/>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34" name="Picture_7_SpCnt_2"/>
                  <wp:cNvGraphicFramePr/>
                  <a:graphic xmlns:a="http://schemas.openxmlformats.org/drawingml/2006/main">
                    <a:graphicData uri="http://schemas.openxmlformats.org/drawingml/2006/picture">
                      <pic:pic xmlns:pic="http://schemas.openxmlformats.org/drawingml/2006/picture">
                        <pic:nvPicPr>
                          <pic:cNvPr id="34" name="Picture_7_SpCnt_2"/>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33" name="Picture_7_SpCnt_3"/>
                  <wp:cNvGraphicFramePr/>
                  <a:graphic xmlns:a="http://schemas.openxmlformats.org/drawingml/2006/main">
                    <a:graphicData uri="http://schemas.openxmlformats.org/drawingml/2006/picture">
                      <pic:pic xmlns:pic="http://schemas.openxmlformats.org/drawingml/2006/picture">
                        <pic:nvPicPr>
                          <pic:cNvPr id="33" name="Picture_7_SpCnt_3"/>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32" name="Picture_7_SpCnt_4"/>
                  <wp:cNvGraphicFramePr/>
                  <a:graphic xmlns:a="http://schemas.openxmlformats.org/drawingml/2006/main">
                    <a:graphicData uri="http://schemas.openxmlformats.org/drawingml/2006/picture">
                      <pic:pic xmlns:pic="http://schemas.openxmlformats.org/drawingml/2006/picture">
                        <pic:nvPicPr>
                          <pic:cNvPr id="32" name="Picture_7_SpCnt_4"/>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45" name="Picture_7_SpCnt_5"/>
                  <wp:cNvGraphicFramePr/>
                  <a:graphic xmlns:a="http://schemas.openxmlformats.org/drawingml/2006/main">
                    <a:graphicData uri="http://schemas.openxmlformats.org/drawingml/2006/picture">
                      <pic:pic xmlns:pic="http://schemas.openxmlformats.org/drawingml/2006/picture">
                        <pic:nvPicPr>
                          <pic:cNvPr id="45" name="Picture_7_SpCnt_5"/>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40" name="Picture_7_SpCnt_6"/>
                  <wp:cNvGraphicFramePr/>
                  <a:graphic xmlns:a="http://schemas.openxmlformats.org/drawingml/2006/main">
                    <a:graphicData uri="http://schemas.openxmlformats.org/drawingml/2006/picture">
                      <pic:pic xmlns:pic="http://schemas.openxmlformats.org/drawingml/2006/picture">
                        <pic:nvPicPr>
                          <pic:cNvPr id="40" name="Picture_7_SpCnt_6"/>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44" name="Picture_7_SpCnt_7"/>
                  <wp:cNvGraphicFramePr/>
                  <a:graphic xmlns:a="http://schemas.openxmlformats.org/drawingml/2006/main">
                    <a:graphicData uri="http://schemas.openxmlformats.org/drawingml/2006/picture">
                      <pic:pic xmlns:pic="http://schemas.openxmlformats.org/drawingml/2006/picture">
                        <pic:nvPicPr>
                          <pic:cNvPr id="44" name="Picture_7_SpCnt_7"/>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39" name="Picture_7_SpCnt_8"/>
                  <wp:cNvGraphicFramePr/>
                  <a:graphic xmlns:a="http://schemas.openxmlformats.org/drawingml/2006/main">
                    <a:graphicData uri="http://schemas.openxmlformats.org/drawingml/2006/picture">
                      <pic:pic xmlns:pic="http://schemas.openxmlformats.org/drawingml/2006/picture">
                        <pic:nvPicPr>
                          <pic:cNvPr id="39" name="Picture_7_SpCnt_8"/>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41" name="Picture_7_SpCnt_9"/>
                  <wp:cNvGraphicFramePr/>
                  <a:graphic xmlns:a="http://schemas.openxmlformats.org/drawingml/2006/main">
                    <a:graphicData uri="http://schemas.openxmlformats.org/drawingml/2006/picture">
                      <pic:pic xmlns:pic="http://schemas.openxmlformats.org/drawingml/2006/picture">
                        <pic:nvPicPr>
                          <pic:cNvPr id="41" name="Picture_7_SpCnt_9"/>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42" name="Picture_7_SpCnt_10"/>
                  <wp:cNvGraphicFramePr/>
                  <a:graphic xmlns:a="http://schemas.openxmlformats.org/drawingml/2006/main">
                    <a:graphicData uri="http://schemas.openxmlformats.org/drawingml/2006/picture">
                      <pic:pic xmlns:pic="http://schemas.openxmlformats.org/drawingml/2006/picture">
                        <pic:nvPicPr>
                          <pic:cNvPr id="42" name="Picture_7_SpCnt_10"/>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36" name="Picture_7_SpCnt_11"/>
                  <wp:cNvGraphicFramePr/>
                  <a:graphic xmlns:a="http://schemas.openxmlformats.org/drawingml/2006/main">
                    <a:graphicData uri="http://schemas.openxmlformats.org/drawingml/2006/picture">
                      <pic:pic xmlns:pic="http://schemas.openxmlformats.org/drawingml/2006/picture">
                        <pic:nvPicPr>
                          <pic:cNvPr id="36" name="Picture_7_SpCnt_11"/>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21590"/>
                  <wp:effectExtent l="0" t="0" r="8890" b="6985"/>
                  <wp:wrapNone/>
                  <wp:docPr id="35" name="Picture_7_SpCnt_12"/>
                  <wp:cNvGraphicFramePr/>
                  <a:graphic xmlns:a="http://schemas.openxmlformats.org/drawingml/2006/main">
                    <a:graphicData uri="http://schemas.openxmlformats.org/drawingml/2006/picture">
                      <pic:pic xmlns:pic="http://schemas.openxmlformats.org/drawingml/2006/picture">
                        <pic:nvPicPr>
                          <pic:cNvPr id="35" name="Picture_7_SpCnt_12"/>
                          <pic:cNvPicPr/>
                        </pic:nvPicPr>
                        <pic:blipFill>
                          <a:blip r:embed="rId9"/>
                          <a:stretch>
                            <a:fillRect/>
                          </a:stretch>
                        </pic:blipFill>
                        <pic:spPr>
                          <a:xfrm>
                            <a:off x="0" y="0"/>
                            <a:ext cx="10160" cy="21590"/>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21590"/>
                  <wp:effectExtent l="0" t="0" r="8890" b="6985"/>
                  <wp:wrapNone/>
                  <wp:docPr id="37" name="Picture_7_SpCnt_13"/>
                  <wp:cNvGraphicFramePr/>
                  <a:graphic xmlns:a="http://schemas.openxmlformats.org/drawingml/2006/main">
                    <a:graphicData uri="http://schemas.openxmlformats.org/drawingml/2006/picture">
                      <pic:pic xmlns:pic="http://schemas.openxmlformats.org/drawingml/2006/picture">
                        <pic:nvPicPr>
                          <pic:cNvPr id="37" name="Picture_7_SpCnt_13"/>
                          <pic:cNvPicPr/>
                        </pic:nvPicPr>
                        <pic:blipFill>
                          <a:blip r:embed="rId9"/>
                          <a:stretch>
                            <a:fillRect/>
                          </a:stretch>
                        </pic:blipFill>
                        <pic:spPr>
                          <a:xfrm>
                            <a:off x="0" y="0"/>
                            <a:ext cx="10160" cy="21590"/>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lang w:val="en-US" w:eastAsia="zh-CN" w:bidi="ar"/>
              </w:rPr>
              <w:t>YJV 5*6mm² 1组，配电室至配电柜</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165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EBD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50</w:t>
            </w:r>
          </w:p>
        </w:tc>
      </w:tr>
      <w:tr w14:paraId="2329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7CA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6FB6">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LED电源线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929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YC 3*2.5mm² 3组，显示屏至配电箱，单组预估15米</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8AD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584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45</w:t>
            </w:r>
          </w:p>
        </w:tc>
      </w:tr>
      <w:tr w14:paraId="7F77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62F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C7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LED网络线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1D1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超5类屏蔽线</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5E2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F0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200</w:t>
            </w:r>
          </w:p>
        </w:tc>
      </w:tr>
      <w:tr w14:paraId="720A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C24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13</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F9B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2F小会议室投影仪</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8F0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1、投影技术：DLP投影系统，芯片尺寸：≥0.65"DMD/S600；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2、亮度：≥4200lm；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3、分辨率：≥1920×1080，兼容4K信号输入；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4、光源类型：MCL激光二极管模组；</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5、光源寿命：≥20,000 小时（标准模式），≥30,000小时（节能模式）；</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6、对比度：≥6,000,000:1；</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7、镜头：投射比1.12-1.47:1，手动/变焦/聚焦；</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8、遥控：遥控器按键具有全背光，机身前后2组红外遥控接收窗口；</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9、输入端口：HDMI2.0≥2（兼容4K支持HDCP），VGA≥1，Audio≥1；输出端口：Audio≥1，USB-A≥1；控制端口：RS232≥1，RJ45≥1，Mini USB≥1；</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10、扬声器数量：1只、功率：≥16W×1；</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11、重量：≥3.2kg</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12、具备“护眼”图像模式，支持12种不同背景颜色校正；</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13、投影机内置无线投屏功能，支持macOS/iPadOS/iOS/Android/Windows10以上系统智能手机、平板电脑、笔记本电脑等；（无需安装任何APP及投屏软件，无需连接第三方网络设备）</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14、支持红/绿/蓝/青/黄/洋红/白（R/G/B/C/Y/M/W）7种颜色的色彩调整控制，同时可匹配不同图像伽马参数；</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14、支持红/绿/蓝/青/黄/洋红/白（R/G/B/C/Y/M/W）7种颜色的色彩调整控制，同时可匹配不同图像伽马参数</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020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6B7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1</w:t>
            </w:r>
          </w:p>
        </w:tc>
      </w:tr>
      <w:tr w14:paraId="1B26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841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14</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D54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2F小会议室120寸电动幕布</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13C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1.幕布尺寸：120寸</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2.幕布比例：16:9</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3.幕面尺寸：2600*1500mm(约)</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4.控制方式：电动遥控（含遥控器）</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0A2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幅</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362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1</w:t>
            </w:r>
          </w:p>
        </w:tc>
      </w:tr>
      <w:tr w14:paraId="405E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C49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15</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10B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2F大会议室投影仪</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ADA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1、投影系统芯片尺寸：DLP@芯片×1，DLP 0.65" DMD/S600；</w:t>
            </w:r>
          </w:p>
          <w:p w14:paraId="2C05289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2、亮度：≥5200流明；</w:t>
            </w:r>
          </w:p>
          <w:p w14:paraId="6AE224F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3、分辨率：≥1920×1080，兼容4K；</w:t>
            </w:r>
          </w:p>
          <w:p w14:paraId="17ACC271">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4、光源：MCL激光二极管模组、具有光源备份技术；</w:t>
            </w:r>
          </w:p>
          <w:p w14:paraId="657B135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5、防尘等级：光学系统防尘≥IP6X、整机防尘≥IP5X；</w:t>
            </w:r>
          </w:p>
          <w:p w14:paraId="6634D49E">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6、对比度：≥6,000,000:1；</w:t>
            </w:r>
          </w:p>
          <w:p w14:paraId="51A1159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7、镜头：投射比≤1.12-1.47:1，变焦比≥1.3x，偏轴（Offset）≤116%±5%；</w:t>
            </w:r>
          </w:p>
          <w:p w14:paraId="034AF62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8、支持Airplay、Miracast无线投屏协议及APP软件投屏，支持安卓9及以上、iOS镜像投屏、Windows10及以上操作系统；支持4K/60Hz画质投屏；可通过远程LOT物联网升级更新固件。</w:t>
            </w:r>
          </w:p>
          <w:p w14:paraId="6BD30D7D">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9、护眼模式：图像可抑制蓝光成份、有助于长时间观看的视力防护；</w:t>
            </w:r>
          </w:p>
          <w:p w14:paraId="6E052BB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10、墙壁颜色/背景色校正：支持12种不同颜色；</w:t>
            </w:r>
          </w:p>
          <w:p w14:paraId="190138D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11、色彩调节≥7种HSV色彩调整；</w:t>
            </w:r>
          </w:p>
          <w:p w14:paraId="5374153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12、遥控：遥控器按键具有全背光，红外遥控接收窗≥2个；</w:t>
            </w:r>
          </w:p>
          <w:p w14:paraId="17AA934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13、输入端口：HDMI2.0≥2（计算机信号输入≥3840×2160/60H、支持HDCP），VGA≥1，Audio≥1；输出端口：Audio≥1，USB-A≥1；控制端口：RS232≥1，RJ45≥1，Mini USB≥1；</w:t>
            </w:r>
          </w:p>
          <w:p w14:paraId="3BA7EE3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14、扬声器：单只功率≥16W，数量≥1；</w:t>
            </w:r>
          </w:p>
          <w:p w14:paraId="02CDC08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15、重量：≥4.5kg；</w:t>
            </w:r>
          </w:p>
          <w:p w14:paraId="4DB830A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16、支持自动吊装，支持电源侦测开机、HDMI信号侦测开机，支持定时关机、无信号定时关机；</w:t>
            </w:r>
          </w:p>
          <w:p w14:paraId="20FE2C1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17、支持设置开机密码及机身按键锁定；</w:t>
            </w:r>
          </w:p>
          <w:p w14:paraId="152CE0E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18、支持AMX、Crestron、PJ-Link、Telnet、HTTP多种网络集中控制协议;</w:t>
            </w:r>
          </w:p>
          <w:p w14:paraId="401C794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19、支持DLP-Link 3D，兼容自动、帧连续、帧封装、上下、并排等多种格式；</w:t>
            </w:r>
          </w:p>
          <w:p w14:paraId="7DD5449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20、应标时须提供CMA、ilac MRA、CNAS印章标识的第三方检测报告佐证，报告内容包含招标参数中序号1-11项技术指标。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E65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218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1</w:t>
            </w:r>
          </w:p>
        </w:tc>
      </w:tr>
      <w:tr w14:paraId="01CA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07D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16</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480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2F大会议室120寸电动幕布</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11F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1.幕布尺寸：120寸</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2.幕布比例：16:9</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3.幕面尺寸：2600*1500mm(约)</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4.控制方式：电动遥控（含遥控器）</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622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幅</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A11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1</w:t>
            </w:r>
          </w:p>
        </w:tc>
      </w:tr>
      <w:tr w14:paraId="792C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E56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17</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0F2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2F大会议室吸顶音箱</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F6E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1.8寸重低音同轴吸顶音响；</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2.额定功率100W；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3.开孔尺寸282mm</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32E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4C4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6</w:t>
            </w:r>
          </w:p>
        </w:tc>
      </w:tr>
      <w:tr w14:paraId="784A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3EE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18</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87A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2F大会议室功放</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73D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1.标准≤1U机柜式设计；采用PFC+开关电源+D类数字功放设计方案；输出功率：立体声8Ω ：500W×2；立体声4Ω：850W×2；桥接16Ω：1000W ；桥接8Ω：1700W。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2.开关电源采用LLC谐振电源短路保护电路和D类数字功放一体模块化设计，保证半桥LLC开关电源稳定性和可靠性。</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3.支持开机软启动功能，软启动过程中电源需求缓慢上升，减少对电网和其他电子设备的电流冲击。</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4.开关电源内置EMI电路，有效的抑制电源谐波，达到欧盟绿色电源标准。</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5.数字功放核心的调制和匹配电路技术，让功放还原真实原声。</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6.整机转换效率达到85%以上。</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7.数字功放电源自适应音频调整节能功能，实现智能削峰限幅器，控制功率模块及扬声器系统在安全范围内工作。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8.MONO /STEREO/BRIDGE三种模式可选择切换。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9.开机软启动，防止开机时向电网吸收大电流，干扰其它用电设备。</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10.内置六大保护电路模块，为功放的可靠性保驾护航，具有：过压保护，欠压保护，过流保护，直流保护，输出短路保护，温控风扇等功能。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338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F7C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157E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31B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14E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2F大会议室手持无线话筒（1拖4，含4只话筒）</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C34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1.基于数字U段的传输技术，pi/4-DQPSK调制方式，采用国产主控芯片，传输距离≥80米，接收机具有≥4路平衡输出、≥1路非平衡混音输出；具有混响、均衡、智能静音、音频加密、功率调节功能。</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2.具有≥1台接收主机、≥4只手持发射机；频率范围等同或优于470MHz-510MHz、540MHz-590MHz、640MHz-690MHz、807MHz-830MHz四个频段使用。</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接收机前面板具有≥4个TFT-LCD显示屏、≥4个编码旋钮、≥4个频率扫描实体按键、≥4个红外对频实体按键、≥1个电源开关按键、≥1个二合一指示灯（红外发射管+对频指示灯）；后面板具有≥1个LINE-OUT接口、≥4个XLR-OUT接口、≥4个BNC接口、≥1个DC接口。发射机具有≥1个OLED显示屏、≥1个开关机/静音按键、≥2个工作状态指示灯。</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4.具有自动静音功能，麦克风跌落、抛掷时，毫秒级自动静音，避免冲击声；实时监测设备姿态，静置≥5秒静音，≥8分钟关机，无需手动干预。</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5.具有多档位混响调节功能，混响效果≥15625个，效果占比、回响延时、混响幅度调节，三种音效各具有≥25档调节方式。</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6.具有多频段均衡调节功能，均衡调节≥2197种，麦克风均衡器调节功能，具有高、中、低音三种调节档位，每种效果支持≥13档调节。</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2B3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669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D53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58A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872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2F大会议室无线话筒支架</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9B3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高度：19MM;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净重：0.16KG;</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配件：麦夹，转接螺母，支架</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FFE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EB1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5FE7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0E1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21</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1E7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2F大会议室反馈抑制器</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787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1.输入阻抗：平衡：20KΩ</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2.输出阻抗：平衡：100Ω</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3.输入范围：≤+18dBu</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4.频率响应：20Hz-20kHz（±0.5dB）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5.信噪比：≥110dB@1kHz 18dBu（A计权）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6.失真度：＜0.012% OUTPUT=0dBu/1kHz</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7.通道分离度：＞82dB(1kHz)</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8.啸叫寻找与抑制方式：自适应反馈抑制、全自动陷波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9.滤波器：24个每通道</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10.Q值范围：10-50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11.频率分辨率：1Hz</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12.啸叫寻找时间：0.1—0.5S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13.FFT长度：1024</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14.传声增益：6—12dB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15.系统增益：0dB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16.陷波器：双通道各12个静态点+12个动态点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17.分频器：具有巴特沃斯，贝塞尔，林克威治-瑞利三种高低通滤波器</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18.均衡器：31段图示均衡器+8段参量均衡器</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19.显示：2英寸IPS真彩显示屏，分辨率320*240；48个陷波器状态LED指示灯</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20.处理器：48kHz采样频率，64bit DSP处理器；32bit A/D及D/A转换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21.电源功耗：≤10W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22.供电范围：AC 110V-240V 50-60Hz</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ADD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E68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1611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E71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22</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569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8路调音台</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920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1.支持≥8路麦克风输入兼容6路线路输入接口，支持≥2路立体声输入接口，≥4路RCA输入，话筒接口幻象电源：+48V。</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2.具有≥2组立体声输出、≥4路编组输出、≥4路辅助输出、≥1个耳机监听输出、≥1个接口双路效果输出 、≥1组控制室输出、≥1组主混音断点插入、≥6个断点插入。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3.内置≥24位DSP效果器，提供≥100种预设效果。</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4.具备≥13个60mm行程的高精密碳膜推子。</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9E0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D6F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5C70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F11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23</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5ED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投影仪吊架</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B57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固定吊架，1000-1500mm(可伸缩)</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AC4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627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2</w:t>
            </w:r>
          </w:p>
        </w:tc>
      </w:tr>
      <w:tr w14:paraId="6E0E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CDD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24</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184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音响线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EE3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RVSP2*2.5㎡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A5A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M</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8E2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300</w:t>
            </w:r>
          </w:p>
        </w:tc>
      </w:tr>
      <w:tr w14:paraId="6E97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358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25</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CE5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电源时序器</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DB6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2.当远程控制有效时同时控制后板ALARM（报警）端口导通以起到级联控制ALARM（报警）功能。</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3.单个通道最大负载功率≥2200W，所有通道负载总功率≥6000W。输出连接器：多用途电源插座。</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4.具有≥1路USB接口。</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832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D43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6063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7D5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26</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061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设备柜</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261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600*1000*1200mm ；</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EFF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0C7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68A8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1A6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27</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33E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配管 JDG20</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261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电线管路敷设</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钢索架设(拉紧装置安装)</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砖墙开沟槽</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喷黑</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B2C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M</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76C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200</w:t>
            </w:r>
          </w:p>
        </w:tc>
      </w:tr>
    </w:tbl>
    <w:p w14:paraId="1AF5CA33">
      <w:pPr>
        <w:snapToGrid w:val="0"/>
        <w:spacing w:line="500" w:lineRule="exact"/>
        <w:ind w:firstLine="560" w:firstLineChars="200"/>
        <w:rPr>
          <w:rFonts w:hint="default" w:ascii="Times New Roman" w:hAnsi="Times New Roman" w:eastAsia="方正仿宋_GBK" w:cs="方正仿宋_GBK"/>
          <w:i w:val="0"/>
          <w:iCs w:val="0"/>
          <w:color w:val="000000"/>
          <w:kern w:val="0"/>
          <w:sz w:val="21"/>
          <w:szCs w:val="21"/>
          <w:highlight w:val="none"/>
          <w:u w:val="none"/>
          <w:lang w:val="en-US" w:eastAsia="zh-CN" w:bidi="ar"/>
        </w:rPr>
      </w:pPr>
      <w:r>
        <w:rPr>
          <w:rFonts w:hint="eastAsia" w:ascii="Times New Roman" w:hAnsi="Times New Roman" w:eastAsia="方正仿宋_GBK" w:cs="Times New Roman"/>
          <w:color w:val="auto"/>
          <w:sz w:val="28"/>
          <w:szCs w:val="28"/>
          <w:highlight w:val="none"/>
          <w:lang w:val="en-US" w:eastAsia="zh-CN"/>
        </w:rPr>
        <w:t>注：技术参数中要求提供的各种证明材料，中标候选人在签合同之前，需出示原件（如是截图或者彩页材料，需加盖制造厂商公章），采购单位核对无误后，方可签订合同。</w:t>
      </w:r>
    </w:p>
    <w:p w14:paraId="074C2267">
      <w:pPr>
        <w:numPr>
          <w:ilvl w:val="0"/>
          <w:numId w:val="0"/>
        </w:numPr>
        <w:snapToGrid w:val="0"/>
        <w:spacing w:line="560" w:lineRule="exact"/>
        <w:ind w:left="0" w:leftChars="0" w:firstLine="560" w:firstLineChars="200"/>
        <w:rPr>
          <w:rFonts w:hint="default" w:ascii="Times New Roman" w:hAnsi="Times New Roman" w:eastAsia="方正黑体_GBK"/>
          <w:sz w:val="28"/>
          <w:szCs w:val="28"/>
          <w:highlight w:val="none"/>
          <w:lang w:val="en-US" w:eastAsia="zh-CN"/>
        </w:rPr>
      </w:pPr>
      <w:r>
        <w:rPr>
          <w:rFonts w:hint="eastAsia" w:ascii="Times New Roman" w:hAnsi="Times New Roman" w:eastAsia="方正黑体_GBK"/>
          <w:sz w:val="28"/>
          <w:szCs w:val="28"/>
          <w:highlight w:val="none"/>
          <w:lang w:val="en-US" w:eastAsia="zh-CN"/>
        </w:rPr>
        <w:t>四、</w:t>
      </w:r>
      <w:r>
        <w:rPr>
          <w:rFonts w:hint="eastAsia" w:ascii="Times New Roman" w:hAnsi="Times New Roman" w:eastAsia="方正黑体_GBK"/>
          <w:sz w:val="28"/>
          <w:szCs w:val="28"/>
          <w:highlight w:val="none"/>
        </w:rPr>
        <w:t>交货</w:t>
      </w:r>
      <w:r>
        <w:rPr>
          <w:rFonts w:hint="eastAsia" w:ascii="Times New Roman" w:hAnsi="Times New Roman" w:eastAsia="方正黑体_GBK"/>
          <w:sz w:val="28"/>
          <w:szCs w:val="28"/>
          <w:highlight w:val="none"/>
          <w:lang w:val="en-US" w:eastAsia="zh-CN"/>
        </w:rPr>
        <w:t>方式及地点</w:t>
      </w:r>
    </w:p>
    <w:p w14:paraId="25E0B155">
      <w:pPr>
        <w:snapToGrid w:val="0"/>
        <w:spacing w:line="500" w:lineRule="exact"/>
        <w:ind w:firstLine="560" w:firstLineChars="200"/>
        <w:rPr>
          <w:rFonts w:hint="default" w:ascii="Times New Roman" w:hAnsi="Times New Roman" w:eastAsia="方正仿宋_GBK"/>
          <w:color w:val="auto"/>
          <w:sz w:val="28"/>
          <w:szCs w:val="28"/>
          <w:highlight w:val="none"/>
          <w:lang w:val="en-US" w:eastAsia="zh-CN"/>
        </w:rPr>
      </w:pPr>
      <w:bookmarkStart w:id="19" w:name="_Toc20778"/>
      <w:bookmarkStart w:id="20" w:name="_Toc3475"/>
      <w:bookmarkStart w:id="21" w:name="_Toc9654"/>
      <w:bookmarkStart w:id="22" w:name="_Toc25886"/>
      <w:bookmarkStart w:id="23" w:name="_Toc5085"/>
      <w:bookmarkStart w:id="24" w:name="_Toc11828"/>
      <w:bookmarkStart w:id="25" w:name="_Toc27955"/>
      <w:bookmarkStart w:id="26" w:name="_Toc19730"/>
      <w:bookmarkStart w:id="27" w:name="_Toc13969"/>
      <w:bookmarkStart w:id="28" w:name="_Toc15478"/>
      <w:bookmarkStart w:id="29" w:name="_Toc14778"/>
      <w:bookmarkStart w:id="30" w:name="_Toc25516"/>
      <w:bookmarkStart w:id="31" w:name="_Toc31315"/>
      <w:bookmarkStart w:id="32" w:name="_Toc9027"/>
      <w:r>
        <w:rPr>
          <w:rFonts w:hint="eastAsia" w:ascii="Times New Roman" w:hAnsi="Times New Roman" w:eastAsia="方正仿宋_GBK"/>
          <w:color w:val="auto"/>
          <w:sz w:val="28"/>
          <w:szCs w:val="28"/>
          <w:highlight w:val="none"/>
        </w:rPr>
        <w:t>1、交货日期：供应商需在合同签订后的</w:t>
      </w:r>
      <w:r>
        <w:rPr>
          <w:rFonts w:hint="eastAsia" w:ascii="Times New Roman" w:hAnsi="Times New Roman" w:eastAsia="方正仿宋_GBK"/>
          <w:color w:val="auto"/>
          <w:sz w:val="28"/>
          <w:szCs w:val="28"/>
          <w:highlight w:val="none"/>
          <w:lang w:val="en-US" w:eastAsia="zh-CN"/>
        </w:rPr>
        <w:t>15</w:t>
      </w:r>
      <w:r>
        <w:rPr>
          <w:rFonts w:hint="eastAsia" w:ascii="Times New Roman" w:hAnsi="Times New Roman" w:eastAsia="方正仿宋_GBK"/>
          <w:color w:val="auto"/>
          <w:sz w:val="28"/>
          <w:szCs w:val="28"/>
          <w:highlight w:val="none"/>
        </w:rPr>
        <w:t>个工作日内，完成设备的安装与调试工作</w:t>
      </w:r>
      <w:r>
        <w:rPr>
          <w:rFonts w:hint="eastAsia" w:ascii="Times New Roman" w:hAnsi="Times New Roman" w:eastAsia="方正仿宋_GBK"/>
          <w:color w:val="auto"/>
          <w:sz w:val="28"/>
          <w:szCs w:val="28"/>
          <w:highlight w:val="none"/>
          <w:lang w:val="en-US" w:eastAsia="zh-CN"/>
        </w:rPr>
        <w:t>。</w:t>
      </w:r>
    </w:p>
    <w:p w14:paraId="6AA120D3">
      <w:pPr>
        <w:snapToGrid w:val="0"/>
        <w:spacing w:line="500" w:lineRule="exact"/>
        <w:ind w:firstLine="560" w:firstLineChars="200"/>
        <w:rPr>
          <w:rFonts w:hint="default"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rPr>
        <w:t>2、交货方式：供应商送货</w:t>
      </w:r>
      <w:r>
        <w:rPr>
          <w:rFonts w:hint="eastAsia" w:ascii="Times New Roman" w:hAnsi="Times New Roman" w:eastAsia="方正仿宋_GBK"/>
          <w:color w:val="auto"/>
          <w:sz w:val="28"/>
          <w:szCs w:val="28"/>
          <w:highlight w:val="none"/>
          <w:lang w:val="en-US" w:eastAsia="zh-CN"/>
        </w:rPr>
        <w:t>到</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lang w:val="en-US" w:eastAsia="zh-CN"/>
        </w:rPr>
        <w:t>指定位置。</w:t>
      </w:r>
    </w:p>
    <w:p w14:paraId="207EBB5C">
      <w:pPr>
        <w:snapToGrid w:val="0"/>
        <w:spacing w:line="500" w:lineRule="exact"/>
        <w:ind w:firstLine="560" w:firstLineChars="200"/>
        <w:rPr>
          <w:rFonts w:hint="eastAsia" w:ascii="Times New Roman" w:hAnsi="Times New Roman" w:eastAsia="方正仿宋_GBK"/>
          <w:color w:val="auto"/>
          <w:sz w:val="28"/>
          <w:szCs w:val="28"/>
          <w:highlight w:val="none"/>
        </w:rPr>
      </w:pPr>
      <w:r>
        <w:rPr>
          <w:rFonts w:hint="eastAsia" w:ascii="Times New Roman" w:hAnsi="Times New Roman" w:eastAsia="方正仿宋_GBK"/>
          <w:color w:val="auto"/>
          <w:sz w:val="28"/>
          <w:szCs w:val="28"/>
          <w:highlight w:val="none"/>
        </w:rPr>
        <w:t>3、如采用供应商送货或由供应商提供物流送货的方式交货，则合同设备在送达</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指定地点前所发生的货物毁损、灭失风险由供应商承担；合同设备在送达</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指定地点后的货物毁损、灭失风险由</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承担；如由</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自提或由</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指定物流运送（不论运费承担方是</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或供应商），则货物毁损、灭失风险自供应商向</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或</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指定物流公司交付货物时起由</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承担。</w:t>
      </w:r>
    </w:p>
    <w:p w14:paraId="058259AB">
      <w:pPr>
        <w:numPr>
          <w:ilvl w:val="0"/>
          <w:numId w:val="0"/>
        </w:numPr>
        <w:snapToGrid w:val="0"/>
        <w:spacing w:line="560" w:lineRule="exact"/>
        <w:ind w:left="0" w:leftChars="0"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lang w:val="en-US" w:eastAsia="zh-CN"/>
        </w:rPr>
        <w:t>五、</w:t>
      </w:r>
      <w:r>
        <w:rPr>
          <w:rFonts w:hint="eastAsia" w:ascii="Times New Roman" w:hAnsi="Times New Roman" w:eastAsia="方正黑体_GBK"/>
          <w:sz w:val="28"/>
          <w:szCs w:val="28"/>
          <w:highlight w:val="none"/>
        </w:rPr>
        <w:t>付款日期及结算方式</w:t>
      </w:r>
    </w:p>
    <w:p w14:paraId="778CE1DD">
      <w:pPr>
        <w:numPr>
          <w:ilvl w:val="0"/>
          <w:numId w:val="0"/>
        </w:num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
        </w:rPr>
      </w:pPr>
      <w:r>
        <w:rPr>
          <w:rFonts w:hint="eastAsia" w:ascii="Times New Roman" w:hAnsi="Times New Roman" w:eastAsia="方正仿宋_GBK" w:cs="Times New Roman"/>
          <w:color w:val="auto"/>
          <w:kern w:val="2"/>
          <w:sz w:val="28"/>
          <w:szCs w:val="28"/>
          <w:lang w:val="en-US" w:eastAsia="zh" w:bidi="ar-SA"/>
        </w:rPr>
        <w:t>1</w:t>
      </w:r>
      <w:r>
        <w:rPr>
          <w:rFonts w:hint="eastAsia" w:ascii="Times New Roman" w:hAnsi="Times New Roman" w:eastAsia="方正仿宋_GBK" w:cs="Times New Roman"/>
          <w:color w:val="auto"/>
          <w:kern w:val="2"/>
          <w:sz w:val="28"/>
          <w:szCs w:val="28"/>
          <w:lang w:val="en-US" w:eastAsia="zh-CN" w:bidi="ar-SA"/>
        </w:rPr>
        <w:t>、</w:t>
      </w:r>
      <w:r>
        <w:rPr>
          <w:rFonts w:hint="eastAsia" w:ascii="Times New Roman" w:hAnsi="Times New Roman" w:eastAsia="方正仿宋_GBK" w:cs="Times New Roman"/>
          <w:color w:val="auto"/>
          <w:sz w:val="28"/>
          <w:szCs w:val="28"/>
          <w:highlight w:val="none"/>
          <w:lang w:val="en-US" w:eastAsia="zh"/>
        </w:rPr>
        <w:t>本项目无预付款，供应商完成本合同项目范围内的所有设备安装、调试、检测及验收工作后，30个工作日内由采购人支付95%的合同金额；</w:t>
      </w:r>
    </w:p>
    <w:p w14:paraId="0727F427">
      <w:pPr>
        <w:numPr>
          <w:ilvl w:val="0"/>
          <w:numId w:val="0"/>
        </w:num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
        </w:rPr>
        <w:t>2</w:t>
      </w:r>
      <w:r>
        <w:rPr>
          <w:rFonts w:hint="eastAsia"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
        </w:rPr>
        <w:t>验收合格之日起满三年且设备无质量问题时支付合同总价的5%</w:t>
      </w:r>
      <w:r>
        <w:rPr>
          <w:rFonts w:hint="eastAsia" w:ascii="Times New Roman" w:hAnsi="Times New Roman" w:eastAsia="方正仿宋_GBK" w:cs="Times New Roman"/>
          <w:color w:val="auto"/>
          <w:sz w:val="28"/>
          <w:szCs w:val="28"/>
          <w:highlight w:val="none"/>
          <w:lang w:val="en-US" w:eastAsia="zh-CN"/>
        </w:rPr>
        <w:t>；</w:t>
      </w:r>
    </w:p>
    <w:p w14:paraId="19E3A08C">
      <w:pPr>
        <w:snapToGrid w:val="0"/>
        <w:spacing w:line="500" w:lineRule="exact"/>
        <w:ind w:firstLine="560" w:firstLineChars="200"/>
        <w:rPr>
          <w:rFonts w:hint="eastAsia" w:ascii="Times New Roman" w:hAnsi="Times New Roman" w:eastAsia="方正仿宋_GBK"/>
          <w:color w:val="FF0000"/>
          <w:sz w:val="28"/>
          <w:szCs w:val="28"/>
          <w:highlight w:val="none"/>
        </w:rPr>
      </w:pPr>
      <w:r>
        <w:rPr>
          <w:rFonts w:hint="eastAsia" w:ascii="Times New Roman" w:hAnsi="Times New Roman" w:eastAsia="方正仿宋_GBK"/>
          <w:sz w:val="28"/>
          <w:szCs w:val="28"/>
          <w:highlight w:val="none"/>
          <w:lang w:val="en-US" w:eastAsia="zh-CN"/>
        </w:rPr>
        <w:t>3、</w:t>
      </w:r>
      <w:r>
        <w:rPr>
          <w:rFonts w:hint="eastAsia" w:ascii="Times New Roman" w:hAnsi="Times New Roman" w:eastAsia="方正仿宋_GBK"/>
          <w:sz w:val="28"/>
          <w:szCs w:val="28"/>
          <w:highlight w:val="none"/>
          <w:lang w:eastAsia="zh-CN"/>
        </w:rPr>
        <w:t>付款时，供应商须提供合法的增值税专用发票，采购人根据发票金额支付到供应商银行账户中。</w:t>
      </w:r>
    </w:p>
    <w:p w14:paraId="4A17E859">
      <w:pPr>
        <w:numPr>
          <w:ilvl w:val="0"/>
          <w:numId w:val="0"/>
        </w:numPr>
        <w:snapToGrid w:val="0"/>
        <w:spacing w:line="560" w:lineRule="exact"/>
        <w:ind w:left="0" w:leftChars="0" w:firstLine="560" w:firstLineChars="200"/>
        <w:rPr>
          <w:rFonts w:hint="default" w:ascii="Times New Roman" w:hAnsi="Times New Roman" w:eastAsia="方正黑体_GBK"/>
          <w:color w:val="auto"/>
          <w:sz w:val="28"/>
          <w:szCs w:val="28"/>
          <w:highlight w:val="none"/>
          <w:lang w:val="en-US" w:eastAsia="zh-CN"/>
        </w:rPr>
      </w:pPr>
      <w:r>
        <w:rPr>
          <w:rFonts w:hint="eastAsia" w:ascii="Times New Roman" w:hAnsi="Times New Roman" w:eastAsia="方正黑体_GBK"/>
          <w:color w:val="auto"/>
          <w:sz w:val="28"/>
          <w:szCs w:val="28"/>
          <w:highlight w:val="none"/>
          <w:lang w:val="en-US" w:eastAsia="zh-CN"/>
        </w:rPr>
        <w:t>六、</w:t>
      </w:r>
      <w:r>
        <w:rPr>
          <w:rFonts w:hint="eastAsia" w:ascii="Times New Roman" w:hAnsi="Times New Roman" w:eastAsia="方正黑体_GBK"/>
          <w:color w:val="auto"/>
          <w:sz w:val="28"/>
          <w:szCs w:val="28"/>
          <w:highlight w:val="none"/>
        </w:rPr>
        <w:t>保修</w:t>
      </w:r>
      <w:r>
        <w:rPr>
          <w:rFonts w:hint="eastAsia" w:ascii="Times New Roman" w:hAnsi="Times New Roman" w:eastAsia="方正黑体_GBK"/>
          <w:color w:val="auto"/>
          <w:sz w:val="28"/>
          <w:szCs w:val="28"/>
          <w:highlight w:val="none"/>
          <w:lang w:val="en-US" w:eastAsia="zh-CN"/>
        </w:rPr>
        <w:t>及质保期限</w:t>
      </w:r>
    </w:p>
    <w:p w14:paraId="5E59DE87">
      <w:pPr>
        <w:snapToGrid w:val="0"/>
        <w:spacing w:line="500" w:lineRule="exact"/>
        <w:ind w:firstLine="560" w:firstLineChars="200"/>
        <w:rPr>
          <w:rFonts w:hint="default"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三</w:t>
      </w:r>
      <w:r>
        <w:rPr>
          <w:rFonts w:hint="eastAsia" w:ascii="Times New Roman" w:hAnsi="Times New Roman" w:eastAsia="方正仿宋_GBK"/>
          <w:color w:val="auto"/>
          <w:sz w:val="28"/>
          <w:szCs w:val="28"/>
          <w:highlight w:val="none"/>
        </w:rPr>
        <w:t>年</w:t>
      </w:r>
      <w:r>
        <w:rPr>
          <w:rFonts w:hint="eastAsia" w:ascii="Times New Roman" w:hAnsi="Times New Roman" w:eastAsia="方正仿宋_GBK" w:cs="Times New Roman"/>
          <w:color w:val="auto"/>
          <w:sz w:val="28"/>
          <w:szCs w:val="28"/>
          <w:highlight w:val="none"/>
        </w:rPr>
        <w:t>内</w:t>
      </w:r>
      <w:r>
        <w:rPr>
          <w:rFonts w:hint="eastAsia" w:ascii="Times New Roman" w:hAnsi="Times New Roman" w:eastAsia="方正仿宋_GBK" w:cs="Times New Roman"/>
          <w:color w:val="auto"/>
          <w:sz w:val="28"/>
          <w:szCs w:val="28"/>
          <w:highlight w:val="none"/>
          <w:lang w:val="en-US" w:eastAsia="zh-CN"/>
        </w:rPr>
        <w:t>硬件</w:t>
      </w:r>
      <w:r>
        <w:rPr>
          <w:rFonts w:hint="eastAsia" w:ascii="Times New Roman" w:hAnsi="Times New Roman" w:eastAsia="方正仿宋_GBK" w:cs="Times New Roman"/>
          <w:color w:val="auto"/>
          <w:sz w:val="28"/>
          <w:szCs w:val="28"/>
          <w:highlight w:val="none"/>
        </w:rPr>
        <w:t>免费</w:t>
      </w:r>
      <w:r>
        <w:rPr>
          <w:rFonts w:hint="eastAsia" w:ascii="Times New Roman" w:hAnsi="Times New Roman" w:eastAsia="方正仿宋_GBK"/>
          <w:color w:val="auto"/>
          <w:sz w:val="28"/>
          <w:szCs w:val="28"/>
          <w:highlight w:val="none"/>
        </w:rPr>
        <w:t>维护</w:t>
      </w:r>
      <w:r>
        <w:rPr>
          <w:rFonts w:hint="eastAsia" w:ascii="Times New Roman" w:hAnsi="Times New Roman" w:eastAsia="方正仿宋_GBK"/>
          <w:color w:val="auto"/>
          <w:sz w:val="28"/>
          <w:szCs w:val="28"/>
          <w:highlight w:val="none"/>
          <w:lang w:val="en-US" w:eastAsia="zh-CN"/>
        </w:rPr>
        <w:t>。</w:t>
      </w:r>
    </w:p>
    <w:p w14:paraId="7508660F">
      <w:pPr>
        <w:numPr>
          <w:ilvl w:val="0"/>
          <w:numId w:val="0"/>
        </w:numPr>
        <w:snapToGrid w:val="0"/>
        <w:spacing w:line="560" w:lineRule="exact"/>
        <w:ind w:left="0" w:leftChars="0" w:firstLine="560" w:firstLineChars="200"/>
        <w:rPr>
          <w:rFonts w:ascii="Times New Roman" w:hAnsi="Times New Roman" w:eastAsia="方正黑体_GBK"/>
          <w:sz w:val="28"/>
          <w:szCs w:val="28"/>
          <w:highlight w:val="none"/>
        </w:rPr>
      </w:pPr>
      <w:r>
        <w:rPr>
          <w:rFonts w:hint="eastAsia" w:ascii="Times New Roman" w:hAnsi="Times New Roman" w:eastAsia="方正黑体_GBK" w:cs="Times New Roman"/>
          <w:kern w:val="2"/>
          <w:sz w:val="28"/>
          <w:szCs w:val="28"/>
          <w:highlight w:val="none"/>
          <w:lang w:val="en-US" w:eastAsia="zh-CN" w:bidi="ar-SA"/>
        </w:rPr>
        <w:t>七、</w:t>
      </w:r>
      <w:r>
        <w:rPr>
          <w:rFonts w:ascii="Times New Roman" w:hAnsi="Times New Roman" w:eastAsia="方正黑体_GBK"/>
          <w:sz w:val="28"/>
          <w:szCs w:val="28"/>
          <w:highlight w:val="none"/>
        </w:rPr>
        <w:t>联系方式</w:t>
      </w:r>
      <w:bookmarkEnd w:id="19"/>
      <w:bookmarkEnd w:id="20"/>
      <w:bookmarkEnd w:id="21"/>
      <w:bookmarkEnd w:id="22"/>
      <w:bookmarkEnd w:id="23"/>
      <w:bookmarkEnd w:id="24"/>
      <w:bookmarkEnd w:id="25"/>
    </w:p>
    <w:p w14:paraId="73E22020">
      <w:pPr>
        <w:snapToGrid w:val="0"/>
        <w:spacing w:line="500" w:lineRule="exact"/>
        <w:ind w:firstLine="560" w:firstLineChars="200"/>
        <w:rPr>
          <w:rFonts w:hint="eastAsia" w:ascii="Times New Roman" w:hAnsi="Times New Roman" w:eastAsia="方正黑体_GBK"/>
          <w:color w:val="auto"/>
          <w:sz w:val="36"/>
          <w:szCs w:val="30"/>
          <w:highlight w:val="none"/>
          <w:u w:val="single"/>
        </w:rPr>
      </w:pPr>
      <w:r>
        <w:rPr>
          <w:rFonts w:ascii="Times New Roman" w:hAnsi="Times New Roman" w:eastAsia="方正仿宋_GBK"/>
          <w:color w:val="auto"/>
          <w:sz w:val="28"/>
          <w:szCs w:val="28"/>
          <w:highlight w:val="none"/>
        </w:rPr>
        <w:t>采购人：</w:t>
      </w:r>
      <w:r>
        <w:rPr>
          <w:rFonts w:hint="eastAsia" w:ascii="Times New Roman" w:hAnsi="Times New Roman" w:eastAsia="方正仿宋_GBK"/>
          <w:color w:val="auto"/>
          <w:sz w:val="28"/>
          <w:szCs w:val="28"/>
          <w:highlight w:val="none"/>
        </w:rPr>
        <w:t>重庆西算大数据有限公司</w:t>
      </w:r>
    </w:p>
    <w:p w14:paraId="1A8190D9">
      <w:p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ascii="Times New Roman" w:hAnsi="Times New Roman" w:eastAsia="方正仿宋_GBK"/>
          <w:color w:val="auto"/>
          <w:sz w:val="28"/>
          <w:szCs w:val="28"/>
          <w:highlight w:val="none"/>
        </w:rPr>
        <w:t>联系人</w:t>
      </w:r>
      <w:r>
        <w:rPr>
          <w:rFonts w:hint="eastAsia"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李明月</w:t>
      </w:r>
    </w:p>
    <w:p w14:paraId="71ADB489">
      <w:pPr>
        <w:snapToGrid w:val="0"/>
        <w:spacing w:line="5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电  话：</w:t>
      </w:r>
      <w:r>
        <w:rPr>
          <w:rFonts w:hint="eastAsia" w:ascii="Times New Roman" w:hAnsi="Times New Roman" w:eastAsia="方正仿宋_GBK" w:cs="Times New Roman"/>
          <w:color w:val="auto"/>
          <w:sz w:val="28"/>
          <w:szCs w:val="28"/>
          <w:highlight w:val="none"/>
          <w:lang w:val="en-US" w:eastAsia="zh-CN"/>
        </w:rPr>
        <w:t>13648403911</w:t>
      </w:r>
    </w:p>
    <w:p w14:paraId="1128E0E7">
      <w:pPr>
        <w:snapToGrid w:val="0"/>
        <w:spacing w:line="50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cs="Times New Roman"/>
          <w:color w:val="auto"/>
          <w:sz w:val="28"/>
          <w:szCs w:val="28"/>
          <w:highlight w:val="none"/>
        </w:rPr>
        <w:t>地  址：重庆市璧山区璧</w:t>
      </w:r>
      <w:r>
        <w:rPr>
          <w:rFonts w:hint="eastAsia" w:ascii="Times New Roman" w:hAnsi="Times New Roman" w:eastAsia="方正仿宋_GBK"/>
          <w:sz w:val="28"/>
          <w:szCs w:val="28"/>
          <w:highlight w:val="none"/>
        </w:rPr>
        <w:t>泉街道双星大道50号1栋</w:t>
      </w:r>
      <w:r>
        <w:rPr>
          <w:rFonts w:ascii="Times New Roman" w:hAnsi="Times New Roman" w:eastAsia="方正仿宋_GBK"/>
          <w:sz w:val="28"/>
          <w:szCs w:val="28"/>
          <w:highlight w:val="none"/>
        </w:rPr>
        <w:t>9</w:t>
      </w:r>
      <w:r>
        <w:rPr>
          <w:rFonts w:hint="eastAsia" w:ascii="Times New Roman" w:hAnsi="Times New Roman" w:eastAsia="方正仿宋_GBK"/>
          <w:sz w:val="28"/>
          <w:szCs w:val="28"/>
          <w:highlight w:val="none"/>
        </w:rPr>
        <w:t>楼</w:t>
      </w:r>
    </w:p>
    <w:p w14:paraId="01B4A526">
      <w:pPr>
        <w:snapToGrid w:val="0"/>
        <w:spacing w:line="560" w:lineRule="exact"/>
        <w:rPr>
          <w:rFonts w:ascii="Times New Roman" w:hAnsi="Times New Roman" w:eastAsia="方正黑体_GBK"/>
          <w:sz w:val="28"/>
          <w:szCs w:val="28"/>
          <w:highlight w:val="none"/>
        </w:rPr>
      </w:pPr>
      <w:r>
        <w:rPr>
          <w:rFonts w:ascii="Times New Roman" w:hAnsi="Times New Roman" w:eastAsia="方正黑体_GBK"/>
          <w:sz w:val="28"/>
          <w:szCs w:val="28"/>
          <w:highlight w:val="none"/>
        </w:rPr>
        <w:t>　　</w:t>
      </w:r>
      <w:r>
        <w:rPr>
          <w:rFonts w:hint="eastAsia" w:ascii="Times New Roman" w:hAnsi="Times New Roman" w:eastAsia="方正黑体_GBK"/>
          <w:sz w:val="28"/>
          <w:szCs w:val="28"/>
          <w:highlight w:val="none"/>
          <w:lang w:val="en-US" w:eastAsia="zh-CN"/>
        </w:rPr>
        <w:t>八</w:t>
      </w:r>
      <w:r>
        <w:rPr>
          <w:rFonts w:ascii="Times New Roman" w:hAnsi="Times New Roman" w:eastAsia="方正黑体_GBK"/>
          <w:sz w:val="28"/>
          <w:szCs w:val="28"/>
          <w:highlight w:val="none"/>
        </w:rPr>
        <w:t>、</w:t>
      </w:r>
      <w:bookmarkEnd w:id="26"/>
      <w:bookmarkEnd w:id="27"/>
      <w:bookmarkEnd w:id="28"/>
      <w:bookmarkEnd w:id="29"/>
      <w:bookmarkEnd w:id="30"/>
      <w:bookmarkEnd w:id="31"/>
      <w:bookmarkEnd w:id="32"/>
      <w:r>
        <w:rPr>
          <w:rFonts w:ascii="Times New Roman" w:hAnsi="Times New Roman" w:eastAsia="方正黑体_GBK"/>
          <w:sz w:val="28"/>
          <w:szCs w:val="28"/>
          <w:highlight w:val="none"/>
        </w:rPr>
        <w:t>其它有关规定</w:t>
      </w:r>
    </w:p>
    <w:p w14:paraId="1DCAF707">
      <w:pPr>
        <w:snapToGrid w:val="0"/>
        <w:spacing w:line="500" w:lineRule="exact"/>
        <w:ind w:firstLine="560" w:firstLineChars="200"/>
        <w:rPr>
          <w:rFonts w:hint="eastAsia" w:ascii="Times New Roman" w:hAnsi="Times New Roman" w:eastAsia="方正仿宋_GBK"/>
          <w:color w:val="auto"/>
          <w:sz w:val="28"/>
          <w:szCs w:val="28"/>
        </w:rPr>
      </w:pPr>
      <w:r>
        <w:rPr>
          <w:rFonts w:hint="eastAsia" w:ascii="Times New Roman" w:hAnsi="Times New Roman" w:eastAsia="方正仿宋_GBK"/>
          <w:color w:val="auto"/>
          <w:sz w:val="28"/>
          <w:szCs w:val="28"/>
          <w:highlight w:val="none"/>
        </w:rPr>
        <w:t>请贵单位</w:t>
      </w:r>
      <w:r>
        <w:rPr>
          <w:rFonts w:hint="eastAsia" w:ascii="Times New Roman" w:hAnsi="Times New Roman" w:eastAsia="方正仿宋_GBK"/>
          <w:color w:val="auto"/>
          <w:sz w:val="28"/>
          <w:szCs w:val="28"/>
          <w:highlight w:val="none"/>
          <w:lang w:val="en-US" w:eastAsia="zh-CN"/>
        </w:rPr>
        <w:t>将响应文件</w:t>
      </w:r>
      <w:r>
        <w:rPr>
          <w:rFonts w:hint="eastAsia" w:ascii="Times New Roman" w:hAnsi="Times New Roman" w:eastAsia="方正仿宋_GBK"/>
          <w:color w:val="auto"/>
          <w:sz w:val="28"/>
          <w:szCs w:val="28"/>
          <w:highlight w:val="none"/>
        </w:rPr>
        <w:t>原件在</w:t>
      </w:r>
      <w:r>
        <w:rPr>
          <w:rFonts w:hint="eastAsia" w:ascii="Times New Roman" w:hAnsi="Times New Roman" w:eastAsia="方正仿宋_GBK"/>
          <w:color w:val="auto"/>
          <w:sz w:val="28"/>
          <w:szCs w:val="28"/>
          <w:highlight w:val="none"/>
          <w:lang w:val="en-US" w:eastAsia="zh-CN"/>
        </w:rPr>
        <w:t>6月25日上午12点</w:t>
      </w:r>
      <w:r>
        <w:rPr>
          <w:rFonts w:hint="eastAsia" w:ascii="Times New Roman" w:hAnsi="Times New Roman" w:eastAsia="方正仿宋_GBK"/>
          <w:color w:val="auto"/>
          <w:sz w:val="28"/>
          <w:szCs w:val="28"/>
          <w:highlight w:val="none"/>
        </w:rPr>
        <w:t>前交至我公司，地址：重庆市璧山区璧泉街道双星大道5</w:t>
      </w:r>
      <w:r>
        <w:rPr>
          <w:rFonts w:hint="eastAsia" w:ascii="Times New Roman" w:hAnsi="Times New Roman" w:eastAsia="方正仿宋_GBK"/>
          <w:color w:val="auto"/>
          <w:sz w:val="28"/>
          <w:szCs w:val="28"/>
          <w:highlight w:val="none"/>
          <w:lang w:val="en-US" w:eastAsia="zh-CN"/>
        </w:rPr>
        <w:t>0</w:t>
      </w:r>
      <w:r>
        <w:rPr>
          <w:rFonts w:hint="eastAsia" w:ascii="Times New Roman" w:hAnsi="Times New Roman" w:eastAsia="方正仿宋_GBK"/>
          <w:color w:val="auto"/>
          <w:sz w:val="28"/>
          <w:szCs w:val="28"/>
          <w:highlight w:val="none"/>
        </w:rPr>
        <w:t>号1幢9楼。报价一经我司认可，</w:t>
      </w:r>
      <w:r>
        <w:rPr>
          <w:rFonts w:hint="eastAsia" w:ascii="Times New Roman" w:hAnsi="Times New Roman" w:eastAsia="方正仿宋_GBK"/>
          <w:color w:val="auto"/>
          <w:sz w:val="28"/>
          <w:szCs w:val="28"/>
        </w:rPr>
        <w:t>即为签订合同的最终依据。</w:t>
      </w:r>
    </w:p>
    <w:p w14:paraId="5E7AE607">
      <w:pPr>
        <w:snapToGrid w:val="0"/>
        <w:spacing w:line="560" w:lineRule="exact"/>
        <w:rPr>
          <w:rFonts w:ascii="Times New Roman" w:hAnsi="Times New Roman" w:eastAsia="方正黑体_GBK"/>
          <w:sz w:val="28"/>
          <w:szCs w:val="28"/>
        </w:rPr>
      </w:pPr>
      <w:r>
        <w:rPr>
          <w:rFonts w:ascii="Times New Roman" w:hAnsi="Times New Roman" w:eastAsia="方正黑体_GBK"/>
          <w:sz w:val="28"/>
          <w:szCs w:val="28"/>
        </w:rPr>
        <w:t>　　</w:t>
      </w:r>
      <w:r>
        <w:rPr>
          <w:rFonts w:hint="eastAsia" w:ascii="Times New Roman" w:hAnsi="Times New Roman" w:eastAsia="方正黑体_GBK"/>
          <w:sz w:val="28"/>
          <w:szCs w:val="28"/>
          <w:lang w:val="en-US" w:eastAsia="zh-CN"/>
        </w:rPr>
        <w:t>九</w:t>
      </w:r>
      <w:r>
        <w:rPr>
          <w:rFonts w:ascii="Times New Roman" w:hAnsi="Times New Roman" w:eastAsia="方正黑体_GBK"/>
          <w:sz w:val="28"/>
          <w:szCs w:val="28"/>
        </w:rPr>
        <w:t>、评选方法</w:t>
      </w:r>
    </w:p>
    <w:p w14:paraId="491C2C11">
      <w:pPr>
        <w:spacing w:line="560" w:lineRule="exact"/>
        <w:ind w:firstLine="560" w:firstLineChars="200"/>
        <w:rPr>
          <w:rFonts w:hint="eastAsia"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低价中标</w:t>
      </w:r>
      <w:r>
        <w:rPr>
          <w:rFonts w:hint="eastAsia" w:ascii="Times New Roman" w:hAnsi="Times New Roman" w:eastAsia="方正仿宋_GBK" w:cs="Times New Roman"/>
          <w:color w:val="auto"/>
          <w:sz w:val="28"/>
          <w:szCs w:val="28"/>
        </w:rPr>
        <w:t>法。</w:t>
      </w:r>
    </w:p>
    <w:p w14:paraId="3D233E9B">
      <w:pPr>
        <w:snapToGrid w:val="0"/>
        <w:spacing w:line="560" w:lineRule="exact"/>
        <w:ind w:firstLine="560" w:firstLineChars="200"/>
        <w:rPr>
          <w:rFonts w:ascii="Times New Roman" w:hAnsi="Times New Roman" w:eastAsia="方正黑体_GBK"/>
          <w:sz w:val="28"/>
          <w:szCs w:val="28"/>
        </w:rPr>
      </w:pPr>
      <w:r>
        <w:rPr>
          <w:rFonts w:hint="eastAsia" w:ascii="Times New Roman" w:hAnsi="Times New Roman" w:eastAsia="方正黑体_GBK"/>
          <w:sz w:val="28"/>
          <w:szCs w:val="28"/>
          <w:lang w:val="en-US" w:eastAsia="zh-CN"/>
        </w:rPr>
        <w:t>十</w:t>
      </w:r>
      <w:r>
        <w:rPr>
          <w:rFonts w:ascii="Times New Roman" w:hAnsi="Times New Roman" w:eastAsia="方正黑体_GBK"/>
          <w:sz w:val="28"/>
          <w:szCs w:val="28"/>
        </w:rPr>
        <w:t>、其他</w:t>
      </w:r>
    </w:p>
    <w:p w14:paraId="04830E55">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1、供应商必须对以上条款和服务承诺明确列出，承诺内容必须达到要求。</w:t>
      </w:r>
    </w:p>
    <w:p w14:paraId="1A0F2321">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2、其他未尽事宜由供需双方在采购合同中详细约定。</w:t>
      </w:r>
    </w:p>
    <w:p w14:paraId="2F8A4AD7">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3、供应商报价总价（含税）不得超过人民币壹拾玖万捌仟元整（￥198000.00）。</w:t>
      </w:r>
    </w:p>
    <w:p w14:paraId="57206EA5">
      <w:pPr>
        <w:snapToGrid w:val="0"/>
        <w:spacing w:line="560" w:lineRule="exact"/>
        <w:ind w:firstLine="560" w:firstLineChars="200"/>
        <w:rPr>
          <w:rFonts w:ascii="Times New Roman" w:hAnsi="Times New Roman" w:eastAsia="方正黑体_GBK"/>
          <w:sz w:val="28"/>
          <w:szCs w:val="28"/>
        </w:rPr>
      </w:pPr>
      <w:r>
        <w:rPr>
          <w:rFonts w:hint="eastAsia" w:ascii="Times New Roman" w:hAnsi="Times New Roman" w:eastAsia="方正黑体_GBK"/>
          <w:sz w:val="28"/>
          <w:szCs w:val="28"/>
          <w:lang w:val="en-US" w:eastAsia="zh-CN"/>
        </w:rPr>
        <w:t>十一</w:t>
      </w:r>
      <w:r>
        <w:rPr>
          <w:rFonts w:ascii="Times New Roman" w:hAnsi="Times New Roman" w:eastAsia="方正黑体_GBK"/>
          <w:sz w:val="28"/>
          <w:szCs w:val="28"/>
        </w:rPr>
        <w:t>、供应商提交响应文件</w:t>
      </w:r>
    </w:p>
    <w:p w14:paraId="0BCDBFB7">
      <w:pPr>
        <w:snapToGrid w:val="0"/>
        <w:spacing w:line="500" w:lineRule="exact"/>
        <w:ind w:firstLine="560" w:firstLineChars="200"/>
        <w:rPr>
          <w:rFonts w:hint="eastAsia" w:ascii="Times New Roman" w:hAnsi="Times New Roman" w:eastAsia="方正仿宋_GBK"/>
          <w:color w:val="auto"/>
          <w:sz w:val="28"/>
          <w:szCs w:val="28"/>
        </w:rPr>
      </w:pPr>
      <w:r>
        <w:rPr>
          <w:rFonts w:hint="eastAsia" w:ascii="Times New Roman" w:hAnsi="Times New Roman" w:eastAsia="方正仿宋_GBK"/>
          <w:color w:val="auto"/>
          <w:sz w:val="28"/>
          <w:szCs w:val="28"/>
          <w:lang w:val="en-US" w:eastAsia="zh-CN"/>
        </w:rPr>
        <w:t>请贵单位</w:t>
      </w:r>
      <w:r>
        <w:rPr>
          <w:rFonts w:hint="eastAsia" w:ascii="Times New Roman" w:hAnsi="Times New Roman" w:eastAsia="方正仿宋_GBK"/>
          <w:color w:val="auto"/>
          <w:sz w:val="28"/>
          <w:szCs w:val="28"/>
        </w:rPr>
        <w:t>须按照要求制作，规定签字、盖章的地方必须按其规定签字、盖章，未按要求制作响应文件的进行废标处理。</w:t>
      </w:r>
    </w:p>
    <w:p w14:paraId="31D40541">
      <w:pPr>
        <w:spacing w:line="560" w:lineRule="exact"/>
        <w:ind w:firstLine="3520" w:firstLineChars="800"/>
        <w:rPr>
          <w:rFonts w:hint="eastAsia" w:ascii="Times New Roman" w:hAnsi="Times New Roman" w:eastAsia="方正小标宋_GBK" w:cs="方正小标宋_GBK"/>
          <w:sz w:val="44"/>
          <w:szCs w:val="44"/>
        </w:rPr>
      </w:pPr>
    </w:p>
    <w:p w14:paraId="3E6D68A9">
      <w:pPr>
        <w:spacing w:line="560" w:lineRule="exact"/>
        <w:ind w:firstLine="3520" w:firstLineChars="800"/>
        <w:rPr>
          <w:rFonts w:hint="eastAsia" w:ascii="Times New Roman" w:hAnsi="Times New Roman" w:eastAsia="方正小标宋_GBK" w:cs="方正小标宋_GBK"/>
          <w:sz w:val="44"/>
          <w:szCs w:val="44"/>
        </w:rPr>
      </w:pPr>
    </w:p>
    <w:p w14:paraId="48B1F556">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pPr>
    </w:p>
    <w:p w14:paraId="3F1BA0C1">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sectPr>
          <w:footerReference r:id="rId5" w:type="default"/>
          <w:pgSz w:w="11907" w:h="16840"/>
          <w:pgMar w:top="1134" w:right="1191" w:bottom="1134" w:left="1304" w:header="851" w:footer="992" w:gutter="0"/>
          <w:pgNumType w:fmt="decimal" w:start="1"/>
          <w:cols w:space="720" w:num="1"/>
          <w:docGrid w:linePitch="380" w:charSpace="-5735"/>
        </w:sectPr>
      </w:pPr>
    </w:p>
    <w:p w14:paraId="4C05B185">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pPr>
      <w:r>
        <w:rPr>
          <w:rFonts w:hint="eastAsia" w:ascii="方正小标宋_GBK" w:hAnsi="方正小标宋_GBK" w:eastAsia="方正小标宋_GBK" w:cs="方正小标宋_GBK"/>
          <w:b w:val="0"/>
          <w:bCs w:val="0"/>
          <w:kern w:val="0"/>
          <w:sz w:val="36"/>
          <w:szCs w:val="36"/>
          <w:highlight w:val="none"/>
          <w:lang w:val="en-US" w:eastAsia="zh-CN"/>
        </w:rPr>
        <w:t>供应商编制响应文件要求</w:t>
      </w:r>
    </w:p>
    <w:p w14:paraId="65C758C5">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p>
    <w:p w14:paraId="49A8F584">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p>
    <w:p w14:paraId="6F055D0E">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项目名称：</w:t>
      </w:r>
    </w:p>
    <w:p w14:paraId="1F55D3B4">
      <w:pPr>
        <w:spacing w:line="360" w:lineRule="auto"/>
        <w:ind w:firstLine="480"/>
        <w:rPr>
          <w:rFonts w:hint="eastAsia" w:ascii="宋体" w:hAnsi="宋体" w:eastAsia="宋体" w:cs="宋体"/>
          <w:color w:val="000000"/>
          <w:highlight w:val="none"/>
        </w:rPr>
      </w:pPr>
    </w:p>
    <w:p w14:paraId="7D345B5A">
      <w:pPr>
        <w:spacing w:line="240" w:lineRule="auto"/>
        <w:ind w:firstLine="0" w:firstLineChars="0"/>
        <w:jc w:val="both"/>
        <w:rPr>
          <w:rFonts w:hint="eastAsia" w:ascii="宋体" w:hAnsi="宋体" w:eastAsia="宋体" w:cs="宋体"/>
          <w:b/>
          <w:bCs/>
          <w:color w:val="000000"/>
          <w:sz w:val="96"/>
          <w:szCs w:val="96"/>
          <w:highlight w:val="none"/>
        </w:rPr>
      </w:pPr>
    </w:p>
    <w:p w14:paraId="47897638">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投</w:t>
      </w:r>
    </w:p>
    <w:p w14:paraId="48649A44">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标</w:t>
      </w:r>
    </w:p>
    <w:p w14:paraId="0F1ADA91">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文</w:t>
      </w:r>
    </w:p>
    <w:p w14:paraId="24DF9A54">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件</w:t>
      </w:r>
    </w:p>
    <w:p w14:paraId="322C71BA">
      <w:pPr>
        <w:spacing w:line="360" w:lineRule="auto"/>
        <w:ind w:firstLine="0" w:firstLineChars="0"/>
        <w:jc w:val="both"/>
        <w:rPr>
          <w:rFonts w:hint="eastAsia" w:ascii="宋体" w:hAnsi="宋体" w:eastAsia="宋体" w:cs="宋体"/>
          <w:b/>
          <w:bCs/>
          <w:color w:val="000000"/>
          <w:sz w:val="28"/>
          <w:szCs w:val="28"/>
          <w:highlight w:val="none"/>
        </w:rPr>
      </w:pPr>
    </w:p>
    <w:p w14:paraId="53F61A7B">
      <w:pPr>
        <w:spacing w:line="360" w:lineRule="auto"/>
        <w:ind w:firstLine="0" w:firstLineChars="0"/>
        <w:jc w:val="both"/>
        <w:rPr>
          <w:rFonts w:hint="eastAsia" w:ascii="宋体" w:hAnsi="宋体" w:eastAsia="宋体" w:cs="宋体"/>
          <w:b/>
          <w:bCs/>
          <w:color w:val="000000"/>
          <w:sz w:val="28"/>
          <w:szCs w:val="28"/>
          <w:highlight w:val="none"/>
        </w:rPr>
      </w:pPr>
    </w:p>
    <w:p w14:paraId="19D15354">
      <w:pPr>
        <w:spacing w:line="360" w:lineRule="auto"/>
        <w:ind w:left="1050" w:leftChars="500" w:firstLine="0" w:firstLineChars="0"/>
        <w:jc w:val="both"/>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供应商名称：</w:t>
      </w:r>
    </w:p>
    <w:p w14:paraId="79A73C51">
      <w:pPr>
        <w:spacing w:line="360" w:lineRule="auto"/>
        <w:ind w:left="1050" w:leftChars="500" w:firstLine="0" w:firstLineChars="0"/>
        <w:jc w:val="both"/>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供应商地址：</w:t>
      </w:r>
    </w:p>
    <w:p w14:paraId="3C796C95">
      <w:pPr>
        <w:spacing w:line="360" w:lineRule="auto"/>
        <w:ind w:left="1050" w:leftChars="500"/>
        <w:jc w:val="both"/>
        <w:rPr>
          <w:rFonts w:hint="eastAsia" w:ascii="Times New Roman" w:hAnsi="Times New Roman" w:eastAsia="方正小标宋_GBK"/>
          <w:sz w:val="36"/>
          <w:szCs w:val="36"/>
          <w:highlight w:val="none"/>
        </w:rPr>
      </w:pPr>
      <w:r>
        <w:rPr>
          <w:rFonts w:hint="eastAsia" w:ascii="方正黑体_GBK" w:hAnsi="方正黑体_GBK" w:eastAsia="方正黑体_GBK" w:cs="方正黑体_GBK"/>
          <w:b w:val="0"/>
          <w:bCs w:val="0"/>
          <w:color w:val="000000"/>
          <w:sz w:val="28"/>
          <w:szCs w:val="28"/>
          <w:highlight w:val="none"/>
        </w:rPr>
        <w:t>投标日</w:t>
      </w:r>
      <w:r>
        <w:rPr>
          <w:rFonts w:hint="eastAsia" w:ascii="方正黑体_GBK" w:hAnsi="方正黑体_GBK" w:eastAsia="方正黑体_GBK" w:cs="方正黑体_GBK"/>
          <w:b w:val="0"/>
          <w:bCs w:val="0"/>
          <w:color w:val="000000"/>
          <w:sz w:val="28"/>
          <w:szCs w:val="28"/>
          <w:highlight w:val="none"/>
          <w:lang w:eastAsia="zh-CN"/>
        </w:rPr>
        <w:t>：</w:t>
      </w:r>
      <w:r>
        <w:rPr>
          <w:rFonts w:hint="eastAsia" w:ascii="Times New Roman" w:hAnsi="Times New Roman" w:eastAsia="方正小标宋_GBK"/>
          <w:sz w:val="36"/>
          <w:szCs w:val="36"/>
        </w:rPr>
        <w:br w:type="page"/>
      </w:r>
    </w:p>
    <w:p w14:paraId="596F22CF">
      <w:pPr>
        <w:rPr>
          <w:rFonts w:ascii="Times New Roman" w:hAnsi="Times New Roman" w:eastAsia="方正黑体_GBK"/>
          <w:sz w:val="32"/>
          <w:szCs w:val="32"/>
          <w:highlight w:val="none"/>
        </w:rPr>
      </w:pPr>
      <w:r>
        <w:rPr>
          <w:rFonts w:hint="eastAsia" w:ascii="Times New Roman" w:hAnsi="Times New Roman" w:eastAsia="方正黑体_GBK"/>
          <w:sz w:val="32"/>
          <w:szCs w:val="32"/>
          <w:highlight w:val="none"/>
        </w:rPr>
        <w:t>一、报价</w:t>
      </w:r>
    </w:p>
    <w:p w14:paraId="7D760445">
      <w:pPr>
        <w:tabs>
          <w:tab w:val="left" w:pos="6300"/>
        </w:tabs>
        <w:snapToGrid w:val="0"/>
        <w:jc w:val="center"/>
        <w:outlineLvl w:val="0"/>
        <w:rPr>
          <w:rFonts w:ascii="Times New Roman" w:hAnsi="Times New Roman" w:eastAsia="方正仿宋_GBK"/>
          <w:b/>
          <w:sz w:val="32"/>
          <w:szCs w:val="32"/>
          <w:highlight w:val="none"/>
        </w:rPr>
      </w:pPr>
      <w:r>
        <w:rPr>
          <w:rFonts w:ascii="Times New Roman" w:hAnsi="Times New Roman" w:eastAsia="方正仿宋_GBK"/>
          <w:b/>
          <w:sz w:val="32"/>
          <w:szCs w:val="32"/>
          <w:highlight w:val="none"/>
        </w:rPr>
        <w:t>报价函</w:t>
      </w:r>
    </w:p>
    <w:p w14:paraId="1757A938">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重庆西算大数据有限公司：</w:t>
      </w:r>
    </w:p>
    <w:p w14:paraId="66511D3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我方收到</w:t>
      </w:r>
      <w:r>
        <w:rPr>
          <w:rFonts w:hint="eastAsia" w:ascii="Times New Roman" w:hAnsi="Times New Roman" w:eastAsia="方正仿宋_GBK" w:cs="Times New Roman"/>
          <w:sz w:val="32"/>
          <w:szCs w:val="32"/>
          <w:highlight w:val="none"/>
          <w:u w:val="single"/>
          <w:lang w:val="en-US" w:eastAsia="zh-CN"/>
        </w:rPr>
        <w:t xml:space="preserve">                       （项目名称）</w:t>
      </w:r>
      <w:r>
        <w:rPr>
          <w:rFonts w:hint="default" w:ascii="Times New Roman" w:hAnsi="Times New Roman" w:eastAsia="方正仿宋_GBK" w:cs="Times New Roman"/>
          <w:sz w:val="32"/>
          <w:szCs w:val="32"/>
          <w:highlight w:val="none"/>
        </w:rPr>
        <w:t>的询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采购文件，经详细研究，决定参加该项目的询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w:t>
      </w:r>
    </w:p>
    <w:p w14:paraId="1B50C188">
      <w:pPr>
        <w:keepNext w:val="0"/>
        <w:keepLines w:val="0"/>
        <w:pageBreakBefore w:val="0"/>
        <w:widowControl w:val="0"/>
        <w:tabs>
          <w:tab w:val="left" w:pos="4820"/>
          <w:tab w:val="left" w:pos="6300"/>
        </w:tabs>
        <w:kinsoku/>
        <w:wordWrap/>
        <w:overflowPunct/>
        <w:topLinePunct w:val="0"/>
        <w:autoSpaceDE/>
        <w:autoSpaceDN/>
        <w:bidi w:val="0"/>
        <w:adjustRightInd/>
        <w:snapToGrid w:val="0"/>
        <w:spacing w:line="500" w:lineRule="exact"/>
        <w:ind w:left="10" w:leftChars="5" w:firstLine="611" w:firstLineChars="191"/>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1、愿意按照询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采购文件中的一切要求，提供本项目的技术服务，报价为人民币大写：</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元整；人民币小写：</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元。</w:t>
      </w:r>
    </w:p>
    <w:p w14:paraId="3BA62057">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2、我方现提交的响应文件为：响应文件电子文档</w:t>
      </w:r>
      <w:r>
        <w:rPr>
          <w:rFonts w:hint="eastAsia" w:ascii="Times New Roman" w:hAnsi="Times New Roman" w:eastAsia="方正仿宋_GBK" w:cs="Times New Roman"/>
          <w:sz w:val="32"/>
          <w:szCs w:val="32"/>
          <w:highlight w:val="none"/>
          <w:lang w:val="en-US" w:eastAsia="zh-CN"/>
        </w:rPr>
        <w:t>及纸质文档各</w:t>
      </w:r>
      <w:r>
        <w:rPr>
          <w:rFonts w:hint="default" w:ascii="Times New Roman" w:hAnsi="Times New Roman" w:eastAsia="方正仿宋_GBK" w:cs="Times New Roman"/>
          <w:sz w:val="32"/>
          <w:szCs w:val="32"/>
          <w:highlight w:val="none"/>
        </w:rPr>
        <w:t>壹份。</w:t>
      </w:r>
    </w:p>
    <w:p w14:paraId="09F7121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3、我方承诺：本次询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的有效期为90天。</w:t>
      </w:r>
    </w:p>
    <w:p w14:paraId="2126DAE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4、我方完全理解和接受贵方询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采购文件的一切规定和要求及评审办法。</w:t>
      </w:r>
    </w:p>
    <w:p w14:paraId="26E90AA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5、在整个询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采购过程中，我方若有违规行为，接受按照</w:t>
      </w:r>
      <w:r>
        <w:rPr>
          <w:rFonts w:hint="default" w:ascii="Times New Roman" w:hAnsi="Times New Roman" w:eastAsia="方正仿宋_GBK" w:cs="Times New Roman"/>
          <w:sz w:val="32"/>
          <w:szCs w:val="32"/>
          <w:highlight w:val="none"/>
          <w:lang w:val="en-US" w:eastAsia="zh-CN"/>
        </w:rPr>
        <w:t>相关</w:t>
      </w:r>
      <w:r>
        <w:rPr>
          <w:rFonts w:hint="default" w:ascii="Times New Roman" w:hAnsi="Times New Roman" w:eastAsia="方正仿宋_GBK" w:cs="Times New Roman"/>
          <w:sz w:val="32"/>
          <w:szCs w:val="32"/>
          <w:highlight w:val="none"/>
        </w:rPr>
        <w:t>平台规定给予惩罚。</w:t>
      </w:r>
    </w:p>
    <w:p w14:paraId="32A5436D">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6、我方若中选，将按照询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结果签订合同，并且严格履行合同义务。本承诺函将成为合同不可分割的一部分，与合同具有同等的法律效力。</w:t>
      </w:r>
    </w:p>
    <w:p w14:paraId="5AB30046">
      <w:pPr>
        <w:tabs>
          <w:tab w:val="left" w:pos="6300"/>
        </w:tabs>
        <w:snapToGrid w:val="0"/>
        <w:ind w:firstLine="570"/>
        <w:rPr>
          <w:rFonts w:hint="eastAsia" w:ascii="Times New Roman" w:hAnsi="Times New Roman" w:eastAsia="方正仿宋_GBK" w:cs="方正仿宋_GBK"/>
          <w:sz w:val="32"/>
          <w:szCs w:val="32"/>
          <w:highlight w:val="none"/>
        </w:rPr>
      </w:pPr>
    </w:p>
    <w:p w14:paraId="76D5C1C8">
      <w:pPr>
        <w:tabs>
          <w:tab w:val="left" w:pos="6300"/>
        </w:tabs>
        <w:snapToGrid w:val="0"/>
        <w:ind w:firstLine="570"/>
        <w:rPr>
          <w:rFonts w:hint="eastAsia" w:ascii="Times New Roman" w:hAnsi="Times New Roman" w:eastAsia="方正仿宋_GBK" w:cs="方正仿宋_GBK"/>
          <w:sz w:val="32"/>
          <w:szCs w:val="32"/>
          <w:highlight w:val="none"/>
        </w:rPr>
      </w:pPr>
    </w:p>
    <w:p w14:paraId="11031B9B">
      <w:pPr>
        <w:tabs>
          <w:tab w:val="left" w:pos="6300"/>
        </w:tabs>
        <w:snapToGrid w:val="0"/>
        <w:ind w:firstLine="570"/>
        <w:rPr>
          <w:rFonts w:hint="eastAsia" w:ascii="Times New Roman" w:hAnsi="Times New Roman" w:eastAsia="方正仿宋_GBK" w:cs="方正仿宋_GBK"/>
          <w:sz w:val="32"/>
          <w:szCs w:val="32"/>
          <w:highlight w:val="none"/>
        </w:rPr>
      </w:pPr>
    </w:p>
    <w:p w14:paraId="0F7C8916">
      <w:pPr>
        <w:tabs>
          <w:tab w:val="left" w:pos="6300"/>
        </w:tabs>
        <w:snapToGrid w:val="0"/>
        <w:ind w:firstLine="4000" w:firstLineChars="12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供应商名称（公章）：</w:t>
      </w:r>
    </w:p>
    <w:p w14:paraId="0C2C4577">
      <w:pPr>
        <w:snapToGrid w:val="0"/>
        <w:ind w:firstLine="640" w:firstLineChars="200"/>
        <w:rPr>
          <w:rFonts w:hint="eastAsia" w:ascii="Times New Roman" w:hAnsi="Times New Roman" w:eastAsia="方正仿宋_GBK" w:cs="方正仿宋_GBK"/>
          <w:sz w:val="32"/>
          <w:szCs w:val="32"/>
          <w:highlight w:val="none"/>
        </w:rPr>
      </w:pPr>
    </w:p>
    <w:p w14:paraId="7BC3B898">
      <w:pPr>
        <w:snapToGrid w:val="0"/>
        <w:ind w:firstLine="4960" w:firstLineChars="15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年   月   日</w:t>
      </w:r>
    </w:p>
    <w:p w14:paraId="2222501D">
      <w:pPr>
        <w:tabs>
          <w:tab w:val="left" w:pos="3840"/>
        </w:tabs>
        <w:autoSpaceDE w:val="0"/>
        <w:autoSpaceDN w:val="0"/>
        <w:adjustRightInd w:val="0"/>
        <w:snapToGrid w:val="0"/>
        <w:rPr>
          <w:rFonts w:hint="eastAsia" w:ascii="Times New Roman" w:hAnsi="Times New Roman" w:eastAsia="方正黑体_GBK" w:cs="方正黑体_GBK"/>
          <w:snapToGrid w:val="0"/>
          <w:kern w:val="0"/>
          <w:sz w:val="32"/>
          <w:szCs w:val="32"/>
          <w:highlight w:val="none"/>
        </w:rPr>
      </w:pPr>
      <w:r>
        <w:rPr>
          <w:rFonts w:hint="eastAsia" w:ascii="Times New Roman" w:hAnsi="Times New Roman" w:eastAsia="方正黑体_GBK" w:cs="方正黑体_GBK"/>
          <w:snapToGrid w:val="0"/>
          <w:kern w:val="0"/>
          <w:sz w:val="32"/>
          <w:szCs w:val="32"/>
          <w:highlight w:val="none"/>
        </w:rPr>
        <w:t xml:space="preserve">    </w:t>
      </w:r>
    </w:p>
    <w:p w14:paraId="752C3CF7">
      <w:pPr>
        <w:tabs>
          <w:tab w:val="left" w:pos="2895"/>
        </w:tabs>
        <w:spacing w:line="312" w:lineRule="auto"/>
        <w:ind w:firstLine="600" w:firstLineChars="200"/>
        <w:rPr>
          <w:rFonts w:hint="eastAsia" w:ascii="Times New Roman" w:hAnsi="Times New Roman" w:eastAsia="方正仿宋_GBK" w:cs="方正仿宋_GBK"/>
          <w:sz w:val="30"/>
          <w:szCs w:val="30"/>
        </w:rPr>
        <w:sectPr>
          <w:headerReference r:id="rId6" w:type="default"/>
          <w:footerReference r:id="rId7" w:type="default"/>
          <w:pgSz w:w="11906" w:h="16838"/>
          <w:pgMar w:top="1440" w:right="1633" w:bottom="1440" w:left="1576" w:header="851" w:footer="992" w:gutter="0"/>
          <w:pgNumType w:fmt="decimal"/>
          <w:cols w:space="720" w:num="1"/>
          <w:docGrid w:type="lines" w:linePitch="312" w:charSpace="0"/>
        </w:sectPr>
      </w:pPr>
    </w:p>
    <w:p w14:paraId="1F8BA94E">
      <w:pPr>
        <w:numPr>
          <w:ilvl w:val="0"/>
          <w:numId w:val="0"/>
        </w:numPr>
        <w:tabs>
          <w:tab w:val="left" w:pos="3840"/>
        </w:tabs>
        <w:autoSpaceDE w:val="0"/>
        <w:autoSpaceDN w:val="0"/>
        <w:adjustRightInd w:val="0"/>
        <w:snapToGrid w:val="0"/>
        <w:rPr>
          <w:rFonts w:hint="eastAsia" w:ascii="Times New Roman" w:hAnsi="Times New Roman" w:eastAsia="方正仿宋_GBK" w:cs="方正仿宋_GBK"/>
          <w:snapToGrid w:val="0"/>
          <w:kern w:val="0"/>
          <w:sz w:val="32"/>
          <w:szCs w:val="32"/>
        </w:rPr>
      </w:pPr>
      <w:r>
        <w:rPr>
          <w:rFonts w:hint="eastAsia" w:ascii="Times New Roman" w:hAnsi="Times New Roman" w:eastAsia="方正黑体_GBK"/>
          <w:sz w:val="32"/>
          <w:szCs w:val="32"/>
          <w:highlight w:val="none"/>
          <w:lang w:val="en-US" w:eastAsia="zh-CN"/>
        </w:rPr>
        <w:t>二、报价</w:t>
      </w:r>
      <w:r>
        <w:rPr>
          <w:rFonts w:hint="eastAsia" w:ascii="Times New Roman" w:hAnsi="Times New Roman" w:eastAsia="方正黑体_GBK"/>
          <w:sz w:val="32"/>
          <w:szCs w:val="32"/>
          <w:highlight w:val="none"/>
        </w:rPr>
        <w:t>部分</w:t>
      </w:r>
      <w:r>
        <w:rPr>
          <w:rFonts w:hint="eastAsia" w:ascii="Times New Roman" w:hAnsi="Times New Roman" w:eastAsia="方正仿宋_GBK" w:cs="方正仿宋_GBK"/>
          <w:snapToGrid w:val="0"/>
          <w:kern w:val="0"/>
          <w:sz w:val="32"/>
          <w:szCs w:val="32"/>
        </w:rPr>
        <w:t>（格式自定，加盖公章）</w:t>
      </w:r>
    </w:p>
    <w:p w14:paraId="35DA6CE3">
      <w:pPr>
        <w:spacing w:line="400" w:lineRule="exact"/>
        <w:ind w:firstLine="480" w:firstLineChars="200"/>
        <w:rPr>
          <w:rFonts w:hint="eastAsia" w:ascii="方正仿宋_GBK" w:hAnsi="宋体" w:eastAsia="方正仿宋_GBK"/>
          <w:sz w:val="24"/>
          <w:szCs w:val="24"/>
          <w:highlight w:val="none"/>
          <w:u w:val="single"/>
        </w:rPr>
      </w:pPr>
      <w:r>
        <w:rPr>
          <w:rFonts w:hint="eastAsia" w:ascii="方正仿宋_GBK" w:hAnsi="宋体" w:eastAsia="方正仿宋_GBK"/>
          <w:sz w:val="24"/>
          <w:szCs w:val="24"/>
          <w:highlight w:val="none"/>
        </w:rPr>
        <w:t xml:space="preserve">                   </w:t>
      </w:r>
      <w:r>
        <w:rPr>
          <w:rFonts w:hint="eastAsia" w:ascii="方正仿宋_GBK" w:hAnsi="宋体" w:eastAsia="方正仿宋_GBK"/>
          <w:sz w:val="24"/>
          <w:szCs w:val="24"/>
          <w:highlight w:val="none"/>
          <w:lang w:val="en-US" w:eastAsia="zh-CN"/>
        </w:rPr>
        <w:t xml:space="preserve">  </w:t>
      </w:r>
      <w:r>
        <w:rPr>
          <w:rFonts w:hint="eastAsia" w:ascii="方正仿宋_GBK" w:hAnsi="宋体" w:eastAsia="方正仿宋_GBK"/>
          <w:sz w:val="24"/>
          <w:szCs w:val="24"/>
          <w:highlight w:val="none"/>
        </w:rPr>
        <w:t xml:space="preserve">                     </w:t>
      </w:r>
    </w:p>
    <w:tbl>
      <w:tblPr>
        <w:tblStyle w:val="8"/>
        <w:tblW w:w="40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85"/>
        <w:gridCol w:w="1185"/>
        <w:gridCol w:w="1071"/>
        <w:gridCol w:w="608"/>
        <w:gridCol w:w="667"/>
        <w:gridCol w:w="728"/>
        <w:gridCol w:w="1046"/>
      </w:tblGrid>
      <w:tr w14:paraId="6AD9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0" w:type="pct"/>
            <w:noWrap w:val="0"/>
            <w:vAlign w:val="center"/>
          </w:tcPr>
          <w:p w14:paraId="60FE98B6">
            <w:pPr>
              <w:jc w:val="center"/>
              <w:rPr>
                <w:rFonts w:hint="eastAsia" w:ascii="方正仿宋_GBK" w:hAnsi="仿宋" w:eastAsia="方正仿宋_GBK" w:cs="Times New Roman"/>
                <w:b/>
                <w:sz w:val="21"/>
                <w:szCs w:val="21"/>
                <w:highlight w:val="none"/>
              </w:rPr>
            </w:pPr>
            <w:r>
              <w:rPr>
                <w:rFonts w:hint="eastAsia" w:ascii="方正仿宋_GBK" w:hAnsi="仿宋" w:eastAsia="方正仿宋_GBK" w:cs="Times New Roman"/>
                <w:b/>
                <w:sz w:val="21"/>
                <w:szCs w:val="21"/>
                <w:highlight w:val="none"/>
              </w:rPr>
              <w:t>序号</w:t>
            </w:r>
          </w:p>
        </w:tc>
        <w:tc>
          <w:tcPr>
            <w:tcW w:w="637" w:type="pct"/>
            <w:noWrap w:val="0"/>
            <w:vAlign w:val="center"/>
          </w:tcPr>
          <w:p w14:paraId="3F5D036C">
            <w:pPr>
              <w:jc w:val="center"/>
              <w:rPr>
                <w:rFonts w:hint="eastAsia" w:ascii="方正仿宋_GBK" w:hAnsi="仿宋" w:eastAsia="方正仿宋_GBK" w:cs="Times New Roman"/>
                <w:b/>
                <w:sz w:val="21"/>
                <w:szCs w:val="21"/>
                <w:highlight w:val="none"/>
              </w:rPr>
            </w:pPr>
            <w:r>
              <w:rPr>
                <w:rFonts w:hint="eastAsia" w:ascii="方正仿宋_GBK" w:hAnsi="仿宋" w:eastAsia="方正仿宋_GBK" w:cs="Times New Roman"/>
                <w:b/>
                <w:sz w:val="21"/>
                <w:szCs w:val="21"/>
                <w:highlight w:val="none"/>
                <w:lang w:val="en-US" w:eastAsia="zh-CN"/>
              </w:rPr>
              <w:t>产品</w:t>
            </w:r>
            <w:r>
              <w:rPr>
                <w:rFonts w:hint="eastAsia" w:ascii="方正仿宋_GBK" w:hAnsi="仿宋" w:eastAsia="方正仿宋_GBK" w:cs="Times New Roman"/>
                <w:b/>
                <w:sz w:val="21"/>
                <w:szCs w:val="21"/>
                <w:highlight w:val="none"/>
              </w:rPr>
              <w:t>名称</w:t>
            </w:r>
          </w:p>
        </w:tc>
        <w:tc>
          <w:tcPr>
            <w:tcW w:w="853" w:type="pct"/>
            <w:noWrap w:val="0"/>
            <w:vAlign w:val="center"/>
          </w:tcPr>
          <w:p w14:paraId="06701E0A">
            <w:pPr>
              <w:jc w:val="center"/>
              <w:rPr>
                <w:rFonts w:hint="eastAsia" w:ascii="方正仿宋_GBK" w:hAnsi="仿宋" w:eastAsia="方正仿宋_GBK" w:cs="Times New Roman"/>
                <w:b/>
                <w:sz w:val="21"/>
                <w:szCs w:val="21"/>
                <w:highlight w:val="none"/>
              </w:rPr>
            </w:pPr>
            <w:r>
              <w:rPr>
                <w:rFonts w:hint="eastAsia" w:ascii="方正仿宋_GBK" w:hAnsi="仿宋" w:eastAsia="方正仿宋_GBK" w:cs="Times New Roman"/>
                <w:b/>
                <w:sz w:val="21"/>
                <w:szCs w:val="21"/>
                <w:highlight w:val="none"/>
              </w:rPr>
              <w:t>品牌、规格型号</w:t>
            </w:r>
          </w:p>
        </w:tc>
        <w:tc>
          <w:tcPr>
            <w:tcW w:w="771" w:type="pct"/>
            <w:noWrap w:val="0"/>
            <w:vAlign w:val="center"/>
          </w:tcPr>
          <w:p w14:paraId="7FD6C870">
            <w:pPr>
              <w:jc w:val="center"/>
              <w:rPr>
                <w:rFonts w:hint="eastAsia" w:ascii="方正仿宋_GBK" w:hAnsi="仿宋" w:eastAsia="方正仿宋_GBK" w:cs="Times New Roman"/>
                <w:b/>
                <w:sz w:val="21"/>
                <w:szCs w:val="21"/>
                <w:highlight w:val="none"/>
              </w:rPr>
            </w:pPr>
            <w:r>
              <w:rPr>
                <w:rFonts w:hint="eastAsia" w:ascii="方正仿宋_GBK" w:hAnsi="仿宋" w:eastAsia="方正仿宋_GBK" w:cs="Times New Roman"/>
                <w:b/>
                <w:sz w:val="21"/>
                <w:szCs w:val="21"/>
                <w:highlight w:val="none"/>
              </w:rPr>
              <w:t>制造商</w:t>
            </w:r>
          </w:p>
        </w:tc>
        <w:tc>
          <w:tcPr>
            <w:tcW w:w="437" w:type="pct"/>
            <w:noWrap w:val="0"/>
            <w:vAlign w:val="center"/>
          </w:tcPr>
          <w:p w14:paraId="42883FE1">
            <w:pPr>
              <w:jc w:val="center"/>
              <w:rPr>
                <w:rFonts w:hint="eastAsia" w:ascii="方正仿宋_GBK" w:hAnsi="仿宋" w:eastAsia="方正仿宋_GBK" w:cs="Times New Roman"/>
                <w:b/>
                <w:sz w:val="21"/>
                <w:szCs w:val="21"/>
                <w:highlight w:val="none"/>
              </w:rPr>
            </w:pPr>
            <w:r>
              <w:rPr>
                <w:rFonts w:hint="eastAsia" w:ascii="方正仿宋_GBK" w:hAnsi="仿宋" w:eastAsia="方正仿宋_GBK" w:cs="Times New Roman"/>
                <w:b/>
                <w:sz w:val="21"/>
                <w:szCs w:val="21"/>
                <w:highlight w:val="none"/>
              </w:rPr>
              <w:t>数量</w:t>
            </w:r>
          </w:p>
        </w:tc>
        <w:tc>
          <w:tcPr>
            <w:tcW w:w="480" w:type="pct"/>
            <w:noWrap w:val="0"/>
            <w:vAlign w:val="center"/>
          </w:tcPr>
          <w:p w14:paraId="4F92CB15">
            <w:pPr>
              <w:jc w:val="center"/>
              <w:rPr>
                <w:rFonts w:hint="eastAsia" w:ascii="方正仿宋_GBK" w:hAnsi="仿宋" w:eastAsia="方正仿宋_GBK" w:cs="Times New Roman"/>
                <w:b/>
                <w:sz w:val="21"/>
                <w:szCs w:val="21"/>
                <w:highlight w:val="none"/>
                <w:lang w:val="en-US" w:eastAsia="zh-CN"/>
              </w:rPr>
            </w:pPr>
            <w:r>
              <w:rPr>
                <w:rFonts w:hint="eastAsia" w:ascii="方正仿宋_GBK" w:hAnsi="仿宋" w:eastAsia="方正仿宋_GBK" w:cs="Times New Roman"/>
                <w:b/>
                <w:sz w:val="21"/>
                <w:szCs w:val="21"/>
                <w:highlight w:val="none"/>
                <w:lang w:val="en-US" w:eastAsia="zh-CN"/>
              </w:rPr>
              <w:t>单位</w:t>
            </w:r>
          </w:p>
        </w:tc>
        <w:tc>
          <w:tcPr>
            <w:tcW w:w="524" w:type="pct"/>
            <w:noWrap w:val="0"/>
            <w:vAlign w:val="center"/>
          </w:tcPr>
          <w:p w14:paraId="31E397E2">
            <w:pPr>
              <w:jc w:val="center"/>
              <w:rPr>
                <w:rFonts w:hint="eastAsia" w:ascii="方正仿宋_GBK" w:hAnsi="仿宋" w:eastAsia="方正仿宋_GBK" w:cs="Times New Roman"/>
                <w:b/>
                <w:sz w:val="21"/>
                <w:szCs w:val="21"/>
                <w:highlight w:val="none"/>
                <w:lang w:eastAsia="zh-CN"/>
              </w:rPr>
            </w:pPr>
            <w:r>
              <w:rPr>
                <w:rFonts w:hint="eastAsia" w:ascii="方正仿宋_GBK" w:hAnsi="仿宋" w:eastAsia="方正仿宋_GBK" w:cs="Times New Roman"/>
                <w:b/>
                <w:sz w:val="21"/>
                <w:szCs w:val="21"/>
                <w:highlight w:val="none"/>
              </w:rPr>
              <w:t>单价</w:t>
            </w:r>
          </w:p>
        </w:tc>
        <w:tc>
          <w:tcPr>
            <w:tcW w:w="753" w:type="pct"/>
            <w:noWrap w:val="0"/>
            <w:vAlign w:val="center"/>
          </w:tcPr>
          <w:p w14:paraId="55D941EB">
            <w:pPr>
              <w:jc w:val="center"/>
              <w:rPr>
                <w:rFonts w:hint="eastAsia" w:ascii="方正仿宋_GBK" w:hAnsi="仿宋" w:eastAsia="方正仿宋_GBK" w:cs="Times New Roman"/>
                <w:b/>
                <w:sz w:val="21"/>
                <w:szCs w:val="21"/>
                <w:highlight w:val="none"/>
                <w:lang w:eastAsia="zh-CN"/>
              </w:rPr>
            </w:pPr>
            <w:r>
              <w:rPr>
                <w:rFonts w:hint="eastAsia" w:ascii="方正仿宋_GBK" w:hAnsi="仿宋" w:eastAsia="方正仿宋_GBK" w:cs="Times New Roman"/>
                <w:b/>
                <w:sz w:val="21"/>
                <w:szCs w:val="21"/>
                <w:highlight w:val="none"/>
              </w:rPr>
              <w:t>合计</w:t>
            </w:r>
          </w:p>
        </w:tc>
      </w:tr>
      <w:tr w14:paraId="062C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0" w:type="pct"/>
            <w:noWrap w:val="0"/>
            <w:vAlign w:val="center"/>
          </w:tcPr>
          <w:p w14:paraId="1F602F4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1</w:t>
            </w:r>
          </w:p>
        </w:tc>
        <w:tc>
          <w:tcPr>
            <w:tcW w:w="637" w:type="pct"/>
            <w:noWrap w:val="0"/>
            <w:vAlign w:val="center"/>
          </w:tcPr>
          <w:p w14:paraId="2D2CBF88">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853" w:type="pct"/>
            <w:noWrap w:val="0"/>
            <w:vAlign w:val="top"/>
          </w:tcPr>
          <w:p w14:paraId="50A64D3F">
            <w:pPr>
              <w:jc w:val="center"/>
              <w:rPr>
                <w:rFonts w:hint="eastAsia" w:ascii="方正仿宋_GBK" w:hAnsi="仿宋" w:eastAsia="方正仿宋_GBK" w:cs="Times New Roman"/>
                <w:sz w:val="21"/>
                <w:szCs w:val="21"/>
                <w:highlight w:val="none"/>
              </w:rPr>
            </w:pPr>
          </w:p>
        </w:tc>
        <w:tc>
          <w:tcPr>
            <w:tcW w:w="771" w:type="pct"/>
            <w:noWrap w:val="0"/>
            <w:vAlign w:val="top"/>
          </w:tcPr>
          <w:p w14:paraId="264710CF">
            <w:pPr>
              <w:jc w:val="center"/>
              <w:rPr>
                <w:rFonts w:hint="eastAsia" w:ascii="方正仿宋_GBK" w:hAnsi="仿宋" w:eastAsia="方正仿宋_GBK" w:cs="Times New Roman"/>
                <w:sz w:val="21"/>
                <w:szCs w:val="21"/>
                <w:highlight w:val="none"/>
              </w:rPr>
            </w:pPr>
          </w:p>
        </w:tc>
        <w:tc>
          <w:tcPr>
            <w:tcW w:w="437" w:type="pct"/>
            <w:noWrap w:val="0"/>
            <w:vAlign w:val="center"/>
          </w:tcPr>
          <w:p w14:paraId="47FC8832">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480" w:type="pct"/>
            <w:noWrap w:val="0"/>
            <w:vAlign w:val="center"/>
          </w:tcPr>
          <w:p w14:paraId="53A7AA77">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524" w:type="pct"/>
            <w:noWrap w:val="0"/>
            <w:vAlign w:val="top"/>
          </w:tcPr>
          <w:p w14:paraId="2E8E3714">
            <w:pPr>
              <w:jc w:val="center"/>
              <w:rPr>
                <w:rFonts w:hint="eastAsia" w:ascii="方正仿宋_GBK" w:hAnsi="仿宋" w:eastAsia="方正仿宋_GBK" w:cs="Times New Roman"/>
                <w:sz w:val="21"/>
                <w:szCs w:val="21"/>
                <w:highlight w:val="none"/>
              </w:rPr>
            </w:pPr>
          </w:p>
        </w:tc>
        <w:tc>
          <w:tcPr>
            <w:tcW w:w="753" w:type="pct"/>
            <w:noWrap w:val="0"/>
            <w:vAlign w:val="top"/>
          </w:tcPr>
          <w:p w14:paraId="13458D0E">
            <w:pPr>
              <w:jc w:val="center"/>
              <w:rPr>
                <w:rFonts w:hint="eastAsia" w:ascii="方正仿宋_GBK" w:hAnsi="仿宋" w:eastAsia="方正仿宋_GBK" w:cs="Times New Roman"/>
                <w:sz w:val="21"/>
                <w:szCs w:val="21"/>
                <w:highlight w:val="none"/>
              </w:rPr>
            </w:pPr>
          </w:p>
        </w:tc>
      </w:tr>
      <w:tr w14:paraId="2E2C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0" w:type="pct"/>
            <w:noWrap w:val="0"/>
            <w:vAlign w:val="center"/>
          </w:tcPr>
          <w:p w14:paraId="7718B18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2</w:t>
            </w:r>
          </w:p>
        </w:tc>
        <w:tc>
          <w:tcPr>
            <w:tcW w:w="637" w:type="pct"/>
            <w:noWrap w:val="0"/>
            <w:vAlign w:val="center"/>
          </w:tcPr>
          <w:p w14:paraId="705D6F23">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853" w:type="pct"/>
            <w:noWrap w:val="0"/>
            <w:vAlign w:val="top"/>
          </w:tcPr>
          <w:p w14:paraId="61EF1264">
            <w:pPr>
              <w:jc w:val="center"/>
              <w:rPr>
                <w:rFonts w:hint="eastAsia" w:ascii="方正仿宋_GBK" w:hAnsi="仿宋" w:eastAsia="方正仿宋_GBK" w:cs="Times New Roman"/>
                <w:sz w:val="21"/>
                <w:szCs w:val="21"/>
                <w:highlight w:val="none"/>
              </w:rPr>
            </w:pPr>
          </w:p>
        </w:tc>
        <w:tc>
          <w:tcPr>
            <w:tcW w:w="771" w:type="pct"/>
            <w:noWrap w:val="0"/>
            <w:vAlign w:val="top"/>
          </w:tcPr>
          <w:p w14:paraId="74E31B6D">
            <w:pPr>
              <w:jc w:val="center"/>
              <w:rPr>
                <w:rFonts w:hint="eastAsia" w:ascii="方正仿宋_GBK" w:hAnsi="仿宋" w:eastAsia="方正仿宋_GBK" w:cs="Times New Roman"/>
                <w:sz w:val="21"/>
                <w:szCs w:val="21"/>
                <w:highlight w:val="none"/>
              </w:rPr>
            </w:pPr>
          </w:p>
        </w:tc>
        <w:tc>
          <w:tcPr>
            <w:tcW w:w="437" w:type="pct"/>
            <w:noWrap w:val="0"/>
            <w:vAlign w:val="center"/>
          </w:tcPr>
          <w:p w14:paraId="7B660279">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480" w:type="pct"/>
            <w:noWrap w:val="0"/>
            <w:vAlign w:val="center"/>
          </w:tcPr>
          <w:p w14:paraId="6DAD579A">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524" w:type="pct"/>
            <w:noWrap w:val="0"/>
            <w:vAlign w:val="top"/>
          </w:tcPr>
          <w:p w14:paraId="29C86597">
            <w:pPr>
              <w:jc w:val="center"/>
              <w:rPr>
                <w:rFonts w:hint="eastAsia" w:ascii="方正仿宋_GBK" w:hAnsi="仿宋" w:eastAsia="方正仿宋_GBK" w:cs="Times New Roman"/>
                <w:sz w:val="21"/>
                <w:szCs w:val="21"/>
                <w:highlight w:val="none"/>
              </w:rPr>
            </w:pPr>
          </w:p>
        </w:tc>
        <w:tc>
          <w:tcPr>
            <w:tcW w:w="753" w:type="pct"/>
            <w:noWrap w:val="0"/>
            <w:vAlign w:val="top"/>
          </w:tcPr>
          <w:p w14:paraId="27CAB9E6">
            <w:pPr>
              <w:jc w:val="center"/>
              <w:rPr>
                <w:rFonts w:hint="eastAsia" w:ascii="方正仿宋_GBK" w:hAnsi="仿宋" w:eastAsia="方正仿宋_GBK" w:cs="Times New Roman"/>
                <w:sz w:val="21"/>
                <w:szCs w:val="21"/>
                <w:highlight w:val="none"/>
              </w:rPr>
            </w:pPr>
          </w:p>
        </w:tc>
      </w:tr>
      <w:tr w14:paraId="0D76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0" w:type="pct"/>
            <w:noWrap w:val="0"/>
            <w:vAlign w:val="center"/>
          </w:tcPr>
          <w:p w14:paraId="7142A51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3</w:t>
            </w:r>
          </w:p>
        </w:tc>
        <w:tc>
          <w:tcPr>
            <w:tcW w:w="637" w:type="pct"/>
            <w:noWrap w:val="0"/>
            <w:vAlign w:val="center"/>
          </w:tcPr>
          <w:p w14:paraId="4BF379CC">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853" w:type="pct"/>
            <w:noWrap w:val="0"/>
            <w:vAlign w:val="top"/>
          </w:tcPr>
          <w:p w14:paraId="3EA712E9">
            <w:pPr>
              <w:jc w:val="center"/>
              <w:rPr>
                <w:rFonts w:hint="eastAsia" w:ascii="方正仿宋_GBK" w:hAnsi="仿宋" w:eastAsia="方正仿宋_GBK" w:cs="Times New Roman"/>
                <w:sz w:val="21"/>
                <w:szCs w:val="21"/>
                <w:highlight w:val="none"/>
              </w:rPr>
            </w:pPr>
          </w:p>
        </w:tc>
        <w:tc>
          <w:tcPr>
            <w:tcW w:w="771" w:type="pct"/>
            <w:noWrap w:val="0"/>
            <w:vAlign w:val="top"/>
          </w:tcPr>
          <w:p w14:paraId="1F26C242">
            <w:pPr>
              <w:jc w:val="center"/>
              <w:rPr>
                <w:rFonts w:hint="eastAsia" w:ascii="方正仿宋_GBK" w:hAnsi="仿宋" w:eastAsia="方正仿宋_GBK" w:cs="Times New Roman"/>
                <w:sz w:val="21"/>
                <w:szCs w:val="21"/>
                <w:highlight w:val="none"/>
              </w:rPr>
            </w:pPr>
          </w:p>
        </w:tc>
        <w:tc>
          <w:tcPr>
            <w:tcW w:w="437" w:type="pct"/>
            <w:noWrap w:val="0"/>
            <w:vAlign w:val="center"/>
          </w:tcPr>
          <w:p w14:paraId="24B0180F">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480" w:type="pct"/>
            <w:noWrap w:val="0"/>
            <w:vAlign w:val="center"/>
          </w:tcPr>
          <w:p w14:paraId="2AE27BF8">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524" w:type="pct"/>
            <w:noWrap w:val="0"/>
            <w:vAlign w:val="top"/>
          </w:tcPr>
          <w:p w14:paraId="35CE45B6">
            <w:pPr>
              <w:jc w:val="center"/>
              <w:rPr>
                <w:rFonts w:hint="eastAsia" w:ascii="方正仿宋_GBK" w:hAnsi="仿宋" w:eastAsia="方正仿宋_GBK" w:cs="Times New Roman"/>
                <w:sz w:val="21"/>
                <w:szCs w:val="21"/>
                <w:highlight w:val="none"/>
              </w:rPr>
            </w:pPr>
          </w:p>
        </w:tc>
        <w:tc>
          <w:tcPr>
            <w:tcW w:w="753" w:type="pct"/>
            <w:noWrap w:val="0"/>
            <w:vAlign w:val="top"/>
          </w:tcPr>
          <w:p w14:paraId="01C54917">
            <w:pPr>
              <w:jc w:val="center"/>
              <w:rPr>
                <w:rFonts w:hint="eastAsia" w:ascii="方正仿宋_GBK" w:hAnsi="仿宋" w:eastAsia="方正仿宋_GBK" w:cs="Times New Roman"/>
                <w:sz w:val="21"/>
                <w:szCs w:val="21"/>
                <w:highlight w:val="none"/>
              </w:rPr>
            </w:pPr>
          </w:p>
        </w:tc>
      </w:tr>
      <w:tr w14:paraId="5378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0" w:type="pct"/>
            <w:noWrap w:val="0"/>
            <w:vAlign w:val="center"/>
          </w:tcPr>
          <w:p w14:paraId="43B0B73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4</w:t>
            </w:r>
          </w:p>
        </w:tc>
        <w:tc>
          <w:tcPr>
            <w:tcW w:w="637" w:type="pct"/>
            <w:noWrap w:val="0"/>
            <w:vAlign w:val="center"/>
          </w:tcPr>
          <w:p w14:paraId="73C957A5">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853" w:type="pct"/>
            <w:noWrap w:val="0"/>
            <w:vAlign w:val="top"/>
          </w:tcPr>
          <w:p w14:paraId="1E5F341C">
            <w:pPr>
              <w:jc w:val="center"/>
              <w:rPr>
                <w:rFonts w:hint="eastAsia" w:ascii="方正仿宋_GBK" w:hAnsi="仿宋" w:eastAsia="方正仿宋_GBK" w:cs="Times New Roman"/>
                <w:sz w:val="21"/>
                <w:szCs w:val="21"/>
                <w:highlight w:val="none"/>
              </w:rPr>
            </w:pPr>
          </w:p>
        </w:tc>
        <w:tc>
          <w:tcPr>
            <w:tcW w:w="771" w:type="pct"/>
            <w:noWrap w:val="0"/>
            <w:vAlign w:val="top"/>
          </w:tcPr>
          <w:p w14:paraId="5537DF94">
            <w:pPr>
              <w:jc w:val="center"/>
              <w:rPr>
                <w:rFonts w:hint="eastAsia" w:ascii="方正仿宋_GBK" w:hAnsi="仿宋" w:eastAsia="方正仿宋_GBK" w:cs="Times New Roman"/>
                <w:sz w:val="21"/>
                <w:szCs w:val="21"/>
                <w:highlight w:val="none"/>
              </w:rPr>
            </w:pPr>
          </w:p>
        </w:tc>
        <w:tc>
          <w:tcPr>
            <w:tcW w:w="437" w:type="pct"/>
            <w:noWrap w:val="0"/>
            <w:vAlign w:val="center"/>
          </w:tcPr>
          <w:p w14:paraId="4D995184">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480" w:type="pct"/>
            <w:noWrap w:val="0"/>
            <w:vAlign w:val="center"/>
          </w:tcPr>
          <w:p w14:paraId="7CA56766">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524" w:type="pct"/>
            <w:noWrap w:val="0"/>
            <w:vAlign w:val="top"/>
          </w:tcPr>
          <w:p w14:paraId="24024E1F">
            <w:pPr>
              <w:jc w:val="center"/>
              <w:rPr>
                <w:rFonts w:hint="eastAsia" w:ascii="方正仿宋_GBK" w:hAnsi="仿宋" w:eastAsia="方正仿宋_GBK" w:cs="Times New Roman"/>
                <w:sz w:val="21"/>
                <w:szCs w:val="21"/>
                <w:highlight w:val="none"/>
              </w:rPr>
            </w:pPr>
          </w:p>
        </w:tc>
        <w:tc>
          <w:tcPr>
            <w:tcW w:w="753" w:type="pct"/>
            <w:noWrap w:val="0"/>
            <w:vAlign w:val="top"/>
          </w:tcPr>
          <w:p w14:paraId="0F898377">
            <w:pPr>
              <w:jc w:val="center"/>
              <w:rPr>
                <w:rFonts w:hint="eastAsia" w:ascii="方正仿宋_GBK" w:hAnsi="仿宋" w:eastAsia="方正仿宋_GBK" w:cs="Times New Roman"/>
                <w:sz w:val="21"/>
                <w:szCs w:val="21"/>
                <w:highlight w:val="none"/>
              </w:rPr>
            </w:pPr>
          </w:p>
        </w:tc>
      </w:tr>
      <w:tr w14:paraId="7149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0" w:type="pct"/>
            <w:noWrap w:val="0"/>
            <w:vAlign w:val="center"/>
          </w:tcPr>
          <w:p w14:paraId="3395F1B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5</w:t>
            </w:r>
          </w:p>
        </w:tc>
        <w:tc>
          <w:tcPr>
            <w:tcW w:w="637" w:type="pct"/>
            <w:noWrap w:val="0"/>
            <w:vAlign w:val="center"/>
          </w:tcPr>
          <w:p w14:paraId="3F3C4595">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853" w:type="pct"/>
            <w:noWrap w:val="0"/>
            <w:vAlign w:val="top"/>
          </w:tcPr>
          <w:p w14:paraId="779F85C1">
            <w:pPr>
              <w:jc w:val="center"/>
              <w:rPr>
                <w:rFonts w:hint="eastAsia" w:ascii="方正仿宋_GBK" w:hAnsi="仿宋" w:eastAsia="方正仿宋_GBK" w:cs="Times New Roman"/>
                <w:sz w:val="21"/>
                <w:szCs w:val="21"/>
                <w:highlight w:val="none"/>
              </w:rPr>
            </w:pPr>
          </w:p>
        </w:tc>
        <w:tc>
          <w:tcPr>
            <w:tcW w:w="771" w:type="pct"/>
            <w:noWrap w:val="0"/>
            <w:vAlign w:val="top"/>
          </w:tcPr>
          <w:p w14:paraId="16AEE324">
            <w:pPr>
              <w:jc w:val="center"/>
              <w:rPr>
                <w:rFonts w:hint="eastAsia" w:ascii="方正仿宋_GBK" w:hAnsi="仿宋" w:eastAsia="方正仿宋_GBK" w:cs="Times New Roman"/>
                <w:sz w:val="21"/>
                <w:szCs w:val="21"/>
                <w:highlight w:val="none"/>
              </w:rPr>
            </w:pPr>
          </w:p>
        </w:tc>
        <w:tc>
          <w:tcPr>
            <w:tcW w:w="437" w:type="pct"/>
            <w:noWrap w:val="0"/>
            <w:vAlign w:val="center"/>
          </w:tcPr>
          <w:p w14:paraId="29F605C7">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480" w:type="pct"/>
            <w:noWrap w:val="0"/>
            <w:vAlign w:val="center"/>
          </w:tcPr>
          <w:p w14:paraId="7C0524AB">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524" w:type="pct"/>
            <w:noWrap w:val="0"/>
            <w:vAlign w:val="top"/>
          </w:tcPr>
          <w:p w14:paraId="001693CF">
            <w:pPr>
              <w:jc w:val="center"/>
              <w:rPr>
                <w:rFonts w:hint="eastAsia" w:ascii="方正仿宋_GBK" w:hAnsi="仿宋" w:eastAsia="方正仿宋_GBK" w:cs="Times New Roman"/>
                <w:sz w:val="21"/>
                <w:szCs w:val="21"/>
                <w:highlight w:val="none"/>
              </w:rPr>
            </w:pPr>
          </w:p>
        </w:tc>
        <w:tc>
          <w:tcPr>
            <w:tcW w:w="753" w:type="pct"/>
            <w:noWrap w:val="0"/>
            <w:vAlign w:val="top"/>
          </w:tcPr>
          <w:p w14:paraId="0E661E39">
            <w:pPr>
              <w:jc w:val="center"/>
              <w:rPr>
                <w:rFonts w:hint="eastAsia" w:ascii="方正仿宋_GBK" w:hAnsi="仿宋" w:eastAsia="方正仿宋_GBK" w:cs="Times New Roman"/>
                <w:sz w:val="21"/>
                <w:szCs w:val="21"/>
                <w:highlight w:val="none"/>
              </w:rPr>
            </w:pPr>
          </w:p>
        </w:tc>
      </w:tr>
      <w:tr w14:paraId="77BB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0" w:type="pct"/>
            <w:noWrap w:val="0"/>
            <w:vAlign w:val="center"/>
          </w:tcPr>
          <w:p w14:paraId="1457638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6</w:t>
            </w:r>
          </w:p>
        </w:tc>
        <w:tc>
          <w:tcPr>
            <w:tcW w:w="637" w:type="pct"/>
            <w:noWrap w:val="0"/>
            <w:vAlign w:val="center"/>
          </w:tcPr>
          <w:p w14:paraId="6A6CCE41">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853" w:type="pct"/>
            <w:noWrap w:val="0"/>
            <w:vAlign w:val="top"/>
          </w:tcPr>
          <w:p w14:paraId="7A84B458">
            <w:pPr>
              <w:jc w:val="center"/>
              <w:rPr>
                <w:rFonts w:hint="eastAsia" w:ascii="方正仿宋_GBK" w:hAnsi="仿宋" w:eastAsia="方正仿宋_GBK" w:cs="Times New Roman"/>
                <w:sz w:val="21"/>
                <w:szCs w:val="21"/>
                <w:highlight w:val="none"/>
              </w:rPr>
            </w:pPr>
          </w:p>
        </w:tc>
        <w:tc>
          <w:tcPr>
            <w:tcW w:w="771" w:type="pct"/>
            <w:noWrap w:val="0"/>
            <w:vAlign w:val="top"/>
          </w:tcPr>
          <w:p w14:paraId="6EF7A40B">
            <w:pPr>
              <w:jc w:val="center"/>
              <w:rPr>
                <w:rFonts w:hint="eastAsia" w:ascii="方正仿宋_GBK" w:hAnsi="仿宋" w:eastAsia="方正仿宋_GBK" w:cs="Times New Roman"/>
                <w:sz w:val="21"/>
                <w:szCs w:val="21"/>
                <w:highlight w:val="none"/>
              </w:rPr>
            </w:pPr>
          </w:p>
        </w:tc>
        <w:tc>
          <w:tcPr>
            <w:tcW w:w="437" w:type="pct"/>
            <w:noWrap w:val="0"/>
            <w:vAlign w:val="center"/>
          </w:tcPr>
          <w:p w14:paraId="61D4CD4F">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480" w:type="pct"/>
            <w:noWrap w:val="0"/>
            <w:vAlign w:val="center"/>
          </w:tcPr>
          <w:p w14:paraId="1652B694">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524" w:type="pct"/>
            <w:noWrap w:val="0"/>
            <w:vAlign w:val="top"/>
          </w:tcPr>
          <w:p w14:paraId="2B9A3D40">
            <w:pPr>
              <w:jc w:val="center"/>
              <w:rPr>
                <w:rFonts w:hint="eastAsia" w:ascii="方正仿宋_GBK" w:hAnsi="仿宋" w:eastAsia="方正仿宋_GBK" w:cs="Times New Roman"/>
                <w:sz w:val="21"/>
                <w:szCs w:val="21"/>
                <w:highlight w:val="none"/>
              </w:rPr>
            </w:pPr>
          </w:p>
        </w:tc>
        <w:tc>
          <w:tcPr>
            <w:tcW w:w="753" w:type="pct"/>
            <w:noWrap w:val="0"/>
            <w:vAlign w:val="top"/>
          </w:tcPr>
          <w:p w14:paraId="1D0365CA">
            <w:pPr>
              <w:jc w:val="center"/>
              <w:rPr>
                <w:rFonts w:hint="eastAsia" w:ascii="方正仿宋_GBK" w:hAnsi="仿宋" w:eastAsia="方正仿宋_GBK" w:cs="Times New Roman"/>
                <w:sz w:val="21"/>
                <w:szCs w:val="21"/>
                <w:highlight w:val="none"/>
              </w:rPr>
            </w:pPr>
          </w:p>
        </w:tc>
      </w:tr>
      <w:tr w14:paraId="46BA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0" w:type="pct"/>
            <w:noWrap w:val="0"/>
            <w:vAlign w:val="center"/>
          </w:tcPr>
          <w:p w14:paraId="07932DBA">
            <w:pPr>
              <w:jc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7</w:t>
            </w:r>
          </w:p>
        </w:tc>
        <w:tc>
          <w:tcPr>
            <w:tcW w:w="637" w:type="pct"/>
            <w:noWrap w:val="0"/>
            <w:vAlign w:val="center"/>
          </w:tcPr>
          <w:p w14:paraId="277F4E5B">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853" w:type="pct"/>
            <w:noWrap w:val="0"/>
            <w:vAlign w:val="top"/>
          </w:tcPr>
          <w:p w14:paraId="67517065">
            <w:pPr>
              <w:jc w:val="center"/>
              <w:rPr>
                <w:rFonts w:hint="eastAsia" w:ascii="方正仿宋_GBK" w:hAnsi="仿宋" w:eastAsia="方正仿宋_GBK" w:cs="Times New Roman"/>
                <w:sz w:val="21"/>
                <w:szCs w:val="21"/>
                <w:highlight w:val="none"/>
              </w:rPr>
            </w:pPr>
          </w:p>
        </w:tc>
        <w:tc>
          <w:tcPr>
            <w:tcW w:w="771" w:type="pct"/>
            <w:noWrap w:val="0"/>
            <w:vAlign w:val="top"/>
          </w:tcPr>
          <w:p w14:paraId="240E944F">
            <w:pPr>
              <w:jc w:val="center"/>
              <w:rPr>
                <w:rFonts w:hint="eastAsia" w:ascii="方正仿宋_GBK" w:hAnsi="仿宋" w:eastAsia="方正仿宋_GBK" w:cs="Times New Roman"/>
                <w:sz w:val="21"/>
                <w:szCs w:val="21"/>
                <w:highlight w:val="none"/>
              </w:rPr>
            </w:pPr>
          </w:p>
        </w:tc>
        <w:tc>
          <w:tcPr>
            <w:tcW w:w="437" w:type="pct"/>
            <w:noWrap w:val="0"/>
            <w:vAlign w:val="center"/>
          </w:tcPr>
          <w:p w14:paraId="2AEFAE3D">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480" w:type="pct"/>
            <w:noWrap w:val="0"/>
            <w:vAlign w:val="center"/>
          </w:tcPr>
          <w:p w14:paraId="63308B2A">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524" w:type="pct"/>
            <w:noWrap w:val="0"/>
            <w:vAlign w:val="top"/>
          </w:tcPr>
          <w:p w14:paraId="1F559145">
            <w:pPr>
              <w:jc w:val="center"/>
              <w:rPr>
                <w:rFonts w:hint="eastAsia" w:ascii="方正仿宋_GBK" w:hAnsi="仿宋" w:eastAsia="方正仿宋_GBK" w:cs="Times New Roman"/>
                <w:sz w:val="21"/>
                <w:szCs w:val="21"/>
                <w:highlight w:val="none"/>
              </w:rPr>
            </w:pPr>
          </w:p>
        </w:tc>
        <w:tc>
          <w:tcPr>
            <w:tcW w:w="753" w:type="pct"/>
            <w:noWrap w:val="0"/>
            <w:vAlign w:val="top"/>
          </w:tcPr>
          <w:p w14:paraId="49CF1AF6">
            <w:pPr>
              <w:jc w:val="center"/>
              <w:rPr>
                <w:rFonts w:hint="eastAsia" w:ascii="方正仿宋_GBK" w:hAnsi="仿宋" w:eastAsia="方正仿宋_GBK" w:cs="Times New Roman"/>
                <w:sz w:val="21"/>
                <w:szCs w:val="21"/>
                <w:highlight w:val="none"/>
              </w:rPr>
            </w:pPr>
          </w:p>
        </w:tc>
      </w:tr>
      <w:tr w14:paraId="47F2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40" w:type="pct"/>
            <w:noWrap w:val="0"/>
            <w:vAlign w:val="center"/>
          </w:tcPr>
          <w:p w14:paraId="3AB83A37">
            <w:pPr>
              <w:jc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8</w:t>
            </w:r>
          </w:p>
        </w:tc>
        <w:tc>
          <w:tcPr>
            <w:tcW w:w="637" w:type="pct"/>
            <w:noWrap w:val="0"/>
            <w:vAlign w:val="center"/>
          </w:tcPr>
          <w:p w14:paraId="5530409A">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853" w:type="pct"/>
            <w:noWrap w:val="0"/>
            <w:vAlign w:val="top"/>
          </w:tcPr>
          <w:p w14:paraId="28F3730D">
            <w:pPr>
              <w:jc w:val="center"/>
              <w:rPr>
                <w:rFonts w:hint="eastAsia" w:ascii="方正仿宋_GBK" w:hAnsi="仿宋" w:eastAsia="方正仿宋_GBK" w:cs="Times New Roman"/>
                <w:sz w:val="21"/>
                <w:szCs w:val="21"/>
                <w:highlight w:val="none"/>
              </w:rPr>
            </w:pPr>
          </w:p>
        </w:tc>
        <w:tc>
          <w:tcPr>
            <w:tcW w:w="771" w:type="pct"/>
            <w:noWrap w:val="0"/>
            <w:vAlign w:val="top"/>
          </w:tcPr>
          <w:p w14:paraId="731D610A">
            <w:pPr>
              <w:jc w:val="center"/>
              <w:rPr>
                <w:rFonts w:hint="eastAsia" w:ascii="方正仿宋_GBK" w:hAnsi="仿宋" w:eastAsia="方正仿宋_GBK" w:cs="Times New Roman"/>
                <w:sz w:val="21"/>
                <w:szCs w:val="21"/>
                <w:highlight w:val="none"/>
              </w:rPr>
            </w:pPr>
          </w:p>
        </w:tc>
        <w:tc>
          <w:tcPr>
            <w:tcW w:w="437" w:type="pct"/>
            <w:noWrap w:val="0"/>
            <w:vAlign w:val="center"/>
          </w:tcPr>
          <w:p w14:paraId="00640A98">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480" w:type="pct"/>
            <w:noWrap w:val="0"/>
            <w:vAlign w:val="center"/>
          </w:tcPr>
          <w:p w14:paraId="29E504DA">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524" w:type="pct"/>
            <w:noWrap w:val="0"/>
            <w:vAlign w:val="top"/>
          </w:tcPr>
          <w:p w14:paraId="1B18AFD4">
            <w:pPr>
              <w:jc w:val="center"/>
              <w:rPr>
                <w:rFonts w:hint="eastAsia" w:ascii="方正仿宋_GBK" w:hAnsi="仿宋" w:eastAsia="方正仿宋_GBK" w:cs="Times New Roman"/>
                <w:sz w:val="21"/>
                <w:szCs w:val="21"/>
                <w:highlight w:val="none"/>
              </w:rPr>
            </w:pPr>
          </w:p>
        </w:tc>
        <w:tc>
          <w:tcPr>
            <w:tcW w:w="753" w:type="pct"/>
            <w:noWrap w:val="0"/>
            <w:vAlign w:val="top"/>
          </w:tcPr>
          <w:p w14:paraId="13A31B02">
            <w:pPr>
              <w:jc w:val="center"/>
              <w:rPr>
                <w:rFonts w:hint="eastAsia" w:ascii="方正仿宋_GBK" w:hAnsi="仿宋" w:eastAsia="方正仿宋_GBK" w:cs="Times New Roman"/>
                <w:sz w:val="21"/>
                <w:szCs w:val="21"/>
                <w:highlight w:val="none"/>
              </w:rPr>
            </w:pPr>
          </w:p>
        </w:tc>
      </w:tr>
      <w:tr w14:paraId="6335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0" w:type="pct"/>
            <w:noWrap w:val="0"/>
            <w:vAlign w:val="center"/>
          </w:tcPr>
          <w:p w14:paraId="1D08F12B">
            <w:pPr>
              <w:jc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9</w:t>
            </w:r>
          </w:p>
        </w:tc>
        <w:tc>
          <w:tcPr>
            <w:tcW w:w="637" w:type="pct"/>
            <w:noWrap w:val="0"/>
            <w:vAlign w:val="center"/>
          </w:tcPr>
          <w:p w14:paraId="281AEE7D">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853" w:type="pct"/>
            <w:noWrap w:val="0"/>
            <w:vAlign w:val="top"/>
          </w:tcPr>
          <w:p w14:paraId="73B360F9">
            <w:pPr>
              <w:jc w:val="center"/>
              <w:rPr>
                <w:rFonts w:hint="eastAsia" w:ascii="方正仿宋_GBK" w:hAnsi="仿宋" w:eastAsia="方正仿宋_GBK" w:cs="Times New Roman"/>
                <w:sz w:val="21"/>
                <w:szCs w:val="21"/>
                <w:highlight w:val="none"/>
              </w:rPr>
            </w:pPr>
          </w:p>
        </w:tc>
        <w:tc>
          <w:tcPr>
            <w:tcW w:w="771" w:type="pct"/>
            <w:noWrap w:val="0"/>
            <w:vAlign w:val="top"/>
          </w:tcPr>
          <w:p w14:paraId="0597C511">
            <w:pPr>
              <w:jc w:val="center"/>
              <w:rPr>
                <w:rFonts w:hint="eastAsia" w:ascii="方正仿宋_GBK" w:hAnsi="仿宋" w:eastAsia="方正仿宋_GBK" w:cs="Times New Roman"/>
                <w:sz w:val="21"/>
                <w:szCs w:val="21"/>
                <w:highlight w:val="none"/>
              </w:rPr>
            </w:pPr>
          </w:p>
        </w:tc>
        <w:tc>
          <w:tcPr>
            <w:tcW w:w="437" w:type="pct"/>
            <w:noWrap w:val="0"/>
            <w:vAlign w:val="center"/>
          </w:tcPr>
          <w:p w14:paraId="591C82C5">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480" w:type="pct"/>
            <w:noWrap w:val="0"/>
            <w:vAlign w:val="center"/>
          </w:tcPr>
          <w:p w14:paraId="54F5C068">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524" w:type="pct"/>
            <w:noWrap w:val="0"/>
            <w:vAlign w:val="top"/>
          </w:tcPr>
          <w:p w14:paraId="3CDB96E2">
            <w:pPr>
              <w:jc w:val="center"/>
              <w:rPr>
                <w:rFonts w:hint="eastAsia" w:ascii="方正仿宋_GBK" w:hAnsi="仿宋" w:eastAsia="方正仿宋_GBK" w:cs="Times New Roman"/>
                <w:sz w:val="21"/>
                <w:szCs w:val="21"/>
                <w:highlight w:val="none"/>
              </w:rPr>
            </w:pPr>
          </w:p>
        </w:tc>
        <w:tc>
          <w:tcPr>
            <w:tcW w:w="753" w:type="pct"/>
            <w:noWrap w:val="0"/>
            <w:vAlign w:val="top"/>
          </w:tcPr>
          <w:p w14:paraId="2606B8F9">
            <w:pPr>
              <w:jc w:val="center"/>
              <w:rPr>
                <w:rFonts w:hint="eastAsia" w:ascii="方正仿宋_GBK" w:hAnsi="仿宋" w:eastAsia="方正仿宋_GBK" w:cs="Times New Roman"/>
                <w:sz w:val="21"/>
                <w:szCs w:val="21"/>
                <w:highlight w:val="none"/>
              </w:rPr>
            </w:pPr>
          </w:p>
        </w:tc>
      </w:tr>
      <w:tr w14:paraId="7FA3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40" w:type="pct"/>
            <w:noWrap w:val="0"/>
            <w:vAlign w:val="center"/>
          </w:tcPr>
          <w:p w14:paraId="49086406">
            <w:pPr>
              <w:jc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10</w:t>
            </w:r>
          </w:p>
        </w:tc>
        <w:tc>
          <w:tcPr>
            <w:tcW w:w="637" w:type="pct"/>
            <w:noWrap w:val="0"/>
            <w:vAlign w:val="center"/>
          </w:tcPr>
          <w:p w14:paraId="604D91AB">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853" w:type="pct"/>
            <w:noWrap w:val="0"/>
            <w:vAlign w:val="top"/>
          </w:tcPr>
          <w:p w14:paraId="27387D39">
            <w:pPr>
              <w:jc w:val="center"/>
              <w:rPr>
                <w:rFonts w:hint="eastAsia" w:ascii="方正仿宋_GBK" w:hAnsi="仿宋" w:eastAsia="方正仿宋_GBK" w:cs="Times New Roman"/>
                <w:sz w:val="21"/>
                <w:szCs w:val="21"/>
                <w:highlight w:val="none"/>
              </w:rPr>
            </w:pPr>
          </w:p>
        </w:tc>
        <w:tc>
          <w:tcPr>
            <w:tcW w:w="771" w:type="pct"/>
            <w:noWrap w:val="0"/>
            <w:vAlign w:val="top"/>
          </w:tcPr>
          <w:p w14:paraId="353CEAAB">
            <w:pPr>
              <w:jc w:val="center"/>
              <w:rPr>
                <w:rFonts w:hint="eastAsia" w:ascii="方正仿宋_GBK" w:hAnsi="仿宋" w:eastAsia="方正仿宋_GBK" w:cs="Times New Roman"/>
                <w:sz w:val="21"/>
                <w:szCs w:val="21"/>
                <w:highlight w:val="none"/>
              </w:rPr>
            </w:pPr>
          </w:p>
        </w:tc>
        <w:tc>
          <w:tcPr>
            <w:tcW w:w="437" w:type="pct"/>
            <w:noWrap w:val="0"/>
            <w:vAlign w:val="center"/>
          </w:tcPr>
          <w:p w14:paraId="6CCB4F5C">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480" w:type="pct"/>
            <w:noWrap w:val="0"/>
            <w:vAlign w:val="center"/>
          </w:tcPr>
          <w:p w14:paraId="017A8D1C">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524" w:type="pct"/>
            <w:noWrap w:val="0"/>
            <w:vAlign w:val="top"/>
          </w:tcPr>
          <w:p w14:paraId="37D7F95F">
            <w:pPr>
              <w:jc w:val="center"/>
              <w:rPr>
                <w:rFonts w:hint="eastAsia" w:ascii="方正仿宋_GBK" w:hAnsi="仿宋" w:eastAsia="方正仿宋_GBK" w:cs="Times New Roman"/>
                <w:sz w:val="21"/>
                <w:szCs w:val="21"/>
                <w:highlight w:val="none"/>
              </w:rPr>
            </w:pPr>
          </w:p>
        </w:tc>
        <w:tc>
          <w:tcPr>
            <w:tcW w:w="753" w:type="pct"/>
            <w:noWrap w:val="0"/>
            <w:vAlign w:val="top"/>
          </w:tcPr>
          <w:p w14:paraId="6452D72C">
            <w:pPr>
              <w:jc w:val="center"/>
              <w:rPr>
                <w:rFonts w:hint="eastAsia" w:ascii="方正仿宋_GBK" w:hAnsi="仿宋" w:eastAsia="方正仿宋_GBK" w:cs="Times New Roman"/>
                <w:sz w:val="21"/>
                <w:szCs w:val="21"/>
                <w:highlight w:val="none"/>
              </w:rPr>
            </w:pPr>
          </w:p>
        </w:tc>
      </w:tr>
      <w:tr w14:paraId="501B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0" w:type="pct"/>
            <w:noWrap w:val="0"/>
            <w:vAlign w:val="center"/>
          </w:tcPr>
          <w:p w14:paraId="5D19CA07">
            <w:pPr>
              <w:jc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11</w:t>
            </w:r>
          </w:p>
        </w:tc>
        <w:tc>
          <w:tcPr>
            <w:tcW w:w="637" w:type="pct"/>
            <w:noWrap w:val="0"/>
            <w:vAlign w:val="center"/>
          </w:tcPr>
          <w:p w14:paraId="49044AEB">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853" w:type="pct"/>
            <w:noWrap w:val="0"/>
            <w:vAlign w:val="top"/>
          </w:tcPr>
          <w:p w14:paraId="4B0EFF2C">
            <w:pPr>
              <w:jc w:val="center"/>
              <w:rPr>
                <w:rFonts w:hint="eastAsia" w:ascii="方正仿宋_GBK" w:hAnsi="仿宋" w:eastAsia="方正仿宋_GBK" w:cs="Times New Roman"/>
                <w:sz w:val="21"/>
                <w:szCs w:val="21"/>
                <w:highlight w:val="none"/>
              </w:rPr>
            </w:pPr>
          </w:p>
        </w:tc>
        <w:tc>
          <w:tcPr>
            <w:tcW w:w="771" w:type="pct"/>
            <w:noWrap w:val="0"/>
            <w:vAlign w:val="top"/>
          </w:tcPr>
          <w:p w14:paraId="38BA11DD">
            <w:pPr>
              <w:jc w:val="center"/>
              <w:rPr>
                <w:rFonts w:hint="eastAsia" w:ascii="方正仿宋_GBK" w:hAnsi="仿宋" w:eastAsia="方正仿宋_GBK" w:cs="Times New Roman"/>
                <w:sz w:val="21"/>
                <w:szCs w:val="21"/>
                <w:highlight w:val="none"/>
              </w:rPr>
            </w:pPr>
          </w:p>
        </w:tc>
        <w:tc>
          <w:tcPr>
            <w:tcW w:w="437" w:type="pct"/>
            <w:noWrap w:val="0"/>
            <w:vAlign w:val="center"/>
          </w:tcPr>
          <w:p w14:paraId="0C79F3B0">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480" w:type="pct"/>
            <w:noWrap w:val="0"/>
            <w:vAlign w:val="center"/>
          </w:tcPr>
          <w:p w14:paraId="02F0C98A">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524" w:type="pct"/>
            <w:noWrap w:val="0"/>
            <w:vAlign w:val="top"/>
          </w:tcPr>
          <w:p w14:paraId="7B44D460">
            <w:pPr>
              <w:jc w:val="center"/>
              <w:rPr>
                <w:rFonts w:hint="eastAsia" w:ascii="方正仿宋_GBK" w:hAnsi="仿宋" w:eastAsia="方正仿宋_GBK" w:cs="Times New Roman"/>
                <w:sz w:val="21"/>
                <w:szCs w:val="21"/>
                <w:highlight w:val="none"/>
              </w:rPr>
            </w:pPr>
          </w:p>
        </w:tc>
        <w:tc>
          <w:tcPr>
            <w:tcW w:w="753" w:type="pct"/>
            <w:noWrap w:val="0"/>
            <w:vAlign w:val="top"/>
          </w:tcPr>
          <w:p w14:paraId="6BB9CCEB">
            <w:pPr>
              <w:jc w:val="center"/>
              <w:rPr>
                <w:rFonts w:hint="eastAsia" w:ascii="方正仿宋_GBK" w:hAnsi="仿宋" w:eastAsia="方正仿宋_GBK" w:cs="Times New Roman"/>
                <w:sz w:val="21"/>
                <w:szCs w:val="21"/>
                <w:highlight w:val="none"/>
              </w:rPr>
            </w:pPr>
          </w:p>
        </w:tc>
      </w:tr>
      <w:tr w14:paraId="5D4F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0" w:type="pct"/>
            <w:noWrap w:val="0"/>
            <w:vAlign w:val="center"/>
          </w:tcPr>
          <w:p w14:paraId="6A5F4CCC">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210" w:firstLineChars="100"/>
              <w:jc w:val="both"/>
              <w:textAlignment w:val="auto"/>
              <w:outlineLvl w:val="9"/>
              <w:rPr>
                <w:rFonts w:hint="default" w:ascii="方正仿宋_GBK" w:hAnsi="仿宋" w:eastAsia="方正仿宋_GBK" w:cs="Times New Roman"/>
                <w:sz w:val="21"/>
                <w:szCs w:val="21"/>
                <w:highlight w:val="none"/>
                <w:lang w:val="en-US" w:eastAsia="zh-CN"/>
              </w:rPr>
            </w:pPr>
            <w:r>
              <w:rPr>
                <w:rFonts w:hint="eastAsia" w:ascii="方正仿宋_GBK" w:hAnsi="仿宋" w:eastAsia="方正仿宋_GBK" w:cs="Times New Roman"/>
                <w:sz w:val="21"/>
                <w:szCs w:val="21"/>
                <w:highlight w:val="none"/>
                <w:lang w:val="en-US" w:eastAsia="zh-CN"/>
              </w:rPr>
              <w:t>12</w:t>
            </w:r>
          </w:p>
        </w:tc>
        <w:tc>
          <w:tcPr>
            <w:tcW w:w="1491" w:type="pct"/>
            <w:gridSpan w:val="2"/>
            <w:noWrap w:val="0"/>
            <w:vAlign w:val="center"/>
          </w:tcPr>
          <w:p w14:paraId="588AEB17">
            <w:pPr>
              <w:jc w:val="center"/>
              <w:rPr>
                <w:rFonts w:hint="eastAsia" w:ascii="方正仿宋_GBK" w:hAnsi="仿宋" w:eastAsia="方正仿宋_GBK" w:cs="Times New Roman"/>
                <w:sz w:val="21"/>
                <w:szCs w:val="21"/>
                <w:highlight w:val="none"/>
              </w:rPr>
            </w:pPr>
            <w:r>
              <w:rPr>
                <w:rFonts w:hint="eastAsia" w:ascii="方正仿宋_GBK" w:hAnsi="仿宋" w:eastAsia="方正仿宋_GBK" w:cs="Times New Roman"/>
                <w:sz w:val="21"/>
                <w:szCs w:val="21"/>
                <w:highlight w:val="none"/>
              </w:rPr>
              <w:t>总计</w:t>
            </w:r>
          </w:p>
        </w:tc>
        <w:tc>
          <w:tcPr>
            <w:tcW w:w="2967" w:type="pct"/>
            <w:gridSpan w:val="5"/>
            <w:noWrap w:val="0"/>
            <w:vAlign w:val="top"/>
          </w:tcPr>
          <w:p w14:paraId="3781EB06">
            <w:pPr>
              <w:rPr>
                <w:rFonts w:hint="eastAsia" w:ascii="方正仿宋_GBK" w:hAnsi="仿宋" w:eastAsia="方正仿宋_GBK" w:cs="Times New Roman"/>
                <w:sz w:val="21"/>
                <w:szCs w:val="21"/>
                <w:highlight w:val="none"/>
              </w:rPr>
            </w:pPr>
          </w:p>
        </w:tc>
      </w:tr>
    </w:tbl>
    <w:p w14:paraId="2038B1FD">
      <w:pPr>
        <w:snapToGrid w:val="0"/>
        <w:spacing w:line="500" w:lineRule="exact"/>
        <w:ind w:firstLine="480" w:firstLineChars="200"/>
        <w:rPr>
          <w:rFonts w:hint="eastAsia" w:ascii="方正仿宋_GBK" w:hAnsi="宋体" w:eastAsia="方正仿宋_GBK"/>
          <w:sz w:val="24"/>
          <w:szCs w:val="28"/>
          <w:highlight w:val="none"/>
        </w:rPr>
      </w:pPr>
    </w:p>
    <w:p w14:paraId="674E064F">
      <w:pPr>
        <w:snapToGrid w:val="0"/>
        <w:spacing w:line="500" w:lineRule="exact"/>
        <w:ind w:firstLine="480" w:firstLineChars="20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注：1.供应商应完整填写本表。</w:t>
      </w:r>
    </w:p>
    <w:p w14:paraId="39E635F1">
      <w:pPr>
        <w:snapToGrid w:val="0"/>
        <w:spacing w:line="500" w:lineRule="exact"/>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 xml:space="preserve">        2.该表可扩展</w:t>
      </w:r>
      <w:bookmarkStart w:id="33" w:name="OLE_LINK1"/>
      <w:bookmarkStart w:id="34" w:name="OLE_LINK2"/>
      <w:r>
        <w:rPr>
          <w:rFonts w:hint="default" w:ascii="Times New Roman" w:hAnsi="Times New Roman" w:eastAsia="方正仿宋_GBK" w:cs="Times New Roman"/>
          <w:sz w:val="24"/>
          <w:szCs w:val="28"/>
          <w:highlight w:val="none"/>
        </w:rPr>
        <w:t>。</w:t>
      </w:r>
      <w:bookmarkEnd w:id="33"/>
      <w:bookmarkEnd w:id="34"/>
    </w:p>
    <w:p w14:paraId="4F5A984D">
      <w:pPr>
        <w:widowControl w:val="0"/>
        <w:numPr>
          <w:ilvl w:val="0"/>
          <w:numId w:val="0"/>
        </w:numPr>
        <w:tabs>
          <w:tab w:val="left" w:pos="3840"/>
        </w:tabs>
        <w:autoSpaceDE w:val="0"/>
        <w:autoSpaceDN w:val="0"/>
        <w:adjustRightInd w:val="0"/>
        <w:snapToGrid w:val="0"/>
        <w:jc w:val="both"/>
        <w:rPr>
          <w:rFonts w:hint="eastAsia" w:ascii="Times New Roman" w:hAnsi="Times New Roman" w:eastAsia="方正仿宋_GBK" w:cs="方正仿宋_GBK"/>
          <w:snapToGrid w:val="0"/>
          <w:kern w:val="0"/>
          <w:sz w:val="32"/>
          <w:szCs w:val="32"/>
        </w:rPr>
      </w:pPr>
    </w:p>
    <w:p w14:paraId="7EA67A0B">
      <w:pPr>
        <w:rPr>
          <w:rFonts w:hint="eastAsia" w:ascii="Times New Roman" w:hAnsi="Times New Roman" w:eastAsia="方正黑体_GBK"/>
          <w:sz w:val="32"/>
          <w:szCs w:val="32"/>
          <w:lang w:val="en-US" w:eastAsia="zh-CN"/>
        </w:rPr>
      </w:pPr>
    </w:p>
    <w:p w14:paraId="3357A478">
      <w:pPr>
        <w:rPr>
          <w:rFonts w:hint="eastAsia" w:ascii="Times New Roman" w:hAnsi="Times New Roman" w:eastAsia="方正黑体_GBK"/>
          <w:sz w:val="32"/>
          <w:szCs w:val="32"/>
          <w:lang w:val="en-US" w:eastAsia="zh-CN"/>
        </w:rPr>
      </w:pPr>
    </w:p>
    <w:p w14:paraId="60A888A2">
      <w:pPr>
        <w:tabs>
          <w:tab w:val="left" w:pos="6300"/>
        </w:tabs>
        <w:snapToGrid w:val="0"/>
        <w:ind w:firstLine="4000" w:firstLineChars="12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供应商名称（公章）：</w:t>
      </w:r>
    </w:p>
    <w:p w14:paraId="318C30D7">
      <w:pPr>
        <w:snapToGrid w:val="0"/>
        <w:ind w:firstLine="640" w:firstLineChars="200"/>
        <w:rPr>
          <w:rFonts w:hint="eastAsia" w:ascii="Times New Roman" w:hAnsi="Times New Roman" w:eastAsia="方正仿宋_GBK" w:cs="方正仿宋_GBK"/>
          <w:sz w:val="32"/>
          <w:szCs w:val="32"/>
          <w:highlight w:val="none"/>
        </w:rPr>
      </w:pPr>
    </w:p>
    <w:p w14:paraId="65AD0591">
      <w:pPr>
        <w:snapToGrid w:val="0"/>
        <w:ind w:firstLine="4960" w:firstLineChars="15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年   月   日</w:t>
      </w:r>
    </w:p>
    <w:p w14:paraId="2C30F056">
      <w:pPr>
        <w:rPr>
          <w:rFonts w:hint="eastAsia" w:ascii="Times New Roman" w:hAnsi="Times New Roman" w:eastAsia="方正黑体_GBK"/>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14:paraId="3048D08D">
      <w:pPr>
        <w:rPr>
          <w:rFonts w:ascii="Times New Roman" w:hAnsi="Times New Roman" w:eastAsia="方正黑体_GBK"/>
          <w:sz w:val="32"/>
          <w:szCs w:val="32"/>
        </w:rPr>
      </w:pPr>
      <w:r>
        <w:rPr>
          <w:rFonts w:hint="eastAsia" w:ascii="Times New Roman" w:hAnsi="Times New Roman" w:eastAsia="方正黑体_GBK"/>
          <w:sz w:val="32"/>
          <w:szCs w:val="32"/>
          <w:lang w:val="en-US" w:eastAsia="zh-CN"/>
        </w:rPr>
        <w:t>三</w:t>
      </w:r>
      <w:r>
        <w:rPr>
          <w:rFonts w:hint="eastAsia" w:ascii="Times New Roman" w:hAnsi="Times New Roman" w:eastAsia="方正黑体_GBK"/>
          <w:sz w:val="32"/>
          <w:szCs w:val="32"/>
        </w:rPr>
        <w:t>、法定代表人授权委托书（格式）</w:t>
      </w:r>
    </w:p>
    <w:p w14:paraId="79E3D8DF">
      <w:pPr>
        <w:tabs>
          <w:tab w:val="left" w:pos="6300"/>
        </w:tabs>
        <w:snapToGrid w:val="0"/>
        <w:jc w:val="center"/>
        <w:rPr>
          <w:rFonts w:ascii="Times New Roman" w:hAnsi="Times New Roman" w:eastAsia="方正仿宋_GBK" w:cs="宋体"/>
          <w:sz w:val="32"/>
          <w:szCs w:val="32"/>
        </w:rPr>
      </w:pPr>
    </w:p>
    <w:p w14:paraId="1A352D9C">
      <w:pPr>
        <w:tabs>
          <w:tab w:val="left" w:pos="6300"/>
        </w:tabs>
        <w:snapToGrid w:val="0"/>
        <w:jc w:val="center"/>
        <w:rPr>
          <w:rFonts w:ascii="Times New Roman" w:hAnsi="Times New Roman" w:eastAsia="方正仿宋_GBK" w:cs="宋体"/>
          <w:sz w:val="32"/>
          <w:szCs w:val="32"/>
        </w:rPr>
      </w:pPr>
      <w:r>
        <w:rPr>
          <w:rFonts w:hint="eastAsia" w:ascii="Times New Roman" w:hAnsi="Times New Roman" w:eastAsia="方正仿宋_GBK" w:cs="宋体"/>
          <w:sz w:val="32"/>
          <w:szCs w:val="32"/>
        </w:rPr>
        <w:t>法定代表人授权委托书</w:t>
      </w:r>
    </w:p>
    <w:p w14:paraId="65F493EA">
      <w:pPr>
        <w:tabs>
          <w:tab w:val="left" w:pos="6300"/>
        </w:tabs>
        <w:snapToGrid w:val="0"/>
        <w:jc w:val="center"/>
        <w:rPr>
          <w:rFonts w:ascii="Times New Roman" w:hAnsi="Times New Roman" w:eastAsia="方正仿宋_GBK" w:cs="宋体"/>
          <w:sz w:val="32"/>
          <w:szCs w:val="32"/>
        </w:rPr>
      </w:pPr>
    </w:p>
    <w:p w14:paraId="0B685ED3">
      <w:pPr>
        <w:tabs>
          <w:tab w:val="left" w:pos="6300"/>
        </w:tabs>
        <w:snapToGrid w:val="0"/>
        <w:rPr>
          <w:rFonts w:ascii="Times New Roman" w:hAnsi="Times New Roman" w:eastAsia="方正仿宋_GBK" w:cs="宋体"/>
          <w:sz w:val="32"/>
          <w:szCs w:val="32"/>
        </w:rPr>
      </w:pPr>
      <w:r>
        <w:rPr>
          <w:rFonts w:hint="eastAsia" w:ascii="Times New Roman" w:hAnsi="Times New Roman" w:eastAsia="方正仿宋_GBK" w:cs="宋体"/>
          <w:sz w:val="32"/>
          <w:szCs w:val="32"/>
        </w:rPr>
        <w:t>致：</w:t>
      </w:r>
      <w:r>
        <w:rPr>
          <w:rFonts w:hint="eastAsia" w:ascii="Times New Roman" w:hAnsi="Times New Roman" w:eastAsia="方正仿宋_GBK"/>
          <w:sz w:val="32"/>
          <w:szCs w:val="32"/>
        </w:rPr>
        <w:t>重庆西算大数据有限公司</w:t>
      </w:r>
      <w:r>
        <w:rPr>
          <w:rFonts w:hint="eastAsia" w:ascii="Times New Roman" w:hAnsi="Times New Roman" w:eastAsia="方正仿宋_GBK" w:cs="宋体"/>
          <w:sz w:val="32"/>
          <w:szCs w:val="32"/>
        </w:rPr>
        <w:t>：</w:t>
      </w:r>
    </w:p>
    <w:p w14:paraId="3D293F98">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（法定代表人名称）是（供应商名称）的法定代表人，特授权（被授权人姓名及身份证代码）代表我单位全权办理上述项目的谈判、签约等具体工作，并签署全部有关文件、协议及合同。</w:t>
      </w:r>
    </w:p>
    <w:p w14:paraId="55655331">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我单位对被授权人的签字负全部责任。</w:t>
      </w:r>
    </w:p>
    <w:p w14:paraId="36622169">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在撤消授权的书面通知以前，本授权书一直有效。被授权人在授权书有效期内签署的所有文件不因授权的撤消而失效。</w:t>
      </w:r>
    </w:p>
    <w:p w14:paraId="105A312E">
      <w:pPr>
        <w:tabs>
          <w:tab w:val="left" w:pos="6300"/>
        </w:tabs>
        <w:snapToGrid w:val="0"/>
        <w:ind w:firstLine="570"/>
        <w:rPr>
          <w:rFonts w:ascii="Times New Roman" w:hAnsi="Times New Roman" w:eastAsia="方正仿宋_GBK" w:cs="宋体"/>
          <w:sz w:val="32"/>
          <w:szCs w:val="32"/>
        </w:rPr>
      </w:pPr>
    </w:p>
    <w:p w14:paraId="0765B96C">
      <w:pPr>
        <w:tabs>
          <w:tab w:val="left" w:pos="6300"/>
        </w:tabs>
        <w:snapToGrid w:val="0"/>
        <w:ind w:firstLine="570"/>
        <w:rPr>
          <w:rFonts w:ascii="Times New Roman" w:hAnsi="Times New Roman" w:eastAsia="方正仿宋_GBK" w:cs="宋体"/>
          <w:sz w:val="32"/>
          <w:szCs w:val="32"/>
        </w:rPr>
      </w:pPr>
    </w:p>
    <w:p w14:paraId="59D06E66">
      <w:pPr>
        <w:tabs>
          <w:tab w:val="left" w:pos="6300"/>
        </w:tabs>
        <w:snapToGrid w:val="0"/>
        <w:ind w:firstLine="570"/>
        <w:rPr>
          <w:rFonts w:ascii="Times New Roman" w:hAnsi="Times New Roman" w:eastAsia="方正仿宋_GBK" w:cs="宋体"/>
          <w:sz w:val="32"/>
          <w:szCs w:val="32"/>
        </w:rPr>
      </w:pPr>
      <w:r>
        <w:rPr>
          <w:rFonts w:hint="eastAsia" w:ascii="Times New Roman" w:hAnsi="Times New Roman" w:eastAsia="方正仿宋_GBK" w:cs="宋体"/>
          <w:sz w:val="32"/>
          <w:szCs w:val="32"/>
        </w:rPr>
        <w:t>被授权人：                    法定代表人：</w:t>
      </w:r>
    </w:p>
    <w:p w14:paraId="75C57EA2">
      <w:pPr>
        <w:tabs>
          <w:tab w:val="left" w:pos="6300"/>
        </w:tabs>
        <w:snapToGrid w:val="0"/>
        <w:ind w:firstLine="570"/>
        <w:rPr>
          <w:rFonts w:ascii="Times New Roman" w:hAnsi="Times New Roman" w:eastAsia="方正仿宋_GBK" w:cs="宋体"/>
          <w:sz w:val="32"/>
          <w:szCs w:val="32"/>
        </w:rPr>
      </w:pPr>
      <w:r>
        <w:rPr>
          <w:rFonts w:hint="eastAsia" w:ascii="Times New Roman" w:hAnsi="Times New Roman" w:eastAsia="方正仿宋_GBK" w:cs="宋体"/>
          <w:sz w:val="32"/>
          <w:szCs w:val="32"/>
        </w:rPr>
        <w:t>（签字或盖章）                （签字或盖章）</w:t>
      </w:r>
    </w:p>
    <w:p w14:paraId="3D58F08F">
      <w:pPr>
        <w:tabs>
          <w:tab w:val="left" w:pos="6300"/>
        </w:tabs>
        <w:snapToGrid w:val="0"/>
        <w:ind w:firstLine="570"/>
        <w:rPr>
          <w:rFonts w:ascii="Times New Roman" w:hAnsi="Times New Roman" w:eastAsia="方正仿宋_GBK" w:cs="宋体"/>
          <w:sz w:val="32"/>
          <w:szCs w:val="32"/>
        </w:rPr>
      </w:pPr>
    </w:p>
    <w:p w14:paraId="0A11AE37">
      <w:pPr>
        <w:pStyle w:val="4"/>
        <w:rPr>
          <w:rFonts w:ascii="Times New Roman" w:hAnsi="Times New Roman"/>
        </w:rPr>
      </w:pPr>
    </w:p>
    <w:p w14:paraId="04A1BCE8">
      <w:pPr>
        <w:tabs>
          <w:tab w:val="left" w:pos="6300"/>
        </w:tabs>
        <w:snapToGrid w:val="0"/>
        <w:ind w:firstLine="570"/>
        <w:rPr>
          <w:rFonts w:ascii="Times New Roman" w:hAnsi="Times New Roman" w:eastAsia="方正仿宋_GBK" w:cs="宋体"/>
          <w:sz w:val="32"/>
          <w:szCs w:val="32"/>
        </w:rPr>
      </w:pPr>
    </w:p>
    <w:p w14:paraId="72A22B52">
      <w:pPr>
        <w:tabs>
          <w:tab w:val="left" w:pos="6300"/>
        </w:tabs>
        <w:snapToGrid w:val="0"/>
        <w:ind w:right="480" w:firstLine="570"/>
        <w:jc w:val="right"/>
        <w:rPr>
          <w:rFonts w:ascii="Times New Roman" w:hAnsi="Times New Roman" w:eastAsia="方正仿宋_GBK" w:cs="宋体"/>
          <w:sz w:val="32"/>
          <w:szCs w:val="32"/>
        </w:rPr>
      </w:pPr>
      <w:r>
        <w:rPr>
          <w:rFonts w:hint="eastAsia" w:ascii="Times New Roman" w:hAnsi="Times New Roman" w:eastAsia="方正仿宋_GBK" w:cs="宋体"/>
          <w:sz w:val="32"/>
          <w:szCs w:val="32"/>
        </w:rPr>
        <w:t>（供应商公章）</w:t>
      </w:r>
    </w:p>
    <w:p w14:paraId="5BE5C2CC">
      <w:pPr>
        <w:tabs>
          <w:tab w:val="left" w:pos="6300"/>
        </w:tabs>
        <w:snapToGrid w:val="0"/>
        <w:spacing w:line="312" w:lineRule="auto"/>
        <w:ind w:right="480" w:firstLine="570"/>
        <w:jc w:val="right"/>
        <w:rPr>
          <w:rFonts w:hint="eastAsia" w:ascii="Times New Roman" w:hAnsi="Times New Roman" w:eastAsia="方正仿宋_GBK" w:cs="宋体"/>
          <w:sz w:val="32"/>
          <w:szCs w:val="32"/>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方正仿宋_GBK" w:cs="宋体"/>
          <w:sz w:val="32"/>
          <w:szCs w:val="32"/>
        </w:rPr>
        <w:t>年   月   日</w:t>
      </w:r>
    </w:p>
    <w:p w14:paraId="63B5C7B0">
      <w:pPr>
        <w:tabs>
          <w:tab w:val="left" w:pos="6300"/>
        </w:tabs>
        <w:snapToGrid w:val="0"/>
        <w:spacing w:line="240" w:lineRule="auto"/>
        <w:ind w:right="0" w:firstLine="0"/>
        <w:jc w:val="left"/>
        <w:rPr>
          <w:rFonts w:hint="eastAsia" w:ascii="方正黑体_GBK" w:hAnsi="方正黑体_GBK" w:eastAsia="方正黑体_GBK" w:cs="方正黑体_GBK"/>
          <w:bCs/>
          <w:sz w:val="28"/>
          <w:szCs w:val="28"/>
          <w:highlight w:val="none"/>
        </w:rPr>
      </w:pPr>
      <w:r>
        <w:rPr>
          <w:rFonts w:hint="eastAsia" w:ascii="方正黑体_GBK" w:hAnsi="方正黑体_GBK" w:eastAsia="方正黑体_GBK" w:cs="方正黑体_GBK"/>
          <w:bCs/>
          <w:sz w:val="28"/>
          <w:szCs w:val="28"/>
          <w:highlight w:val="none"/>
          <w:lang w:val="en-US" w:eastAsia="zh-CN"/>
        </w:rPr>
        <w:t>四</w:t>
      </w:r>
      <w:r>
        <w:rPr>
          <w:rFonts w:hint="eastAsia" w:ascii="方正黑体_GBK" w:hAnsi="方正黑体_GBK" w:eastAsia="方正黑体_GBK" w:cs="方正黑体_GBK"/>
          <w:bCs/>
          <w:sz w:val="28"/>
          <w:szCs w:val="28"/>
          <w:highlight w:val="none"/>
        </w:rPr>
        <w:t>、</w:t>
      </w:r>
      <w:r>
        <w:rPr>
          <w:rFonts w:hint="eastAsia" w:ascii="方正黑体_GBK" w:hAnsi="方正黑体_GBK" w:eastAsia="方正黑体_GBK" w:cs="方正黑体_GBK"/>
          <w:b w:val="0"/>
          <w:bCs/>
          <w:sz w:val="28"/>
          <w:szCs w:val="28"/>
          <w:highlight w:val="none"/>
          <w:lang w:val="en-US" w:eastAsia="zh-CN"/>
        </w:rPr>
        <w:t>其他应提供的证明材料（格式自定）</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lgerian">
    <w:altName w:val="Gabriola"/>
    <w:panose1 w:val="04020705040A02060702"/>
    <w:charset w:val="00"/>
    <w:family w:val="auto"/>
    <w:pitch w:val="default"/>
    <w:sig w:usb0="00000000"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CA18">
    <w:pPr>
      <w:pStyle w:val="6"/>
      <w:ind w:right="360" w:firstLine="360"/>
      <w:jc w:val="right"/>
      <w:rPr>
        <w:sz w:val="28"/>
      </w:rPr>
    </w:pPr>
  </w:p>
  <w:p w14:paraId="51118C8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CBE5">
    <w:pPr>
      <w:pStyle w:val="6"/>
      <w:ind w:firstLine="4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52E160">
                          <w:pPr>
                            <w:pStyle w:val="6"/>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2</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lang w:val="en-US" w:eastAsia="zh-CN"/>
                            </w:rPr>
                            <w:t>9</w:t>
                          </w:r>
                          <w:r>
                            <w:rPr>
                              <w:rFonts w:ascii="Times New Roman" w:hAnsi="Times New Roman" w:eastAsia="方正仿宋_GBK" w:cs="方正仿宋_GBK"/>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A52E160">
                    <w:pPr>
                      <w:pStyle w:val="6"/>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2</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lang w:val="en-US" w:eastAsia="zh-CN"/>
                      </w:rPr>
                      <w:t>9</w:t>
                    </w:r>
                    <w:r>
                      <w:rPr>
                        <w:rFonts w:ascii="Times New Roman" w:hAnsi="Times New Roman" w:eastAsia="方正仿宋_GBK" w:cs="方正仿宋_GBK"/>
                        <w:sz w:val="24"/>
                        <w:szCs w:val="24"/>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D09A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1127D5">
                          <w:pPr>
                            <w:pStyle w:val="6"/>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15</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lang w:val="en-US" w:eastAsia="zh-CN"/>
                            </w:rPr>
                            <w:t>9</w:t>
                          </w:r>
                          <w:r>
                            <w:rPr>
                              <w:rFonts w:ascii="Times New Roman" w:hAnsi="Times New Roman" w:eastAsia="方正仿宋_GBK" w:cs="方正仿宋_GBK"/>
                              <w:sz w:val="24"/>
                              <w:szCs w:val="24"/>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41127D5">
                    <w:pPr>
                      <w:pStyle w:val="6"/>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15</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lang w:val="en-US" w:eastAsia="zh-CN"/>
                      </w:rPr>
                      <w:t>9</w:t>
                    </w:r>
                    <w:r>
                      <w:rPr>
                        <w:rFonts w:ascii="Times New Roman" w:hAnsi="Times New Roman" w:eastAsia="方正仿宋_GBK" w:cs="方正仿宋_GBK"/>
                        <w:sz w:val="24"/>
                        <w:szCs w:val="24"/>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B04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BB5F4">
    <w:pPr>
      <w:pStyle w:val="7"/>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5CE43"/>
    <w:multiLevelType w:val="singleLevel"/>
    <w:tmpl w:val="E555CE4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YmMzYWM1ZWY1NDg4ZDU0OWI3MTA0YjQzODY2MGYifQ=="/>
  </w:docVars>
  <w:rsids>
    <w:rsidRoot w:val="0F2A368D"/>
    <w:rsid w:val="02B11EFA"/>
    <w:rsid w:val="03492867"/>
    <w:rsid w:val="056214EF"/>
    <w:rsid w:val="087F211D"/>
    <w:rsid w:val="0928756A"/>
    <w:rsid w:val="09551934"/>
    <w:rsid w:val="0B224079"/>
    <w:rsid w:val="0E2A43A1"/>
    <w:rsid w:val="0F2A368D"/>
    <w:rsid w:val="0FB603D8"/>
    <w:rsid w:val="10C761F4"/>
    <w:rsid w:val="1346197B"/>
    <w:rsid w:val="13477155"/>
    <w:rsid w:val="16A72F72"/>
    <w:rsid w:val="1AAA3607"/>
    <w:rsid w:val="1BED4CC2"/>
    <w:rsid w:val="1F4B2445"/>
    <w:rsid w:val="22E65DC9"/>
    <w:rsid w:val="279C6222"/>
    <w:rsid w:val="2A513E7B"/>
    <w:rsid w:val="2B1917EC"/>
    <w:rsid w:val="2B59469B"/>
    <w:rsid w:val="2B7E47B9"/>
    <w:rsid w:val="2BB70C7C"/>
    <w:rsid w:val="2F2E78B3"/>
    <w:rsid w:val="2FE83639"/>
    <w:rsid w:val="33BA53B5"/>
    <w:rsid w:val="33BE16CF"/>
    <w:rsid w:val="33D442B2"/>
    <w:rsid w:val="35A577DA"/>
    <w:rsid w:val="35C256C9"/>
    <w:rsid w:val="36C96631"/>
    <w:rsid w:val="399661C7"/>
    <w:rsid w:val="3A776A85"/>
    <w:rsid w:val="3BE12108"/>
    <w:rsid w:val="3D15655C"/>
    <w:rsid w:val="3E4969AF"/>
    <w:rsid w:val="3E570308"/>
    <w:rsid w:val="3F17305F"/>
    <w:rsid w:val="424566C9"/>
    <w:rsid w:val="44315157"/>
    <w:rsid w:val="44FB4A02"/>
    <w:rsid w:val="46145978"/>
    <w:rsid w:val="464E7717"/>
    <w:rsid w:val="46E054A6"/>
    <w:rsid w:val="47AB5220"/>
    <w:rsid w:val="47FE7866"/>
    <w:rsid w:val="4B2C6678"/>
    <w:rsid w:val="4B856C23"/>
    <w:rsid w:val="4BFA420C"/>
    <w:rsid w:val="4C161BEA"/>
    <w:rsid w:val="4CE55113"/>
    <w:rsid w:val="4D9F2F80"/>
    <w:rsid w:val="4DCA5D26"/>
    <w:rsid w:val="50F578AB"/>
    <w:rsid w:val="5138197D"/>
    <w:rsid w:val="51E646BB"/>
    <w:rsid w:val="553C5568"/>
    <w:rsid w:val="558436B3"/>
    <w:rsid w:val="56BF619E"/>
    <w:rsid w:val="56FF55C5"/>
    <w:rsid w:val="57743881"/>
    <w:rsid w:val="5C9B5C04"/>
    <w:rsid w:val="607F45C2"/>
    <w:rsid w:val="679673FF"/>
    <w:rsid w:val="67E5495C"/>
    <w:rsid w:val="6C264CF2"/>
    <w:rsid w:val="6CA976D1"/>
    <w:rsid w:val="6CB33C8F"/>
    <w:rsid w:val="6D065B68"/>
    <w:rsid w:val="6D7E5D7E"/>
    <w:rsid w:val="6FA7614A"/>
    <w:rsid w:val="71235E8B"/>
    <w:rsid w:val="71EC253A"/>
    <w:rsid w:val="72473C14"/>
    <w:rsid w:val="76DF4A54"/>
    <w:rsid w:val="7C0E3DB2"/>
    <w:rsid w:val="7E5C1C17"/>
    <w:rsid w:val="7F203449"/>
    <w:rsid w:val="A6DB02E5"/>
    <w:rsid w:val="D8DD043C"/>
    <w:rsid w:val="DF21F9E4"/>
    <w:rsid w:val="DFFF02EF"/>
    <w:rsid w:val="F05CF626"/>
    <w:rsid w:val="F45F9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Cambria" w:hAnsi="Cambria" w:eastAsia="宋体" w:cs="Times New Roman"/>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semiHidden/>
    <w:qFormat/>
    <w:uiPriority w:val="0"/>
    <w:pPr>
      <w:spacing w:line="360" w:lineRule="auto"/>
      <w:ind w:firstLine="420"/>
    </w:pPr>
    <w:rPr>
      <w:sz w:val="24"/>
      <w:szCs w:val="24"/>
      <w:lang w:eastAsia="zh-CN"/>
    </w:rPr>
  </w:style>
  <w:style w:type="paragraph" w:styleId="3">
    <w:name w:val="Body Text"/>
    <w:basedOn w:val="1"/>
    <w:next w:val="1"/>
    <w:qFormat/>
    <w:uiPriority w:val="1"/>
    <w:pPr>
      <w:ind w:left="1160"/>
    </w:pPr>
    <w:rPr>
      <w:rFonts w:ascii="微软雅黑" w:hAnsi="微软雅黑" w:eastAsia="微软雅黑" w:cs="微软雅黑"/>
      <w:sz w:val="28"/>
      <w:szCs w:val="28"/>
      <w:lang w:val="zh-CN" w:eastAsia="zh-CN" w:bidi="zh-CN"/>
    </w:rPr>
  </w:style>
  <w:style w:type="paragraph" w:styleId="5">
    <w:name w:val="Body Text Indent"/>
    <w:basedOn w:val="1"/>
    <w:semiHidden/>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rPr>
      <w:rFonts w:ascii="Times New Roman" w:hAnsi="Times New Roman" w:eastAsia="宋体" w:cs="Times New Roman"/>
    </w:rPr>
  </w:style>
  <w:style w:type="character" w:styleId="11">
    <w:name w:val="annotation reference"/>
    <w:qFormat/>
    <w:uiPriority w:val="0"/>
    <w:rPr>
      <w:sz w:val="21"/>
      <w:szCs w:val="21"/>
    </w:rPr>
  </w:style>
  <w:style w:type="paragraph" w:customStyle="1" w:styleId="12">
    <w:name w:val="正文首行缩进1"/>
    <w:basedOn w:val="3"/>
    <w:qFormat/>
    <w:uiPriority w:val="0"/>
    <w:pPr>
      <w:ind w:firstLine="420" w:firstLineChars="100"/>
    </w:pPr>
    <w:rPr>
      <w:szCs w:val="24"/>
    </w:rPr>
  </w:style>
  <w:style w:type="paragraph" w:customStyle="1" w:styleId="13">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5">
    <w:name w:val="列出段落1"/>
    <w:basedOn w:val="1"/>
    <w:qFormat/>
    <w:uiPriority w:val="34"/>
    <w:pPr>
      <w:ind w:firstLine="420" w:firstLineChars="200"/>
    </w:pPr>
  </w:style>
  <w:style w:type="paragraph" w:customStyle="1" w:styleId="16">
    <w:name w:val="默认"/>
    <w:unhideWhenUsed/>
    <w:qFormat/>
    <w:uiPriority w:val="0"/>
    <w:pPr>
      <w:spacing w:beforeLines="0" w:afterLines="0"/>
    </w:pPr>
    <w:rPr>
      <w:rFonts w:hint="default" w:ascii="Algerian" w:hAnsi="Algerian" w:eastAsia="Algerian" w:cs="Times New Roman"/>
      <w:color w:val="000000"/>
      <w:sz w:val="22"/>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1497</Words>
  <Characters>1859</Characters>
  <Lines>0</Lines>
  <Paragraphs>0</Paragraphs>
  <TotalTime>3</TotalTime>
  <ScaleCrop>false</ScaleCrop>
  <LinksUpToDate>false</LinksUpToDate>
  <CharactersWithSpaces>1965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2023-08-03T09:34:00Z</dcterms:created>
  <dc:creator>J·</dc:creator>
  <cp:lastModifiedBy>Daixin昱.</cp:lastModifiedBy>
  <cp:lastPrinted>2026-06-22T02:14:50Z</cp:lastPrinted>
  <dcterms:modified xsi:type="dcterms:W3CDTF">2026-06-22T02:14:57Z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CA40D7A2DAB64ABD8D9045374C159953_13</vt:lpwstr>
  </property>
  <property fmtid="{D5CDD505-2E9C-101B-9397-08002B2CF9AE}" pid="4" name="KSOTemplateDocerSaveRecord">
    <vt:lpwstr>eyJoZGlkIjoiYmQyZDM5YzY5OGJhMTNiNDk3YmUxMWI0ZDAxZDdkZGMiLCJ1c2VySWQiOiI3ODY4Njg3MzEifQ==</vt:lpwstr>
  </property>
</Properties>
</file>