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056B1">
      <w:pPr>
        <w:spacing w:line="480" w:lineRule="auto"/>
        <w:jc w:val="center"/>
        <w:rPr>
          <w:rFonts w:hint="eastAsia" w:asciiTheme="minorEastAsia" w:hAnsiTheme="minorEastAsia" w:eastAsiaTheme="minorEastAsia"/>
          <w:b/>
          <w:color w:val="auto"/>
          <w:sz w:val="28"/>
          <w:szCs w:val="28"/>
          <w:highlight w:val="none"/>
          <w:lang w:eastAsia="zh-CN"/>
        </w:rPr>
      </w:pPr>
      <w:bookmarkStart w:id="0" w:name="_Toc9785"/>
      <w:bookmarkStart w:id="1" w:name="_Toc287620665"/>
      <w:bookmarkStart w:id="2" w:name="_Toc31730"/>
      <w:bookmarkStart w:id="820" w:name="_GoBack"/>
      <w:bookmarkEnd w:id="820"/>
    </w:p>
    <w:p w14:paraId="673890D1">
      <w:pPr>
        <w:spacing w:line="480" w:lineRule="auto"/>
        <w:jc w:val="center"/>
        <w:rPr>
          <w:rFonts w:hint="eastAsia" w:asciiTheme="minorEastAsia" w:hAnsiTheme="minorEastAsia" w:eastAsiaTheme="minorEastAsia"/>
          <w:b/>
          <w:color w:val="auto"/>
          <w:sz w:val="30"/>
          <w:szCs w:val="30"/>
          <w:highlight w:val="none"/>
          <w:lang w:eastAsia="zh-CN"/>
        </w:rPr>
      </w:pPr>
      <w:r>
        <w:rPr>
          <w:rFonts w:hint="eastAsia" w:asciiTheme="minorEastAsia" w:hAnsiTheme="minorEastAsia" w:eastAsiaTheme="minorEastAsia"/>
          <w:b/>
          <w:color w:val="auto"/>
          <w:sz w:val="30"/>
          <w:szCs w:val="30"/>
          <w:highlight w:val="none"/>
          <w:lang w:eastAsia="zh-CN"/>
        </w:rPr>
        <w:t>重庆市南岸区学校老旧线路改造及设备安装工程跟踪审计</w:t>
      </w:r>
    </w:p>
    <w:p w14:paraId="5BE6B79C">
      <w:pPr>
        <w:pStyle w:val="10"/>
        <w:snapToGrid w:val="0"/>
        <w:spacing w:line="360" w:lineRule="auto"/>
        <w:ind w:left="0" w:right="0" w:firstLine="0" w:firstLineChars="0"/>
        <w:rPr>
          <w:rFonts w:hint="eastAsia" w:ascii="宋体" w:hAnsi="宋体" w:eastAsia="宋体"/>
          <w:b/>
          <w:color w:val="auto"/>
          <w:sz w:val="56"/>
          <w:szCs w:val="56"/>
          <w:highlight w:val="none"/>
        </w:rPr>
      </w:pPr>
    </w:p>
    <w:p w14:paraId="3D1ECCAA">
      <w:pPr>
        <w:pStyle w:val="10"/>
        <w:snapToGrid w:val="0"/>
        <w:spacing w:line="360" w:lineRule="auto"/>
        <w:ind w:left="0" w:right="0" w:firstLine="0" w:firstLineChars="0"/>
        <w:rPr>
          <w:rFonts w:hint="eastAsia" w:ascii="宋体" w:hAnsi="宋体" w:eastAsia="宋体"/>
          <w:b/>
          <w:color w:val="auto"/>
          <w:sz w:val="56"/>
          <w:szCs w:val="56"/>
          <w:highlight w:val="none"/>
        </w:rPr>
      </w:pPr>
    </w:p>
    <w:p w14:paraId="619E6C4C">
      <w:pPr>
        <w:pStyle w:val="10"/>
        <w:snapToGrid w:val="0"/>
        <w:spacing w:line="360" w:lineRule="auto"/>
        <w:ind w:left="0" w:right="0" w:firstLine="0" w:firstLineChars="0"/>
        <w:jc w:val="center"/>
        <w:rPr>
          <w:rFonts w:hint="eastAsia" w:ascii="宋体" w:hAnsi="宋体" w:eastAsia="宋体"/>
          <w:b/>
          <w:color w:val="auto"/>
          <w:sz w:val="84"/>
          <w:szCs w:val="84"/>
          <w:highlight w:val="none"/>
        </w:rPr>
      </w:pPr>
    </w:p>
    <w:p w14:paraId="15AD97F2">
      <w:pPr>
        <w:autoSpaceDE w:val="0"/>
        <w:autoSpaceDN w:val="0"/>
        <w:adjustRightInd w:val="0"/>
        <w:snapToGrid w:val="0"/>
        <w:spacing w:line="360" w:lineRule="auto"/>
        <w:jc w:val="center"/>
        <w:rPr>
          <w:rFonts w:hint="eastAsia" w:ascii="宋体" w:hAnsi="宋体"/>
          <w:b/>
          <w:color w:val="auto"/>
          <w:kern w:val="0"/>
          <w:sz w:val="72"/>
          <w:szCs w:val="72"/>
          <w:highlight w:val="none"/>
        </w:rPr>
      </w:pPr>
      <w:r>
        <w:rPr>
          <w:rFonts w:hint="eastAsia" w:ascii="宋体" w:hAnsi="宋体"/>
          <w:b/>
          <w:color w:val="auto"/>
          <w:kern w:val="0"/>
          <w:sz w:val="72"/>
          <w:szCs w:val="72"/>
          <w:highlight w:val="none"/>
        </w:rPr>
        <w:t>竞争性比选文件</w:t>
      </w:r>
    </w:p>
    <w:p w14:paraId="3FAAEDD0">
      <w:pPr>
        <w:autoSpaceDE w:val="0"/>
        <w:autoSpaceDN w:val="0"/>
        <w:adjustRightInd w:val="0"/>
        <w:snapToGrid w:val="0"/>
        <w:spacing w:line="360" w:lineRule="auto"/>
        <w:jc w:val="center"/>
        <w:rPr>
          <w:rFonts w:hint="eastAsia" w:ascii="宋体" w:hAnsi="宋体"/>
          <w:b/>
          <w:color w:val="auto"/>
          <w:kern w:val="0"/>
          <w:position w:val="-5"/>
          <w:sz w:val="32"/>
          <w:szCs w:val="48"/>
          <w:highlight w:val="none"/>
        </w:rPr>
      </w:pPr>
    </w:p>
    <w:p w14:paraId="1B7228AB">
      <w:pPr>
        <w:autoSpaceDE w:val="0"/>
        <w:autoSpaceDN w:val="0"/>
        <w:adjustRightInd w:val="0"/>
        <w:snapToGrid w:val="0"/>
        <w:spacing w:line="360" w:lineRule="auto"/>
        <w:jc w:val="center"/>
        <w:rPr>
          <w:rFonts w:hint="eastAsia" w:ascii="宋体" w:hAnsi="宋体"/>
          <w:b/>
          <w:color w:val="auto"/>
          <w:kern w:val="0"/>
          <w:position w:val="-5"/>
          <w:sz w:val="32"/>
          <w:szCs w:val="48"/>
          <w:highlight w:val="none"/>
        </w:rPr>
      </w:pPr>
    </w:p>
    <w:p w14:paraId="30AA3FD3">
      <w:pPr>
        <w:autoSpaceDE w:val="0"/>
        <w:autoSpaceDN w:val="0"/>
        <w:adjustRightInd w:val="0"/>
        <w:snapToGrid w:val="0"/>
        <w:spacing w:line="360" w:lineRule="auto"/>
        <w:jc w:val="center"/>
        <w:rPr>
          <w:rFonts w:hint="eastAsia" w:ascii="宋体" w:hAnsi="宋体"/>
          <w:b/>
          <w:color w:val="auto"/>
          <w:kern w:val="0"/>
          <w:position w:val="-5"/>
          <w:sz w:val="32"/>
          <w:szCs w:val="48"/>
          <w:highlight w:val="none"/>
        </w:rPr>
      </w:pPr>
    </w:p>
    <w:p w14:paraId="78ECFD79">
      <w:pPr>
        <w:autoSpaceDE w:val="0"/>
        <w:autoSpaceDN w:val="0"/>
        <w:adjustRightInd w:val="0"/>
        <w:snapToGrid w:val="0"/>
        <w:spacing w:line="360" w:lineRule="auto"/>
        <w:jc w:val="center"/>
        <w:rPr>
          <w:rFonts w:hint="eastAsia" w:ascii="宋体" w:hAnsi="宋体"/>
          <w:b/>
          <w:color w:val="auto"/>
          <w:kern w:val="0"/>
          <w:position w:val="-5"/>
          <w:sz w:val="32"/>
          <w:szCs w:val="48"/>
          <w:highlight w:val="none"/>
        </w:rPr>
      </w:pPr>
    </w:p>
    <w:p w14:paraId="3D10FAAF">
      <w:pPr>
        <w:autoSpaceDE w:val="0"/>
        <w:autoSpaceDN w:val="0"/>
        <w:adjustRightInd w:val="0"/>
        <w:snapToGrid w:val="0"/>
        <w:spacing w:line="360" w:lineRule="auto"/>
        <w:jc w:val="center"/>
        <w:rPr>
          <w:rFonts w:hint="eastAsia" w:ascii="宋体" w:hAnsi="宋体"/>
          <w:b/>
          <w:color w:val="auto"/>
          <w:kern w:val="0"/>
          <w:position w:val="-5"/>
          <w:sz w:val="32"/>
          <w:szCs w:val="48"/>
          <w:highlight w:val="none"/>
        </w:rPr>
      </w:pPr>
    </w:p>
    <w:p w14:paraId="058EF560">
      <w:pPr>
        <w:autoSpaceDE w:val="0"/>
        <w:autoSpaceDN w:val="0"/>
        <w:adjustRightInd w:val="0"/>
        <w:snapToGrid w:val="0"/>
        <w:spacing w:line="360" w:lineRule="auto"/>
        <w:jc w:val="center"/>
        <w:rPr>
          <w:rFonts w:hint="eastAsia" w:ascii="宋体" w:hAnsi="宋体"/>
          <w:b/>
          <w:color w:val="auto"/>
          <w:kern w:val="0"/>
          <w:position w:val="-5"/>
          <w:sz w:val="32"/>
          <w:szCs w:val="48"/>
          <w:highlight w:val="none"/>
        </w:rPr>
      </w:pPr>
    </w:p>
    <w:p w14:paraId="6236E751">
      <w:pPr>
        <w:spacing w:line="520" w:lineRule="exact"/>
        <w:rPr>
          <w:color w:val="auto"/>
          <w:sz w:val="28"/>
          <w:szCs w:val="28"/>
          <w:highlight w:val="none"/>
        </w:rPr>
      </w:pPr>
      <w:r>
        <w:rPr>
          <w:rFonts w:hint="eastAsia" w:ascii="宋体" w:hAnsi="宋体" w:cs="宋体"/>
          <w:b/>
          <w:color w:val="auto"/>
          <w:sz w:val="28"/>
          <w:szCs w:val="28"/>
          <w:highlight w:val="none"/>
        </w:rPr>
        <w:t>比选人：</w:t>
      </w:r>
      <w:r>
        <w:rPr>
          <w:rFonts w:hint="eastAsia" w:ascii="宋体" w:hAnsi="宋体" w:cs="宋体"/>
          <w:b/>
          <w:color w:val="auto"/>
          <w:sz w:val="28"/>
          <w:szCs w:val="28"/>
          <w:highlight w:val="none"/>
          <w:u w:val="single"/>
        </w:rPr>
        <w:t>重庆市南岸区城市建设发展（集团）有限公司</w:t>
      </w:r>
      <w:r>
        <w:rPr>
          <w:rFonts w:hint="eastAsia" w:ascii="宋体" w:hAnsi="宋体" w:cs="宋体"/>
          <w:b/>
          <w:color w:val="auto"/>
          <w:sz w:val="28"/>
          <w:szCs w:val="28"/>
          <w:highlight w:val="none"/>
          <w:u w:val="single"/>
        </w:rPr>
        <w:t>（盖单位法人章）</w:t>
      </w:r>
    </w:p>
    <w:p w14:paraId="6F550736">
      <w:pPr>
        <w:pStyle w:val="46"/>
        <w:rPr>
          <w:color w:val="auto"/>
          <w:sz w:val="28"/>
          <w:szCs w:val="28"/>
          <w:highlight w:val="none"/>
        </w:rPr>
      </w:pPr>
    </w:p>
    <w:p w14:paraId="2C028BF8">
      <w:pPr>
        <w:spacing w:line="52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比选代理机构：</w:t>
      </w:r>
      <w:r>
        <w:rPr>
          <w:rFonts w:hint="eastAsia" w:ascii="宋体" w:hAnsi="宋体" w:cs="宋体"/>
          <w:b/>
          <w:color w:val="auto"/>
          <w:sz w:val="28"/>
          <w:szCs w:val="28"/>
          <w:highlight w:val="none"/>
          <w:u w:val="single"/>
          <w:lang w:eastAsia="zh-CN"/>
        </w:rPr>
        <w:t>中资（重庆）工程咨询有限公司</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rPr>
        <w:t>（盖单位法人章）</w:t>
      </w:r>
    </w:p>
    <w:p w14:paraId="78C06B8D">
      <w:pPr>
        <w:pStyle w:val="53"/>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w:t>
      </w:r>
    </w:p>
    <w:p w14:paraId="3D8CCF09">
      <w:pPr>
        <w:pStyle w:val="53"/>
        <w:jc w:val="center"/>
        <w:rPr>
          <w:rFonts w:hint="eastAsia" w:ascii="宋体" w:hAnsi="宋体" w:cs="宋体"/>
          <w:b/>
          <w:color w:val="auto"/>
          <w:sz w:val="30"/>
          <w:szCs w:val="30"/>
          <w:highlight w:val="none"/>
        </w:rPr>
      </w:pPr>
    </w:p>
    <w:p w14:paraId="3B25BFCA">
      <w:pPr>
        <w:spacing w:line="480" w:lineRule="auto"/>
        <w:jc w:val="center"/>
        <w:rPr>
          <w:rFonts w:hint="eastAsia" w:ascii="宋体" w:hAnsi="宋体"/>
          <w:b/>
          <w:color w:val="auto"/>
          <w:spacing w:val="8"/>
          <w:kern w:val="0"/>
          <w:sz w:val="28"/>
          <w:szCs w:val="28"/>
          <w:highlight w:val="none"/>
        </w:rPr>
      </w:pPr>
      <w:r>
        <w:rPr>
          <w:rFonts w:hint="eastAsia" w:cs="宋体" w:asciiTheme="minorEastAsia" w:hAnsiTheme="minorEastAsia" w:eastAsiaTheme="minorEastAsia"/>
          <w:b/>
          <w:color w:val="auto"/>
          <w:kern w:val="0"/>
          <w:sz w:val="30"/>
          <w:highlight w:val="none"/>
        </w:rPr>
        <w:t>二○二</w:t>
      </w:r>
      <w:r>
        <w:rPr>
          <w:rFonts w:hint="eastAsia" w:cs="宋体" w:asciiTheme="minorEastAsia" w:hAnsiTheme="minorEastAsia" w:eastAsiaTheme="minorEastAsia"/>
          <w:b/>
          <w:color w:val="auto"/>
          <w:kern w:val="0"/>
          <w:sz w:val="30"/>
          <w:highlight w:val="none"/>
          <w:lang w:val="en-US" w:eastAsia="zh-CN"/>
        </w:rPr>
        <w:t>五</w:t>
      </w:r>
      <w:r>
        <w:rPr>
          <w:rFonts w:hint="eastAsia" w:cs="宋体" w:asciiTheme="minorEastAsia" w:hAnsiTheme="minorEastAsia" w:eastAsiaTheme="minorEastAsia"/>
          <w:b/>
          <w:color w:val="auto"/>
          <w:kern w:val="0"/>
          <w:sz w:val="30"/>
          <w:highlight w:val="none"/>
        </w:rPr>
        <w:t>年</w:t>
      </w:r>
      <w:r>
        <w:rPr>
          <w:rFonts w:hint="eastAsia" w:cs="宋体" w:asciiTheme="minorEastAsia" w:hAnsiTheme="minorEastAsia" w:eastAsiaTheme="minorEastAsia"/>
          <w:b/>
          <w:color w:val="auto"/>
          <w:kern w:val="0"/>
          <w:sz w:val="30"/>
          <w:highlight w:val="none"/>
          <w:lang w:val="en-US" w:eastAsia="zh-CN"/>
        </w:rPr>
        <w:t>六</w:t>
      </w:r>
      <w:r>
        <w:rPr>
          <w:rFonts w:hint="eastAsia" w:cs="宋体" w:asciiTheme="minorEastAsia" w:hAnsiTheme="minorEastAsia" w:eastAsiaTheme="minorEastAsia"/>
          <w:b/>
          <w:color w:val="auto"/>
          <w:kern w:val="0"/>
          <w:sz w:val="30"/>
          <w:highlight w:val="none"/>
        </w:rPr>
        <w:t>月</w:t>
      </w:r>
    </w:p>
    <w:p w14:paraId="19F029ED">
      <w:pPr>
        <w:pStyle w:val="4"/>
        <w:jc w:val="center"/>
        <w:rPr>
          <w:rFonts w:hint="eastAsia" w:ascii="宋体" w:hAnsi="宋体"/>
          <w:color w:val="auto"/>
          <w:highlight w:val="none"/>
        </w:rPr>
      </w:pPr>
      <w:r>
        <w:rPr>
          <w:rFonts w:hint="eastAsia" w:ascii="宋体" w:hAnsi="宋体"/>
          <w:color w:val="auto"/>
          <w:highlight w:val="none"/>
        </w:rPr>
        <w:t>目  录</w:t>
      </w:r>
    </w:p>
    <w:p w14:paraId="2D8531B4">
      <w:pPr>
        <w:rPr>
          <w:rFonts w:hint="eastAsia" w:ascii="宋体" w:hAnsi="宋体"/>
          <w:color w:val="auto"/>
          <w:highlight w:val="none"/>
        </w:rPr>
      </w:pPr>
    </w:p>
    <w:p w14:paraId="69D0A09A">
      <w:pPr>
        <w:rPr>
          <w:rFonts w:hint="eastAsia" w:ascii="宋体" w:hAnsi="宋体"/>
          <w:color w:val="auto"/>
          <w:sz w:val="28"/>
          <w:szCs w:val="28"/>
          <w:highlight w:val="none"/>
        </w:rPr>
      </w:pPr>
      <w:r>
        <w:rPr>
          <w:rFonts w:hint="eastAsia" w:ascii="宋体" w:hAnsi="宋体"/>
          <w:color w:val="auto"/>
          <w:sz w:val="28"/>
          <w:szCs w:val="28"/>
          <w:highlight w:val="none"/>
        </w:rPr>
        <w:t>第一章 比选公告</w:t>
      </w:r>
    </w:p>
    <w:p w14:paraId="03AE2876">
      <w:pPr>
        <w:rPr>
          <w:rFonts w:hint="eastAsia" w:ascii="宋体" w:hAnsi="宋体"/>
          <w:color w:val="auto"/>
          <w:sz w:val="28"/>
          <w:szCs w:val="28"/>
          <w:highlight w:val="none"/>
        </w:rPr>
      </w:pPr>
      <w:r>
        <w:rPr>
          <w:rFonts w:hint="eastAsia" w:ascii="宋体" w:hAnsi="宋体"/>
          <w:color w:val="auto"/>
          <w:sz w:val="28"/>
          <w:szCs w:val="28"/>
          <w:highlight w:val="none"/>
        </w:rPr>
        <w:t>第二章 竞选人须知</w:t>
      </w:r>
    </w:p>
    <w:p w14:paraId="4B52FBA7">
      <w:pPr>
        <w:rPr>
          <w:rFonts w:hint="eastAsia" w:ascii="宋体" w:hAnsi="宋体"/>
          <w:color w:val="auto"/>
          <w:sz w:val="28"/>
          <w:szCs w:val="28"/>
          <w:highlight w:val="none"/>
        </w:rPr>
      </w:pPr>
      <w:r>
        <w:rPr>
          <w:rFonts w:hint="eastAsia" w:ascii="宋体" w:hAnsi="宋体"/>
          <w:color w:val="auto"/>
          <w:sz w:val="28"/>
          <w:szCs w:val="28"/>
          <w:highlight w:val="none"/>
        </w:rPr>
        <w:t>第三章 评选办法</w:t>
      </w:r>
    </w:p>
    <w:p w14:paraId="498D05C4">
      <w:pPr>
        <w:rPr>
          <w:rFonts w:hint="eastAsia" w:ascii="宋体" w:hAnsi="宋体"/>
          <w:color w:val="auto"/>
          <w:sz w:val="28"/>
          <w:szCs w:val="28"/>
          <w:highlight w:val="none"/>
        </w:rPr>
      </w:pPr>
      <w:r>
        <w:rPr>
          <w:rFonts w:hint="eastAsia" w:ascii="宋体" w:hAnsi="宋体"/>
          <w:color w:val="auto"/>
          <w:sz w:val="28"/>
          <w:szCs w:val="28"/>
          <w:highlight w:val="none"/>
        </w:rPr>
        <w:t>第四章 合同条款及格式</w:t>
      </w:r>
    </w:p>
    <w:p w14:paraId="422310B6">
      <w:pPr>
        <w:rPr>
          <w:rFonts w:hint="eastAsia" w:ascii="宋体" w:hAnsi="宋体"/>
          <w:color w:val="auto"/>
          <w:sz w:val="28"/>
          <w:szCs w:val="28"/>
          <w:highlight w:val="none"/>
        </w:rPr>
      </w:pPr>
      <w:r>
        <w:rPr>
          <w:rFonts w:hint="eastAsia" w:ascii="宋体" w:hAnsi="宋体"/>
          <w:color w:val="auto"/>
          <w:sz w:val="28"/>
          <w:szCs w:val="28"/>
          <w:highlight w:val="none"/>
        </w:rPr>
        <w:t>第五章 发包人要求</w:t>
      </w:r>
    </w:p>
    <w:p w14:paraId="5644EE28">
      <w:pPr>
        <w:rPr>
          <w:rFonts w:hint="eastAsia" w:ascii="宋体" w:hAnsi="宋体"/>
          <w:color w:val="auto"/>
          <w:sz w:val="28"/>
          <w:szCs w:val="28"/>
          <w:highlight w:val="none"/>
        </w:rPr>
      </w:pPr>
      <w:r>
        <w:rPr>
          <w:rFonts w:hint="eastAsia" w:ascii="宋体" w:hAnsi="宋体"/>
          <w:color w:val="auto"/>
          <w:sz w:val="28"/>
          <w:szCs w:val="28"/>
          <w:highlight w:val="none"/>
        </w:rPr>
        <w:t>第六章 竞选文件格式</w:t>
      </w:r>
    </w:p>
    <w:bookmarkEnd w:id="0"/>
    <w:bookmarkEnd w:id="1"/>
    <w:bookmarkEnd w:id="2"/>
    <w:sdt>
      <w:sdtPr>
        <w:rPr>
          <w:rFonts w:ascii="宋体" w:hAnsi="宋体"/>
          <w:color w:val="auto"/>
          <w:highlight w:val="none"/>
        </w:rPr>
        <w:id w:val="147455173"/>
        <w:docPartObj>
          <w:docPartGallery w:val="Table of Contents"/>
          <w:docPartUnique/>
        </w:docPartObj>
      </w:sdtPr>
      <w:sdtEndPr>
        <w:rPr>
          <w:rFonts w:ascii="宋体" w:hAnsi="宋体" w:cs="宋体"/>
          <w:b/>
          <w:bCs/>
          <w:color w:val="auto"/>
          <w:sz w:val="32"/>
          <w:szCs w:val="40"/>
          <w:highlight w:val="none"/>
        </w:rPr>
      </w:sdtEndPr>
      <w:sdtContent>
        <w:p w14:paraId="2D715EC8">
          <w:pPr>
            <w:jc w:val="center"/>
            <w:rPr>
              <w:rFonts w:hint="eastAsia" w:ascii="宋体" w:hAnsi="宋体"/>
              <w:color w:val="auto"/>
              <w:highlight w:val="none"/>
            </w:rPr>
          </w:pPr>
          <w:bookmarkStart w:id="3" w:name="_Toc430530415"/>
          <w:bookmarkStart w:id="4" w:name="_Toc277082535"/>
          <w:bookmarkStart w:id="5" w:name="_Toc8580"/>
          <w:bookmarkStart w:id="6" w:name="_Toc509218691"/>
          <w:bookmarkStart w:id="7" w:name="_Toc287607727"/>
          <w:bookmarkStart w:id="8" w:name="_Toc224103298"/>
          <w:bookmarkStart w:id="9" w:name="_Toc2534"/>
          <w:bookmarkStart w:id="10" w:name="_Toc287620666"/>
        </w:p>
      </w:sdtContent>
    </w:sdt>
    <w:p w14:paraId="714DE7DC">
      <w:pPr>
        <w:spacing w:line="360" w:lineRule="auto"/>
        <w:rPr>
          <w:rFonts w:hint="eastAsia" w:ascii="宋体" w:hAnsi="宋体" w:cs="宋体"/>
          <w:snapToGrid w:val="0"/>
          <w:color w:val="auto"/>
          <w:kern w:val="0"/>
          <w:sz w:val="15"/>
          <w:szCs w:val="15"/>
          <w:highlight w:val="none"/>
        </w:rPr>
      </w:pPr>
    </w:p>
    <w:p w14:paraId="54C4CE85">
      <w:pPr>
        <w:rPr>
          <w:rFonts w:hint="eastAsia" w:ascii="宋体" w:hAnsi="宋体" w:cs="宋体"/>
          <w:snapToGrid w:val="0"/>
          <w:color w:val="auto"/>
          <w:kern w:val="0"/>
          <w:sz w:val="15"/>
          <w:szCs w:val="15"/>
          <w:highlight w:val="none"/>
        </w:rPr>
      </w:pPr>
    </w:p>
    <w:p w14:paraId="1D3397DD">
      <w:pPr>
        <w:pStyle w:val="8"/>
        <w:rPr>
          <w:rFonts w:hint="eastAsia" w:ascii="宋体" w:hAnsi="宋体" w:cs="宋体"/>
          <w:snapToGrid w:val="0"/>
          <w:color w:val="auto"/>
          <w:kern w:val="0"/>
          <w:sz w:val="15"/>
          <w:szCs w:val="15"/>
          <w:highlight w:val="none"/>
        </w:rPr>
      </w:pPr>
    </w:p>
    <w:p w14:paraId="5F55C111">
      <w:pPr>
        <w:rPr>
          <w:rFonts w:hint="eastAsia" w:ascii="宋体" w:hAnsi="宋体" w:cs="宋体"/>
          <w:snapToGrid w:val="0"/>
          <w:color w:val="auto"/>
          <w:kern w:val="0"/>
          <w:sz w:val="15"/>
          <w:szCs w:val="15"/>
          <w:highlight w:val="none"/>
        </w:rPr>
      </w:pPr>
    </w:p>
    <w:p w14:paraId="77DC8376">
      <w:pPr>
        <w:pStyle w:val="8"/>
        <w:rPr>
          <w:rFonts w:hint="eastAsia" w:ascii="宋体" w:hAnsi="宋体" w:cs="宋体"/>
          <w:snapToGrid w:val="0"/>
          <w:color w:val="auto"/>
          <w:kern w:val="0"/>
          <w:sz w:val="15"/>
          <w:szCs w:val="15"/>
          <w:highlight w:val="none"/>
        </w:rPr>
      </w:pPr>
    </w:p>
    <w:p w14:paraId="61AC4159">
      <w:pPr>
        <w:rPr>
          <w:rFonts w:hint="eastAsia" w:ascii="宋体" w:hAnsi="宋体" w:cs="宋体"/>
          <w:snapToGrid w:val="0"/>
          <w:color w:val="auto"/>
          <w:kern w:val="0"/>
          <w:sz w:val="15"/>
          <w:szCs w:val="15"/>
          <w:highlight w:val="none"/>
        </w:rPr>
      </w:pPr>
    </w:p>
    <w:p w14:paraId="2853DA5C">
      <w:pPr>
        <w:widowControl/>
        <w:jc w:val="left"/>
        <w:rPr>
          <w:rFonts w:hint="eastAsia" w:ascii="宋体" w:hAnsi="宋体" w:cs="宋体"/>
          <w:snapToGrid w:val="0"/>
          <w:color w:val="auto"/>
          <w:kern w:val="0"/>
          <w:sz w:val="15"/>
          <w:szCs w:val="15"/>
          <w:highlight w:val="none"/>
        </w:rPr>
      </w:pPr>
      <w:r>
        <w:rPr>
          <w:rFonts w:ascii="宋体" w:hAnsi="宋体" w:cs="宋体"/>
          <w:b/>
          <w:bCs/>
          <w:snapToGrid w:val="0"/>
          <w:color w:val="auto"/>
          <w:kern w:val="0"/>
          <w:sz w:val="15"/>
          <w:szCs w:val="15"/>
          <w:highlight w:val="none"/>
        </w:rPr>
        <w:br w:type="page"/>
      </w:r>
    </w:p>
    <w:p w14:paraId="33ECCBE5">
      <w:pPr>
        <w:pStyle w:val="2"/>
        <w:spacing w:before="0" w:after="0" w:line="360" w:lineRule="auto"/>
        <w:jc w:val="center"/>
        <w:rPr>
          <w:rFonts w:hint="eastAsia" w:ascii="宋体" w:hAnsi="宋体" w:cs="宋体"/>
          <w:snapToGrid w:val="0"/>
          <w:color w:val="auto"/>
          <w:kern w:val="0"/>
          <w:highlight w:val="none"/>
        </w:rPr>
      </w:pPr>
      <w:r>
        <w:rPr>
          <w:rFonts w:hint="eastAsia" w:ascii="宋体" w:hAnsi="宋体" w:cs="宋体"/>
          <w:snapToGrid w:val="0"/>
          <w:color w:val="auto"/>
          <w:kern w:val="0"/>
          <w:highlight w:val="none"/>
        </w:rPr>
        <w:t>第一章  比选公告</w:t>
      </w:r>
      <w:bookmarkEnd w:id="3"/>
      <w:bookmarkEnd w:id="4"/>
      <w:bookmarkEnd w:id="5"/>
      <w:bookmarkEnd w:id="6"/>
      <w:bookmarkEnd w:id="7"/>
      <w:bookmarkEnd w:id="8"/>
      <w:bookmarkEnd w:id="9"/>
      <w:bookmarkEnd w:id="10"/>
    </w:p>
    <w:p w14:paraId="360BF0CF">
      <w:pPr>
        <w:autoSpaceDE w:val="0"/>
        <w:autoSpaceDN w:val="0"/>
        <w:adjustRightInd w:val="0"/>
        <w:snapToGrid w:val="0"/>
        <w:spacing w:line="360" w:lineRule="auto"/>
        <w:ind w:left="-210" w:leftChars="-100" w:right="-210" w:rightChars="-100"/>
        <w:jc w:val="center"/>
        <w:rPr>
          <w:rFonts w:hint="eastAsia" w:cs="宋体" w:asciiTheme="minorEastAsia" w:hAnsiTheme="minorEastAsia" w:eastAsiaTheme="minorEastAsia"/>
          <w:b/>
          <w:snapToGrid w:val="0"/>
          <w:color w:val="auto"/>
          <w:w w:val="99"/>
          <w:kern w:val="0"/>
          <w:sz w:val="28"/>
          <w:szCs w:val="28"/>
          <w:highlight w:val="none"/>
          <w:lang w:eastAsia="zh-CN"/>
        </w:rPr>
      </w:pPr>
      <w:bookmarkStart w:id="11" w:name="_Toc13786"/>
      <w:bookmarkStart w:id="12" w:name="_Toc7072"/>
      <w:bookmarkStart w:id="13" w:name="_Toc31381"/>
      <w:bookmarkStart w:id="14" w:name="OLE_LINK2"/>
      <w:r>
        <w:rPr>
          <w:rFonts w:hint="eastAsia" w:cs="宋体" w:asciiTheme="minorEastAsia" w:hAnsiTheme="minorEastAsia" w:eastAsiaTheme="minorEastAsia"/>
          <w:b/>
          <w:snapToGrid w:val="0"/>
          <w:color w:val="auto"/>
          <w:w w:val="99"/>
          <w:kern w:val="0"/>
          <w:sz w:val="28"/>
          <w:szCs w:val="28"/>
          <w:highlight w:val="none"/>
          <w:lang w:eastAsia="zh-CN"/>
        </w:rPr>
        <w:t>重庆市南岸区学校老旧线路改造及设备安装工程跟踪审计</w:t>
      </w:r>
    </w:p>
    <w:p w14:paraId="1E56ED2E">
      <w:pPr>
        <w:autoSpaceDE w:val="0"/>
        <w:autoSpaceDN w:val="0"/>
        <w:adjustRightInd w:val="0"/>
        <w:snapToGrid w:val="0"/>
        <w:spacing w:line="360" w:lineRule="auto"/>
        <w:ind w:left="-210" w:leftChars="-100" w:right="-210" w:rightChars="-100"/>
        <w:jc w:val="center"/>
        <w:rPr>
          <w:rFonts w:hint="eastAsia" w:cs="宋体" w:asciiTheme="minorEastAsia" w:hAnsiTheme="minorEastAsia" w:eastAsiaTheme="minorEastAsia"/>
          <w:b/>
          <w:snapToGrid w:val="0"/>
          <w:color w:val="auto"/>
          <w:w w:val="99"/>
          <w:kern w:val="0"/>
          <w:sz w:val="28"/>
          <w:szCs w:val="28"/>
          <w:highlight w:val="none"/>
        </w:rPr>
      </w:pPr>
      <w:r>
        <w:rPr>
          <w:rFonts w:hint="eastAsia" w:cs="宋体" w:asciiTheme="minorEastAsia" w:hAnsiTheme="minorEastAsia" w:eastAsiaTheme="minorEastAsia"/>
          <w:b/>
          <w:snapToGrid w:val="0"/>
          <w:color w:val="auto"/>
          <w:w w:val="99"/>
          <w:kern w:val="0"/>
          <w:sz w:val="28"/>
          <w:szCs w:val="28"/>
          <w:highlight w:val="none"/>
        </w:rPr>
        <w:t>竞争性比选公告</w:t>
      </w:r>
    </w:p>
    <w:p w14:paraId="07D5C126">
      <w:pPr>
        <w:spacing w:before="100" w:after="100" w:line="400" w:lineRule="exact"/>
        <w:ind w:firstLine="422" w:firstLineChars="200"/>
        <w:rPr>
          <w:rFonts w:hint="eastAsia" w:ascii="宋体" w:hAnsi="宋体" w:cs="宋体"/>
          <w:b/>
          <w:snapToGrid w:val="0"/>
          <w:color w:val="auto"/>
          <w:szCs w:val="21"/>
          <w:highlight w:val="none"/>
        </w:rPr>
      </w:pPr>
      <w:r>
        <w:rPr>
          <w:rFonts w:hint="eastAsia" w:ascii="宋体" w:hAnsi="宋体" w:cs="宋体"/>
          <w:b/>
          <w:snapToGrid w:val="0"/>
          <w:color w:val="auto"/>
          <w:szCs w:val="21"/>
          <w:highlight w:val="none"/>
        </w:rPr>
        <w:t>1、比选条件</w:t>
      </w:r>
      <w:bookmarkEnd w:id="11"/>
      <w:bookmarkEnd w:id="12"/>
      <w:bookmarkEnd w:id="13"/>
    </w:p>
    <w:p w14:paraId="2E5F9490">
      <w:pPr>
        <w:spacing w:line="360" w:lineRule="auto"/>
        <w:ind w:firstLine="420" w:firstLineChars="200"/>
        <w:rPr>
          <w:rFonts w:hint="eastAsia" w:asciiTheme="minorEastAsia" w:hAnsiTheme="minorEastAsia" w:eastAsiaTheme="minorEastAsia"/>
          <w:color w:val="auto"/>
          <w:szCs w:val="21"/>
          <w:highlight w:val="none"/>
        </w:rPr>
      </w:pPr>
      <w:bookmarkStart w:id="15" w:name="_Toc30487"/>
      <w:bookmarkStart w:id="16" w:name="_Toc13219"/>
      <w:bookmarkStart w:id="17" w:name="_Toc17229"/>
      <w:r>
        <w:rPr>
          <w:rFonts w:hint="eastAsia" w:asciiTheme="minorEastAsia" w:hAnsiTheme="minorEastAsia" w:eastAsiaTheme="minorEastAsia"/>
          <w:color w:val="auto"/>
          <w:szCs w:val="21"/>
          <w:highlight w:val="none"/>
        </w:rPr>
        <w:t>本比选项目</w:t>
      </w:r>
      <w:r>
        <w:rPr>
          <w:rFonts w:hint="eastAsia" w:ascii="宋体" w:hAnsi="宋体" w:eastAsia="宋体" w:cs="宋体"/>
          <w:i w:val="0"/>
          <w:iCs w:val="0"/>
          <w:caps w:val="0"/>
          <w:color w:val="auto"/>
          <w:spacing w:val="0"/>
          <w:sz w:val="21"/>
          <w:szCs w:val="21"/>
          <w:highlight w:val="none"/>
          <w:u w:val="single"/>
          <w:shd w:val="clear" w:fill="FFFFFF"/>
        </w:rPr>
        <w:t>重庆市南岸区学校老旧线路改造及设备安装工程</w:t>
      </w:r>
      <w:r>
        <w:rPr>
          <w:rFonts w:hint="eastAsia" w:asciiTheme="minorEastAsia" w:hAnsiTheme="minorEastAsia" w:eastAsiaTheme="minorEastAsia"/>
          <w:color w:val="auto"/>
          <w:szCs w:val="21"/>
          <w:highlight w:val="none"/>
        </w:rPr>
        <w:t>已由</w:t>
      </w:r>
      <w:r>
        <w:rPr>
          <w:rFonts w:hint="eastAsia" w:ascii="宋体" w:hAnsi="宋体"/>
          <w:snapToGrid w:val="0"/>
          <w:color w:val="auto"/>
          <w:kern w:val="0"/>
          <w:szCs w:val="21"/>
          <w:highlight w:val="none"/>
          <w:u w:val="single"/>
        </w:rPr>
        <w:t>重庆市南岸区发展和改革委员会</w:t>
      </w:r>
      <w:r>
        <w:rPr>
          <w:rFonts w:ascii="宋体" w:hAnsi="宋体"/>
          <w:snapToGrid w:val="0"/>
          <w:color w:val="auto"/>
          <w:kern w:val="0"/>
          <w:szCs w:val="21"/>
          <w:highlight w:val="none"/>
        </w:rPr>
        <w:t>以</w:t>
      </w:r>
      <w:r>
        <w:rPr>
          <w:rFonts w:hint="eastAsia" w:ascii="宋体" w:hAnsi="宋体"/>
          <w:snapToGrid w:val="0"/>
          <w:color w:val="auto"/>
          <w:kern w:val="0"/>
          <w:szCs w:val="21"/>
          <w:highlight w:val="none"/>
          <w:u w:val="single"/>
        </w:rPr>
        <w:t>南岸发改〔202</w:t>
      </w:r>
      <w:r>
        <w:rPr>
          <w:rFonts w:hint="eastAsia" w:ascii="宋体" w:hAnsi="宋体"/>
          <w:snapToGrid w:val="0"/>
          <w:color w:val="auto"/>
          <w:kern w:val="0"/>
          <w:szCs w:val="21"/>
          <w:highlight w:val="none"/>
          <w:u w:val="single"/>
          <w:lang w:val="en-US" w:eastAsia="zh-CN"/>
        </w:rPr>
        <w:t>5</w:t>
      </w:r>
      <w:r>
        <w:rPr>
          <w:rFonts w:hint="eastAsia"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val="en-US" w:eastAsia="zh-CN"/>
        </w:rPr>
        <w:t>124</w:t>
      </w:r>
      <w:r>
        <w:rPr>
          <w:rFonts w:hint="eastAsia" w:ascii="宋体" w:hAnsi="宋体"/>
          <w:snapToGrid w:val="0"/>
          <w:color w:val="auto"/>
          <w:kern w:val="0"/>
          <w:szCs w:val="21"/>
          <w:highlight w:val="none"/>
          <w:u w:val="single"/>
        </w:rPr>
        <w:t>号</w:t>
      </w:r>
      <w:r>
        <w:rPr>
          <w:rFonts w:hint="eastAsia" w:ascii="宋体" w:hAnsi="宋体"/>
          <w:snapToGrid w:val="0"/>
          <w:color w:val="auto"/>
          <w:kern w:val="0"/>
          <w:szCs w:val="21"/>
          <w:highlight w:val="none"/>
          <w:u w:val="single"/>
          <w:lang w:val="en-US" w:eastAsia="zh-CN"/>
        </w:rPr>
        <w:t>文</w:t>
      </w:r>
      <w:r>
        <w:rPr>
          <w:rFonts w:ascii="宋体" w:hAnsi="宋体"/>
          <w:snapToGrid w:val="0"/>
          <w:color w:val="auto"/>
          <w:kern w:val="0"/>
          <w:szCs w:val="21"/>
          <w:highlight w:val="none"/>
        </w:rPr>
        <w:t>批准建设，</w:t>
      </w:r>
      <w:r>
        <w:rPr>
          <w:rFonts w:hint="eastAsia" w:asciiTheme="minorEastAsia" w:hAnsiTheme="minorEastAsia" w:eastAsiaTheme="minorEastAsia"/>
          <w:color w:val="auto"/>
          <w:szCs w:val="21"/>
          <w:highlight w:val="none"/>
        </w:rPr>
        <w:t>项目业主为</w:t>
      </w:r>
      <w:r>
        <w:rPr>
          <w:rFonts w:hint="eastAsia" w:ascii="宋体" w:hAnsi="宋体"/>
          <w:snapToGrid w:val="0"/>
          <w:color w:val="auto"/>
          <w:kern w:val="0"/>
          <w:szCs w:val="21"/>
          <w:highlight w:val="none"/>
          <w:u w:val="single"/>
        </w:rPr>
        <w:t>重庆市南岸区城市建设发展（集团）有限公司</w:t>
      </w:r>
      <w:r>
        <w:rPr>
          <w:rFonts w:hint="eastAsia" w:asciiTheme="minorEastAsia" w:hAnsiTheme="minorEastAsia" w:eastAsiaTheme="minorEastAsia"/>
          <w:color w:val="auto"/>
          <w:szCs w:val="21"/>
          <w:highlight w:val="none"/>
        </w:rPr>
        <w:t>，建设资金来自</w:t>
      </w:r>
      <w:r>
        <w:rPr>
          <w:rFonts w:hint="eastAsia" w:ascii="宋体" w:hAnsi="宋体"/>
          <w:snapToGrid w:val="0"/>
          <w:color w:val="auto"/>
          <w:kern w:val="0"/>
          <w:szCs w:val="21"/>
          <w:highlight w:val="none"/>
          <w:u w:val="single"/>
        </w:rPr>
        <w:t>一般债券资金及业主自筹</w:t>
      </w:r>
      <w:r>
        <w:rPr>
          <w:rFonts w:hint="eastAsia" w:asciiTheme="minorEastAsia" w:hAnsiTheme="minorEastAsia" w:eastAsiaTheme="minorEastAsia"/>
          <w:color w:val="auto"/>
          <w:szCs w:val="21"/>
          <w:highlight w:val="none"/>
        </w:rPr>
        <w:t>，项目出资比例为</w:t>
      </w:r>
      <w:r>
        <w:rPr>
          <w:rFonts w:hint="eastAsia" w:ascii="宋体" w:hAnsi="宋体"/>
          <w:snapToGrid w:val="0"/>
          <w:color w:val="auto"/>
          <w:kern w:val="0"/>
          <w:szCs w:val="21"/>
          <w:highlight w:val="none"/>
          <w:u w:val="single"/>
        </w:rPr>
        <w:t>100%</w:t>
      </w:r>
      <w:r>
        <w:rPr>
          <w:rFonts w:hint="eastAsia" w:asciiTheme="minorEastAsia" w:hAnsiTheme="minorEastAsia" w:eastAsiaTheme="minorEastAsia"/>
          <w:color w:val="auto"/>
          <w:szCs w:val="21"/>
          <w:highlight w:val="none"/>
        </w:rPr>
        <w:t>，招标人为</w:t>
      </w:r>
      <w:r>
        <w:rPr>
          <w:rFonts w:hint="eastAsia" w:ascii="宋体" w:hAnsi="宋体"/>
          <w:snapToGrid w:val="0"/>
          <w:color w:val="auto"/>
          <w:kern w:val="0"/>
          <w:szCs w:val="21"/>
          <w:highlight w:val="none"/>
          <w:u w:val="single"/>
        </w:rPr>
        <w:t>重庆市南岸区城市建设发展（集团）有限公司</w:t>
      </w:r>
      <w:r>
        <w:rPr>
          <w:rFonts w:hint="eastAsia" w:asciiTheme="minorEastAsia" w:hAnsiTheme="minorEastAsia" w:eastAsiaTheme="minorEastAsia"/>
          <w:color w:val="auto"/>
          <w:szCs w:val="21"/>
          <w:highlight w:val="none"/>
        </w:rPr>
        <w:t>。项目已具备招标条件，现对该项目的</w:t>
      </w:r>
      <w:r>
        <w:rPr>
          <w:rFonts w:hint="eastAsia" w:asciiTheme="minorEastAsia" w:hAnsiTheme="minorEastAsia" w:eastAsiaTheme="minorEastAsia"/>
          <w:bCs/>
          <w:color w:val="auto"/>
          <w:szCs w:val="21"/>
          <w:highlight w:val="none"/>
          <w:u w:val="single"/>
        </w:rPr>
        <w:t>跟踪审计</w:t>
      </w:r>
      <w:r>
        <w:rPr>
          <w:rFonts w:hint="eastAsia" w:asciiTheme="minorEastAsia" w:hAnsiTheme="minorEastAsia" w:eastAsiaTheme="minorEastAsia"/>
          <w:color w:val="auto"/>
          <w:szCs w:val="21"/>
          <w:highlight w:val="none"/>
        </w:rPr>
        <w:t>进行公开比选。</w:t>
      </w:r>
    </w:p>
    <w:p w14:paraId="23D33646">
      <w:pPr>
        <w:spacing w:before="100" w:after="100" w:line="400" w:lineRule="exact"/>
        <w:ind w:firstLine="422" w:firstLineChars="200"/>
        <w:rPr>
          <w:rFonts w:hint="eastAsia" w:ascii="宋体" w:hAnsi="宋体" w:cs="宋体"/>
          <w:b/>
          <w:bCs/>
          <w:snapToGrid w:val="0"/>
          <w:color w:val="auto"/>
          <w:szCs w:val="21"/>
          <w:highlight w:val="none"/>
        </w:rPr>
      </w:pPr>
      <w:r>
        <w:rPr>
          <w:rFonts w:hint="eastAsia" w:ascii="宋体" w:hAnsi="宋体" w:cs="宋体"/>
          <w:b/>
          <w:bCs/>
          <w:snapToGrid w:val="0"/>
          <w:color w:val="auto"/>
          <w:szCs w:val="21"/>
          <w:highlight w:val="none"/>
        </w:rPr>
        <w:t>2、项目概况与比选范围</w:t>
      </w:r>
    </w:p>
    <w:p w14:paraId="78D5ECB9">
      <w:pPr>
        <w:spacing w:line="460" w:lineRule="exact"/>
        <w:ind w:firstLine="420" w:firstLineChars="200"/>
        <w:rPr>
          <w:rFonts w:hint="eastAsia" w:ascii="宋体" w:hAnsi="宋体"/>
          <w:color w:val="auto"/>
          <w:highlight w:val="none"/>
          <w:u w:val="single"/>
        </w:rPr>
      </w:pPr>
      <w:r>
        <w:rPr>
          <w:rFonts w:hint="eastAsia" w:ascii="宋体" w:hAnsi="宋体"/>
          <w:color w:val="auto"/>
          <w:highlight w:val="none"/>
        </w:rPr>
        <w:t>2.1</w:t>
      </w:r>
      <w:r>
        <w:rPr>
          <w:rFonts w:ascii="宋体" w:hAnsi="宋体"/>
          <w:color w:val="auto"/>
          <w:highlight w:val="none"/>
        </w:rPr>
        <w:t>建设地点：</w:t>
      </w:r>
      <w:r>
        <w:rPr>
          <w:rFonts w:hint="eastAsia" w:asciiTheme="minorEastAsia" w:hAnsiTheme="minorEastAsia" w:eastAsiaTheme="minorEastAsia"/>
          <w:color w:val="auto"/>
          <w:szCs w:val="21"/>
          <w:highlight w:val="none"/>
          <w:u w:val="single"/>
        </w:rPr>
        <w:t>南岸区53所学校范围内</w:t>
      </w:r>
      <w:r>
        <w:rPr>
          <w:rFonts w:hint="eastAsia" w:ascii="宋体" w:hAnsi="宋体"/>
          <w:snapToGrid w:val="0"/>
          <w:color w:val="auto"/>
          <w:kern w:val="0"/>
          <w:szCs w:val="21"/>
          <w:highlight w:val="none"/>
          <w:u w:val="single"/>
        </w:rPr>
        <w:t>；</w:t>
      </w:r>
    </w:p>
    <w:p w14:paraId="41E7787B">
      <w:pPr>
        <w:spacing w:line="460" w:lineRule="exact"/>
        <w:ind w:firstLine="420" w:firstLineChars="200"/>
        <w:rPr>
          <w:color w:val="auto"/>
          <w:szCs w:val="21"/>
          <w:highlight w:val="none"/>
          <w:u w:val="single"/>
        </w:rPr>
      </w:pPr>
      <w:r>
        <w:rPr>
          <w:rFonts w:hint="eastAsia" w:ascii="宋体" w:hAnsi="宋体"/>
          <w:color w:val="auto"/>
          <w:highlight w:val="none"/>
        </w:rPr>
        <w:t>2.2 项目概况与建设规模：</w:t>
      </w:r>
      <w:r>
        <w:rPr>
          <w:rFonts w:hint="eastAsia" w:asciiTheme="minorEastAsia" w:hAnsiTheme="minorEastAsia" w:eastAsiaTheme="minorEastAsia"/>
          <w:color w:val="auto"/>
          <w:szCs w:val="21"/>
          <w:highlight w:val="none"/>
          <w:u w:val="single"/>
        </w:rPr>
        <w:t>本项目拟在重庆市南岸区53所中小学校内新增空调3678台，并对部分学校的老旧线路、配电设备进行升级改造，包括新建变配电站、已有变配电站增容改造，以及配备必要的变压器、开关设备、供配电设备、输电线路等。</w:t>
      </w:r>
    </w:p>
    <w:p w14:paraId="6805E983">
      <w:pPr>
        <w:spacing w:line="460" w:lineRule="exact"/>
        <w:ind w:firstLine="420" w:firstLineChars="200"/>
        <w:rPr>
          <w:color w:val="auto"/>
          <w:szCs w:val="21"/>
          <w:highlight w:val="none"/>
          <w:u w:val="single"/>
        </w:rPr>
      </w:pPr>
      <w:r>
        <w:rPr>
          <w:rFonts w:hint="eastAsia"/>
          <w:color w:val="auto"/>
          <w:szCs w:val="21"/>
          <w:highlight w:val="none"/>
          <w:u w:val="single"/>
        </w:rPr>
        <w:t>2.3建安工程费与合同估算金额：</w:t>
      </w:r>
    </w:p>
    <w:p w14:paraId="45DC36D5">
      <w:pPr>
        <w:spacing w:line="460" w:lineRule="exact"/>
        <w:ind w:firstLine="420" w:firstLineChars="200"/>
        <w:rPr>
          <w:rFonts w:hint="eastAsia" w:ascii="宋体" w:hAnsi="宋体"/>
          <w:color w:val="auto"/>
          <w:highlight w:val="none"/>
        </w:rPr>
      </w:pPr>
      <w:r>
        <w:rPr>
          <w:rFonts w:hint="eastAsia" w:ascii="宋体" w:hAnsi="宋体"/>
          <w:color w:val="auto"/>
          <w:highlight w:val="none"/>
        </w:rPr>
        <w:t>（1）本次招标项目工程总投资额：</w:t>
      </w:r>
      <w:r>
        <w:rPr>
          <w:rFonts w:hint="eastAsia" w:ascii="宋体" w:hAnsi="宋体"/>
          <w:color w:val="auto"/>
          <w:highlight w:val="none"/>
          <w:u w:val="single"/>
        </w:rPr>
        <w:t>4926.85万元</w:t>
      </w:r>
      <w:r>
        <w:rPr>
          <w:rFonts w:hint="eastAsia" w:ascii="宋体" w:hAnsi="宋体"/>
          <w:color w:val="auto"/>
          <w:highlight w:val="none"/>
        </w:rPr>
        <w:t>；</w:t>
      </w:r>
    </w:p>
    <w:p w14:paraId="2C3066F7">
      <w:pPr>
        <w:spacing w:line="460" w:lineRule="exact"/>
        <w:ind w:firstLine="420" w:firstLineChars="200"/>
        <w:rPr>
          <w:rFonts w:hint="eastAsia" w:ascii="宋体" w:hAnsi="宋体"/>
          <w:color w:val="auto"/>
          <w:highlight w:val="none"/>
        </w:rPr>
      </w:pPr>
      <w:r>
        <w:rPr>
          <w:rFonts w:hint="eastAsia" w:ascii="宋体" w:hAnsi="宋体"/>
          <w:color w:val="auto"/>
          <w:highlight w:val="none"/>
        </w:rPr>
        <w:t>（2）合同估算金额：以暂定建安工程费</w:t>
      </w:r>
      <w:r>
        <w:rPr>
          <w:rFonts w:hint="eastAsia" w:ascii="宋体" w:hAnsi="宋体"/>
          <w:color w:val="auto"/>
          <w:highlight w:val="none"/>
          <w:u w:val="single"/>
          <w:lang w:val="en-US" w:eastAsia="zh-CN"/>
        </w:rPr>
        <w:t>4470.443872</w:t>
      </w:r>
      <w:r>
        <w:rPr>
          <w:rFonts w:hint="eastAsia"/>
          <w:color w:val="auto"/>
          <w:spacing w:val="-1"/>
          <w:highlight w:val="none"/>
        </w:rPr>
        <w:t>万元</w:t>
      </w:r>
      <w:r>
        <w:rPr>
          <w:rFonts w:hint="eastAsia" w:ascii="宋体" w:hAnsi="宋体"/>
          <w:color w:val="auto"/>
          <w:highlight w:val="none"/>
        </w:rPr>
        <w:t>为基数计算，本次造价咨询服务费金额约</w:t>
      </w:r>
      <w:r>
        <w:rPr>
          <w:rFonts w:hint="eastAsia" w:ascii="宋体" w:hAnsi="宋体"/>
          <w:color w:val="auto"/>
          <w:highlight w:val="none"/>
          <w:u w:val="single"/>
          <w:lang w:val="en-US" w:eastAsia="zh-CN"/>
        </w:rPr>
        <w:t>23.35225</w:t>
      </w:r>
      <w:r>
        <w:rPr>
          <w:rFonts w:hint="eastAsia" w:ascii="宋体" w:hAnsi="宋体"/>
          <w:color w:val="auto"/>
          <w:highlight w:val="none"/>
        </w:rPr>
        <w:t>万元。</w:t>
      </w:r>
    </w:p>
    <w:bookmarkEnd w:id="15"/>
    <w:bookmarkEnd w:id="16"/>
    <w:bookmarkEnd w:id="17"/>
    <w:p w14:paraId="57EAE68C">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rPr>
      </w:pPr>
      <w:bookmarkStart w:id="18" w:name="_Toc6792"/>
      <w:bookmarkStart w:id="19" w:name="_Toc4964"/>
      <w:bookmarkStart w:id="20" w:name="_Toc3686"/>
      <w:r>
        <w:rPr>
          <w:rFonts w:hint="eastAsia" w:ascii="宋体" w:hAnsi="宋体"/>
          <w:snapToGrid w:val="0"/>
          <w:color w:val="auto"/>
          <w:kern w:val="0"/>
          <w:szCs w:val="21"/>
          <w:highlight w:val="none"/>
        </w:rPr>
        <w:t>2.4比选范围：</w:t>
      </w:r>
      <w:r>
        <w:rPr>
          <w:rFonts w:hint="eastAsia" w:ascii="宋体" w:hAnsi="宋体"/>
          <w:color w:val="auto"/>
          <w:szCs w:val="21"/>
          <w:highlight w:val="none"/>
          <w:u w:val="single"/>
        </w:rPr>
        <w:t>对本工程提供全过程跟踪审计，包含但不限于：施工方案的经济评价、设计变更的经济分析、变更审核、参与施工阶段的现场计量及其审核、现场签证及其审核、新增项目的价格审核及评价、建筑材料认（审）价、工程进度款审核、专业分包造价控制、工程索赔和反索赔咨询、有关工程造价信息及法规咨询、与本工程有关的其他采购事宜限价编制、完工后的结算审核等与造价控制有关的其他服务工作及配合项目审计等工作，详见合同约定。</w:t>
      </w:r>
    </w:p>
    <w:p w14:paraId="699B7A60">
      <w:pPr>
        <w:tabs>
          <w:tab w:val="left" w:pos="3840"/>
          <w:tab w:val="left" w:pos="5300"/>
        </w:tabs>
        <w:autoSpaceDE w:val="0"/>
        <w:autoSpaceDN w:val="0"/>
        <w:adjustRightInd w:val="0"/>
        <w:snapToGrid w:val="0"/>
        <w:spacing w:line="500" w:lineRule="exact"/>
        <w:ind w:firstLine="420" w:firstLineChars="200"/>
        <w:jc w:val="left"/>
        <w:rPr>
          <w:rFonts w:hint="eastAsia" w:ascii="宋体" w:hAnsi="宋体"/>
          <w:snapToGrid w:val="0"/>
          <w:color w:val="auto"/>
          <w:kern w:val="0"/>
          <w:szCs w:val="21"/>
          <w:highlight w:val="none"/>
        </w:rPr>
      </w:pPr>
      <w:r>
        <w:rPr>
          <w:rFonts w:hint="eastAsia" w:ascii="宋体" w:hAnsi="宋体"/>
          <w:color w:val="auto"/>
          <w:szCs w:val="21"/>
          <w:highlight w:val="none"/>
        </w:rPr>
        <w:t>2.5服务期：</w:t>
      </w:r>
      <w:r>
        <w:rPr>
          <w:rFonts w:hint="eastAsia" w:ascii="宋体" w:hAnsi="宋体"/>
          <w:color w:val="auto"/>
          <w:szCs w:val="21"/>
          <w:highlight w:val="none"/>
          <w:u w:val="single"/>
        </w:rPr>
        <w:t>本项目服务周期自合同签订之日开始至工程竣工验收及结算审计完成</w:t>
      </w:r>
      <w:r>
        <w:rPr>
          <w:rFonts w:hint="eastAsia" w:ascii="宋体" w:hAnsi="宋体"/>
          <w:snapToGrid w:val="0"/>
          <w:color w:val="auto"/>
          <w:kern w:val="0"/>
          <w:szCs w:val="21"/>
          <w:highlight w:val="none"/>
        </w:rPr>
        <w:t>。</w:t>
      </w:r>
    </w:p>
    <w:p w14:paraId="0CB295D6">
      <w:pPr>
        <w:tabs>
          <w:tab w:val="left" w:pos="3840"/>
          <w:tab w:val="left" w:pos="5300"/>
        </w:tabs>
        <w:autoSpaceDE w:val="0"/>
        <w:autoSpaceDN w:val="0"/>
        <w:adjustRightInd w:val="0"/>
        <w:snapToGrid w:val="0"/>
        <w:spacing w:line="460" w:lineRule="exact"/>
        <w:ind w:firstLine="422" w:firstLineChars="200"/>
        <w:jc w:val="left"/>
        <w:rPr>
          <w:rFonts w:hint="eastAsia" w:ascii="宋体" w:hAnsi="宋体"/>
          <w:b/>
          <w:bCs/>
          <w:snapToGrid w:val="0"/>
          <w:color w:val="auto"/>
          <w:kern w:val="0"/>
          <w:szCs w:val="21"/>
          <w:highlight w:val="none"/>
        </w:rPr>
      </w:pPr>
      <w:r>
        <w:rPr>
          <w:rFonts w:hint="eastAsia" w:ascii="宋体" w:hAnsi="宋体"/>
          <w:b/>
          <w:bCs/>
          <w:snapToGrid w:val="0"/>
          <w:color w:val="auto"/>
          <w:kern w:val="0"/>
          <w:szCs w:val="21"/>
          <w:highlight w:val="none"/>
        </w:rPr>
        <w:t>3、竞选人资格要求</w:t>
      </w:r>
      <w:bookmarkEnd w:id="18"/>
      <w:bookmarkEnd w:id="19"/>
      <w:bookmarkEnd w:id="20"/>
    </w:p>
    <w:p w14:paraId="3A2AE7DE">
      <w:pPr>
        <w:widowControl/>
        <w:tabs>
          <w:tab w:val="center" w:pos="4620"/>
          <w:tab w:val="left" w:pos="8370"/>
        </w:tabs>
        <w:spacing w:line="360" w:lineRule="auto"/>
        <w:ind w:left="53" w:leftChars="25" w:firstLine="420" w:firstLineChars="200"/>
        <w:rPr>
          <w:rFonts w:hint="eastAsia" w:ascii="宋体" w:hAnsi="宋体" w:cs="宋体"/>
          <w:color w:val="auto"/>
          <w:szCs w:val="21"/>
          <w:highlight w:val="none"/>
        </w:rPr>
      </w:pPr>
      <w:bookmarkStart w:id="21" w:name="_Toc26534"/>
      <w:bookmarkStart w:id="22" w:name="_Toc29881"/>
      <w:bookmarkStart w:id="23" w:name="_Toc22348"/>
      <w:r>
        <w:rPr>
          <w:rFonts w:hint="eastAsia" w:ascii="宋体" w:hAnsi="宋体" w:cs="宋体"/>
          <w:color w:val="auto"/>
          <w:szCs w:val="21"/>
          <w:highlight w:val="none"/>
        </w:rPr>
        <w:t>3.1 本次招标要求竞选人须具备以下条件：</w:t>
      </w:r>
    </w:p>
    <w:p w14:paraId="1B0E012C">
      <w:pPr>
        <w:widowControl/>
        <w:tabs>
          <w:tab w:val="center" w:pos="4620"/>
          <w:tab w:val="left" w:pos="8370"/>
        </w:tabs>
        <w:spacing w:line="360" w:lineRule="auto"/>
        <w:ind w:left="53" w:leftChars="25"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 本次比选要求竞选人具备有效的营业执照；</w:t>
      </w:r>
    </w:p>
    <w:p w14:paraId="034FC071">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3.1.2 本次比选要求参选人具备的业绩条件：</w:t>
      </w:r>
      <w:r>
        <w:rPr>
          <w:rFonts w:hint="eastAsia" w:ascii="宋体" w:hAnsi="宋体" w:cs="宋体"/>
          <w:color w:val="auto"/>
          <w:szCs w:val="21"/>
          <w:highlight w:val="none"/>
        </w:rPr>
        <w:t>详见比选文件第二章竞选人须知前附表第1.4.1项内容</w:t>
      </w:r>
      <w:r>
        <w:rPr>
          <w:rFonts w:hint="eastAsia" w:ascii="宋体" w:hAnsi="宋体" w:cs="宋体"/>
          <w:color w:val="auto"/>
          <w:szCs w:val="21"/>
          <w:highlight w:val="none"/>
          <w:lang w:val="en-US" w:eastAsia="zh-CN"/>
        </w:rPr>
        <w:t>；</w:t>
      </w:r>
    </w:p>
    <w:p w14:paraId="25965F28">
      <w:pPr>
        <w:widowControl/>
        <w:tabs>
          <w:tab w:val="center" w:pos="4620"/>
          <w:tab w:val="left" w:pos="8370"/>
        </w:tabs>
        <w:spacing w:line="360" w:lineRule="auto"/>
        <w:ind w:left="53" w:leftChars="25"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w:t>
      </w:r>
      <w:r>
        <w:rPr>
          <w:rFonts w:ascii="宋体" w:hAnsi="宋体" w:cs="宋体"/>
          <w:color w:val="auto"/>
          <w:szCs w:val="21"/>
          <w:highlight w:val="none"/>
        </w:rPr>
        <w:t>3</w:t>
      </w:r>
      <w:r>
        <w:rPr>
          <w:rFonts w:hint="eastAsia" w:ascii="宋体" w:hAnsi="宋体" w:cs="宋体"/>
          <w:color w:val="auto"/>
          <w:szCs w:val="21"/>
          <w:highlight w:val="none"/>
        </w:rPr>
        <w:t xml:space="preserve"> 竞选人还应在人员、业绩、设备、资金等方面具有相应的能力，详见比选文件第二章竞选人须知前附表第1.4.1项内容。</w:t>
      </w:r>
    </w:p>
    <w:p w14:paraId="14CD4C8A">
      <w:pPr>
        <w:tabs>
          <w:tab w:val="left" w:pos="3045"/>
          <w:tab w:val="left" w:pos="8310"/>
        </w:tabs>
        <w:autoSpaceDE w:val="0"/>
        <w:autoSpaceDN w:val="0"/>
        <w:adjustRightInd w:val="0"/>
        <w:snapToGrid w:val="0"/>
        <w:spacing w:line="420" w:lineRule="exact"/>
        <w:ind w:firstLine="420" w:firstLineChars="200"/>
        <w:rPr>
          <w:rFonts w:hint="eastAsia" w:ascii="宋体" w:hAnsi="宋体"/>
          <w:snapToGrid w:val="0"/>
          <w:color w:val="auto"/>
          <w:kern w:val="0"/>
          <w:szCs w:val="21"/>
          <w:highlight w:val="none"/>
        </w:rPr>
      </w:pPr>
      <w:r>
        <w:rPr>
          <w:rFonts w:hint="eastAsia" w:ascii="宋体" w:hAnsi="宋体" w:cs="宋体"/>
          <w:color w:val="auto"/>
          <w:szCs w:val="21"/>
          <w:highlight w:val="none"/>
        </w:rPr>
        <w:t>3.2  本次比选不接受联合体竞选。</w:t>
      </w:r>
    </w:p>
    <w:p w14:paraId="22FE0DCC">
      <w:pPr>
        <w:pStyle w:val="25"/>
        <w:widowControl/>
        <w:snapToGrid w:val="0"/>
        <w:spacing w:beforeAutospacing="0" w:afterAutospacing="0" w:line="420" w:lineRule="exact"/>
        <w:ind w:firstLine="442" w:firstLineChars="200"/>
        <w:rPr>
          <w:rFonts w:hint="eastAsia" w:ascii="宋体" w:hAnsi="宋体" w:cs="宋体"/>
          <w:snapToGrid w:val="0"/>
          <w:color w:val="auto"/>
          <w:sz w:val="22"/>
          <w:szCs w:val="22"/>
          <w:highlight w:val="none"/>
        </w:rPr>
      </w:pPr>
      <w:r>
        <w:rPr>
          <w:rFonts w:hint="eastAsia" w:ascii="宋体" w:hAnsi="宋体" w:cs="宋体"/>
          <w:b/>
          <w:bCs/>
          <w:snapToGrid w:val="0"/>
          <w:color w:val="auto"/>
          <w:sz w:val="22"/>
          <w:szCs w:val="22"/>
          <w:highlight w:val="none"/>
        </w:rPr>
        <w:t>4、比选文件的获取</w:t>
      </w:r>
    </w:p>
    <w:p w14:paraId="6B4BC5B8">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 xml:space="preserve">4.1 </w:t>
      </w:r>
      <w:r>
        <w:rPr>
          <w:rFonts w:hint="eastAsia" w:ascii="宋体" w:hAnsi="宋体" w:cs="宋体"/>
          <w:snapToGrid w:val="0"/>
          <w:color w:val="auto"/>
          <w:kern w:val="0"/>
          <w:szCs w:val="21"/>
          <w:highlight w:val="none"/>
        </w:rPr>
        <w:t>凡有意参加比选的比选申请人在行采家（https://www.gec123.com/）上获取竞争性比选文件以及补遗等开标前公布的所有项目资料，无论比选申请人领取或下载与否，均视为已知晓所有比选内容</w:t>
      </w:r>
      <w:r>
        <w:rPr>
          <w:rFonts w:hint="eastAsia" w:cs="宋体" w:asciiTheme="minorEastAsia" w:hAnsiTheme="minorEastAsia" w:eastAsiaTheme="minorEastAsia"/>
          <w:snapToGrid w:val="0"/>
          <w:color w:val="auto"/>
          <w:kern w:val="0"/>
          <w:szCs w:val="21"/>
          <w:highlight w:val="none"/>
        </w:rPr>
        <w:t>，并在</w:t>
      </w:r>
      <w:r>
        <w:rPr>
          <w:rFonts w:hint="eastAsia" w:cs="宋体" w:asciiTheme="minorEastAsia" w:hAnsiTheme="minorEastAsia" w:eastAsiaTheme="minorEastAsia"/>
          <w:snapToGrid w:val="0"/>
          <w:color w:val="auto"/>
          <w:kern w:val="0"/>
          <w:szCs w:val="21"/>
          <w:highlight w:val="none"/>
        </w:rPr>
        <w:t>202</w:t>
      </w:r>
      <w:r>
        <w:rPr>
          <w:rFonts w:hint="eastAsia" w:cs="宋体" w:asciiTheme="minorEastAsia" w:hAnsiTheme="minorEastAsia" w:eastAsiaTheme="minorEastAsia"/>
          <w:snapToGrid w:val="0"/>
          <w:color w:val="auto"/>
          <w:kern w:val="0"/>
          <w:szCs w:val="21"/>
          <w:highlight w:val="none"/>
          <w:lang w:val="en-US" w:eastAsia="zh-CN"/>
        </w:rPr>
        <w:t>5</w:t>
      </w:r>
      <w:r>
        <w:rPr>
          <w:rFonts w:hint="eastAsia" w:cs="宋体" w:asciiTheme="minorEastAsia" w:hAnsiTheme="minorEastAsia" w:eastAsiaTheme="minorEastAsia"/>
          <w:snapToGrid w:val="0"/>
          <w:color w:val="auto"/>
          <w:kern w:val="0"/>
          <w:szCs w:val="21"/>
          <w:highlight w:val="none"/>
        </w:rPr>
        <w:t>年</w:t>
      </w:r>
      <w:r>
        <w:rPr>
          <w:rFonts w:hint="eastAsia" w:cs="宋体" w:asciiTheme="minorEastAsia" w:hAnsiTheme="minorEastAsia" w:eastAsiaTheme="minorEastAsia"/>
          <w:snapToGrid w:val="0"/>
          <w:color w:val="auto"/>
          <w:kern w:val="0"/>
          <w:szCs w:val="21"/>
          <w:highlight w:val="none"/>
          <w:u w:val="single"/>
          <w:lang w:val="en-US" w:eastAsia="zh-CN"/>
        </w:rPr>
        <w:t xml:space="preserve"> 6 </w:t>
      </w:r>
      <w:r>
        <w:rPr>
          <w:rFonts w:hint="eastAsia" w:cs="宋体" w:asciiTheme="minorEastAsia" w:hAnsiTheme="minorEastAsia" w:eastAsiaTheme="minorEastAsia"/>
          <w:snapToGrid w:val="0"/>
          <w:color w:val="auto"/>
          <w:kern w:val="0"/>
          <w:szCs w:val="21"/>
          <w:highlight w:val="none"/>
        </w:rPr>
        <w:t>月</w:t>
      </w:r>
      <w:r>
        <w:rPr>
          <w:rFonts w:hint="eastAsia" w:cs="宋体" w:asciiTheme="minorEastAsia" w:hAnsiTheme="minorEastAsia" w:eastAsiaTheme="minorEastAsia"/>
          <w:snapToGrid w:val="0"/>
          <w:color w:val="auto"/>
          <w:kern w:val="0"/>
          <w:szCs w:val="21"/>
          <w:highlight w:val="none"/>
          <w:u w:val="single"/>
          <w:lang w:val="en-US" w:eastAsia="zh-CN"/>
        </w:rPr>
        <w:t xml:space="preserve"> 12 </w:t>
      </w:r>
      <w:r>
        <w:rPr>
          <w:rFonts w:hint="eastAsia" w:cs="宋体" w:asciiTheme="minorEastAsia" w:hAnsiTheme="minorEastAsia" w:eastAsiaTheme="minorEastAsia"/>
          <w:snapToGrid w:val="0"/>
          <w:color w:val="auto"/>
          <w:kern w:val="0"/>
          <w:szCs w:val="21"/>
          <w:highlight w:val="none"/>
        </w:rPr>
        <w:t>日</w:t>
      </w:r>
      <w:r>
        <w:rPr>
          <w:rFonts w:hint="eastAsia" w:cs="宋体" w:asciiTheme="minorEastAsia" w:hAnsiTheme="minorEastAsia" w:eastAsiaTheme="minorEastAsia"/>
          <w:snapToGrid w:val="0"/>
          <w:color w:val="auto"/>
          <w:kern w:val="0"/>
          <w:szCs w:val="21"/>
          <w:highlight w:val="none"/>
        </w:rPr>
        <w:t>下午</w:t>
      </w:r>
      <w:r>
        <w:rPr>
          <w:rFonts w:hint="eastAsia" w:cs="宋体" w:asciiTheme="minorEastAsia" w:hAnsiTheme="minorEastAsia" w:eastAsiaTheme="minorEastAsia"/>
          <w:snapToGrid w:val="0"/>
          <w:color w:val="auto"/>
          <w:kern w:val="0"/>
          <w:szCs w:val="21"/>
          <w:highlight w:val="none"/>
          <w:u w:val="single"/>
        </w:rPr>
        <w:t>17：00时前</w:t>
      </w:r>
      <w:r>
        <w:rPr>
          <w:rFonts w:hint="eastAsia" w:ascii="宋体" w:hAnsi="宋体" w:cs="宋体"/>
          <w:snapToGrid w:val="0"/>
          <w:color w:val="auto"/>
          <w:kern w:val="0"/>
          <w:szCs w:val="21"/>
          <w:highlight w:val="none"/>
        </w:rPr>
        <w:t>持单位授权委托书至中资（重庆）工程咨询有限公司（地址：重庆市沙坪坝区龙湖光年2号楼14层）递交《登记表》（加盖投人公章）报名或《登记表》（加盖投人公章）的扫描件发至邮箱（</w:t>
      </w:r>
      <w:r>
        <w:rPr>
          <w:rFonts w:ascii="宋体" w:hAnsi="宋体" w:cs="宋体"/>
          <w:snapToGrid w:val="0"/>
          <w:color w:val="auto"/>
          <w:kern w:val="0"/>
          <w:szCs w:val="21"/>
          <w:highlight w:val="none"/>
        </w:rPr>
        <w:t>1944310</w:t>
      </w:r>
      <w:r>
        <w:rPr>
          <w:rFonts w:hint="eastAsia" w:ascii="宋体" w:hAnsi="宋体" w:cs="宋体"/>
          <w:snapToGrid w:val="0"/>
          <w:color w:val="auto"/>
          <w:kern w:val="0"/>
          <w:szCs w:val="21"/>
          <w:highlight w:val="none"/>
        </w:rPr>
        <w:t>@qq.com）报名。</w:t>
      </w:r>
    </w:p>
    <w:p w14:paraId="16E63DC8">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w:t>
      </w:r>
      <w:r>
        <w:rPr>
          <w:rFonts w:hint="eastAsia" w:cs="宋体" w:asciiTheme="minorEastAsia" w:hAnsiTheme="minorEastAsia" w:eastAsiaTheme="minorEastAsia"/>
          <w:snapToGrid w:val="0"/>
          <w:color w:val="auto"/>
          <w:kern w:val="0"/>
          <w:szCs w:val="21"/>
          <w:highlight w:val="none"/>
          <w:lang w:val="en-US" w:eastAsia="zh-CN"/>
        </w:rPr>
        <w:t>2</w:t>
      </w:r>
      <w:r>
        <w:rPr>
          <w:rFonts w:hint="eastAsia" w:cs="宋体" w:asciiTheme="minorEastAsia" w:hAnsiTheme="minorEastAsia" w:eastAsiaTheme="minorEastAsia"/>
          <w:snapToGrid w:val="0"/>
          <w:color w:val="auto"/>
          <w:kern w:val="0"/>
          <w:szCs w:val="21"/>
          <w:highlight w:val="none"/>
        </w:rPr>
        <w:t xml:space="preserve"> 本次竞争性比选不采用邮寄等方式报名。</w:t>
      </w:r>
    </w:p>
    <w:p w14:paraId="45192A62">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w:t>
      </w:r>
      <w:r>
        <w:rPr>
          <w:rFonts w:hint="eastAsia" w:cs="宋体" w:asciiTheme="minorEastAsia" w:hAnsiTheme="minorEastAsia" w:eastAsiaTheme="minorEastAsia"/>
          <w:snapToGrid w:val="0"/>
          <w:color w:val="auto"/>
          <w:kern w:val="0"/>
          <w:szCs w:val="21"/>
          <w:highlight w:val="none"/>
          <w:lang w:val="en-US" w:eastAsia="zh-CN"/>
        </w:rPr>
        <w:t>3</w:t>
      </w:r>
      <w:r>
        <w:rPr>
          <w:rFonts w:hint="eastAsia" w:cs="宋体" w:asciiTheme="minorEastAsia" w:hAnsiTheme="minorEastAsia" w:eastAsiaTheme="minorEastAsia"/>
          <w:snapToGrid w:val="0"/>
          <w:color w:val="auto"/>
          <w:kern w:val="0"/>
          <w:szCs w:val="21"/>
          <w:highlight w:val="none"/>
        </w:rPr>
        <w:t xml:space="preserve"> 比选文件每套售价</w:t>
      </w:r>
      <w:r>
        <w:rPr>
          <w:rFonts w:hint="eastAsia" w:cs="宋体" w:asciiTheme="minorEastAsia" w:hAnsiTheme="minorEastAsia" w:eastAsiaTheme="minorEastAsia"/>
          <w:snapToGrid w:val="0"/>
          <w:color w:val="auto"/>
          <w:kern w:val="0"/>
          <w:szCs w:val="21"/>
          <w:highlight w:val="none"/>
          <w:lang w:val="en-US" w:eastAsia="zh-CN"/>
        </w:rPr>
        <w:t>5</w:t>
      </w:r>
      <w:r>
        <w:rPr>
          <w:rFonts w:hint="eastAsia" w:cs="宋体" w:asciiTheme="minorEastAsia" w:hAnsiTheme="minorEastAsia" w:eastAsiaTheme="minorEastAsia"/>
          <w:snapToGrid w:val="0"/>
          <w:color w:val="auto"/>
          <w:kern w:val="0"/>
          <w:szCs w:val="21"/>
          <w:highlight w:val="none"/>
        </w:rPr>
        <w:t>00元/份，在递交</w:t>
      </w:r>
      <w:r>
        <w:rPr>
          <w:rFonts w:hint="eastAsia" w:cs="宋体" w:asciiTheme="minorEastAsia" w:hAnsiTheme="minorEastAsia" w:eastAsiaTheme="minorEastAsia"/>
          <w:snapToGrid w:val="0"/>
          <w:color w:val="auto"/>
          <w:kern w:val="0"/>
          <w:szCs w:val="21"/>
          <w:highlight w:val="none"/>
          <w:lang w:val="en-US" w:eastAsia="zh-CN"/>
        </w:rPr>
        <w:t>比</w:t>
      </w:r>
      <w:r>
        <w:rPr>
          <w:rFonts w:hint="eastAsia" w:cs="宋体" w:asciiTheme="minorEastAsia" w:hAnsiTheme="minorEastAsia" w:eastAsiaTheme="minorEastAsia"/>
          <w:snapToGrid w:val="0"/>
          <w:color w:val="auto"/>
          <w:kern w:val="0"/>
          <w:szCs w:val="21"/>
          <w:highlight w:val="none"/>
        </w:rPr>
        <w:t>选文件时支付给代理机构，售后不退。</w:t>
      </w:r>
    </w:p>
    <w:p w14:paraId="2DD052B9">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w:t>
      </w:r>
      <w:r>
        <w:rPr>
          <w:rFonts w:hint="eastAsia" w:cs="宋体" w:asciiTheme="minorEastAsia" w:hAnsiTheme="minorEastAsia" w:eastAsiaTheme="minorEastAsia"/>
          <w:snapToGrid w:val="0"/>
          <w:color w:val="auto"/>
          <w:kern w:val="0"/>
          <w:szCs w:val="21"/>
          <w:highlight w:val="none"/>
          <w:lang w:val="en-US" w:eastAsia="zh-CN"/>
        </w:rPr>
        <w:t>4</w:t>
      </w:r>
      <w:r>
        <w:rPr>
          <w:rFonts w:hint="eastAsia" w:cs="宋体" w:asciiTheme="minorEastAsia" w:hAnsiTheme="minorEastAsia" w:eastAsiaTheme="minorEastAsia"/>
          <w:snapToGrid w:val="0"/>
          <w:color w:val="auto"/>
          <w:kern w:val="0"/>
          <w:szCs w:val="21"/>
          <w:highlight w:val="none"/>
        </w:rPr>
        <w:t xml:space="preserve"> 比选申请人须满足以下要件，其比选申请文件才被接受：</w:t>
      </w:r>
    </w:p>
    <w:p w14:paraId="0B90C55A">
      <w:pPr>
        <w:autoSpaceDE w:val="0"/>
        <w:autoSpaceDN w:val="0"/>
        <w:adjustRightInd w:val="0"/>
        <w:snapToGrid w:val="0"/>
        <w:spacing w:line="46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w:t>
      </w:r>
      <w:r>
        <w:rPr>
          <w:rFonts w:hint="eastAsia" w:cs="宋体" w:asciiTheme="minorEastAsia" w:hAnsiTheme="minorEastAsia" w:eastAsiaTheme="minorEastAsia"/>
          <w:snapToGrid w:val="0"/>
          <w:color w:val="auto"/>
          <w:kern w:val="0"/>
          <w:szCs w:val="21"/>
          <w:highlight w:val="none"/>
          <w:lang w:val="en-US" w:eastAsia="zh-CN"/>
        </w:rPr>
        <w:t>4</w:t>
      </w:r>
      <w:r>
        <w:rPr>
          <w:rFonts w:hint="eastAsia" w:cs="宋体" w:asciiTheme="minorEastAsia" w:hAnsiTheme="minorEastAsia" w:eastAsiaTheme="minorEastAsia"/>
          <w:snapToGrid w:val="0"/>
          <w:color w:val="auto"/>
          <w:kern w:val="0"/>
          <w:szCs w:val="21"/>
          <w:highlight w:val="none"/>
        </w:rPr>
        <w:t>.1  按时递交了比选申请文件；</w:t>
      </w:r>
    </w:p>
    <w:p w14:paraId="386C8298">
      <w:pPr>
        <w:widowControl/>
        <w:tabs>
          <w:tab w:val="center" w:pos="4620"/>
          <w:tab w:val="left" w:pos="8370"/>
        </w:tabs>
        <w:spacing w:line="360" w:lineRule="auto"/>
        <w:ind w:left="53" w:leftChars="25" w:firstLine="420" w:firstLineChars="200"/>
        <w:rPr>
          <w:rFonts w:hint="eastAsia" w:ascii="宋体" w:hAnsi="宋体" w:cs="宋体"/>
          <w:color w:val="auto"/>
          <w:szCs w:val="21"/>
          <w:highlight w:val="none"/>
        </w:rPr>
      </w:pPr>
      <w:r>
        <w:rPr>
          <w:rFonts w:hint="eastAsia" w:cs="宋体" w:asciiTheme="minorEastAsia" w:hAnsiTheme="minorEastAsia" w:eastAsiaTheme="minorEastAsia"/>
          <w:snapToGrid w:val="0"/>
          <w:color w:val="auto"/>
          <w:kern w:val="0"/>
          <w:szCs w:val="21"/>
          <w:highlight w:val="none"/>
        </w:rPr>
        <w:t>4.</w:t>
      </w:r>
      <w:r>
        <w:rPr>
          <w:rFonts w:hint="eastAsia" w:cs="宋体" w:asciiTheme="minorEastAsia" w:hAnsiTheme="minorEastAsia" w:eastAsiaTheme="minorEastAsia"/>
          <w:snapToGrid w:val="0"/>
          <w:color w:val="auto"/>
          <w:kern w:val="0"/>
          <w:szCs w:val="21"/>
          <w:highlight w:val="none"/>
          <w:lang w:val="en-US" w:eastAsia="zh-CN"/>
        </w:rPr>
        <w:t>4</w:t>
      </w:r>
      <w:r>
        <w:rPr>
          <w:rFonts w:hint="eastAsia" w:cs="宋体" w:asciiTheme="minorEastAsia" w:hAnsiTheme="minorEastAsia" w:eastAsiaTheme="minorEastAsia"/>
          <w:snapToGrid w:val="0"/>
          <w:color w:val="auto"/>
          <w:kern w:val="0"/>
          <w:szCs w:val="21"/>
          <w:highlight w:val="none"/>
        </w:rPr>
        <w:t>.2  按时报名并签到。</w:t>
      </w:r>
    </w:p>
    <w:p w14:paraId="72E392DF">
      <w:pPr>
        <w:pStyle w:val="25"/>
        <w:widowControl/>
        <w:snapToGrid w:val="0"/>
        <w:spacing w:beforeAutospacing="0" w:afterAutospacing="0" w:line="420" w:lineRule="exact"/>
        <w:ind w:firstLine="442" w:firstLineChars="200"/>
        <w:jc w:val="both"/>
        <w:rPr>
          <w:rFonts w:hint="eastAsia" w:ascii="宋体" w:hAnsi="宋体" w:cs="宋体"/>
          <w:color w:val="auto"/>
          <w:sz w:val="22"/>
          <w:szCs w:val="22"/>
          <w:highlight w:val="none"/>
        </w:rPr>
      </w:pPr>
      <w:r>
        <w:rPr>
          <w:rFonts w:hint="eastAsia" w:ascii="宋体" w:hAnsi="宋体" w:cs="宋体"/>
          <w:b/>
          <w:snapToGrid w:val="0"/>
          <w:color w:val="auto"/>
          <w:sz w:val="22"/>
          <w:szCs w:val="22"/>
          <w:highlight w:val="none"/>
        </w:rPr>
        <w:t>5、竞选文件的递交</w:t>
      </w:r>
    </w:p>
    <w:p w14:paraId="46E440AC">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5.1  竞选文件递交的截止时间（竞选截止时间，下同）为</w:t>
      </w:r>
      <w:r>
        <w:rPr>
          <w:rFonts w:hint="eastAsia" w:ascii="宋体" w:hAnsi="宋体" w:cs="宋体"/>
          <w:snapToGrid w:val="0"/>
          <w:color w:val="auto"/>
          <w:kern w:val="0"/>
          <w:szCs w:val="21"/>
          <w:highlight w:val="none"/>
          <w:u w:val="single"/>
        </w:rPr>
        <w:t xml:space="preserve"> 2025</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6</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13</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10</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时</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00</w:t>
      </w:r>
      <w:r>
        <w:rPr>
          <w:rFonts w:hint="eastAsia" w:ascii="宋体" w:hAnsi="宋体" w:cs="宋体"/>
          <w:snapToGrid w:val="0"/>
          <w:color w:val="auto"/>
          <w:kern w:val="0"/>
          <w:szCs w:val="21"/>
          <w:highlight w:val="none"/>
        </w:rPr>
        <w:t>分，地点为</w:t>
      </w:r>
      <w:r>
        <w:rPr>
          <w:rFonts w:hint="eastAsia" w:ascii="宋体" w:hAnsi="宋体" w:cs="宋体"/>
          <w:snapToGrid w:val="0"/>
          <w:color w:val="auto"/>
          <w:kern w:val="0"/>
          <w:szCs w:val="21"/>
          <w:highlight w:val="none"/>
          <w:u w:val="single"/>
        </w:rPr>
        <w:t xml:space="preserve"> 重庆市南岸区行政服务中心B区3号楼</w:t>
      </w:r>
      <w:r>
        <w:rPr>
          <w:rFonts w:ascii="宋体" w:hAnsi="宋体" w:cs="宋体"/>
          <w:snapToGrid w:val="0"/>
          <w:color w:val="auto"/>
          <w:kern w:val="0"/>
          <w:szCs w:val="21"/>
          <w:highlight w:val="none"/>
          <w:u w:val="single"/>
        </w:rPr>
        <w:t>2</w:t>
      </w:r>
      <w:r>
        <w:rPr>
          <w:rFonts w:hint="eastAsia" w:ascii="宋体" w:hAnsi="宋体" w:cs="宋体"/>
          <w:snapToGrid w:val="0"/>
          <w:color w:val="auto"/>
          <w:kern w:val="0"/>
          <w:szCs w:val="21"/>
          <w:highlight w:val="none"/>
          <w:u w:val="single"/>
          <w:lang w:val="en-US" w:eastAsia="zh-CN"/>
        </w:rPr>
        <w:t>012</w:t>
      </w:r>
      <w:r>
        <w:rPr>
          <w:rFonts w:hint="eastAsia" w:ascii="宋体" w:hAnsi="宋体" w:cs="宋体"/>
          <w:snapToGrid w:val="0"/>
          <w:color w:val="auto"/>
          <w:kern w:val="0"/>
          <w:szCs w:val="21"/>
          <w:highlight w:val="none"/>
          <w:u w:val="single"/>
        </w:rPr>
        <w:t xml:space="preserve">室 </w:t>
      </w:r>
      <w:r>
        <w:rPr>
          <w:rFonts w:hint="eastAsia" w:ascii="宋体" w:hAnsi="宋体" w:cs="宋体"/>
          <w:snapToGrid w:val="0"/>
          <w:color w:val="auto"/>
          <w:kern w:val="0"/>
          <w:szCs w:val="21"/>
          <w:highlight w:val="none"/>
        </w:rPr>
        <w:t>。</w:t>
      </w:r>
    </w:p>
    <w:p w14:paraId="77D0F83C">
      <w:pPr>
        <w:autoSpaceDE w:val="0"/>
        <w:autoSpaceDN w:val="0"/>
        <w:adjustRightInd w:val="0"/>
        <w:snapToGrid w:val="0"/>
        <w:spacing w:line="45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5.2  逾期送达的或者未送达指定地点的竞选文件，比选人不予受理。</w:t>
      </w:r>
    </w:p>
    <w:p w14:paraId="270E4E1D">
      <w:pPr>
        <w:pStyle w:val="25"/>
        <w:widowControl/>
        <w:snapToGrid w:val="0"/>
        <w:spacing w:beforeAutospacing="0" w:afterAutospacing="0" w:line="420" w:lineRule="exact"/>
        <w:ind w:firstLine="442" w:firstLineChars="200"/>
        <w:jc w:val="both"/>
        <w:rPr>
          <w:rFonts w:hint="eastAsia" w:ascii="宋体" w:hAnsi="宋体" w:cs="宋体"/>
          <w:b/>
          <w:snapToGrid w:val="0"/>
          <w:color w:val="auto"/>
          <w:sz w:val="22"/>
          <w:szCs w:val="22"/>
          <w:highlight w:val="none"/>
        </w:rPr>
      </w:pPr>
      <w:r>
        <w:rPr>
          <w:rFonts w:hint="eastAsia" w:ascii="宋体" w:hAnsi="宋体" w:cs="宋体"/>
          <w:b/>
          <w:snapToGrid w:val="0"/>
          <w:color w:val="auto"/>
          <w:sz w:val="22"/>
          <w:szCs w:val="22"/>
          <w:highlight w:val="none"/>
        </w:rPr>
        <w:t>6、发布公告的媒介</w:t>
      </w:r>
    </w:p>
    <w:p w14:paraId="6AD7818E">
      <w:pPr>
        <w:pStyle w:val="25"/>
        <w:widowControl/>
        <w:snapToGrid w:val="0"/>
        <w:spacing w:beforeAutospacing="0" w:afterAutospacing="0" w:line="420" w:lineRule="exact"/>
        <w:ind w:firstLine="420" w:firstLineChars="200"/>
        <w:jc w:val="both"/>
        <w:rPr>
          <w:rFonts w:hint="eastAsia" w:ascii="宋体" w:hAnsi="宋体" w:cs="宋体"/>
          <w:color w:val="auto"/>
          <w:sz w:val="21"/>
          <w:szCs w:val="21"/>
          <w:highlight w:val="none"/>
        </w:rPr>
      </w:pPr>
      <w:r>
        <w:rPr>
          <w:rFonts w:hint="eastAsia" w:ascii="宋体" w:hAnsi="宋体" w:cs="宋体"/>
          <w:snapToGrid w:val="0"/>
          <w:color w:val="auto"/>
          <w:sz w:val="21"/>
          <w:szCs w:val="21"/>
          <w:highlight w:val="none"/>
        </w:rPr>
        <w:t xml:space="preserve">本次招标公告在 </w:t>
      </w:r>
      <w:r>
        <w:rPr>
          <w:rFonts w:hint="eastAsia" w:ascii="宋体" w:hAnsi="宋体" w:cs="宋体"/>
          <w:snapToGrid w:val="0"/>
          <w:color w:val="auto"/>
          <w:kern w:val="0"/>
          <w:sz w:val="21"/>
          <w:szCs w:val="21"/>
          <w:highlight w:val="none"/>
          <w:u w:val="single"/>
        </w:rPr>
        <w:t>行采家（http://www.gec123.com）</w:t>
      </w:r>
      <w:r>
        <w:rPr>
          <w:rFonts w:hint="eastAsia" w:ascii="宋体" w:hAnsi="宋体" w:cs="宋体"/>
          <w:snapToGrid w:val="0"/>
          <w:color w:val="auto"/>
          <w:kern w:val="0"/>
          <w:sz w:val="21"/>
          <w:szCs w:val="21"/>
          <w:highlight w:val="none"/>
          <w:u w:val="single"/>
          <w:lang w:eastAsia="zh-CN"/>
        </w:rPr>
        <w:t>、中国招标投标公共服务平台 （http://www.cebpubservice.com）</w:t>
      </w:r>
      <w:r>
        <w:rPr>
          <w:rFonts w:hint="eastAsia" w:ascii="宋体" w:hAnsi="宋体" w:cs="宋体"/>
          <w:snapToGrid w:val="0"/>
          <w:color w:val="auto"/>
          <w:sz w:val="21"/>
          <w:szCs w:val="21"/>
          <w:highlight w:val="none"/>
        </w:rPr>
        <w:t>上发布。</w:t>
      </w:r>
    </w:p>
    <w:p w14:paraId="68920850">
      <w:pPr>
        <w:pStyle w:val="25"/>
        <w:widowControl/>
        <w:snapToGrid w:val="0"/>
        <w:spacing w:beforeAutospacing="0" w:afterAutospacing="0" w:line="420" w:lineRule="exact"/>
        <w:ind w:firstLine="442" w:firstLineChars="200"/>
        <w:jc w:val="both"/>
        <w:rPr>
          <w:rFonts w:hint="eastAsia" w:ascii="宋体" w:hAnsi="宋体"/>
          <w:color w:val="auto"/>
          <w:highlight w:val="none"/>
        </w:rPr>
      </w:pPr>
      <w:r>
        <w:rPr>
          <w:rFonts w:hint="eastAsia" w:ascii="宋体" w:hAnsi="宋体" w:cs="宋体"/>
          <w:b/>
          <w:snapToGrid w:val="0"/>
          <w:color w:val="auto"/>
          <w:sz w:val="22"/>
          <w:szCs w:val="22"/>
          <w:highlight w:val="none"/>
        </w:rPr>
        <w:t>7、联系方式</w:t>
      </w:r>
    </w:p>
    <w:bookmarkEnd w:id="14"/>
    <w:bookmarkEnd w:id="21"/>
    <w:bookmarkEnd w:id="22"/>
    <w:bookmarkEnd w:id="23"/>
    <w:p w14:paraId="0E16D7B7">
      <w:pPr>
        <w:pStyle w:val="25"/>
        <w:widowControl/>
        <w:snapToGrid w:val="0"/>
        <w:spacing w:beforeAutospacing="0" w:afterAutospacing="0" w:line="420" w:lineRule="exact"/>
        <w:ind w:firstLine="420" w:firstLineChars="200"/>
        <w:jc w:val="both"/>
        <w:rPr>
          <w:rFonts w:hint="eastAsia" w:ascii="宋体" w:hAnsi="宋体" w:cs="宋体"/>
          <w:snapToGrid w:val="0"/>
          <w:color w:val="auto"/>
          <w:sz w:val="21"/>
          <w:szCs w:val="21"/>
          <w:highlight w:val="none"/>
        </w:rPr>
      </w:pPr>
      <w:bookmarkStart w:id="24" w:name="_Toc224103315"/>
      <w:bookmarkStart w:id="25" w:name="_Toc30449"/>
      <w:bookmarkStart w:id="26" w:name="_Toc1178"/>
      <w:bookmarkStart w:id="27" w:name="_Toc287607744"/>
      <w:bookmarkStart w:id="28" w:name="_Toc430530432"/>
      <w:bookmarkStart w:id="29" w:name="_Toc287620683"/>
      <w:r>
        <w:rPr>
          <w:rFonts w:hint="eastAsia" w:ascii="宋体" w:hAnsi="宋体" w:cs="宋体"/>
          <w:snapToGrid w:val="0"/>
          <w:color w:val="auto"/>
          <w:sz w:val="21"/>
          <w:szCs w:val="21"/>
          <w:highlight w:val="none"/>
        </w:rPr>
        <w:t>比选人：重庆市南岸区城市建设发展（集团）有限公司</w:t>
      </w:r>
    </w:p>
    <w:p w14:paraId="2562E021">
      <w:pPr>
        <w:pStyle w:val="25"/>
        <w:widowControl/>
        <w:snapToGrid w:val="0"/>
        <w:spacing w:beforeAutospacing="0" w:afterAutospacing="0" w:line="420" w:lineRule="exact"/>
        <w:ind w:firstLine="420" w:firstLineChars="200"/>
        <w:jc w:val="both"/>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 xml:space="preserve">地 </w:t>
      </w:r>
      <w:r>
        <w:rPr>
          <w:rFonts w:ascii="宋体" w:hAnsi="宋体" w:cs="宋体"/>
          <w:snapToGrid w:val="0"/>
          <w:color w:val="auto"/>
          <w:sz w:val="21"/>
          <w:szCs w:val="21"/>
          <w:highlight w:val="none"/>
        </w:rPr>
        <w:t xml:space="preserve"> </w:t>
      </w:r>
      <w:r>
        <w:rPr>
          <w:rFonts w:hint="eastAsia" w:ascii="宋体" w:hAnsi="宋体" w:cs="宋体"/>
          <w:snapToGrid w:val="0"/>
          <w:color w:val="auto"/>
          <w:sz w:val="21"/>
          <w:szCs w:val="21"/>
          <w:highlight w:val="none"/>
        </w:rPr>
        <w:t>址：重庆市南岸区行政中心B区三号楼</w:t>
      </w:r>
    </w:p>
    <w:p w14:paraId="1D5E4E11">
      <w:pPr>
        <w:pStyle w:val="25"/>
        <w:widowControl/>
        <w:snapToGrid w:val="0"/>
        <w:spacing w:beforeAutospacing="0" w:afterAutospacing="0" w:line="420" w:lineRule="exact"/>
        <w:ind w:firstLine="420" w:firstLineChars="200"/>
        <w:jc w:val="both"/>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联系人：李老师</w:t>
      </w:r>
    </w:p>
    <w:p w14:paraId="45E599B3">
      <w:pPr>
        <w:pStyle w:val="25"/>
        <w:widowControl/>
        <w:snapToGrid w:val="0"/>
        <w:spacing w:beforeAutospacing="0" w:afterAutospacing="0" w:line="420" w:lineRule="exact"/>
        <w:ind w:firstLine="420" w:firstLineChars="200"/>
        <w:jc w:val="both"/>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 xml:space="preserve">电 </w:t>
      </w:r>
      <w:r>
        <w:rPr>
          <w:rFonts w:ascii="宋体" w:hAnsi="宋体" w:cs="宋体"/>
          <w:snapToGrid w:val="0"/>
          <w:color w:val="auto"/>
          <w:sz w:val="21"/>
          <w:szCs w:val="21"/>
          <w:highlight w:val="none"/>
        </w:rPr>
        <w:t xml:space="preserve"> </w:t>
      </w:r>
      <w:r>
        <w:rPr>
          <w:rFonts w:hint="eastAsia" w:ascii="宋体" w:hAnsi="宋体" w:cs="宋体"/>
          <w:snapToGrid w:val="0"/>
          <w:color w:val="auto"/>
          <w:sz w:val="21"/>
          <w:szCs w:val="21"/>
          <w:highlight w:val="none"/>
        </w:rPr>
        <w:t>话：023-</w:t>
      </w:r>
      <w:r>
        <w:rPr>
          <w:rFonts w:ascii="宋体" w:hAnsi="宋体" w:cs="宋体"/>
          <w:snapToGrid w:val="0"/>
          <w:color w:val="auto"/>
          <w:sz w:val="21"/>
          <w:szCs w:val="21"/>
          <w:highlight w:val="none"/>
        </w:rPr>
        <w:t>62905607</w:t>
      </w:r>
    </w:p>
    <w:p w14:paraId="3199C6E4">
      <w:pPr>
        <w:pStyle w:val="25"/>
        <w:widowControl/>
        <w:snapToGrid w:val="0"/>
        <w:spacing w:beforeAutospacing="0" w:afterAutospacing="0" w:line="420" w:lineRule="exact"/>
        <w:ind w:firstLine="420" w:firstLineChars="200"/>
        <w:jc w:val="both"/>
        <w:rPr>
          <w:rFonts w:hint="eastAsia" w:ascii="宋体" w:hAnsi="宋体" w:cs="宋体"/>
          <w:snapToGrid w:val="0"/>
          <w:color w:val="auto"/>
          <w:sz w:val="21"/>
          <w:szCs w:val="21"/>
          <w:highlight w:val="none"/>
        </w:rPr>
      </w:pPr>
    </w:p>
    <w:p w14:paraId="12BC3A74">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比选代理机构：中资（重庆）工程咨询有限公司</w:t>
      </w:r>
    </w:p>
    <w:p w14:paraId="13B9F091">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s="宋体"/>
          <w:snapToGrid w:val="0"/>
          <w:color w:val="auto"/>
          <w:kern w:val="0"/>
          <w:szCs w:val="21"/>
          <w:highlight w:val="none"/>
        </w:rPr>
        <w:t>重庆市沙坪坝区龙湖光年2号楼14层</w:t>
      </w:r>
    </w:p>
    <w:p w14:paraId="3A7E9B9B">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联系人：冉老师  </w:t>
      </w:r>
    </w:p>
    <w:p w14:paraId="52FCBDC4">
      <w:pPr>
        <w:pStyle w:val="25"/>
        <w:widowControl/>
        <w:snapToGrid w:val="0"/>
        <w:spacing w:beforeAutospacing="0" w:afterAutospacing="0" w:line="420" w:lineRule="exact"/>
        <w:ind w:firstLine="480" w:firstLineChars="200"/>
        <w:jc w:val="both"/>
        <w:rPr>
          <w:rFonts w:hint="eastAsia" w:ascii="宋体" w:hAnsi="宋体" w:cs="宋体"/>
          <w:snapToGrid w:val="0"/>
          <w:color w:val="auto"/>
          <w:sz w:val="21"/>
          <w:szCs w:val="21"/>
          <w:highlight w:val="none"/>
        </w:rPr>
      </w:pPr>
      <w:r>
        <w:rPr>
          <w:rFonts w:hint="eastAsia" w:ascii="宋体" w:hAnsi="宋体"/>
          <w:color w:val="auto"/>
          <w:szCs w:val="21"/>
          <w:highlight w:val="none"/>
        </w:rPr>
        <w:t>电  话：18680861765</w:t>
      </w:r>
      <w:r>
        <w:rPr>
          <w:rFonts w:ascii="宋体" w:hAnsi="宋体" w:cs="宋体"/>
          <w:snapToGrid w:val="0"/>
          <w:color w:val="auto"/>
          <w:sz w:val="21"/>
          <w:szCs w:val="21"/>
          <w:highlight w:val="none"/>
        </w:rPr>
        <w:t xml:space="preserve"> </w:t>
      </w:r>
    </w:p>
    <w:p w14:paraId="07999C74">
      <w:pPr>
        <w:tabs>
          <w:tab w:val="left" w:pos="5140"/>
          <w:tab w:val="left" w:pos="8420"/>
        </w:tabs>
        <w:autoSpaceDE w:val="0"/>
        <w:autoSpaceDN w:val="0"/>
        <w:adjustRightInd w:val="0"/>
        <w:snapToGrid w:val="0"/>
        <w:spacing w:line="420" w:lineRule="exact"/>
        <w:ind w:firstLine="420" w:firstLineChars="200"/>
        <w:jc w:val="right"/>
        <w:rPr>
          <w:rFonts w:hint="eastAsia" w:ascii="宋体" w:hAnsi="宋体" w:cs="宋体"/>
          <w:snapToGrid w:val="0"/>
          <w:color w:val="auto"/>
          <w:kern w:val="0"/>
          <w:szCs w:val="21"/>
          <w:highlight w:val="none"/>
        </w:rPr>
      </w:pPr>
      <w:r>
        <w:rPr>
          <w:rFonts w:ascii="宋体" w:hAnsi="宋体" w:cs="宋体"/>
          <w:snapToGrid w:val="0"/>
          <w:color w:val="auto"/>
          <w:kern w:val="0"/>
          <w:highlight w:val="none"/>
        </w:rPr>
        <w:br w:type="page"/>
      </w:r>
    </w:p>
    <w:p w14:paraId="2B13CDD5">
      <w:pPr>
        <w:pStyle w:val="2"/>
        <w:spacing w:before="0" w:after="0" w:line="360" w:lineRule="auto"/>
        <w:jc w:val="center"/>
        <w:rPr>
          <w:rFonts w:hint="eastAsia" w:ascii="宋体" w:hAnsi="宋体" w:cs="宋体"/>
          <w:bCs w:val="0"/>
          <w:snapToGrid w:val="0"/>
          <w:color w:val="auto"/>
          <w:kern w:val="0"/>
          <w:highlight w:val="none"/>
        </w:rPr>
      </w:pPr>
      <w:r>
        <w:rPr>
          <w:rFonts w:hint="eastAsia" w:ascii="宋体" w:hAnsi="宋体" w:cs="宋体"/>
          <w:snapToGrid w:val="0"/>
          <w:color w:val="auto"/>
          <w:kern w:val="0"/>
          <w:highlight w:val="none"/>
        </w:rPr>
        <w:t>第二章  竞选人须知</w:t>
      </w:r>
      <w:bookmarkEnd w:id="24"/>
      <w:bookmarkEnd w:id="25"/>
      <w:bookmarkEnd w:id="26"/>
      <w:bookmarkEnd w:id="27"/>
      <w:bookmarkEnd w:id="28"/>
      <w:bookmarkEnd w:id="29"/>
      <w:bookmarkStart w:id="30" w:name="_Toc430530433"/>
      <w:bookmarkStart w:id="31" w:name="_Toc277082551"/>
      <w:bookmarkStart w:id="32" w:name="_Toc224103316"/>
      <w:bookmarkStart w:id="33" w:name="_Toc287607745"/>
      <w:bookmarkStart w:id="34" w:name="_Toc287620684"/>
    </w:p>
    <w:p w14:paraId="31CC26FE">
      <w:pPr>
        <w:pStyle w:val="3"/>
        <w:spacing w:before="100" w:after="100" w:line="360" w:lineRule="auto"/>
        <w:rPr>
          <w:rFonts w:hint="eastAsia" w:ascii="宋体" w:hAnsi="宋体" w:cs="宋体"/>
          <w:color w:val="auto"/>
          <w:highlight w:val="none"/>
        </w:rPr>
      </w:pPr>
      <w:bookmarkStart w:id="35" w:name="_Toc4746"/>
      <w:bookmarkStart w:id="36" w:name="_Toc15182"/>
      <w:bookmarkStart w:id="37" w:name="_Toc9850"/>
      <w:bookmarkStart w:id="38" w:name="_Toc509218708"/>
      <w:r>
        <w:rPr>
          <w:rFonts w:hint="eastAsia" w:ascii="宋体" w:hAnsi="宋体" w:cs="宋体"/>
          <w:color w:val="auto"/>
          <w:highlight w:val="none"/>
        </w:rPr>
        <w:t>竞选人须知前附表</w:t>
      </w:r>
      <w:bookmarkEnd w:id="30"/>
      <w:bookmarkEnd w:id="31"/>
      <w:bookmarkEnd w:id="32"/>
      <w:bookmarkEnd w:id="33"/>
      <w:bookmarkEnd w:id="34"/>
      <w:bookmarkEnd w:id="35"/>
      <w:bookmarkEnd w:id="36"/>
      <w:bookmarkEnd w:id="37"/>
      <w:bookmarkEnd w:id="38"/>
    </w:p>
    <w:p w14:paraId="0000A41C">
      <w:pPr>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若竞选人须知前附表与正文不一致的地方，以竞选人须知前附表为准。</w:t>
      </w:r>
    </w:p>
    <w:tbl>
      <w:tblPr>
        <w:tblStyle w:val="29"/>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964"/>
        <w:gridCol w:w="6372"/>
      </w:tblGrid>
      <w:tr w14:paraId="4D6E92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dxa"/>
            <w:vAlign w:val="center"/>
          </w:tcPr>
          <w:p w14:paraId="33A484BD">
            <w:pPr>
              <w:snapToGrid w:val="0"/>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 款 号</w:t>
            </w:r>
          </w:p>
        </w:tc>
        <w:tc>
          <w:tcPr>
            <w:tcW w:w="1964" w:type="dxa"/>
            <w:vAlign w:val="center"/>
          </w:tcPr>
          <w:p w14:paraId="498513D6">
            <w:pPr>
              <w:snapToGrid w:val="0"/>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6372" w:type="dxa"/>
            <w:vAlign w:val="center"/>
          </w:tcPr>
          <w:p w14:paraId="1156E3D1">
            <w:pPr>
              <w:snapToGrid w:val="0"/>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3B9661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5E607B7">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1.1.2</w:t>
            </w:r>
          </w:p>
        </w:tc>
        <w:tc>
          <w:tcPr>
            <w:tcW w:w="1964" w:type="dxa"/>
            <w:vAlign w:val="center"/>
          </w:tcPr>
          <w:p w14:paraId="04C2CF27">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比选人</w:t>
            </w:r>
          </w:p>
        </w:tc>
        <w:tc>
          <w:tcPr>
            <w:tcW w:w="6372" w:type="dxa"/>
            <w:vAlign w:val="center"/>
          </w:tcPr>
          <w:p w14:paraId="58047094">
            <w:pPr>
              <w:pStyle w:val="25"/>
              <w:widowControl/>
              <w:snapToGrid w:val="0"/>
              <w:spacing w:beforeAutospacing="0" w:afterAutospacing="0" w:line="420" w:lineRule="exact"/>
              <w:jc w:val="both"/>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比选人：重庆市南岸区城市建设发展（集团）有限公司</w:t>
            </w:r>
          </w:p>
          <w:p w14:paraId="7E26A9F5">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s="宋体"/>
                <w:color w:val="auto"/>
                <w:kern w:val="0"/>
                <w:szCs w:val="21"/>
                <w:highlight w:val="none"/>
              </w:rPr>
              <w:t>重庆市南岸区行政中心B区三号楼</w:t>
            </w:r>
          </w:p>
          <w:p w14:paraId="3BAE809A">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cs="宋体" w:asciiTheme="minorEastAsia" w:hAnsiTheme="minorEastAsia" w:eastAsiaTheme="minorEastAsia"/>
                <w:color w:val="auto"/>
                <w:highlight w:val="none"/>
                <w:lang w:val="en-US" w:eastAsia="zh-CN"/>
              </w:rPr>
              <w:t>李</w:t>
            </w:r>
            <w:r>
              <w:rPr>
                <w:rFonts w:hint="eastAsia" w:ascii="宋体" w:hAnsi="宋体" w:cs="宋体"/>
                <w:color w:val="auto"/>
                <w:kern w:val="0"/>
                <w:szCs w:val="21"/>
                <w:highlight w:val="none"/>
              </w:rPr>
              <w:t>老师</w:t>
            </w:r>
          </w:p>
          <w:p w14:paraId="1E06808B">
            <w:pPr>
              <w:tabs>
                <w:tab w:val="left" w:pos="5140"/>
                <w:tab w:val="left" w:pos="8420"/>
              </w:tabs>
              <w:autoSpaceDE w:val="0"/>
              <w:autoSpaceDN w:val="0"/>
              <w:adjustRightInd w:val="0"/>
              <w:snapToGrid w:val="0"/>
              <w:spacing w:line="420" w:lineRule="exact"/>
              <w:jc w:val="left"/>
              <w:rPr>
                <w:rFonts w:hint="eastAsia" w:ascii="宋体" w:hAnsi="宋体"/>
                <w:color w:val="auto"/>
                <w:szCs w:val="21"/>
                <w:highlight w:val="none"/>
              </w:rPr>
            </w:pPr>
            <w:r>
              <w:rPr>
                <w:rFonts w:ascii="宋体" w:hAnsi="宋体"/>
                <w:color w:val="auto"/>
                <w:kern w:val="0"/>
                <w:szCs w:val="21"/>
                <w:highlight w:val="none"/>
              </w:rPr>
              <w:t>电话：</w:t>
            </w:r>
            <w:r>
              <w:rPr>
                <w:rFonts w:hint="eastAsia" w:ascii="宋体" w:hAnsi="宋体"/>
                <w:color w:val="auto"/>
                <w:kern w:val="0"/>
                <w:szCs w:val="21"/>
                <w:highlight w:val="none"/>
              </w:rPr>
              <w:t>023-62905607</w:t>
            </w:r>
          </w:p>
        </w:tc>
      </w:tr>
      <w:tr w14:paraId="1997A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32C54C7">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1.1.3</w:t>
            </w:r>
          </w:p>
        </w:tc>
        <w:tc>
          <w:tcPr>
            <w:tcW w:w="1964" w:type="dxa"/>
            <w:vAlign w:val="center"/>
          </w:tcPr>
          <w:p w14:paraId="26BD105D">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比选代理机构</w:t>
            </w:r>
          </w:p>
        </w:tc>
        <w:tc>
          <w:tcPr>
            <w:tcW w:w="6372" w:type="dxa"/>
            <w:vAlign w:val="center"/>
          </w:tcPr>
          <w:p w14:paraId="1E85C98F">
            <w:pPr>
              <w:tabs>
                <w:tab w:val="left" w:pos="5140"/>
                <w:tab w:val="left" w:pos="8420"/>
              </w:tabs>
              <w:autoSpaceDE w:val="0"/>
              <w:autoSpaceDN w:val="0"/>
              <w:adjustRightInd w:val="0"/>
              <w:snapToGrid w:val="0"/>
              <w:spacing w:line="420" w:lineRule="exact"/>
              <w:jc w:val="left"/>
              <w:rPr>
                <w:rFonts w:hint="eastAsia" w:ascii="宋体" w:hAnsi="宋体"/>
                <w:color w:val="auto"/>
                <w:kern w:val="0"/>
                <w:szCs w:val="21"/>
                <w:highlight w:val="none"/>
              </w:rPr>
            </w:pPr>
            <w:r>
              <w:rPr>
                <w:rFonts w:hint="eastAsia" w:ascii="宋体" w:hAnsi="宋体"/>
                <w:color w:val="auto"/>
                <w:kern w:val="0"/>
                <w:szCs w:val="21"/>
                <w:highlight w:val="none"/>
              </w:rPr>
              <w:t>名称：中资（重庆）工程咨询有限公司</w:t>
            </w:r>
          </w:p>
          <w:p w14:paraId="77308637">
            <w:pPr>
              <w:tabs>
                <w:tab w:val="left" w:pos="5140"/>
                <w:tab w:val="left" w:pos="8420"/>
              </w:tabs>
              <w:autoSpaceDE w:val="0"/>
              <w:autoSpaceDN w:val="0"/>
              <w:adjustRightInd w:val="0"/>
              <w:snapToGrid w:val="0"/>
              <w:spacing w:line="420" w:lineRule="exact"/>
              <w:jc w:val="left"/>
              <w:rPr>
                <w:rFonts w:hint="eastAsia" w:ascii="宋体" w:hAnsi="宋体"/>
                <w:color w:val="auto"/>
                <w:kern w:val="0"/>
                <w:szCs w:val="21"/>
                <w:highlight w:val="none"/>
              </w:rPr>
            </w:pPr>
            <w:r>
              <w:rPr>
                <w:rFonts w:hint="eastAsia" w:ascii="宋体" w:hAnsi="宋体"/>
                <w:color w:val="auto"/>
                <w:kern w:val="0"/>
                <w:szCs w:val="21"/>
                <w:highlight w:val="none"/>
              </w:rPr>
              <w:t>地址：重庆市沙坪坝区龙湖光年2号楼14层</w:t>
            </w:r>
          </w:p>
          <w:p w14:paraId="4C8AD9E0">
            <w:pPr>
              <w:tabs>
                <w:tab w:val="left" w:pos="5140"/>
                <w:tab w:val="left" w:pos="8420"/>
              </w:tabs>
              <w:autoSpaceDE w:val="0"/>
              <w:autoSpaceDN w:val="0"/>
              <w:adjustRightInd w:val="0"/>
              <w:snapToGrid w:val="0"/>
              <w:spacing w:line="420" w:lineRule="exact"/>
              <w:jc w:val="left"/>
              <w:rPr>
                <w:rFonts w:hint="eastAsia" w:ascii="宋体" w:hAnsi="宋体"/>
                <w:color w:val="auto"/>
                <w:kern w:val="0"/>
                <w:szCs w:val="21"/>
                <w:highlight w:val="none"/>
              </w:rPr>
            </w:pPr>
            <w:r>
              <w:rPr>
                <w:rFonts w:hint="eastAsia" w:ascii="宋体" w:hAnsi="宋体"/>
                <w:color w:val="auto"/>
                <w:kern w:val="0"/>
                <w:szCs w:val="21"/>
                <w:highlight w:val="none"/>
              </w:rPr>
              <w:t>联系人：冉老师</w:t>
            </w:r>
          </w:p>
          <w:p w14:paraId="3FD96401">
            <w:pPr>
              <w:tabs>
                <w:tab w:val="left" w:pos="5140"/>
                <w:tab w:val="left" w:pos="8420"/>
              </w:tabs>
              <w:autoSpaceDE w:val="0"/>
              <w:autoSpaceDN w:val="0"/>
              <w:adjustRightInd w:val="0"/>
              <w:snapToGrid w:val="0"/>
              <w:spacing w:line="420" w:lineRule="exact"/>
              <w:jc w:val="left"/>
              <w:rPr>
                <w:rFonts w:hint="eastAsia" w:ascii="宋体" w:hAnsi="宋体"/>
                <w:color w:val="auto"/>
                <w:szCs w:val="21"/>
                <w:highlight w:val="none"/>
              </w:rPr>
            </w:pPr>
            <w:r>
              <w:rPr>
                <w:rFonts w:hint="eastAsia" w:ascii="宋体" w:hAnsi="宋体"/>
                <w:color w:val="auto"/>
                <w:kern w:val="0"/>
                <w:szCs w:val="21"/>
                <w:highlight w:val="none"/>
              </w:rPr>
              <w:t>电话：18680861765</w:t>
            </w:r>
          </w:p>
        </w:tc>
      </w:tr>
      <w:tr w14:paraId="45FE5B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AB41A13">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1.1.4</w:t>
            </w:r>
          </w:p>
        </w:tc>
        <w:tc>
          <w:tcPr>
            <w:tcW w:w="1964" w:type="dxa"/>
            <w:vAlign w:val="center"/>
          </w:tcPr>
          <w:p w14:paraId="1A5936CD">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372" w:type="dxa"/>
            <w:vAlign w:val="center"/>
          </w:tcPr>
          <w:p w14:paraId="6B981F87">
            <w:pPr>
              <w:tabs>
                <w:tab w:val="left" w:pos="5140"/>
                <w:tab w:val="left" w:pos="8420"/>
              </w:tabs>
              <w:autoSpaceDE w:val="0"/>
              <w:autoSpaceDN w:val="0"/>
              <w:adjustRightInd w:val="0"/>
              <w:snapToGrid w:val="0"/>
              <w:spacing w:line="42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重庆市南岸区学校老旧线路改造及设备安装工程跟踪审计</w:t>
            </w:r>
          </w:p>
        </w:tc>
      </w:tr>
      <w:tr w14:paraId="103984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A10E454">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1.1.5</w:t>
            </w:r>
          </w:p>
        </w:tc>
        <w:tc>
          <w:tcPr>
            <w:tcW w:w="1964" w:type="dxa"/>
            <w:vAlign w:val="center"/>
          </w:tcPr>
          <w:p w14:paraId="05143F7D">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6372" w:type="dxa"/>
            <w:vAlign w:val="bottom"/>
          </w:tcPr>
          <w:p w14:paraId="74D45122">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南岸区53所学校范围内</w:t>
            </w:r>
          </w:p>
        </w:tc>
      </w:tr>
      <w:tr w14:paraId="6959DB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99A4C34">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1.1.6</w:t>
            </w:r>
          </w:p>
        </w:tc>
        <w:tc>
          <w:tcPr>
            <w:tcW w:w="1964" w:type="dxa"/>
            <w:vAlign w:val="center"/>
          </w:tcPr>
          <w:p w14:paraId="7F6A0B01">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项目概况与建设规模</w:t>
            </w:r>
          </w:p>
        </w:tc>
        <w:tc>
          <w:tcPr>
            <w:tcW w:w="6372" w:type="dxa"/>
            <w:vAlign w:val="center"/>
          </w:tcPr>
          <w:p w14:paraId="22351456">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auto"/>
                <w:szCs w:val="21"/>
                <w:highlight w:val="none"/>
              </w:rPr>
            </w:pPr>
            <w:r>
              <w:rPr>
                <w:rFonts w:hint="eastAsia" w:asciiTheme="minorEastAsia" w:hAnsiTheme="minorEastAsia" w:eastAsiaTheme="minorEastAsia"/>
                <w:color w:val="auto"/>
                <w:szCs w:val="21"/>
                <w:highlight w:val="none"/>
                <w:u w:val="single"/>
              </w:rPr>
              <w:t>本项目拟在重庆市南岸区53所中小学校内新增空调3678台，并对部分学校的老旧线路、配电设备进行升级改造，包括新建变配电站、已有变配电站增容改造，以及配备必要的变压器、开关设备、供配电设备、输电线路等。</w:t>
            </w:r>
          </w:p>
        </w:tc>
      </w:tr>
      <w:tr w14:paraId="6474F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739D5BE">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1.2.1</w:t>
            </w:r>
          </w:p>
        </w:tc>
        <w:tc>
          <w:tcPr>
            <w:tcW w:w="1964" w:type="dxa"/>
            <w:vAlign w:val="center"/>
          </w:tcPr>
          <w:p w14:paraId="40C99AB0">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6372" w:type="dxa"/>
            <w:vAlign w:val="center"/>
          </w:tcPr>
          <w:p w14:paraId="1140226A">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一般债券资金及业主自筹</w:t>
            </w:r>
          </w:p>
        </w:tc>
      </w:tr>
      <w:tr w14:paraId="6440D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5A022C9">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1.2.2</w:t>
            </w:r>
          </w:p>
        </w:tc>
        <w:tc>
          <w:tcPr>
            <w:tcW w:w="1964" w:type="dxa"/>
            <w:vAlign w:val="center"/>
          </w:tcPr>
          <w:p w14:paraId="1B636525">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出资比例</w:t>
            </w:r>
          </w:p>
        </w:tc>
        <w:tc>
          <w:tcPr>
            <w:tcW w:w="6372" w:type="dxa"/>
            <w:vAlign w:val="center"/>
          </w:tcPr>
          <w:p w14:paraId="4F2BF41D">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100%</w:t>
            </w:r>
          </w:p>
        </w:tc>
      </w:tr>
      <w:tr w14:paraId="00524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6309544">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1.2.3</w:t>
            </w:r>
          </w:p>
        </w:tc>
        <w:tc>
          <w:tcPr>
            <w:tcW w:w="1964" w:type="dxa"/>
            <w:vAlign w:val="center"/>
          </w:tcPr>
          <w:p w14:paraId="30DB0E8C">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资金落实情况</w:t>
            </w:r>
          </w:p>
        </w:tc>
        <w:tc>
          <w:tcPr>
            <w:tcW w:w="6372" w:type="dxa"/>
            <w:vAlign w:val="center"/>
          </w:tcPr>
          <w:p w14:paraId="5EC9D737">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已落实</w:t>
            </w:r>
          </w:p>
        </w:tc>
      </w:tr>
      <w:tr w14:paraId="599BA4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FAD6ED7">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1.3.1</w:t>
            </w:r>
          </w:p>
        </w:tc>
        <w:tc>
          <w:tcPr>
            <w:tcW w:w="1964" w:type="dxa"/>
            <w:vAlign w:val="center"/>
          </w:tcPr>
          <w:p w14:paraId="6B823460">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比选范围</w:t>
            </w:r>
          </w:p>
        </w:tc>
        <w:tc>
          <w:tcPr>
            <w:tcW w:w="6372" w:type="dxa"/>
            <w:vAlign w:val="center"/>
          </w:tcPr>
          <w:p w14:paraId="7D204247">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对本工程提供全过程跟踪审计，包含但不限于：施工方案的经济评价、设计变更的经济分析、变更审核、参与施工阶段的现场计量及其审核、现场签证及其审核、新增项目的价格审核及评价、建筑材料认（审）价、工程进度款审核、专业分包造价控制、工程索赔和反索赔咨询、有关工程造价信息及法规咨询、与本工程有关的其他采购事宜限价编制、完工后的结算审核等与造价控制有关的其他服务工作及配合项目审计等工作，详见合同约定。</w:t>
            </w:r>
          </w:p>
        </w:tc>
      </w:tr>
      <w:tr w14:paraId="3C64E0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2FA8685">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1.3.2</w:t>
            </w:r>
          </w:p>
        </w:tc>
        <w:tc>
          <w:tcPr>
            <w:tcW w:w="1964" w:type="dxa"/>
            <w:vAlign w:val="center"/>
          </w:tcPr>
          <w:p w14:paraId="20077BC7">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服务期</w:t>
            </w:r>
          </w:p>
        </w:tc>
        <w:tc>
          <w:tcPr>
            <w:tcW w:w="6372" w:type="dxa"/>
            <w:vAlign w:val="center"/>
          </w:tcPr>
          <w:p w14:paraId="5A244481">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本项目服务周期自合同签订之日开始至工程竣工验收及结算审计完成。</w:t>
            </w:r>
          </w:p>
        </w:tc>
      </w:tr>
      <w:tr w14:paraId="2E6A5D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4F54998">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1.3.3</w:t>
            </w:r>
          </w:p>
        </w:tc>
        <w:tc>
          <w:tcPr>
            <w:tcW w:w="1964" w:type="dxa"/>
            <w:vAlign w:val="center"/>
          </w:tcPr>
          <w:p w14:paraId="5114F607">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质量要求</w:t>
            </w:r>
          </w:p>
        </w:tc>
        <w:tc>
          <w:tcPr>
            <w:tcW w:w="6372" w:type="dxa"/>
            <w:vAlign w:val="center"/>
          </w:tcPr>
          <w:p w14:paraId="2C2F5205">
            <w:pPr>
              <w:snapToGrid w:val="0"/>
              <w:spacing w:line="400" w:lineRule="exact"/>
              <w:ind w:firstLine="420" w:firstLineChars="200"/>
              <w:rPr>
                <w:rFonts w:hint="eastAsia" w:ascii="宋体" w:hAnsi="宋体"/>
                <w:color w:val="auto"/>
                <w:szCs w:val="21"/>
                <w:highlight w:val="none"/>
              </w:rPr>
            </w:pPr>
            <w:r>
              <w:rPr>
                <w:rFonts w:hint="eastAsia" w:ascii="宋体" w:hAnsi="宋体" w:cs="宋体"/>
                <w:color w:val="auto"/>
                <w:szCs w:val="21"/>
                <w:highlight w:val="none"/>
              </w:rPr>
              <w:t>达到国家现行有关服务质量规范要求，并达到合格标准。</w:t>
            </w:r>
          </w:p>
        </w:tc>
      </w:tr>
      <w:tr w14:paraId="1B3171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Align w:val="center"/>
          </w:tcPr>
          <w:p w14:paraId="419ADFEC">
            <w:pPr>
              <w:snapToGrid w:val="0"/>
              <w:spacing w:line="400" w:lineRule="exact"/>
              <w:jc w:val="center"/>
              <w:rPr>
                <w:rFonts w:hint="eastAsia" w:ascii="宋体" w:hAnsi="宋体" w:cs="宋体"/>
                <w:color w:val="auto"/>
                <w:kern w:val="0"/>
                <w:szCs w:val="21"/>
                <w:highlight w:val="none"/>
              </w:rPr>
            </w:pPr>
          </w:p>
          <w:p w14:paraId="6D8D266A">
            <w:pPr>
              <w:snapToGrid w:val="0"/>
              <w:spacing w:line="400" w:lineRule="exact"/>
              <w:jc w:val="center"/>
              <w:rPr>
                <w:rFonts w:hint="eastAsia" w:ascii="宋体" w:hAnsi="宋体" w:cs="宋体"/>
                <w:color w:val="auto"/>
                <w:kern w:val="0"/>
                <w:szCs w:val="21"/>
                <w:highlight w:val="none"/>
              </w:rPr>
            </w:pPr>
          </w:p>
          <w:p w14:paraId="5B07ADDD">
            <w:pPr>
              <w:snapToGrid w:val="0"/>
              <w:spacing w:line="400" w:lineRule="exact"/>
              <w:jc w:val="center"/>
              <w:rPr>
                <w:rFonts w:hint="eastAsia" w:ascii="宋体" w:hAnsi="宋体" w:cs="宋体"/>
                <w:color w:val="auto"/>
                <w:kern w:val="0"/>
                <w:szCs w:val="21"/>
                <w:highlight w:val="none"/>
              </w:rPr>
            </w:pPr>
          </w:p>
          <w:p w14:paraId="50A5CCC7">
            <w:pPr>
              <w:snapToGrid w:val="0"/>
              <w:spacing w:line="400" w:lineRule="exact"/>
              <w:jc w:val="center"/>
              <w:rPr>
                <w:rFonts w:hint="eastAsia" w:ascii="宋体" w:hAnsi="宋体" w:cs="宋体"/>
                <w:color w:val="auto"/>
                <w:kern w:val="0"/>
                <w:szCs w:val="21"/>
                <w:highlight w:val="none"/>
              </w:rPr>
            </w:pPr>
          </w:p>
          <w:p w14:paraId="03ADD1CD">
            <w:pPr>
              <w:snapToGrid w:val="0"/>
              <w:spacing w:line="400" w:lineRule="exact"/>
              <w:jc w:val="center"/>
              <w:rPr>
                <w:rFonts w:hint="eastAsia" w:ascii="宋体" w:hAnsi="宋体" w:cs="宋体"/>
                <w:color w:val="auto"/>
                <w:kern w:val="0"/>
                <w:szCs w:val="21"/>
                <w:highlight w:val="none"/>
              </w:rPr>
            </w:pPr>
          </w:p>
          <w:p w14:paraId="3E566157">
            <w:pPr>
              <w:snapToGrid w:val="0"/>
              <w:spacing w:line="400" w:lineRule="exact"/>
              <w:jc w:val="center"/>
              <w:rPr>
                <w:rFonts w:hint="eastAsia" w:ascii="宋体" w:hAnsi="宋体" w:cs="宋体"/>
                <w:color w:val="auto"/>
                <w:kern w:val="0"/>
                <w:szCs w:val="21"/>
                <w:highlight w:val="none"/>
              </w:rPr>
            </w:pPr>
          </w:p>
          <w:p w14:paraId="12E12578">
            <w:pPr>
              <w:snapToGrid w:val="0"/>
              <w:spacing w:line="400" w:lineRule="exact"/>
              <w:jc w:val="center"/>
              <w:rPr>
                <w:rFonts w:hint="eastAsia" w:ascii="宋体" w:hAnsi="宋体" w:cs="宋体"/>
                <w:color w:val="auto"/>
                <w:kern w:val="0"/>
                <w:szCs w:val="21"/>
                <w:highlight w:val="none"/>
              </w:rPr>
            </w:pPr>
          </w:p>
          <w:p w14:paraId="62671E6B">
            <w:pPr>
              <w:snapToGrid w:val="0"/>
              <w:spacing w:line="400" w:lineRule="exact"/>
              <w:jc w:val="center"/>
              <w:rPr>
                <w:rFonts w:hint="eastAsia" w:ascii="宋体" w:hAnsi="宋体" w:cs="宋体"/>
                <w:color w:val="auto"/>
                <w:kern w:val="0"/>
                <w:szCs w:val="21"/>
                <w:highlight w:val="none"/>
              </w:rPr>
            </w:pPr>
          </w:p>
          <w:p w14:paraId="2906E70F">
            <w:pPr>
              <w:snapToGrid w:val="0"/>
              <w:spacing w:line="400" w:lineRule="exact"/>
              <w:jc w:val="center"/>
              <w:rPr>
                <w:rFonts w:hint="eastAsia" w:ascii="宋体" w:hAnsi="宋体" w:cs="宋体"/>
                <w:color w:val="auto"/>
                <w:kern w:val="0"/>
                <w:szCs w:val="21"/>
                <w:highlight w:val="none"/>
              </w:rPr>
            </w:pPr>
          </w:p>
          <w:p w14:paraId="08DAEB6A">
            <w:pPr>
              <w:snapToGrid w:val="0"/>
              <w:spacing w:line="400" w:lineRule="exact"/>
              <w:jc w:val="center"/>
              <w:rPr>
                <w:rFonts w:hint="eastAsia" w:ascii="宋体" w:hAnsi="宋体" w:cs="宋体"/>
                <w:color w:val="auto"/>
                <w:kern w:val="0"/>
                <w:szCs w:val="21"/>
                <w:highlight w:val="none"/>
              </w:rPr>
            </w:pPr>
          </w:p>
          <w:p w14:paraId="5186077D">
            <w:pPr>
              <w:snapToGrid w:val="0"/>
              <w:spacing w:line="400" w:lineRule="exact"/>
              <w:jc w:val="center"/>
              <w:rPr>
                <w:rFonts w:hint="eastAsia" w:ascii="宋体" w:hAnsi="宋体" w:cs="宋体"/>
                <w:color w:val="auto"/>
                <w:kern w:val="0"/>
                <w:szCs w:val="21"/>
                <w:highlight w:val="none"/>
              </w:rPr>
            </w:pPr>
          </w:p>
          <w:p w14:paraId="1DDA3947">
            <w:pPr>
              <w:snapToGrid w:val="0"/>
              <w:spacing w:line="400" w:lineRule="exact"/>
              <w:jc w:val="center"/>
              <w:rPr>
                <w:rFonts w:hint="eastAsia" w:ascii="宋体" w:hAnsi="宋体" w:cs="宋体"/>
                <w:color w:val="auto"/>
                <w:kern w:val="0"/>
                <w:szCs w:val="21"/>
                <w:highlight w:val="none"/>
              </w:rPr>
            </w:pPr>
          </w:p>
          <w:p w14:paraId="57D41DBA">
            <w:pPr>
              <w:snapToGrid w:val="0"/>
              <w:spacing w:line="400" w:lineRule="exact"/>
              <w:jc w:val="center"/>
              <w:rPr>
                <w:rFonts w:hint="eastAsia" w:ascii="宋体" w:hAnsi="宋体" w:cs="宋体"/>
                <w:color w:val="auto"/>
                <w:kern w:val="0"/>
                <w:szCs w:val="21"/>
                <w:highlight w:val="none"/>
              </w:rPr>
            </w:pPr>
          </w:p>
          <w:p w14:paraId="7F85469A">
            <w:pPr>
              <w:snapToGrid w:val="0"/>
              <w:spacing w:line="400" w:lineRule="exact"/>
              <w:jc w:val="center"/>
              <w:rPr>
                <w:rFonts w:hint="eastAsia" w:ascii="宋体" w:hAnsi="宋体" w:cs="宋体"/>
                <w:color w:val="auto"/>
                <w:kern w:val="0"/>
                <w:szCs w:val="21"/>
                <w:highlight w:val="none"/>
              </w:rPr>
            </w:pPr>
          </w:p>
          <w:p w14:paraId="36F28093">
            <w:pPr>
              <w:snapToGrid w:val="0"/>
              <w:spacing w:line="400" w:lineRule="exact"/>
              <w:jc w:val="center"/>
              <w:rPr>
                <w:rFonts w:hint="eastAsia" w:ascii="宋体" w:hAnsi="宋体" w:cs="宋体"/>
                <w:color w:val="auto"/>
                <w:kern w:val="0"/>
                <w:szCs w:val="21"/>
                <w:highlight w:val="none"/>
              </w:rPr>
            </w:pPr>
          </w:p>
          <w:p w14:paraId="103B6058">
            <w:pPr>
              <w:snapToGrid w:val="0"/>
              <w:spacing w:line="400" w:lineRule="exact"/>
              <w:jc w:val="center"/>
              <w:rPr>
                <w:rFonts w:hint="eastAsia" w:ascii="宋体" w:hAnsi="宋体" w:cs="宋体"/>
                <w:color w:val="auto"/>
                <w:kern w:val="0"/>
                <w:szCs w:val="21"/>
                <w:highlight w:val="none"/>
              </w:rPr>
            </w:pPr>
          </w:p>
          <w:p w14:paraId="50EBDABF">
            <w:pPr>
              <w:snapToGrid w:val="0"/>
              <w:spacing w:line="400" w:lineRule="exact"/>
              <w:jc w:val="center"/>
              <w:rPr>
                <w:rFonts w:hint="eastAsia" w:ascii="宋体" w:hAnsi="宋体" w:cs="宋体"/>
                <w:color w:val="auto"/>
                <w:kern w:val="0"/>
                <w:szCs w:val="21"/>
                <w:highlight w:val="none"/>
              </w:rPr>
            </w:pPr>
          </w:p>
          <w:p w14:paraId="0333B5DF">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1.4.1</w:t>
            </w:r>
          </w:p>
          <w:p w14:paraId="71D4CF60">
            <w:pPr>
              <w:snapToGrid w:val="0"/>
              <w:spacing w:line="400" w:lineRule="exact"/>
              <w:jc w:val="center"/>
              <w:rPr>
                <w:rFonts w:hint="eastAsia" w:ascii="宋体" w:hAnsi="宋体" w:cs="宋体"/>
                <w:color w:val="auto"/>
                <w:kern w:val="0"/>
                <w:szCs w:val="21"/>
                <w:highlight w:val="none"/>
              </w:rPr>
            </w:pPr>
          </w:p>
          <w:p w14:paraId="0C248BE5">
            <w:pPr>
              <w:snapToGrid w:val="0"/>
              <w:spacing w:line="400" w:lineRule="exact"/>
              <w:jc w:val="center"/>
              <w:rPr>
                <w:rFonts w:hint="eastAsia" w:ascii="宋体" w:hAnsi="宋体" w:cs="宋体"/>
                <w:color w:val="auto"/>
                <w:kern w:val="0"/>
                <w:szCs w:val="21"/>
                <w:highlight w:val="none"/>
              </w:rPr>
            </w:pPr>
          </w:p>
          <w:p w14:paraId="71177787">
            <w:pPr>
              <w:snapToGrid w:val="0"/>
              <w:spacing w:line="400" w:lineRule="exact"/>
              <w:jc w:val="center"/>
              <w:rPr>
                <w:rFonts w:hint="eastAsia" w:ascii="宋体" w:hAnsi="宋体" w:cs="宋体"/>
                <w:color w:val="auto"/>
                <w:kern w:val="0"/>
                <w:szCs w:val="21"/>
                <w:highlight w:val="none"/>
              </w:rPr>
            </w:pPr>
          </w:p>
          <w:p w14:paraId="2C515DBF">
            <w:pPr>
              <w:snapToGrid w:val="0"/>
              <w:spacing w:line="400" w:lineRule="exact"/>
              <w:jc w:val="center"/>
              <w:rPr>
                <w:rFonts w:hint="eastAsia" w:ascii="宋体" w:hAnsi="宋体" w:cs="宋体"/>
                <w:color w:val="auto"/>
                <w:kern w:val="0"/>
                <w:szCs w:val="21"/>
                <w:highlight w:val="none"/>
              </w:rPr>
            </w:pPr>
          </w:p>
          <w:p w14:paraId="48862AD9">
            <w:pPr>
              <w:snapToGrid w:val="0"/>
              <w:spacing w:line="400" w:lineRule="exact"/>
              <w:jc w:val="center"/>
              <w:rPr>
                <w:rFonts w:hint="eastAsia" w:ascii="宋体" w:hAnsi="宋体" w:cs="宋体"/>
                <w:color w:val="auto"/>
                <w:kern w:val="0"/>
                <w:szCs w:val="21"/>
                <w:highlight w:val="none"/>
              </w:rPr>
            </w:pPr>
          </w:p>
          <w:p w14:paraId="5E26A517">
            <w:pPr>
              <w:snapToGrid w:val="0"/>
              <w:spacing w:line="400" w:lineRule="exact"/>
              <w:jc w:val="center"/>
              <w:rPr>
                <w:rFonts w:hint="eastAsia" w:ascii="宋体" w:hAnsi="宋体" w:cs="宋体"/>
                <w:color w:val="auto"/>
                <w:kern w:val="0"/>
                <w:szCs w:val="21"/>
                <w:highlight w:val="none"/>
              </w:rPr>
            </w:pPr>
          </w:p>
          <w:p w14:paraId="0B985088">
            <w:pPr>
              <w:snapToGrid w:val="0"/>
              <w:spacing w:line="400" w:lineRule="exact"/>
              <w:jc w:val="center"/>
              <w:rPr>
                <w:rFonts w:hint="eastAsia" w:ascii="宋体" w:hAnsi="宋体" w:cs="宋体"/>
                <w:color w:val="auto"/>
                <w:kern w:val="0"/>
                <w:szCs w:val="21"/>
                <w:highlight w:val="none"/>
              </w:rPr>
            </w:pPr>
          </w:p>
          <w:p w14:paraId="6D561778">
            <w:pPr>
              <w:snapToGrid w:val="0"/>
              <w:spacing w:line="400" w:lineRule="exact"/>
              <w:jc w:val="center"/>
              <w:rPr>
                <w:rFonts w:hint="eastAsia" w:ascii="宋体" w:hAnsi="宋体" w:cs="宋体"/>
                <w:color w:val="auto"/>
                <w:kern w:val="0"/>
                <w:szCs w:val="21"/>
                <w:highlight w:val="none"/>
              </w:rPr>
            </w:pPr>
          </w:p>
          <w:p w14:paraId="1ACF3AED">
            <w:pPr>
              <w:pStyle w:val="8"/>
              <w:rPr>
                <w:rFonts w:hint="eastAsia" w:ascii="宋体" w:hAnsi="宋体" w:cs="宋体"/>
                <w:color w:val="auto"/>
                <w:kern w:val="0"/>
                <w:szCs w:val="21"/>
                <w:highlight w:val="none"/>
              </w:rPr>
            </w:pPr>
          </w:p>
          <w:p w14:paraId="1B1451F8">
            <w:pPr>
              <w:rPr>
                <w:rFonts w:hint="eastAsia" w:ascii="宋体" w:hAnsi="宋体" w:cs="宋体"/>
                <w:color w:val="auto"/>
                <w:kern w:val="0"/>
                <w:szCs w:val="21"/>
                <w:highlight w:val="none"/>
              </w:rPr>
            </w:pPr>
          </w:p>
          <w:p w14:paraId="75994F96">
            <w:pPr>
              <w:pStyle w:val="8"/>
              <w:rPr>
                <w:rFonts w:hint="eastAsia" w:ascii="宋体" w:hAnsi="宋体" w:cs="宋体"/>
                <w:color w:val="auto"/>
                <w:kern w:val="0"/>
                <w:szCs w:val="21"/>
                <w:highlight w:val="none"/>
              </w:rPr>
            </w:pPr>
          </w:p>
          <w:p w14:paraId="158F2C0D">
            <w:pPr>
              <w:rPr>
                <w:rFonts w:hint="eastAsia" w:ascii="宋体" w:hAnsi="宋体" w:cs="宋体"/>
                <w:color w:val="auto"/>
                <w:kern w:val="0"/>
                <w:szCs w:val="21"/>
                <w:highlight w:val="none"/>
              </w:rPr>
            </w:pPr>
          </w:p>
          <w:p w14:paraId="30999A42">
            <w:pPr>
              <w:pStyle w:val="8"/>
              <w:rPr>
                <w:rFonts w:hint="eastAsia" w:ascii="宋体" w:hAnsi="宋体" w:cs="宋体"/>
                <w:color w:val="auto"/>
                <w:kern w:val="0"/>
                <w:szCs w:val="21"/>
                <w:highlight w:val="none"/>
              </w:rPr>
            </w:pPr>
          </w:p>
          <w:p w14:paraId="0FBF9DE9">
            <w:pPr>
              <w:rPr>
                <w:rFonts w:hint="eastAsia" w:ascii="宋体" w:hAnsi="宋体" w:cs="宋体"/>
                <w:color w:val="auto"/>
                <w:kern w:val="0"/>
                <w:szCs w:val="21"/>
                <w:highlight w:val="none"/>
              </w:rPr>
            </w:pPr>
          </w:p>
          <w:p w14:paraId="4519B582">
            <w:pPr>
              <w:pStyle w:val="8"/>
              <w:rPr>
                <w:rFonts w:hint="eastAsia" w:ascii="宋体" w:hAnsi="宋体"/>
                <w:color w:val="auto"/>
                <w:highlight w:val="none"/>
              </w:rPr>
            </w:pPr>
          </w:p>
          <w:p w14:paraId="0655091B">
            <w:pPr>
              <w:snapToGrid w:val="0"/>
              <w:spacing w:line="400" w:lineRule="exact"/>
              <w:jc w:val="center"/>
              <w:rPr>
                <w:rFonts w:hint="eastAsia" w:ascii="宋体" w:hAnsi="宋体" w:cs="宋体"/>
                <w:color w:val="auto"/>
                <w:kern w:val="0"/>
                <w:szCs w:val="21"/>
                <w:highlight w:val="none"/>
              </w:rPr>
            </w:pPr>
          </w:p>
          <w:p w14:paraId="074B123A">
            <w:pPr>
              <w:snapToGrid w:val="0"/>
              <w:spacing w:line="400" w:lineRule="exact"/>
              <w:jc w:val="center"/>
              <w:rPr>
                <w:rFonts w:hint="eastAsia" w:ascii="宋体" w:hAnsi="宋体" w:cs="宋体"/>
                <w:color w:val="auto"/>
                <w:kern w:val="0"/>
                <w:szCs w:val="21"/>
                <w:highlight w:val="none"/>
              </w:rPr>
            </w:pPr>
          </w:p>
          <w:p w14:paraId="6606DE22">
            <w:pPr>
              <w:snapToGrid w:val="0"/>
              <w:spacing w:line="400" w:lineRule="exact"/>
              <w:jc w:val="center"/>
              <w:rPr>
                <w:rFonts w:hint="eastAsia" w:ascii="宋体" w:hAnsi="宋体" w:cs="宋体"/>
                <w:color w:val="auto"/>
                <w:kern w:val="0"/>
                <w:szCs w:val="21"/>
                <w:highlight w:val="none"/>
              </w:rPr>
            </w:pPr>
          </w:p>
          <w:p w14:paraId="3084BEDB">
            <w:pPr>
              <w:snapToGrid w:val="0"/>
              <w:spacing w:line="400" w:lineRule="exact"/>
              <w:jc w:val="center"/>
              <w:rPr>
                <w:rFonts w:hint="eastAsia" w:ascii="宋体" w:hAnsi="宋体" w:cs="宋体"/>
                <w:color w:val="auto"/>
                <w:kern w:val="0"/>
                <w:szCs w:val="21"/>
                <w:highlight w:val="none"/>
              </w:rPr>
            </w:pPr>
          </w:p>
          <w:p w14:paraId="6F9A9EBD">
            <w:pPr>
              <w:pStyle w:val="8"/>
              <w:rPr>
                <w:rFonts w:hint="eastAsia" w:ascii="宋体" w:hAnsi="宋体" w:cs="宋体"/>
                <w:color w:val="auto"/>
                <w:kern w:val="0"/>
                <w:szCs w:val="21"/>
                <w:highlight w:val="none"/>
              </w:rPr>
            </w:pPr>
          </w:p>
          <w:p w14:paraId="19C8A7EE">
            <w:pPr>
              <w:rPr>
                <w:rFonts w:hint="eastAsia" w:ascii="宋体" w:hAnsi="宋体" w:cs="宋体"/>
                <w:color w:val="auto"/>
                <w:kern w:val="0"/>
                <w:szCs w:val="21"/>
                <w:highlight w:val="none"/>
              </w:rPr>
            </w:pPr>
          </w:p>
          <w:p w14:paraId="41DF2543">
            <w:pPr>
              <w:pStyle w:val="8"/>
              <w:rPr>
                <w:rFonts w:hint="eastAsia" w:ascii="宋体" w:hAnsi="宋体" w:cs="宋体"/>
                <w:color w:val="auto"/>
                <w:kern w:val="0"/>
                <w:szCs w:val="21"/>
                <w:highlight w:val="none"/>
              </w:rPr>
            </w:pPr>
          </w:p>
          <w:p w14:paraId="28A53FFA">
            <w:pPr>
              <w:rPr>
                <w:rFonts w:hint="eastAsia" w:ascii="宋体" w:hAnsi="宋体" w:cs="宋体"/>
                <w:color w:val="auto"/>
                <w:kern w:val="0"/>
                <w:szCs w:val="21"/>
                <w:highlight w:val="none"/>
              </w:rPr>
            </w:pPr>
          </w:p>
          <w:p w14:paraId="66941BFB">
            <w:pPr>
              <w:snapToGrid w:val="0"/>
              <w:spacing w:line="400" w:lineRule="exact"/>
              <w:rPr>
                <w:rFonts w:hint="eastAsia" w:ascii="宋体" w:hAnsi="宋体" w:cs="宋体"/>
                <w:color w:val="auto"/>
                <w:kern w:val="0"/>
                <w:szCs w:val="21"/>
                <w:highlight w:val="none"/>
              </w:rPr>
            </w:pPr>
          </w:p>
        </w:tc>
        <w:tc>
          <w:tcPr>
            <w:tcW w:w="1964" w:type="dxa"/>
            <w:vAlign w:val="center"/>
          </w:tcPr>
          <w:p w14:paraId="5B0254EF">
            <w:pPr>
              <w:snapToGrid w:val="0"/>
              <w:spacing w:line="400" w:lineRule="exact"/>
              <w:jc w:val="center"/>
              <w:rPr>
                <w:rFonts w:hint="eastAsia" w:ascii="宋体" w:hAnsi="宋体" w:cs="宋体"/>
                <w:color w:val="auto"/>
                <w:kern w:val="0"/>
                <w:szCs w:val="21"/>
                <w:highlight w:val="none"/>
              </w:rPr>
            </w:pPr>
          </w:p>
          <w:p w14:paraId="03812C1F">
            <w:pPr>
              <w:snapToGrid w:val="0"/>
              <w:spacing w:line="400" w:lineRule="exact"/>
              <w:jc w:val="center"/>
              <w:rPr>
                <w:rFonts w:hint="eastAsia" w:ascii="宋体" w:hAnsi="宋体" w:cs="宋体"/>
                <w:color w:val="auto"/>
                <w:kern w:val="0"/>
                <w:szCs w:val="21"/>
                <w:highlight w:val="none"/>
              </w:rPr>
            </w:pPr>
          </w:p>
          <w:p w14:paraId="0D8645D5">
            <w:pPr>
              <w:snapToGrid w:val="0"/>
              <w:spacing w:line="400" w:lineRule="exact"/>
              <w:jc w:val="center"/>
              <w:rPr>
                <w:rFonts w:hint="eastAsia" w:ascii="宋体" w:hAnsi="宋体" w:cs="宋体"/>
                <w:color w:val="auto"/>
                <w:kern w:val="0"/>
                <w:szCs w:val="21"/>
                <w:highlight w:val="none"/>
              </w:rPr>
            </w:pPr>
          </w:p>
          <w:p w14:paraId="7331A211">
            <w:pPr>
              <w:snapToGrid w:val="0"/>
              <w:spacing w:line="400" w:lineRule="exact"/>
              <w:jc w:val="center"/>
              <w:rPr>
                <w:rFonts w:hint="eastAsia" w:ascii="宋体" w:hAnsi="宋体" w:cs="宋体"/>
                <w:color w:val="auto"/>
                <w:kern w:val="0"/>
                <w:szCs w:val="21"/>
                <w:highlight w:val="none"/>
              </w:rPr>
            </w:pPr>
          </w:p>
          <w:p w14:paraId="52234E07">
            <w:pPr>
              <w:snapToGrid w:val="0"/>
              <w:spacing w:line="400" w:lineRule="exact"/>
              <w:jc w:val="center"/>
              <w:rPr>
                <w:rFonts w:hint="eastAsia" w:ascii="宋体" w:hAnsi="宋体" w:cs="宋体"/>
                <w:color w:val="auto"/>
                <w:kern w:val="0"/>
                <w:szCs w:val="21"/>
                <w:highlight w:val="none"/>
              </w:rPr>
            </w:pPr>
          </w:p>
          <w:p w14:paraId="2F753318">
            <w:pPr>
              <w:snapToGrid w:val="0"/>
              <w:spacing w:line="400" w:lineRule="exact"/>
              <w:jc w:val="center"/>
              <w:rPr>
                <w:rFonts w:hint="eastAsia" w:ascii="宋体" w:hAnsi="宋体" w:cs="宋体"/>
                <w:color w:val="auto"/>
                <w:kern w:val="0"/>
                <w:szCs w:val="21"/>
                <w:highlight w:val="none"/>
              </w:rPr>
            </w:pPr>
          </w:p>
          <w:p w14:paraId="3E35DD4F">
            <w:pPr>
              <w:snapToGrid w:val="0"/>
              <w:spacing w:line="400" w:lineRule="exact"/>
              <w:jc w:val="center"/>
              <w:rPr>
                <w:rFonts w:hint="eastAsia" w:ascii="宋体" w:hAnsi="宋体" w:cs="宋体"/>
                <w:color w:val="auto"/>
                <w:kern w:val="0"/>
                <w:szCs w:val="21"/>
                <w:highlight w:val="none"/>
              </w:rPr>
            </w:pPr>
          </w:p>
          <w:p w14:paraId="33780561">
            <w:pPr>
              <w:snapToGrid w:val="0"/>
              <w:spacing w:line="400" w:lineRule="exact"/>
              <w:jc w:val="center"/>
              <w:rPr>
                <w:rFonts w:hint="eastAsia" w:ascii="宋体" w:hAnsi="宋体" w:cs="宋体"/>
                <w:color w:val="auto"/>
                <w:kern w:val="0"/>
                <w:szCs w:val="21"/>
                <w:highlight w:val="none"/>
              </w:rPr>
            </w:pPr>
          </w:p>
          <w:p w14:paraId="1E732060">
            <w:pPr>
              <w:snapToGrid w:val="0"/>
              <w:spacing w:line="400" w:lineRule="exact"/>
              <w:jc w:val="center"/>
              <w:rPr>
                <w:rFonts w:hint="eastAsia" w:ascii="宋体" w:hAnsi="宋体" w:cs="宋体"/>
                <w:color w:val="auto"/>
                <w:kern w:val="0"/>
                <w:szCs w:val="21"/>
                <w:highlight w:val="none"/>
              </w:rPr>
            </w:pPr>
          </w:p>
          <w:p w14:paraId="41ADB6F3">
            <w:pPr>
              <w:snapToGrid w:val="0"/>
              <w:spacing w:line="400" w:lineRule="exact"/>
              <w:jc w:val="center"/>
              <w:rPr>
                <w:rFonts w:hint="eastAsia" w:ascii="宋体" w:hAnsi="宋体" w:cs="宋体"/>
                <w:color w:val="auto"/>
                <w:kern w:val="0"/>
                <w:szCs w:val="21"/>
                <w:highlight w:val="none"/>
              </w:rPr>
            </w:pPr>
          </w:p>
          <w:p w14:paraId="40506B55">
            <w:pPr>
              <w:snapToGrid w:val="0"/>
              <w:spacing w:line="400" w:lineRule="exact"/>
              <w:jc w:val="center"/>
              <w:rPr>
                <w:rFonts w:hint="eastAsia" w:ascii="宋体" w:hAnsi="宋体" w:cs="宋体"/>
                <w:color w:val="auto"/>
                <w:kern w:val="0"/>
                <w:szCs w:val="21"/>
                <w:highlight w:val="none"/>
              </w:rPr>
            </w:pPr>
          </w:p>
          <w:p w14:paraId="68327AA9">
            <w:pPr>
              <w:snapToGrid w:val="0"/>
              <w:spacing w:line="400" w:lineRule="exact"/>
              <w:jc w:val="center"/>
              <w:rPr>
                <w:rFonts w:hint="eastAsia" w:ascii="宋体" w:hAnsi="宋体" w:cs="宋体"/>
                <w:color w:val="auto"/>
                <w:kern w:val="0"/>
                <w:szCs w:val="21"/>
                <w:highlight w:val="none"/>
              </w:rPr>
            </w:pPr>
          </w:p>
          <w:p w14:paraId="73989CFA">
            <w:pPr>
              <w:snapToGrid w:val="0"/>
              <w:spacing w:line="400" w:lineRule="exact"/>
              <w:jc w:val="center"/>
              <w:rPr>
                <w:rFonts w:hint="eastAsia" w:ascii="宋体" w:hAnsi="宋体" w:cs="宋体"/>
                <w:color w:val="auto"/>
                <w:kern w:val="0"/>
                <w:szCs w:val="21"/>
                <w:highlight w:val="none"/>
              </w:rPr>
            </w:pPr>
          </w:p>
          <w:p w14:paraId="40CB1F20">
            <w:pPr>
              <w:snapToGrid w:val="0"/>
              <w:spacing w:line="400" w:lineRule="exact"/>
              <w:jc w:val="center"/>
              <w:rPr>
                <w:rFonts w:hint="eastAsia" w:ascii="宋体" w:hAnsi="宋体" w:cs="宋体"/>
                <w:color w:val="auto"/>
                <w:kern w:val="0"/>
                <w:szCs w:val="21"/>
                <w:highlight w:val="none"/>
              </w:rPr>
            </w:pPr>
          </w:p>
          <w:p w14:paraId="4B75F5A7">
            <w:pPr>
              <w:snapToGrid w:val="0"/>
              <w:spacing w:line="400" w:lineRule="exact"/>
              <w:jc w:val="center"/>
              <w:rPr>
                <w:rFonts w:hint="eastAsia" w:ascii="宋体" w:hAnsi="宋体" w:cs="宋体"/>
                <w:color w:val="auto"/>
                <w:kern w:val="0"/>
                <w:szCs w:val="21"/>
                <w:highlight w:val="none"/>
              </w:rPr>
            </w:pPr>
          </w:p>
          <w:p w14:paraId="075DD825">
            <w:pPr>
              <w:snapToGrid w:val="0"/>
              <w:spacing w:line="400" w:lineRule="exact"/>
              <w:jc w:val="center"/>
              <w:rPr>
                <w:rFonts w:hint="eastAsia" w:ascii="宋体" w:hAnsi="宋体" w:cs="宋体"/>
                <w:color w:val="auto"/>
                <w:kern w:val="0"/>
                <w:szCs w:val="21"/>
                <w:highlight w:val="none"/>
              </w:rPr>
            </w:pPr>
          </w:p>
          <w:p w14:paraId="3639BA11">
            <w:pPr>
              <w:snapToGrid w:val="0"/>
              <w:spacing w:line="400" w:lineRule="exact"/>
              <w:jc w:val="center"/>
              <w:rPr>
                <w:rFonts w:hint="eastAsia" w:ascii="宋体" w:hAnsi="宋体" w:cs="宋体"/>
                <w:color w:val="auto"/>
                <w:kern w:val="0"/>
                <w:szCs w:val="21"/>
                <w:highlight w:val="none"/>
              </w:rPr>
            </w:pPr>
          </w:p>
          <w:p w14:paraId="5FA3E19C">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竞选人资质条件、能力和信誉</w:t>
            </w:r>
          </w:p>
          <w:p w14:paraId="2D1309CB">
            <w:pPr>
              <w:snapToGrid w:val="0"/>
              <w:spacing w:line="400" w:lineRule="exact"/>
              <w:jc w:val="center"/>
              <w:rPr>
                <w:rFonts w:hint="eastAsia" w:ascii="宋体" w:hAnsi="宋体" w:cs="宋体"/>
                <w:color w:val="auto"/>
                <w:kern w:val="0"/>
                <w:szCs w:val="21"/>
                <w:highlight w:val="none"/>
              </w:rPr>
            </w:pPr>
          </w:p>
          <w:p w14:paraId="4E6B8EB5">
            <w:pPr>
              <w:snapToGrid w:val="0"/>
              <w:spacing w:line="400" w:lineRule="exact"/>
              <w:jc w:val="center"/>
              <w:rPr>
                <w:rFonts w:hint="eastAsia" w:ascii="宋体" w:hAnsi="宋体" w:cs="宋体"/>
                <w:color w:val="auto"/>
                <w:kern w:val="0"/>
                <w:szCs w:val="21"/>
                <w:highlight w:val="none"/>
              </w:rPr>
            </w:pPr>
          </w:p>
          <w:p w14:paraId="0F4E870E">
            <w:pPr>
              <w:snapToGrid w:val="0"/>
              <w:spacing w:line="400" w:lineRule="exact"/>
              <w:jc w:val="center"/>
              <w:rPr>
                <w:rFonts w:hint="eastAsia" w:ascii="宋体" w:hAnsi="宋体" w:cs="宋体"/>
                <w:color w:val="auto"/>
                <w:kern w:val="0"/>
                <w:szCs w:val="21"/>
                <w:highlight w:val="none"/>
              </w:rPr>
            </w:pPr>
          </w:p>
          <w:p w14:paraId="529FDAA2">
            <w:pPr>
              <w:snapToGrid w:val="0"/>
              <w:spacing w:line="400" w:lineRule="exact"/>
              <w:jc w:val="center"/>
              <w:rPr>
                <w:rFonts w:hint="eastAsia" w:ascii="宋体" w:hAnsi="宋体" w:cs="宋体"/>
                <w:color w:val="auto"/>
                <w:kern w:val="0"/>
                <w:szCs w:val="21"/>
                <w:highlight w:val="none"/>
              </w:rPr>
            </w:pPr>
          </w:p>
          <w:p w14:paraId="59935BAE">
            <w:pPr>
              <w:snapToGrid w:val="0"/>
              <w:spacing w:line="400" w:lineRule="exact"/>
              <w:jc w:val="center"/>
              <w:rPr>
                <w:rFonts w:hint="eastAsia" w:ascii="宋体" w:hAnsi="宋体" w:cs="宋体"/>
                <w:color w:val="auto"/>
                <w:kern w:val="0"/>
                <w:szCs w:val="21"/>
                <w:highlight w:val="none"/>
              </w:rPr>
            </w:pPr>
          </w:p>
          <w:p w14:paraId="05311275">
            <w:pPr>
              <w:snapToGrid w:val="0"/>
              <w:spacing w:line="400" w:lineRule="exact"/>
              <w:jc w:val="center"/>
              <w:rPr>
                <w:rFonts w:hint="eastAsia" w:ascii="宋体" w:hAnsi="宋体" w:cs="宋体"/>
                <w:color w:val="auto"/>
                <w:kern w:val="0"/>
                <w:szCs w:val="21"/>
                <w:highlight w:val="none"/>
              </w:rPr>
            </w:pPr>
          </w:p>
          <w:p w14:paraId="469DC9BA">
            <w:pPr>
              <w:pStyle w:val="8"/>
              <w:rPr>
                <w:rFonts w:hint="eastAsia" w:ascii="宋体" w:hAnsi="宋体" w:cs="宋体"/>
                <w:color w:val="auto"/>
                <w:kern w:val="0"/>
                <w:szCs w:val="21"/>
                <w:highlight w:val="none"/>
              </w:rPr>
            </w:pPr>
          </w:p>
          <w:p w14:paraId="2E50B964">
            <w:pPr>
              <w:rPr>
                <w:rFonts w:hint="eastAsia" w:ascii="宋体" w:hAnsi="宋体" w:cs="宋体"/>
                <w:color w:val="auto"/>
                <w:kern w:val="0"/>
                <w:szCs w:val="21"/>
                <w:highlight w:val="none"/>
              </w:rPr>
            </w:pPr>
          </w:p>
          <w:p w14:paraId="69E4FC7B">
            <w:pPr>
              <w:pStyle w:val="8"/>
              <w:rPr>
                <w:rFonts w:hint="eastAsia" w:ascii="宋体" w:hAnsi="宋体" w:cs="宋体"/>
                <w:color w:val="auto"/>
                <w:kern w:val="0"/>
                <w:szCs w:val="21"/>
                <w:highlight w:val="none"/>
              </w:rPr>
            </w:pPr>
          </w:p>
          <w:p w14:paraId="10B6DBA5">
            <w:pPr>
              <w:rPr>
                <w:rFonts w:hint="eastAsia" w:ascii="宋体" w:hAnsi="宋体" w:cs="宋体"/>
                <w:color w:val="auto"/>
                <w:kern w:val="0"/>
                <w:szCs w:val="21"/>
                <w:highlight w:val="none"/>
              </w:rPr>
            </w:pPr>
          </w:p>
          <w:p w14:paraId="5214FE11">
            <w:pPr>
              <w:pStyle w:val="8"/>
              <w:rPr>
                <w:rFonts w:hint="eastAsia" w:ascii="宋体" w:hAnsi="宋体" w:cs="宋体"/>
                <w:color w:val="auto"/>
                <w:kern w:val="0"/>
                <w:szCs w:val="21"/>
                <w:highlight w:val="none"/>
              </w:rPr>
            </w:pPr>
          </w:p>
          <w:p w14:paraId="0A63A3B4">
            <w:pPr>
              <w:rPr>
                <w:rFonts w:hint="eastAsia" w:ascii="宋体" w:hAnsi="宋体" w:cs="宋体"/>
                <w:color w:val="auto"/>
                <w:kern w:val="0"/>
                <w:szCs w:val="21"/>
                <w:highlight w:val="none"/>
              </w:rPr>
            </w:pPr>
          </w:p>
          <w:p w14:paraId="2B8BD57B">
            <w:pPr>
              <w:pStyle w:val="8"/>
              <w:rPr>
                <w:rFonts w:hint="eastAsia" w:ascii="宋体" w:hAnsi="宋体" w:cs="宋体"/>
                <w:color w:val="auto"/>
                <w:kern w:val="0"/>
                <w:szCs w:val="21"/>
                <w:highlight w:val="none"/>
              </w:rPr>
            </w:pPr>
          </w:p>
          <w:p w14:paraId="2E89A627">
            <w:pPr>
              <w:rPr>
                <w:rFonts w:hint="eastAsia" w:ascii="宋体" w:hAnsi="宋体" w:cs="宋体"/>
                <w:color w:val="auto"/>
                <w:kern w:val="0"/>
                <w:szCs w:val="21"/>
                <w:highlight w:val="none"/>
              </w:rPr>
            </w:pPr>
          </w:p>
          <w:p w14:paraId="71B7F12B">
            <w:pPr>
              <w:pStyle w:val="8"/>
              <w:rPr>
                <w:rFonts w:hint="eastAsia" w:ascii="宋体" w:hAnsi="宋体" w:cs="宋体"/>
                <w:color w:val="auto"/>
                <w:kern w:val="0"/>
                <w:szCs w:val="21"/>
                <w:highlight w:val="none"/>
              </w:rPr>
            </w:pPr>
          </w:p>
          <w:p w14:paraId="38ABF801">
            <w:pPr>
              <w:rPr>
                <w:rFonts w:hint="eastAsia" w:ascii="宋体" w:hAnsi="宋体" w:cs="宋体"/>
                <w:color w:val="auto"/>
                <w:kern w:val="0"/>
                <w:szCs w:val="21"/>
                <w:highlight w:val="none"/>
              </w:rPr>
            </w:pPr>
          </w:p>
          <w:p w14:paraId="38562218">
            <w:pPr>
              <w:pStyle w:val="8"/>
              <w:rPr>
                <w:rFonts w:hint="eastAsia" w:ascii="宋体" w:hAnsi="宋体" w:cs="宋体"/>
                <w:color w:val="auto"/>
                <w:kern w:val="0"/>
                <w:szCs w:val="21"/>
                <w:highlight w:val="none"/>
              </w:rPr>
            </w:pPr>
          </w:p>
          <w:p w14:paraId="5B66C37D">
            <w:pPr>
              <w:rPr>
                <w:rFonts w:hint="eastAsia" w:ascii="宋体" w:hAnsi="宋体" w:cs="宋体"/>
                <w:color w:val="auto"/>
                <w:kern w:val="0"/>
                <w:szCs w:val="21"/>
                <w:highlight w:val="none"/>
              </w:rPr>
            </w:pPr>
          </w:p>
          <w:p w14:paraId="10668B46">
            <w:pPr>
              <w:pStyle w:val="8"/>
              <w:rPr>
                <w:rFonts w:hint="eastAsia" w:ascii="宋体" w:hAnsi="宋体"/>
                <w:color w:val="auto"/>
                <w:highlight w:val="none"/>
              </w:rPr>
            </w:pPr>
          </w:p>
          <w:p w14:paraId="48F9AF61">
            <w:pPr>
              <w:snapToGrid w:val="0"/>
              <w:spacing w:line="400" w:lineRule="exact"/>
              <w:jc w:val="center"/>
              <w:rPr>
                <w:rFonts w:hint="eastAsia" w:ascii="宋体" w:hAnsi="宋体" w:cs="宋体"/>
                <w:color w:val="auto"/>
                <w:kern w:val="0"/>
                <w:szCs w:val="21"/>
                <w:highlight w:val="none"/>
              </w:rPr>
            </w:pPr>
          </w:p>
          <w:p w14:paraId="2DCA09DC">
            <w:pPr>
              <w:snapToGrid w:val="0"/>
              <w:spacing w:line="400" w:lineRule="exact"/>
              <w:jc w:val="center"/>
              <w:rPr>
                <w:rFonts w:hint="eastAsia" w:ascii="宋体" w:hAnsi="宋体" w:cs="宋体"/>
                <w:color w:val="auto"/>
                <w:kern w:val="0"/>
                <w:szCs w:val="21"/>
                <w:highlight w:val="none"/>
              </w:rPr>
            </w:pPr>
          </w:p>
          <w:p w14:paraId="3AE90CCC">
            <w:pPr>
              <w:snapToGrid w:val="0"/>
              <w:spacing w:line="400" w:lineRule="exact"/>
              <w:jc w:val="center"/>
              <w:rPr>
                <w:rFonts w:hint="eastAsia" w:ascii="宋体" w:hAnsi="宋体" w:cs="宋体"/>
                <w:color w:val="auto"/>
                <w:kern w:val="0"/>
                <w:szCs w:val="21"/>
                <w:highlight w:val="none"/>
              </w:rPr>
            </w:pPr>
          </w:p>
          <w:p w14:paraId="199CB9B7">
            <w:pPr>
              <w:snapToGrid w:val="0"/>
              <w:spacing w:line="400" w:lineRule="exact"/>
              <w:jc w:val="center"/>
              <w:rPr>
                <w:rFonts w:hint="eastAsia" w:ascii="宋体" w:hAnsi="宋体" w:cs="宋体"/>
                <w:color w:val="auto"/>
                <w:kern w:val="0"/>
                <w:szCs w:val="21"/>
                <w:highlight w:val="none"/>
              </w:rPr>
            </w:pPr>
          </w:p>
          <w:p w14:paraId="2C8D5F86">
            <w:pPr>
              <w:snapToGrid w:val="0"/>
              <w:spacing w:line="400" w:lineRule="exact"/>
              <w:rPr>
                <w:rFonts w:hint="eastAsia" w:ascii="宋体" w:hAnsi="宋体" w:cs="宋体"/>
                <w:color w:val="auto"/>
                <w:kern w:val="0"/>
                <w:szCs w:val="21"/>
                <w:highlight w:val="none"/>
              </w:rPr>
            </w:pPr>
          </w:p>
        </w:tc>
        <w:tc>
          <w:tcPr>
            <w:tcW w:w="6372" w:type="dxa"/>
            <w:vAlign w:val="center"/>
          </w:tcPr>
          <w:p w14:paraId="46965A71">
            <w:pPr>
              <w:snapToGrid w:val="0"/>
              <w:spacing w:line="400" w:lineRule="exact"/>
              <w:ind w:firstLine="420" w:firstLineChars="200"/>
              <w:rPr>
                <w:rFonts w:hint="eastAsia" w:ascii="宋体" w:hAnsi="宋体" w:cs="宋体"/>
                <w:color w:val="auto"/>
                <w:highlight w:val="none"/>
              </w:rPr>
            </w:pPr>
            <w:bookmarkStart w:id="39" w:name="OLE_LINK1"/>
            <w:r>
              <w:rPr>
                <w:rFonts w:hint="eastAsia" w:ascii="宋体" w:hAnsi="宋体" w:cs="宋体"/>
                <w:color w:val="auto"/>
                <w:highlight w:val="none"/>
              </w:rPr>
              <w:t>本次比选实行资格后审，</w:t>
            </w:r>
            <w:bookmarkStart w:id="40" w:name="一是"/>
            <w:bookmarkEnd w:id="40"/>
            <w:r>
              <w:rPr>
                <w:rFonts w:hint="eastAsia" w:ascii="宋体" w:hAnsi="宋体" w:cs="宋体"/>
                <w:color w:val="auto"/>
                <w:highlight w:val="none"/>
              </w:rPr>
              <w:t>竞选人须具备以下资格条件：</w:t>
            </w:r>
          </w:p>
          <w:bookmarkEnd w:id="39"/>
          <w:p w14:paraId="111874D3">
            <w:pPr>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b/>
                <w:color w:val="auto"/>
                <w:szCs w:val="21"/>
                <w:highlight w:val="none"/>
              </w:rPr>
              <w:t>营业执照要求</w:t>
            </w:r>
          </w:p>
          <w:p w14:paraId="724678F9">
            <w:pPr>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olor w:val="auto"/>
                <w:szCs w:val="21"/>
                <w:highlight w:val="none"/>
              </w:rPr>
              <w:t>具备有效的营业执照，并具有独立法人资格</w:t>
            </w:r>
            <w:r>
              <w:rPr>
                <w:rFonts w:hint="eastAsia" w:ascii="宋体" w:hAnsi="宋体" w:cs="宋体"/>
                <w:color w:val="auto"/>
                <w:highlight w:val="none"/>
              </w:rPr>
              <w:t>。</w:t>
            </w:r>
          </w:p>
          <w:p w14:paraId="149BDCC0">
            <w:pPr>
              <w:snapToGrid w:val="0"/>
              <w:spacing w:line="400" w:lineRule="exact"/>
              <w:ind w:firstLine="420" w:firstLineChars="200"/>
              <w:rPr>
                <w:rFonts w:hint="eastAsia" w:ascii="宋体" w:hAnsi="宋体" w:cs="宋体"/>
                <w:bCs/>
                <w:color w:val="auto"/>
                <w:highlight w:val="none"/>
              </w:rPr>
            </w:pPr>
            <w:r>
              <w:rPr>
                <w:rFonts w:hint="eastAsia" w:ascii="宋体" w:hAnsi="宋体"/>
                <w:bCs/>
                <w:color w:val="auto"/>
                <w:szCs w:val="21"/>
                <w:highlight w:val="none"/>
              </w:rPr>
              <w:t>提供载有统一社会信用代码的营业执照副本复印件。</w:t>
            </w:r>
          </w:p>
          <w:p w14:paraId="3A7061A1">
            <w:pPr>
              <w:snapToGrid w:val="0"/>
              <w:spacing w:line="400" w:lineRule="exact"/>
              <w:ind w:firstLine="422" w:firstLineChars="200"/>
              <w:rPr>
                <w:rFonts w:hint="eastAsia" w:ascii="宋体" w:hAnsi="宋体" w:cs="宋体"/>
                <w:color w:val="auto"/>
                <w:highlight w:val="none"/>
              </w:rPr>
            </w:pPr>
            <w:r>
              <w:rPr>
                <w:rFonts w:hint="eastAsia" w:ascii="宋体" w:hAnsi="宋体" w:cs="宋体"/>
                <w:b/>
                <w:bCs/>
                <w:color w:val="auto"/>
                <w:highlight w:val="none"/>
              </w:rPr>
              <w:t>2.财务要求：</w:t>
            </w:r>
            <w:r>
              <w:rPr>
                <w:rFonts w:hint="eastAsia" w:ascii="宋体" w:hAnsi="宋体" w:cs="宋体"/>
                <w:color w:val="auto"/>
                <w:highlight w:val="none"/>
              </w:rPr>
              <w:t xml:space="preserve"> 2023年度</w:t>
            </w:r>
            <w:r>
              <w:rPr>
                <w:rFonts w:hint="eastAsia" w:ascii="宋体" w:hAnsi="宋体" w:cs="宋体"/>
                <w:color w:val="auto"/>
                <w:highlight w:val="none"/>
                <w:lang w:val="en-US" w:eastAsia="zh-CN"/>
              </w:rPr>
              <w:t>或</w:t>
            </w:r>
            <w:r>
              <w:rPr>
                <w:rFonts w:hint="eastAsia" w:ascii="宋体" w:hAnsi="宋体" w:cs="宋体"/>
                <w:color w:val="auto"/>
                <w:highlight w:val="none"/>
              </w:rPr>
              <w:t>202</w:t>
            </w:r>
            <w:r>
              <w:rPr>
                <w:rFonts w:hint="eastAsia" w:ascii="宋体" w:hAnsi="宋体" w:cs="宋体"/>
                <w:color w:val="auto"/>
                <w:highlight w:val="none"/>
                <w:lang w:val="en-US" w:eastAsia="zh-CN"/>
              </w:rPr>
              <w:t>4</w:t>
            </w:r>
            <w:r>
              <w:rPr>
                <w:rFonts w:hint="eastAsia" w:ascii="宋体" w:hAnsi="宋体" w:cs="宋体"/>
                <w:color w:val="auto"/>
                <w:highlight w:val="none"/>
              </w:rPr>
              <w:t>年度财务状况良好，不亏损。</w:t>
            </w:r>
          </w:p>
          <w:p w14:paraId="045E39F4">
            <w:pPr>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竞选人须在竞选文件资格审查部分提供经会计师事务所或审计机构出具的合法有效的财务审计报告或财务报表（成立时间不足一年的提供财务报表，须包含利润表、现金流量表、资产负债表等）。</w:t>
            </w:r>
          </w:p>
          <w:p w14:paraId="2DE1FEAA">
            <w:pPr>
              <w:snapToGrid w:val="0"/>
              <w:spacing w:line="360" w:lineRule="exact"/>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rPr>
              <w:t>3.业绩要求</w:t>
            </w:r>
          </w:p>
          <w:p w14:paraId="51F37C00">
            <w:pPr>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竞选人202</w:t>
            </w:r>
            <w:r>
              <w:rPr>
                <w:rFonts w:hint="eastAsia" w:ascii="宋体" w:hAnsi="宋体"/>
                <w:color w:val="auto"/>
                <w:szCs w:val="21"/>
                <w:highlight w:val="none"/>
                <w:lang w:val="en-US" w:eastAsia="zh-CN"/>
              </w:rPr>
              <w:t>2</w:t>
            </w:r>
            <w:r>
              <w:rPr>
                <w:rFonts w:hint="eastAsia" w:ascii="宋体" w:hAnsi="宋体"/>
                <w:color w:val="auto"/>
                <w:szCs w:val="21"/>
                <w:highlight w:val="none"/>
              </w:rPr>
              <w:t>年1月1曰至今（以签订合同时间为准），至少具有一个总投资3000万元及以上的全过程造价咨询或全过程跟踪审计业绩；</w:t>
            </w:r>
          </w:p>
          <w:p w14:paraId="04E8E757">
            <w:pPr>
              <w:snapToGrid w:val="0"/>
              <w:spacing w:line="360" w:lineRule="exact"/>
              <w:ind w:firstLine="404" w:firstLineChars="200"/>
              <w:jc w:val="left"/>
              <w:rPr>
                <w:rFonts w:hint="eastAsia" w:ascii="宋体" w:hAnsi="宋体" w:cs="宋体"/>
                <w:color w:val="auto"/>
                <w:szCs w:val="21"/>
                <w:highlight w:val="none"/>
              </w:rPr>
            </w:pPr>
            <w:r>
              <w:rPr>
                <w:rFonts w:hint="eastAsia" w:ascii="宋体" w:hAnsi="宋体"/>
                <w:color w:val="auto"/>
                <w:spacing w:val="-4"/>
                <w:szCs w:val="21"/>
                <w:highlight w:val="none"/>
              </w:rPr>
              <w:t>提供业绩合同复印件。合同内如未能明确体现项目投资金额，可提供有效的定案表复印件或业主证明复印件（定案表或业主证明需加盖业主单位公章）。</w:t>
            </w:r>
          </w:p>
          <w:p w14:paraId="75FFB830">
            <w:pPr>
              <w:snapToGrid w:val="0"/>
              <w:spacing w:line="360" w:lineRule="exact"/>
              <w:ind w:firstLine="422" w:firstLineChars="200"/>
              <w:jc w:val="left"/>
              <w:rPr>
                <w:rFonts w:hint="eastAsia" w:ascii="宋体" w:hAnsi="宋体" w:cs="宋体"/>
                <w:color w:val="auto"/>
                <w:szCs w:val="21"/>
                <w:highlight w:val="none"/>
              </w:rPr>
            </w:pPr>
            <w:r>
              <w:rPr>
                <w:rFonts w:hint="eastAsia" w:ascii="宋体" w:hAnsi="宋体" w:cs="宋体"/>
                <w:b/>
                <w:bCs/>
                <w:color w:val="auto"/>
                <w:szCs w:val="21"/>
                <w:highlight w:val="none"/>
              </w:rPr>
              <w:t>4.比选截止日比选资格情况</w:t>
            </w:r>
          </w:p>
          <w:p w14:paraId="6E4A037E">
            <w:pPr>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竞选人自行承诺（格式自拟）不得存在下列情形之一：</w:t>
            </w:r>
          </w:p>
          <w:p w14:paraId="2874F4EE">
            <w:pPr>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（1）被人民法院在“信用中国”网站（www.creditchina.gov.cn）列入失信被执行人名单且在被执行期内；</w:t>
            </w:r>
          </w:p>
          <w:p w14:paraId="29E5278D">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（2）被列入《重庆市工程建设领域招标投标信用管理暂行办法》规定的重点关注名单且记分达到12分且在记分有效期内；</w:t>
            </w:r>
          </w:p>
          <w:p w14:paraId="572B24F0">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（3）被列入《重庆市工程建设领域招标投标信用管理暂行办法》规定的重庆市工程建设领域招标投标失信惩戒对象名单（以下称黑名单）且在记分有效期内；</w:t>
            </w:r>
          </w:p>
          <w:p w14:paraId="2D34E76D">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（4）被国家、重庆市（含市或任意区县）有关行政部门处以暂停投标资格行政处罚，且在处罚期限内；</w:t>
            </w:r>
          </w:p>
          <w:p w14:paraId="619F0B13">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（5）被重庆市住房和城乡建设主管部门暂停在渝承揽新业务且在暂停期内；</w:t>
            </w:r>
          </w:p>
          <w:p w14:paraId="2D78C6DF">
            <w:pPr>
              <w:snapToGrid w:val="0"/>
              <w:spacing w:line="400" w:lineRule="exact"/>
              <w:ind w:firstLine="422" w:firstLineChars="200"/>
              <w:rPr>
                <w:rFonts w:hint="eastAsia" w:ascii="宋体" w:hAnsi="宋体" w:cs="宋体"/>
                <w:b/>
                <w:bCs/>
                <w:color w:val="auto"/>
                <w:highlight w:val="none"/>
              </w:rPr>
            </w:pPr>
            <w:r>
              <w:rPr>
                <w:rFonts w:hint="eastAsia" w:ascii="宋体" w:hAnsi="宋体" w:cs="宋体"/>
                <w:b/>
                <w:bCs/>
                <w:color w:val="auto"/>
                <w:highlight w:val="none"/>
              </w:rPr>
              <w:t>5.拟派项目人员</w:t>
            </w:r>
          </w:p>
          <w:p w14:paraId="0D72333B">
            <w:pPr>
              <w:snapToGrid w:val="0"/>
              <w:spacing w:line="400" w:lineRule="exact"/>
              <w:ind w:firstLine="420" w:firstLineChars="200"/>
              <w:rPr>
                <w:rFonts w:hint="eastAsia" w:ascii="宋体" w:hAnsi="宋体"/>
                <w:color w:val="auto"/>
                <w:highlight w:val="none"/>
              </w:rPr>
            </w:pPr>
            <w:r>
              <w:rPr>
                <w:rFonts w:hint="eastAsia" w:ascii="宋体" w:hAnsi="宋体" w:cs="宋体"/>
                <w:color w:val="auto"/>
                <w:highlight w:val="none"/>
              </w:rPr>
              <w:t>5.1</w:t>
            </w:r>
            <w:r>
              <w:rPr>
                <w:rFonts w:hint="eastAsia" w:ascii="宋体" w:hAnsi="宋体" w:cs="宋体"/>
                <w:color w:val="auto"/>
                <w:kern w:val="0"/>
                <w:szCs w:val="21"/>
                <w:highlight w:val="none"/>
              </w:rPr>
              <w:t>项目负责人:1人，须为竞选单位的在职职工，具备</w:t>
            </w:r>
            <w:r>
              <w:rPr>
                <w:rFonts w:hint="eastAsia" w:ascii="宋体" w:hAnsi="宋体" w:cs="宋体"/>
                <w:color w:val="auto"/>
                <w:kern w:val="0"/>
                <w:szCs w:val="21"/>
                <w:highlight w:val="none"/>
                <w:u w:val="single"/>
              </w:rPr>
              <w:t>工程类的高级及以上</w:t>
            </w:r>
            <w:r>
              <w:rPr>
                <w:rFonts w:hint="eastAsia" w:ascii="宋体" w:hAnsi="宋体" w:cs="宋体"/>
                <w:color w:val="auto"/>
                <w:kern w:val="0"/>
                <w:szCs w:val="21"/>
                <w:highlight w:val="none"/>
              </w:rPr>
              <w:t>职称且具有全国一级造价工程师（或全国注册造价工程师）执业资格。</w:t>
            </w:r>
          </w:p>
          <w:p w14:paraId="71240638">
            <w:pPr>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5.2其他项目组成员：</w:t>
            </w:r>
          </w:p>
          <w:p w14:paraId="0E0F7D7F">
            <w:pPr>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①土建专业负责人1人，土建专业负责人必须已在竞选人本单位注册并应具有全国一级造价工程师（全国注册造价工程师）执业资格（专业类别：土建），且具有中级及以上技术职称；</w:t>
            </w:r>
          </w:p>
          <w:p w14:paraId="034E1B07">
            <w:pPr>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②安装专业负责人1人，安装专业负责人必须已在竞选人本单位注册并应具有全国一级造价工程师（全国注册造价工程师）执业资格（专业类别：安装），且具有中级及以上技术职称；</w:t>
            </w:r>
          </w:p>
          <w:p w14:paraId="666F7D42">
            <w:pPr>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③其他造价人员，</w:t>
            </w:r>
            <w:r>
              <w:rPr>
                <w:rFonts w:hint="eastAsia"/>
                <w:color w:val="auto"/>
                <w:highlight w:val="none"/>
              </w:rPr>
              <w:t>现场派驻人员</w:t>
            </w:r>
            <w:r>
              <w:rPr>
                <w:rFonts w:hint="eastAsia" w:ascii="宋体" w:hAnsi="宋体" w:cs="宋体"/>
                <w:color w:val="auto"/>
                <w:highlight w:val="none"/>
              </w:rPr>
              <w:t>不低于1名，造价人员必须已在竞选人本单位注册并应具有全国注册造价工程师（一级造价工程师）或二级造价工程师或全国造价员执业资格。</w:t>
            </w:r>
          </w:p>
          <w:p w14:paraId="5E254324">
            <w:pPr>
              <w:snapToGrid w:val="0"/>
              <w:spacing w:line="400" w:lineRule="exact"/>
              <w:ind w:firstLine="420" w:firstLineChars="200"/>
              <w:rPr>
                <w:rFonts w:hint="eastAsia" w:ascii="宋体" w:hAnsi="宋体" w:cs="宋体"/>
                <w:color w:val="auto"/>
                <w:highlight w:val="none"/>
              </w:rPr>
            </w:pPr>
            <w:r>
              <w:rPr>
                <w:rFonts w:hint="eastAsia" w:ascii="宋体" w:hAnsi="宋体"/>
                <w:color w:val="auto"/>
                <w:highlight w:val="none"/>
              </w:rPr>
              <w:t>注：</w:t>
            </w:r>
            <w:r>
              <w:rPr>
                <w:rFonts w:hint="eastAsia" w:ascii="宋体" w:hAnsi="宋体"/>
                <w:b/>
                <w:bCs/>
                <w:color w:val="auto"/>
                <w:highlight w:val="none"/>
              </w:rPr>
              <w:t>以上5.1及5.2各岗位人员不得相互兼任，</w:t>
            </w:r>
            <w:r>
              <w:rPr>
                <w:rFonts w:hint="eastAsia" w:ascii="宋体" w:hAnsi="宋体"/>
                <w:color w:val="auto"/>
                <w:highlight w:val="none"/>
              </w:rPr>
              <w:t>竞选人须在竞选文件资格审查部分提供上述所有人员对应的</w:t>
            </w:r>
            <w:r>
              <w:rPr>
                <w:rFonts w:hint="eastAsia" w:ascii="宋体" w:hAnsi="宋体" w:cs="宋体"/>
                <w:color w:val="auto"/>
                <w:highlight w:val="none"/>
              </w:rPr>
              <w:t>造价工程师（或造价员）证书、职称证（如有职称要求）及以竞选人名义缴纳的养老保险证明材料复印件。</w:t>
            </w:r>
          </w:p>
          <w:p w14:paraId="568D97B7">
            <w:pPr>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特别说明：</w:t>
            </w:r>
          </w:p>
          <w:p w14:paraId="354819CA">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上述要求须提交的相关证明材料复印件均应加盖投标单位法人章并装入竞选文件资格审查部分中。上述要求</w:t>
            </w:r>
            <w:r>
              <w:rPr>
                <w:rFonts w:hint="eastAsia" w:ascii="宋体" w:hAnsi="宋体" w:cs="宋体"/>
                <w:color w:val="auto"/>
                <w:kern w:val="0"/>
                <w:szCs w:val="21"/>
                <w:highlight w:val="none"/>
              </w:rPr>
              <w:t>，有一条不满足则竞选文件由评标委员会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14:paraId="7EFEDB0F">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（2A）竞选人须自行承诺其提供的上述相关证明材料真实有效，不存在弄虚作假情形（格式见第八章竞选文件格式）。</w:t>
            </w:r>
            <w:r>
              <w:rPr>
                <w:rFonts w:hint="eastAsia" w:ascii="宋体" w:hAnsi="宋体" w:cs="宋体"/>
                <w:color w:val="auto"/>
                <w:szCs w:val="21"/>
                <w:highlight w:val="none"/>
                <w:u w:val="single"/>
              </w:rPr>
              <w:t>比选人在合同签订前均有权对竞选人提供的资料进行核实，若发现弄虚作假，按相关规定取消其中标资格，并按相关法律法规报招标投标监督部门，其投标保证金不予退还，竞选人承担因此造成的相关责任并赔偿相应损失</w:t>
            </w:r>
            <w:r>
              <w:rPr>
                <w:rFonts w:hint="eastAsia" w:ascii="宋体" w:hAnsi="宋体" w:cs="宋体"/>
                <w:color w:val="auto"/>
                <w:szCs w:val="21"/>
                <w:highlight w:val="none"/>
              </w:rPr>
              <w:t>。</w:t>
            </w:r>
          </w:p>
          <w:p w14:paraId="43086C46">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rPr>
              <w:t>竞选文件</w:t>
            </w:r>
            <w:r>
              <w:rPr>
                <w:rFonts w:ascii="宋体" w:hAnsi="宋体"/>
                <w:bCs/>
                <w:color w:val="auto"/>
                <w:kern w:val="0"/>
                <w:szCs w:val="21"/>
                <w:highlight w:val="none"/>
              </w:rPr>
              <w:t>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6A05FA71">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3B845D7B">
            <w:pPr>
              <w:snapToGrid w:val="0"/>
              <w:spacing w:line="400" w:lineRule="exact"/>
              <w:ind w:firstLine="420" w:firstLineChars="200"/>
              <w:rPr>
                <w:rFonts w:hint="eastAsia" w:ascii="宋体" w:hAnsi="宋体" w:cs="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项目经理、</w:t>
            </w:r>
            <w:r>
              <w:rPr>
                <w:rFonts w:ascii="宋体" w:hAnsi="宋体"/>
                <w:bCs/>
                <w:snapToGrid w:val="0"/>
                <w:color w:val="auto"/>
                <w:kern w:val="0"/>
                <w:szCs w:val="21"/>
                <w:highlight w:val="none"/>
              </w:rPr>
              <w:t>项目技术负责人和委托代理人的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rPr>
              <w:t>须包含</w:t>
            </w:r>
            <w:r>
              <w:rPr>
                <w:rFonts w:hint="eastAsia" w:ascii="宋体" w:hAnsi="宋体"/>
                <w:bCs/>
                <w:snapToGrid w:val="0"/>
                <w:color w:val="auto"/>
                <w:kern w:val="0"/>
                <w:szCs w:val="21"/>
                <w:highlight w:val="none"/>
                <w:u w:val="single"/>
              </w:rPr>
              <w:t>202</w:t>
            </w:r>
            <w:r>
              <w:rPr>
                <w:rFonts w:hint="eastAsia" w:ascii="宋体" w:hAnsi="宋体"/>
                <w:bCs/>
                <w:snapToGrid w:val="0"/>
                <w:color w:val="auto"/>
                <w:kern w:val="0"/>
                <w:szCs w:val="21"/>
                <w:highlight w:val="none"/>
                <w:u w:val="single"/>
                <w:lang w:val="en-US" w:eastAsia="zh-CN"/>
              </w:rPr>
              <w:t>4</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11</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rPr>
              <w:t>202</w:t>
            </w:r>
            <w:r>
              <w:rPr>
                <w:rFonts w:hint="eastAsia" w:ascii="宋体" w:hAnsi="宋体"/>
                <w:bCs/>
                <w:snapToGrid w:val="0"/>
                <w:color w:val="auto"/>
                <w:kern w:val="0"/>
                <w:szCs w:val="21"/>
                <w:highlight w:val="none"/>
                <w:u w:val="single"/>
                <w:lang w:val="en-US" w:eastAsia="zh-CN"/>
              </w:rPr>
              <w:t>5</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4</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13383B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2D89951">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1.4.2</w:t>
            </w:r>
          </w:p>
        </w:tc>
        <w:tc>
          <w:tcPr>
            <w:tcW w:w="1964" w:type="dxa"/>
            <w:vAlign w:val="center"/>
          </w:tcPr>
          <w:p w14:paraId="5A7E9FE7">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是否接受</w:t>
            </w:r>
          </w:p>
          <w:p w14:paraId="46C934D6">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联合体竞选</w:t>
            </w:r>
          </w:p>
        </w:tc>
        <w:tc>
          <w:tcPr>
            <w:tcW w:w="6372" w:type="dxa"/>
            <w:vAlign w:val="center"/>
          </w:tcPr>
          <w:p w14:paraId="2FFCE05E">
            <w:pPr>
              <w:snapToGrid w:val="0"/>
              <w:spacing w:line="400" w:lineRule="exact"/>
              <w:ind w:firstLine="420" w:firstLineChars="200"/>
              <w:rPr>
                <w:rFonts w:hint="eastAsia" w:ascii="宋体" w:hAnsi="宋体" w:cs="宋体"/>
                <w:color w:val="auto"/>
                <w:kern w:val="0"/>
                <w:szCs w:val="21"/>
                <w:highlight w:val="none"/>
              </w:rPr>
            </w:pPr>
            <w:r>
              <w:rPr>
                <w:rFonts w:hint="eastAsia" w:ascii="宋体" w:hAnsi="MS Mincho" w:eastAsia="MS Mincho" w:cs="MS Mincho"/>
                <w:color w:val="auto"/>
                <w:kern w:val="0"/>
                <w:szCs w:val="21"/>
                <w:highlight w:val="none"/>
              </w:rPr>
              <w:t>☑</w:t>
            </w:r>
            <w:r>
              <w:rPr>
                <w:rFonts w:hint="eastAsia" w:ascii="宋体" w:hAnsi="宋体" w:cs="宋体"/>
                <w:color w:val="auto"/>
                <w:kern w:val="0"/>
                <w:szCs w:val="21"/>
                <w:highlight w:val="none"/>
              </w:rPr>
              <w:t>不接受</w:t>
            </w:r>
          </w:p>
        </w:tc>
      </w:tr>
      <w:tr w14:paraId="22F37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F5C315E">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1.9.1</w:t>
            </w:r>
          </w:p>
        </w:tc>
        <w:tc>
          <w:tcPr>
            <w:tcW w:w="1964" w:type="dxa"/>
            <w:vAlign w:val="center"/>
          </w:tcPr>
          <w:p w14:paraId="3EDEDEEE">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6372" w:type="dxa"/>
            <w:vAlign w:val="center"/>
          </w:tcPr>
          <w:p w14:paraId="071B2D00">
            <w:pPr>
              <w:snapToGrid w:val="0"/>
              <w:spacing w:line="400" w:lineRule="exact"/>
              <w:ind w:firstLine="420" w:firstLineChars="200"/>
              <w:rPr>
                <w:rFonts w:hint="eastAsia" w:ascii="宋体" w:hAnsi="宋体" w:cs="宋体"/>
                <w:color w:val="auto"/>
                <w:kern w:val="0"/>
                <w:szCs w:val="21"/>
                <w:highlight w:val="none"/>
              </w:rPr>
            </w:pPr>
            <w:r>
              <w:rPr>
                <w:rFonts w:hint="eastAsia" w:ascii="宋体" w:hAnsi="MS Mincho" w:eastAsia="MS Mincho" w:cs="MS Mincho"/>
                <w:color w:val="auto"/>
                <w:kern w:val="0"/>
                <w:szCs w:val="21"/>
                <w:highlight w:val="none"/>
              </w:rPr>
              <w:t>☑</w:t>
            </w:r>
            <w:r>
              <w:rPr>
                <w:rFonts w:hint="eastAsia" w:ascii="宋体" w:hAnsi="宋体" w:cs="宋体"/>
                <w:color w:val="auto"/>
                <w:kern w:val="0"/>
                <w:szCs w:val="21"/>
                <w:highlight w:val="none"/>
              </w:rPr>
              <w:t>不组织，由竞选人自行踏勘现场。</w:t>
            </w:r>
          </w:p>
          <w:p w14:paraId="389A18FD">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□组织，集中踏勘时间：</w:t>
            </w:r>
          </w:p>
          <w:p w14:paraId="0ABD8066">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集中踏勘地点：</w:t>
            </w:r>
          </w:p>
        </w:tc>
      </w:tr>
      <w:tr w14:paraId="09101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2451BD8">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1.10.1</w:t>
            </w:r>
          </w:p>
        </w:tc>
        <w:tc>
          <w:tcPr>
            <w:tcW w:w="1964" w:type="dxa"/>
            <w:vAlign w:val="center"/>
          </w:tcPr>
          <w:p w14:paraId="604A12EC">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比选预备会</w:t>
            </w:r>
          </w:p>
        </w:tc>
        <w:tc>
          <w:tcPr>
            <w:tcW w:w="6372" w:type="dxa"/>
            <w:vAlign w:val="center"/>
          </w:tcPr>
          <w:p w14:paraId="14C4BF7A">
            <w:pPr>
              <w:snapToGrid w:val="0"/>
              <w:spacing w:line="400" w:lineRule="exact"/>
              <w:ind w:firstLine="420" w:firstLineChars="200"/>
              <w:rPr>
                <w:rFonts w:hint="eastAsia" w:ascii="宋体" w:hAnsi="宋体" w:cs="宋体"/>
                <w:color w:val="auto"/>
                <w:kern w:val="0"/>
                <w:szCs w:val="21"/>
                <w:highlight w:val="none"/>
              </w:rPr>
            </w:pPr>
            <w:r>
              <w:rPr>
                <w:rFonts w:hint="eastAsia" w:ascii="宋体" w:hAnsi="MS Mincho" w:eastAsia="MS Mincho" w:cs="MS Mincho"/>
                <w:color w:val="auto"/>
                <w:kern w:val="0"/>
                <w:szCs w:val="21"/>
                <w:highlight w:val="none"/>
              </w:rPr>
              <w:t>☑</w:t>
            </w:r>
            <w:r>
              <w:rPr>
                <w:rFonts w:hint="eastAsia" w:ascii="宋体" w:hAnsi="宋体" w:cs="宋体"/>
                <w:color w:val="auto"/>
                <w:kern w:val="0"/>
                <w:szCs w:val="21"/>
                <w:highlight w:val="none"/>
              </w:rPr>
              <w:t>不召开</w:t>
            </w:r>
          </w:p>
          <w:p w14:paraId="5AF279B2">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□召开，召开时间：</w:t>
            </w:r>
          </w:p>
          <w:p w14:paraId="23337B5B">
            <w:pPr>
              <w:snapToGrid w:val="0"/>
              <w:spacing w:after="15" w:afterLines="5"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召开地点：</w:t>
            </w:r>
          </w:p>
        </w:tc>
      </w:tr>
      <w:tr w14:paraId="5FBF7D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920EE61">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1.11</w:t>
            </w:r>
          </w:p>
        </w:tc>
        <w:tc>
          <w:tcPr>
            <w:tcW w:w="1964" w:type="dxa"/>
            <w:vAlign w:val="center"/>
          </w:tcPr>
          <w:p w14:paraId="0F65CCB8">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分包</w:t>
            </w:r>
          </w:p>
        </w:tc>
        <w:tc>
          <w:tcPr>
            <w:tcW w:w="6372" w:type="dxa"/>
            <w:vAlign w:val="center"/>
          </w:tcPr>
          <w:p w14:paraId="4F6B5B47">
            <w:pPr>
              <w:snapToGrid w:val="0"/>
              <w:spacing w:line="400" w:lineRule="exact"/>
              <w:ind w:firstLine="420" w:firstLineChars="200"/>
              <w:rPr>
                <w:rFonts w:hint="eastAsia" w:ascii="宋体" w:hAnsi="宋体"/>
                <w:color w:val="auto"/>
                <w:kern w:val="0"/>
                <w:szCs w:val="21"/>
                <w:highlight w:val="none"/>
              </w:rPr>
            </w:pPr>
            <w:r>
              <w:rPr>
                <w:rFonts w:hint="eastAsia" w:ascii="宋体" w:hAnsi="MS Mincho" w:eastAsia="MS Mincho" w:cs="MS Mincho"/>
                <w:color w:val="auto"/>
                <w:kern w:val="0"/>
                <w:szCs w:val="21"/>
                <w:highlight w:val="none"/>
              </w:rPr>
              <w:t>☑</w:t>
            </w:r>
            <w:r>
              <w:rPr>
                <w:rFonts w:ascii="宋体" w:hAnsi="宋体"/>
                <w:color w:val="auto"/>
                <w:kern w:val="0"/>
                <w:szCs w:val="21"/>
                <w:highlight w:val="none"/>
              </w:rPr>
              <w:t>不允许</w:t>
            </w:r>
          </w:p>
          <w:p w14:paraId="6499819E">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允许，分包内容要求：</w:t>
            </w:r>
          </w:p>
          <w:p w14:paraId="700E6788">
            <w:pPr>
              <w:snapToGrid w:val="0"/>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分包金额要求：</w:t>
            </w:r>
          </w:p>
          <w:p w14:paraId="73A6C424">
            <w:pPr>
              <w:snapToGrid w:val="0"/>
              <w:spacing w:after="15" w:afterLines="5" w:line="400" w:lineRule="exact"/>
              <w:rPr>
                <w:rFonts w:hint="eastAsia" w:ascii="宋体" w:hAnsi="宋体" w:cs="宋体"/>
                <w:color w:val="auto"/>
                <w:kern w:val="0"/>
                <w:szCs w:val="21"/>
                <w:highlight w:val="none"/>
              </w:rPr>
            </w:pPr>
            <w:r>
              <w:rPr>
                <w:rFonts w:ascii="宋体" w:hAnsi="宋体"/>
                <w:color w:val="auto"/>
                <w:kern w:val="0"/>
                <w:szCs w:val="21"/>
                <w:highlight w:val="none"/>
              </w:rPr>
              <w:t>接受分包的第三人资质要求：</w:t>
            </w:r>
          </w:p>
        </w:tc>
      </w:tr>
      <w:tr w14:paraId="367C6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02F6187">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1964" w:type="dxa"/>
            <w:vAlign w:val="center"/>
          </w:tcPr>
          <w:p w14:paraId="44BD6763">
            <w:pPr>
              <w:snapToGrid w:val="0"/>
              <w:spacing w:after="15" w:afterLines="5"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构成比选文件的其他材料</w:t>
            </w:r>
          </w:p>
        </w:tc>
        <w:tc>
          <w:tcPr>
            <w:tcW w:w="6372" w:type="dxa"/>
            <w:vAlign w:val="center"/>
          </w:tcPr>
          <w:p w14:paraId="313417A8">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比选人发出的答疑及补遗书</w:t>
            </w:r>
          </w:p>
        </w:tc>
      </w:tr>
      <w:tr w14:paraId="334F7F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DAC4F35">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2.2.1</w:t>
            </w:r>
          </w:p>
        </w:tc>
        <w:tc>
          <w:tcPr>
            <w:tcW w:w="1964" w:type="dxa"/>
            <w:tcBorders>
              <w:bottom w:val="single" w:color="auto" w:sz="4" w:space="0"/>
            </w:tcBorders>
            <w:vAlign w:val="center"/>
          </w:tcPr>
          <w:p w14:paraId="3667891C">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竞选人对比选文件提出疑问</w:t>
            </w:r>
          </w:p>
          <w:p w14:paraId="3D03BD61">
            <w:pPr>
              <w:snapToGrid w:val="0"/>
              <w:spacing w:line="400" w:lineRule="exact"/>
              <w:jc w:val="center"/>
              <w:rPr>
                <w:rFonts w:hint="eastAsia" w:ascii="宋体" w:hAnsi="宋体" w:cs="宋体"/>
                <w:color w:val="auto"/>
                <w:kern w:val="0"/>
                <w:szCs w:val="21"/>
                <w:highlight w:val="none"/>
              </w:rPr>
            </w:pPr>
          </w:p>
        </w:tc>
        <w:tc>
          <w:tcPr>
            <w:tcW w:w="6372" w:type="dxa"/>
            <w:vAlign w:val="center"/>
          </w:tcPr>
          <w:p w14:paraId="538513A5">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竞选人在收到比选文件后，应仔细检查比选文件的所有内容，如有残缺或文字表述不清，图纸尺寸标注不明以及存在错、碰、漏、缺、概念模糊和有可能出现歧义或理解上的偏差的内容等应以书面形式提交。</w:t>
            </w:r>
          </w:p>
        </w:tc>
      </w:tr>
      <w:tr w14:paraId="33354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BE9938A">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3.1.1</w:t>
            </w:r>
          </w:p>
        </w:tc>
        <w:tc>
          <w:tcPr>
            <w:tcW w:w="1964" w:type="dxa"/>
            <w:vAlign w:val="center"/>
          </w:tcPr>
          <w:p w14:paraId="1ACDBC79">
            <w:pPr>
              <w:snapToGrid w:val="0"/>
              <w:spacing w:after="31" w:afterLines="10"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构成竞选文件</w:t>
            </w:r>
          </w:p>
          <w:p w14:paraId="61C42F4B">
            <w:pPr>
              <w:snapToGrid w:val="0"/>
              <w:spacing w:after="31" w:afterLines="10"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的其他材料</w:t>
            </w:r>
          </w:p>
        </w:tc>
        <w:tc>
          <w:tcPr>
            <w:tcW w:w="6372" w:type="dxa"/>
            <w:vAlign w:val="center"/>
          </w:tcPr>
          <w:p w14:paraId="3E573912">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竞选人的书面澄清、说明和补正（但不得改变竞选文件的实质性内容）</w:t>
            </w:r>
          </w:p>
        </w:tc>
      </w:tr>
      <w:tr w14:paraId="3E7251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DC39048">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3.2</w:t>
            </w:r>
          </w:p>
        </w:tc>
        <w:tc>
          <w:tcPr>
            <w:tcW w:w="1964" w:type="dxa"/>
            <w:vAlign w:val="center"/>
          </w:tcPr>
          <w:p w14:paraId="7282E695">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竞选报价</w:t>
            </w:r>
          </w:p>
        </w:tc>
        <w:tc>
          <w:tcPr>
            <w:tcW w:w="6372" w:type="dxa"/>
            <w:vAlign w:val="center"/>
          </w:tcPr>
          <w:p w14:paraId="22D4C676">
            <w:pPr>
              <w:pStyle w:val="48"/>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一、报价范围</w:t>
            </w:r>
          </w:p>
          <w:p w14:paraId="57CE58BC">
            <w:pPr>
              <w:pStyle w:val="48"/>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1.参选报价应是本章竞选人须知前附表1.3.1项中所述的本次比选范围内的全部内容的参选报价，是竞选人根据市场行情及自身情况的自主报价 。</w:t>
            </w:r>
          </w:p>
          <w:p w14:paraId="222F0329">
            <w:pPr>
              <w:pStyle w:val="48"/>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2.参选报价包含但不限于竞选人完成本合同约定的全过程所发生的人工费、材料费、机具费、资料费、交通费、差旅费、评审费、聘请专家咨询费、咨询费、文本打印费、资料快递费、调 查和调研费、赶工费、项目部办公场地费用（含房租、水电、家具等全部费用）、成果提交增加份数费用、广联达软件费、管理费、利润、税金等等完成本项目服务范围和工作内容的一切费用， 包括但不限于工程设计变更阶段及工程施工期间所产生的所有费用。竞选人不得因“市场变化、规范和标准调整等一切可预见和不可预见因素”向比选人提出另外增加任何费用。因竞选人自身原因造成漏报、少报 皆由其自行承担责任，比选人不再补偿及另行支付费用。</w:t>
            </w:r>
          </w:p>
          <w:p w14:paraId="0098EDBA">
            <w:pPr>
              <w:pStyle w:val="48"/>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3.竞选人应先到项目所在地踏勘，以充分了解项目位置、地质地貌、气候与水文条件、交通状况、电力、给水、排水、热力和天然气等及任何其他足以影响 其提交成果文件的可实现性和承包价的情况。任何因中选人忽视或误解项目基本情况，而使比选人在项目实施过程中蒙受的损失，将由中选人按合同约定对比选人进行赔偿。</w:t>
            </w:r>
          </w:p>
          <w:p w14:paraId="05E4A408">
            <w:pPr>
              <w:pStyle w:val="48"/>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二、计价原则：</w:t>
            </w:r>
          </w:p>
          <w:p w14:paraId="2F7587DF">
            <w:pPr>
              <w:pStyle w:val="48"/>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根据渝价【2013】428号文件收费标准（清单计价方式）取费标准，结合自身实力自行考虑按折扣费率进行报价。所填报的服务取费比例作为结算使用，参选费率需综合考虑本项目比选范围内的所有工作内容，竞选人应将本工程的相关费用充分考虑进入参选报价的费率中。</w:t>
            </w:r>
          </w:p>
          <w:p w14:paraId="4AEA477E">
            <w:pPr>
              <w:pStyle w:val="48"/>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2、在本合同范围内，无论任何因素（工期延长，人员增加，国家政策或法规、标准调整，市场价格波动等），中选费率均不作调整。</w:t>
            </w:r>
          </w:p>
          <w:p w14:paraId="18C58049">
            <w:pPr>
              <w:pStyle w:val="48"/>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三、比选最高限价：</w:t>
            </w:r>
          </w:p>
          <w:p w14:paraId="6BD721AC">
            <w:pPr>
              <w:pStyle w:val="48"/>
              <w:spacing w:line="400" w:lineRule="exact"/>
              <w:ind w:firstLine="420" w:firstLineChars="200"/>
              <w:rPr>
                <w:rFonts w:hint="eastAsia" w:ascii="宋体" w:hAnsi="宋体" w:eastAsia="宋体"/>
                <w:b/>
                <w:bCs/>
                <w:color w:val="auto"/>
                <w:szCs w:val="21"/>
                <w:highlight w:val="none"/>
                <w:lang w:eastAsia="zh-CN"/>
              </w:rPr>
            </w:pPr>
            <w:r>
              <w:rPr>
                <w:rFonts w:hint="eastAsia" w:ascii="宋体" w:hAnsi="宋体"/>
                <w:color w:val="auto"/>
                <w:szCs w:val="21"/>
                <w:highlight w:val="none"/>
              </w:rPr>
              <w:t>本项目比选最高限价：</w:t>
            </w:r>
            <w:r>
              <w:rPr>
                <w:rFonts w:hint="eastAsia" w:ascii="宋体" w:hAnsi="宋体"/>
                <w:b/>
                <w:bCs/>
                <w:color w:val="auto"/>
                <w:szCs w:val="21"/>
                <w:highlight w:val="none"/>
              </w:rPr>
              <w:t>以暂定建安工程费</w:t>
            </w:r>
            <w:r>
              <w:rPr>
                <w:rFonts w:hint="eastAsia" w:ascii="宋体" w:hAnsi="宋体"/>
                <w:b/>
                <w:bCs/>
                <w:color w:val="auto"/>
                <w:szCs w:val="21"/>
                <w:highlight w:val="none"/>
                <w:u w:val="single"/>
              </w:rPr>
              <w:t>4</w:t>
            </w:r>
            <w:r>
              <w:rPr>
                <w:rFonts w:hint="eastAsia" w:ascii="宋体" w:hAnsi="宋体"/>
                <w:b/>
                <w:bCs/>
                <w:color w:val="auto"/>
                <w:szCs w:val="21"/>
                <w:highlight w:val="none"/>
                <w:u w:val="single"/>
                <w:lang w:val="en-US" w:eastAsia="zh-CN"/>
              </w:rPr>
              <w:t>470</w:t>
            </w:r>
            <w:r>
              <w:rPr>
                <w:rFonts w:hint="eastAsia" w:ascii="宋体" w:hAnsi="宋体"/>
                <w:b/>
                <w:bCs/>
                <w:color w:val="auto"/>
                <w:szCs w:val="21"/>
                <w:highlight w:val="none"/>
                <w:u w:val="single"/>
              </w:rPr>
              <w:t>.</w:t>
            </w:r>
            <w:r>
              <w:rPr>
                <w:rFonts w:hint="eastAsia" w:ascii="宋体" w:hAnsi="宋体"/>
                <w:b/>
                <w:bCs/>
                <w:color w:val="auto"/>
                <w:szCs w:val="21"/>
                <w:highlight w:val="none"/>
                <w:u w:val="single"/>
                <w:lang w:val="en-US" w:eastAsia="zh-CN"/>
              </w:rPr>
              <w:t>443872</w:t>
            </w:r>
            <w:r>
              <w:rPr>
                <w:rFonts w:hint="eastAsia" w:ascii="宋体" w:hAnsi="宋体"/>
                <w:b/>
                <w:bCs/>
                <w:color w:val="auto"/>
                <w:szCs w:val="21"/>
                <w:highlight w:val="none"/>
              </w:rPr>
              <w:t>万元为计费基数，</w:t>
            </w:r>
            <w:r>
              <w:rPr>
                <w:rFonts w:ascii="宋体" w:hAnsi="宋体"/>
                <w:b/>
                <w:bCs/>
                <w:color w:val="auto"/>
                <w:szCs w:val="21"/>
                <w:highlight w:val="none"/>
              </w:rPr>
              <w:t xml:space="preserve"> </w:t>
            </w:r>
            <w:r>
              <w:rPr>
                <w:rFonts w:hint="eastAsia" w:ascii="宋体" w:hAnsi="宋体"/>
                <w:b/>
                <w:bCs/>
                <w:color w:val="auto"/>
                <w:szCs w:val="21"/>
                <w:highlight w:val="none"/>
                <w:lang w:val="en-US" w:eastAsia="zh-CN"/>
              </w:rPr>
              <w:t>费率</w:t>
            </w:r>
            <w:r>
              <w:rPr>
                <w:rFonts w:hint="eastAsia" w:ascii="宋体" w:hAnsi="宋体"/>
                <w:b/>
                <w:bCs/>
                <w:color w:val="auto"/>
                <w:szCs w:val="21"/>
                <w:highlight w:val="none"/>
              </w:rPr>
              <w:t>最高</w:t>
            </w:r>
            <w:r>
              <w:rPr>
                <w:rFonts w:hint="eastAsia" w:ascii="宋体" w:hAnsi="宋体"/>
                <w:b/>
                <w:bCs/>
                <w:color w:val="auto"/>
                <w:szCs w:val="21"/>
                <w:highlight w:val="none"/>
                <w:lang w:val="en-US" w:eastAsia="zh-CN"/>
              </w:rPr>
              <w:t>限价为</w:t>
            </w:r>
            <w:r>
              <w:rPr>
                <w:rFonts w:hint="eastAsia" w:ascii="宋体" w:hAnsi="宋体"/>
                <w:b/>
                <w:bCs/>
                <w:color w:val="auto"/>
                <w:szCs w:val="21"/>
                <w:highlight w:val="none"/>
                <w:u w:val="single"/>
                <w:lang w:val="en-US" w:eastAsia="zh-CN"/>
              </w:rPr>
              <w:t xml:space="preserve"> 0.52 </w:t>
            </w:r>
            <w:r>
              <w:rPr>
                <w:rFonts w:hint="eastAsia" w:ascii="宋体" w:hAnsi="宋体"/>
                <w:b/>
                <w:bCs/>
                <w:color w:val="auto"/>
                <w:szCs w:val="21"/>
                <w:highlight w:val="none"/>
                <w:u w:val="single"/>
              </w:rPr>
              <w:t>%</w:t>
            </w:r>
            <w:r>
              <w:rPr>
                <w:rFonts w:hint="eastAsia" w:ascii="宋体" w:hAnsi="宋体"/>
                <w:b/>
                <w:bCs/>
                <w:color w:val="auto"/>
                <w:szCs w:val="21"/>
                <w:highlight w:val="none"/>
                <w:u w:val="single"/>
                <w:lang w:val="en-US" w:eastAsia="zh-CN"/>
              </w:rPr>
              <w:t xml:space="preserve"> </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暂定</w:t>
            </w:r>
            <w:r>
              <w:rPr>
                <w:rFonts w:hint="eastAsia" w:ascii="宋体" w:hAnsi="宋体"/>
                <w:b/>
                <w:bCs/>
                <w:color w:val="auto"/>
                <w:szCs w:val="21"/>
                <w:highlight w:val="none"/>
                <w:lang w:eastAsia="zh-CN"/>
              </w:rPr>
              <w:t>总报价最高限价为</w:t>
            </w:r>
            <w:r>
              <w:rPr>
                <w:rFonts w:hint="eastAsia" w:ascii="宋体" w:hAnsi="宋体"/>
                <w:b/>
                <w:bCs/>
                <w:color w:val="auto"/>
                <w:szCs w:val="21"/>
                <w:highlight w:val="none"/>
                <w:u w:val="single"/>
                <w:lang w:val="en-US" w:eastAsia="zh-CN"/>
              </w:rPr>
              <w:t xml:space="preserve"> 23.35225 </w:t>
            </w:r>
            <w:r>
              <w:rPr>
                <w:rFonts w:hint="eastAsia" w:ascii="宋体" w:hAnsi="宋体"/>
                <w:b/>
                <w:bCs/>
                <w:color w:val="auto"/>
                <w:szCs w:val="21"/>
                <w:highlight w:val="none"/>
                <w:lang w:eastAsia="zh-CN"/>
              </w:rPr>
              <w:t>万元。</w:t>
            </w:r>
          </w:p>
          <w:p w14:paraId="3733A352">
            <w:pPr>
              <w:pStyle w:val="48"/>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各竞选人的竞选总报价不得超过最高限价，</w:t>
            </w:r>
            <w:r>
              <w:rPr>
                <w:rFonts w:ascii="宋体" w:hAnsi="宋体" w:cs="宋体"/>
                <w:color w:val="auto"/>
                <w:highlight w:val="none"/>
              </w:rPr>
              <w:t>否则由评</w:t>
            </w:r>
            <w:r>
              <w:rPr>
                <w:rFonts w:hint="eastAsia" w:ascii="宋体" w:hAnsi="宋体" w:cs="宋体"/>
                <w:color w:val="auto"/>
                <w:highlight w:val="none"/>
              </w:rPr>
              <w:t>审</w:t>
            </w:r>
            <w:r>
              <w:rPr>
                <w:rFonts w:ascii="宋体" w:hAnsi="宋体" w:cs="宋体"/>
                <w:color w:val="auto"/>
                <w:highlight w:val="none"/>
              </w:rPr>
              <w:t>委员会作否决投</w:t>
            </w:r>
            <w:r>
              <w:rPr>
                <w:rFonts w:ascii="宋体" w:hAnsi="宋体" w:cs="宋体"/>
                <w:color w:val="auto"/>
                <w:spacing w:val="-10"/>
                <w:highlight w:val="none"/>
              </w:rPr>
              <w:t>标处理</w:t>
            </w:r>
            <w:r>
              <w:rPr>
                <w:rFonts w:hint="eastAsia" w:ascii="宋体" w:hAnsi="宋体"/>
                <w:color w:val="auto"/>
                <w:szCs w:val="21"/>
                <w:highlight w:val="none"/>
              </w:rPr>
              <w:t>。</w:t>
            </w:r>
          </w:p>
          <w:p w14:paraId="530D408D">
            <w:pPr>
              <w:pStyle w:val="48"/>
              <w:tabs>
                <w:tab w:val="left" w:pos="1076"/>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注：</w:t>
            </w:r>
            <w:r>
              <w:rPr>
                <w:rFonts w:hint="eastAsia" w:ascii="宋体" w:hAnsi="宋体"/>
                <w:color w:val="auto"/>
                <w:szCs w:val="21"/>
                <w:highlight w:val="none"/>
              </w:rPr>
              <w:t>填报的费率保留到小数点后两位，小数点后第三位“四舍五入”。</w:t>
            </w:r>
          </w:p>
        </w:tc>
      </w:tr>
      <w:tr w14:paraId="1EB224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2A0A055">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3.3.1</w:t>
            </w:r>
          </w:p>
        </w:tc>
        <w:tc>
          <w:tcPr>
            <w:tcW w:w="1964" w:type="dxa"/>
            <w:vAlign w:val="center"/>
          </w:tcPr>
          <w:p w14:paraId="2733C22F">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比选有效期</w:t>
            </w:r>
          </w:p>
        </w:tc>
        <w:tc>
          <w:tcPr>
            <w:tcW w:w="6372" w:type="dxa"/>
            <w:vAlign w:val="center"/>
          </w:tcPr>
          <w:p w14:paraId="07AD4EBC">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90</w:t>
            </w:r>
            <w:r>
              <w:rPr>
                <w:rFonts w:hint="eastAsia" w:ascii="宋体" w:hAnsi="宋体" w:cs="宋体"/>
                <w:color w:val="auto"/>
                <w:szCs w:val="21"/>
                <w:highlight w:val="none"/>
              </w:rPr>
              <w:t>日历天（从提交竞选文件截止日起计算）</w:t>
            </w:r>
          </w:p>
        </w:tc>
      </w:tr>
      <w:tr w14:paraId="3B59CD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3337C38">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3.4</w:t>
            </w:r>
          </w:p>
        </w:tc>
        <w:tc>
          <w:tcPr>
            <w:tcW w:w="1964" w:type="dxa"/>
            <w:vAlign w:val="center"/>
          </w:tcPr>
          <w:p w14:paraId="59313A5F">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比选保证金</w:t>
            </w:r>
          </w:p>
        </w:tc>
        <w:tc>
          <w:tcPr>
            <w:tcW w:w="6372" w:type="dxa"/>
            <w:vAlign w:val="center"/>
          </w:tcPr>
          <w:p w14:paraId="1D76D0EC">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投标保证金的交纳方式：投标人可选择以下二种方式之一。</w:t>
            </w:r>
          </w:p>
          <w:p w14:paraId="71CB47CD">
            <w:pPr>
              <w:snapToGrid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方式一</w:t>
            </w:r>
          </w:p>
          <w:p w14:paraId="3780FD82">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一、以转账支票或电汇形式交纳投标保证金</w:t>
            </w:r>
          </w:p>
          <w:p w14:paraId="6FEECFD7">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 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s="宋体"/>
                <w:color w:val="auto"/>
                <w:kern w:val="0"/>
                <w:szCs w:val="21"/>
                <w:highlight w:val="none"/>
              </w:rPr>
              <w:t>不满足上述要求的投标保证金无效。</w:t>
            </w:r>
          </w:p>
          <w:p w14:paraId="0102D9E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投标人自行考虑汇入时间风险，如同城汇入、异地汇入、跨行汇入的时间要求。</w:t>
            </w:r>
          </w:p>
          <w:p w14:paraId="1CDCA53C">
            <w:pPr>
              <w:numPr>
                <w:ilvl w:val="0"/>
                <w:numId w:val="1"/>
              </w:num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以转账支票或电汇形式提交投标保证金的金额：</w:t>
            </w:r>
            <w:r>
              <w:rPr>
                <w:rFonts w:hint="eastAsia" w:ascii="宋体" w:hAnsi="宋体" w:cs="宋体"/>
                <w:color w:val="auto"/>
                <w:highlight w:val="none"/>
                <w:u w:val="single"/>
                <w:lang w:val="en-US" w:eastAsia="zh-CN"/>
              </w:rPr>
              <w:t>4</w:t>
            </w:r>
            <w:r>
              <w:rPr>
                <w:rFonts w:hint="eastAsia" w:ascii="宋体" w:hAnsi="宋体" w:cs="宋体"/>
                <w:color w:val="auto"/>
                <w:highlight w:val="none"/>
                <w:u w:val="single"/>
              </w:rPr>
              <w:t>000</w:t>
            </w:r>
            <w:r>
              <w:rPr>
                <w:rFonts w:ascii="宋体" w:hAnsi="宋体" w:cs="宋体"/>
                <w:color w:val="auto"/>
                <w:highlight w:val="none"/>
                <w:u w:val="single"/>
              </w:rPr>
              <w:t>.00</w:t>
            </w:r>
            <w:r>
              <w:rPr>
                <w:rFonts w:hint="eastAsia" w:ascii="宋体" w:hAnsi="宋体" w:cs="宋体"/>
                <w:color w:val="auto"/>
                <w:highlight w:val="none"/>
              </w:rPr>
              <w:t>元整（人民币）。</w:t>
            </w:r>
          </w:p>
          <w:p w14:paraId="6A658F25">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3. 投标保证金账户及账号：</w:t>
            </w:r>
          </w:p>
          <w:p w14:paraId="4036429B">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开户名：中资（重庆）工程咨询有限公司</w:t>
            </w:r>
          </w:p>
          <w:p w14:paraId="75EA9610">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开户行：中国银行股份有限公司重庆空港支行</w:t>
            </w:r>
          </w:p>
          <w:p w14:paraId="563B972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帐  号：108885534992</w:t>
            </w:r>
          </w:p>
          <w:p w14:paraId="35094FDE">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投标保证金以开标现场展示的保证金交纳情况为准。投标人须在投标文件资格审查部分</w:t>
            </w:r>
            <w:r>
              <w:rPr>
                <w:rFonts w:hint="eastAsia" w:ascii="宋体" w:hAnsi="宋体" w:cs="宋体"/>
                <w:color w:val="auto"/>
                <w:kern w:val="0"/>
                <w:szCs w:val="21"/>
                <w:highlight w:val="none"/>
              </w:rPr>
              <w:t>“其他资料”中</w:t>
            </w:r>
            <w:r>
              <w:rPr>
                <w:rFonts w:hint="eastAsia" w:ascii="宋体" w:hAnsi="宋体" w:cs="宋体"/>
                <w:color w:val="auto"/>
                <w:highlight w:val="none"/>
              </w:rPr>
              <w:t>提供企业基本账户开户证明文件。</w:t>
            </w:r>
          </w:p>
          <w:p w14:paraId="6D612203">
            <w:pPr>
              <w:snapToGrid w:val="0"/>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4. 投标人必须在付款凭证备注栏中注明是“</w:t>
            </w:r>
            <w:r>
              <w:rPr>
                <w:rFonts w:hint="eastAsia" w:ascii="宋体" w:hAnsi="宋体" w:cs="宋体"/>
                <w:color w:val="auto"/>
                <w:highlight w:val="none"/>
                <w:u w:val="single"/>
              </w:rPr>
              <w:t>重庆市南岸区学校老旧线路改造及设备安装工程跟踪审计</w:t>
            </w:r>
            <w:r>
              <w:rPr>
                <w:rFonts w:hint="eastAsia" w:ascii="宋体" w:hAnsi="宋体" w:cs="宋体"/>
                <w:color w:val="auto"/>
                <w:highlight w:val="none"/>
              </w:rPr>
              <w:t>项目投标保证金”。项目名称可简写成：</w:t>
            </w:r>
            <w:r>
              <w:rPr>
                <w:rFonts w:hint="eastAsia" w:ascii="宋体" w:hAnsi="宋体" w:cs="宋体"/>
                <w:color w:val="auto"/>
                <w:highlight w:val="none"/>
                <w:u w:val="single"/>
              </w:rPr>
              <w:t>南岸学校线路改造及设备安装跟踪审计</w:t>
            </w:r>
            <w:r>
              <w:rPr>
                <w:rFonts w:hint="eastAsia" w:ascii="宋体" w:hAnsi="宋体" w:cs="宋体"/>
                <w:color w:val="auto"/>
                <w:highlight w:val="none"/>
              </w:rPr>
              <w:t>。</w:t>
            </w:r>
          </w:p>
          <w:p w14:paraId="630685EE">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5. 投标保证金有效期与投标有效期一致。</w:t>
            </w:r>
          </w:p>
          <w:p w14:paraId="3083991F">
            <w:pPr>
              <w:snapToGrid w:val="0"/>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6. 评标过程中由评标委员会根据投标人在投标文件中提供的企业基本账户开户证明文件核实其投标保证金是否由基本账户转入，未从基本账户转入的，由评标委员会作否决投标处理。</w:t>
            </w:r>
          </w:p>
          <w:p w14:paraId="28F36C03">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二、投标保证金的退还</w:t>
            </w:r>
          </w:p>
          <w:p w14:paraId="62695619">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招标人应当在法定时间内确定中标人。招标人应当在中标通知书发出后2个工作日内退还。</w:t>
            </w:r>
          </w:p>
          <w:p w14:paraId="735B22A4">
            <w:pPr>
              <w:snapToGrid w:val="0"/>
              <w:spacing w:line="400" w:lineRule="exact"/>
              <w:ind w:firstLine="420" w:firstLineChars="200"/>
              <w:rPr>
                <w:rFonts w:ascii="宋体" w:hAnsi="宋体" w:cs="宋体"/>
                <w:bCs/>
                <w:color w:val="auto"/>
                <w:kern w:val="0"/>
                <w:szCs w:val="21"/>
                <w:highlight w:val="none"/>
              </w:rPr>
            </w:pPr>
            <w:r>
              <w:rPr>
                <w:rFonts w:hint="eastAsia" w:ascii="宋体" w:hAnsi="宋体" w:cs="宋体"/>
                <w:color w:val="auto"/>
                <w:highlight w:val="none"/>
              </w:rPr>
              <w:t>招标人应当在法定时间内和中标人签订合同。招标人应当在合同生效后2个工作日内退还。</w:t>
            </w:r>
          </w:p>
          <w:p w14:paraId="27857FD2">
            <w:pPr>
              <w:snapToGrid w:val="0"/>
              <w:spacing w:line="40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方式二</w:t>
            </w:r>
          </w:p>
          <w:p w14:paraId="775AFB5C">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一、以纸质投标保函形式交纳投标保证金</w:t>
            </w:r>
          </w:p>
          <w:p w14:paraId="09F4D0B3">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 纸质投标保函交纳形式及要求：</w:t>
            </w:r>
          </w:p>
          <w:p w14:paraId="1957F76C">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（1）缴纳形式：纸质投标保函包括银行保函、保证保险和担保保函，其示范文本详见第八章投标文件格式。投标人提交的纸质投标保函应严格执行其示范文本，不得对示范文本中的实质性内容进行修改。</w:t>
            </w:r>
          </w:p>
          <w:p w14:paraId="1E7F4B65">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14:paraId="6CD3D7B4">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投标人须在投标文件资格审查部分“其他资料”中提供纸质投标保函扫描件，纸质投标保函原件应当于投标截止时间前在开标现场递交招标人保管。</w:t>
            </w:r>
          </w:p>
          <w:p w14:paraId="47CC8BEB">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若投标截止时间延期，则纸质投标保函递交的截止时间和投标截止时间保持一致。</w:t>
            </w:r>
          </w:p>
          <w:p w14:paraId="5CF8F8DB">
            <w:pPr>
              <w:snapToGrid w:val="0"/>
              <w:spacing w:line="400" w:lineRule="exact"/>
              <w:ind w:firstLine="420" w:firstLineChars="200"/>
              <w:rPr>
                <w:rFonts w:ascii="宋体" w:hAnsi="宋体" w:cs="宋体"/>
                <w:color w:val="auto"/>
                <w:highlight w:val="none"/>
              </w:rPr>
            </w:pPr>
            <w:r>
              <w:rPr>
                <w:rFonts w:hint="eastAsia" w:ascii="宋体" w:hAnsi="宋体" w:cs="宋体"/>
                <w:color w:val="auto"/>
                <w:kern w:val="0"/>
                <w:szCs w:val="21"/>
                <w:highlight w:val="none"/>
              </w:rPr>
              <w:t>不满足上述要求的纸质投标保函无效。</w:t>
            </w:r>
          </w:p>
          <w:p w14:paraId="722515C9">
            <w:pPr>
              <w:numPr>
                <w:ilvl w:val="0"/>
                <w:numId w:val="1"/>
              </w:num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以纸质投标保函形式担保的投标保证金的金额</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val="en-US" w:eastAsia="zh-CN"/>
              </w:rPr>
              <w:t>4</w:t>
            </w:r>
            <w:r>
              <w:rPr>
                <w:rFonts w:hint="eastAsia" w:ascii="宋体" w:hAnsi="宋体" w:cs="宋体"/>
                <w:color w:val="auto"/>
                <w:kern w:val="0"/>
                <w:szCs w:val="21"/>
                <w:highlight w:val="none"/>
                <w:u w:val="single"/>
              </w:rPr>
              <w:t>000</w:t>
            </w:r>
            <w:r>
              <w:rPr>
                <w:rFonts w:ascii="宋体" w:hAnsi="宋体" w:cs="宋体"/>
                <w:color w:val="auto"/>
                <w:kern w:val="0"/>
                <w:szCs w:val="21"/>
                <w:highlight w:val="none"/>
                <w:u w:val="single"/>
              </w:rPr>
              <w:t>.00</w:t>
            </w:r>
            <w:r>
              <w:rPr>
                <w:rFonts w:hint="eastAsia" w:ascii="宋体" w:hAnsi="宋体" w:cs="宋体"/>
                <w:color w:val="auto"/>
                <w:kern w:val="0"/>
                <w:szCs w:val="21"/>
                <w:highlight w:val="none"/>
              </w:rPr>
              <w:t>元整（人民币）</w:t>
            </w:r>
            <w:r>
              <w:rPr>
                <w:rFonts w:hint="eastAsia" w:ascii="宋体" w:hAnsi="宋体" w:cs="宋体"/>
                <w:color w:val="auto"/>
                <w:highlight w:val="none"/>
              </w:rPr>
              <w:t>。</w:t>
            </w:r>
          </w:p>
          <w:p w14:paraId="1A31FE21">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 投标人须</w:t>
            </w:r>
            <w:r>
              <w:rPr>
                <w:rFonts w:hint="eastAsia" w:ascii="宋体" w:hAnsi="宋体" w:cs="宋体"/>
                <w:color w:val="auto"/>
                <w:highlight w:val="none"/>
              </w:rPr>
              <w:t>在</w:t>
            </w:r>
            <w:r>
              <w:rPr>
                <w:rFonts w:hint="eastAsia" w:ascii="宋体" w:hAnsi="宋体" w:cs="宋体"/>
                <w:color w:val="auto"/>
                <w:kern w:val="0"/>
                <w:szCs w:val="21"/>
                <w:highlight w:val="none"/>
              </w:rPr>
              <w:t>纸质投标保函中注明在重庆市辖区范围内的核验地址和核验方式，并确保其递交的纸质投标保函能在开立人在渝的总部或者分支机构进行核验。</w:t>
            </w:r>
          </w:p>
          <w:p w14:paraId="6ED42D39">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 投标人在开标现场递交的纸质投标保函原件应与投标文件中提供的纸质投标保函扫描件一致，否则由评标委员会作否决投标处理。</w:t>
            </w:r>
          </w:p>
          <w:p w14:paraId="25DED0C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hint="eastAsia" w:ascii="宋体" w:hAnsi="宋体" w:cs="宋体"/>
                <w:color w:val="auto"/>
                <w:szCs w:val="21"/>
                <w:highlight w:val="none"/>
              </w:rPr>
              <w:t>已取得中标候选人资格或中标资格的投标人，按相关规定取消中标候选人资格或中标资格</w:t>
            </w:r>
            <w:r>
              <w:rPr>
                <w:rFonts w:hint="eastAsia" w:ascii="宋体" w:hAnsi="宋体" w:cs="宋体"/>
                <w:color w:val="auto"/>
                <w:kern w:val="0"/>
                <w:szCs w:val="21"/>
                <w:highlight w:val="none"/>
              </w:rPr>
              <w:t>，</w:t>
            </w:r>
            <w:r>
              <w:rPr>
                <w:rFonts w:hint="eastAsia" w:ascii="宋体" w:hAnsi="宋体" w:cs="宋体"/>
                <w:color w:val="auto"/>
                <w:szCs w:val="21"/>
                <w:highlight w:val="none"/>
              </w:rPr>
              <w:t>给招标人造成损失的，投标人依法承担赔偿责任。</w:t>
            </w:r>
            <w:r>
              <w:rPr>
                <w:rFonts w:hint="eastAsia" w:ascii="宋体" w:hAnsi="宋体" w:cs="宋体"/>
                <w:color w:val="auto"/>
                <w:kern w:val="0"/>
                <w:szCs w:val="21"/>
                <w:highlight w:val="none"/>
              </w:rPr>
              <w:t>投标人提交的纸质投标</w:t>
            </w:r>
            <w:r>
              <w:rPr>
                <w:rFonts w:hint="eastAsia" w:ascii="宋体" w:hAnsi="宋体" w:cs="宋体"/>
                <w:color w:val="auto"/>
                <w:szCs w:val="21"/>
                <w:highlight w:val="none"/>
              </w:rPr>
              <w:t>保函涉及弄虚作假或其他违法违规情形的，移送相关部门处理</w:t>
            </w:r>
            <w:r>
              <w:rPr>
                <w:rFonts w:hint="eastAsia" w:ascii="宋体" w:hAnsi="宋体" w:cs="宋体"/>
                <w:color w:val="auto"/>
                <w:kern w:val="0"/>
                <w:szCs w:val="21"/>
                <w:highlight w:val="none"/>
              </w:rPr>
              <w:t>。</w:t>
            </w:r>
          </w:p>
          <w:p w14:paraId="5F70946A">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二、纸质投标保函的退还、注销</w:t>
            </w:r>
          </w:p>
          <w:p w14:paraId="517BBCB7">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14:paraId="70136F88">
            <w:pPr>
              <w:pStyle w:val="8"/>
              <w:spacing w:after="0"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招标人应在法定时间内和中标人签订合同，并同时书面通知相关金融机构向中标人和其他中标候选人注销纸质投标保函。具体注销事宜由投标人与金融机构协商。</w:t>
            </w:r>
          </w:p>
        </w:tc>
      </w:tr>
      <w:tr w14:paraId="162AA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F2162B5">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3.5.1</w:t>
            </w:r>
          </w:p>
        </w:tc>
        <w:tc>
          <w:tcPr>
            <w:tcW w:w="1964" w:type="dxa"/>
            <w:vAlign w:val="center"/>
          </w:tcPr>
          <w:p w14:paraId="3ED4A367">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资格审查资料</w:t>
            </w:r>
          </w:p>
        </w:tc>
        <w:tc>
          <w:tcPr>
            <w:tcW w:w="6372" w:type="dxa"/>
            <w:vAlign w:val="center"/>
          </w:tcPr>
          <w:p w14:paraId="7E8D84C0">
            <w:pPr>
              <w:snapToGrid w:val="0"/>
              <w:spacing w:after="93" w:afterLines="30"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按1.4.1要求提供</w:t>
            </w:r>
          </w:p>
        </w:tc>
      </w:tr>
      <w:tr w14:paraId="7CD29A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E5DCC48">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3.5.2</w:t>
            </w:r>
          </w:p>
        </w:tc>
        <w:tc>
          <w:tcPr>
            <w:tcW w:w="1964" w:type="dxa"/>
            <w:vAlign w:val="center"/>
          </w:tcPr>
          <w:p w14:paraId="6F72D8CB">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近年财务状况</w:t>
            </w:r>
          </w:p>
          <w:p w14:paraId="23F3E0A7">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的年份要求</w:t>
            </w:r>
          </w:p>
        </w:tc>
        <w:tc>
          <w:tcPr>
            <w:tcW w:w="6372" w:type="dxa"/>
            <w:vAlign w:val="center"/>
          </w:tcPr>
          <w:p w14:paraId="5DFE38B7">
            <w:pPr>
              <w:snapToGrid w:val="0"/>
              <w:spacing w:after="93" w:afterLines="30" w:line="40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按1.4.1要求提供</w:t>
            </w:r>
          </w:p>
        </w:tc>
      </w:tr>
      <w:tr w14:paraId="20F90D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6782851">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3.5.3</w:t>
            </w:r>
          </w:p>
        </w:tc>
        <w:tc>
          <w:tcPr>
            <w:tcW w:w="1964" w:type="dxa"/>
            <w:vAlign w:val="center"/>
          </w:tcPr>
          <w:p w14:paraId="3AAF7921">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近年完成的</w:t>
            </w:r>
          </w:p>
          <w:p w14:paraId="78C6A853">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类似业绩的</w:t>
            </w:r>
          </w:p>
          <w:p w14:paraId="783460F9">
            <w:pPr>
              <w:snapToGrid w:val="0"/>
              <w:spacing w:after="93" w:afterLines="30"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年份要求</w:t>
            </w:r>
          </w:p>
        </w:tc>
        <w:tc>
          <w:tcPr>
            <w:tcW w:w="6372" w:type="dxa"/>
            <w:vAlign w:val="center"/>
          </w:tcPr>
          <w:p w14:paraId="0C793529">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按1.4.1要求提供</w:t>
            </w:r>
          </w:p>
        </w:tc>
      </w:tr>
      <w:tr w14:paraId="3E269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D8337E1">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3.6</w:t>
            </w:r>
          </w:p>
        </w:tc>
        <w:tc>
          <w:tcPr>
            <w:tcW w:w="1964" w:type="dxa"/>
            <w:vAlign w:val="center"/>
          </w:tcPr>
          <w:p w14:paraId="7E036CF4">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是否允许递交</w:t>
            </w:r>
          </w:p>
          <w:p w14:paraId="6477D203">
            <w:pPr>
              <w:snapToGrid w:val="0"/>
              <w:spacing w:after="93" w:afterLines="30"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备选竞选方案</w:t>
            </w:r>
          </w:p>
        </w:tc>
        <w:tc>
          <w:tcPr>
            <w:tcW w:w="6372" w:type="dxa"/>
            <w:vAlign w:val="center"/>
          </w:tcPr>
          <w:p w14:paraId="63C0A337">
            <w:pPr>
              <w:snapToGrid w:val="0"/>
              <w:spacing w:line="400" w:lineRule="exact"/>
              <w:ind w:firstLine="420" w:firstLineChars="200"/>
              <w:rPr>
                <w:rFonts w:hint="eastAsia" w:ascii="宋体" w:hAnsi="宋体" w:cs="宋体"/>
                <w:color w:val="auto"/>
                <w:kern w:val="0"/>
                <w:szCs w:val="21"/>
                <w:highlight w:val="none"/>
              </w:rPr>
            </w:pPr>
            <w:r>
              <w:rPr>
                <w:rFonts w:hint="eastAsia" w:ascii="宋体" w:hAnsi="MS Mincho" w:eastAsia="MS Mincho" w:cs="MS Mincho"/>
                <w:color w:val="auto"/>
                <w:kern w:val="0"/>
                <w:szCs w:val="21"/>
                <w:highlight w:val="none"/>
              </w:rPr>
              <w:t>☑</w:t>
            </w:r>
            <w:r>
              <w:rPr>
                <w:rFonts w:hint="eastAsia" w:ascii="宋体" w:hAnsi="宋体" w:cs="宋体"/>
                <w:color w:val="auto"/>
                <w:kern w:val="0"/>
                <w:szCs w:val="21"/>
                <w:highlight w:val="none"/>
              </w:rPr>
              <w:t>不允许</w:t>
            </w:r>
          </w:p>
          <w:p w14:paraId="704264EC">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口允许</w:t>
            </w:r>
          </w:p>
        </w:tc>
      </w:tr>
      <w:tr w14:paraId="28FE7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9E77F93">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3.7.3</w:t>
            </w:r>
          </w:p>
        </w:tc>
        <w:tc>
          <w:tcPr>
            <w:tcW w:w="1964" w:type="dxa"/>
            <w:vAlign w:val="center"/>
          </w:tcPr>
          <w:p w14:paraId="71162163">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签字盖章要求</w:t>
            </w:r>
          </w:p>
        </w:tc>
        <w:tc>
          <w:tcPr>
            <w:tcW w:w="6372" w:type="dxa"/>
            <w:vAlign w:val="center"/>
          </w:tcPr>
          <w:p w14:paraId="790BBDE2">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竞选文件应用不褪色的材料书写或打印，并由竞选人的法定代表人或其委托代理人在比选文件规定的位置按比选文件要求签字或盖章、盖单位公章。委托代理人签字的，竞选文件应附法定代表人签署的授权委托书。竞选文件应尽量避免涂改、行间插字或删除。如果出现上述情况，改动之处应加盖单位公章或由竞选人的法定代表人或其授权的代理人签字确认。</w:t>
            </w:r>
          </w:p>
          <w:p w14:paraId="52808F18">
            <w:pPr>
              <w:snapToGrid w:val="0"/>
              <w:spacing w:line="400" w:lineRule="exact"/>
              <w:ind w:firstLine="420" w:firstLineChars="200"/>
              <w:rPr>
                <w:rFonts w:hint="eastAsia" w:ascii="宋体" w:hAnsi="宋体" w:cs="宋体"/>
                <w:i/>
                <w:color w:val="auto"/>
                <w:szCs w:val="21"/>
                <w:highlight w:val="none"/>
              </w:rPr>
            </w:pPr>
            <w:r>
              <w:rPr>
                <w:rFonts w:hint="eastAsia" w:ascii="宋体" w:hAnsi="宋体" w:cs="宋体"/>
                <w:color w:val="auto"/>
                <w:szCs w:val="21"/>
                <w:highlight w:val="none"/>
              </w:rPr>
              <w:t>未按上述规定执行的，交由评选委员会作否决竞选处理。</w:t>
            </w:r>
          </w:p>
        </w:tc>
      </w:tr>
      <w:tr w14:paraId="64A9F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673439E">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3.7.4</w:t>
            </w:r>
          </w:p>
        </w:tc>
        <w:tc>
          <w:tcPr>
            <w:tcW w:w="1964" w:type="dxa"/>
            <w:vAlign w:val="center"/>
          </w:tcPr>
          <w:p w14:paraId="4EF5CF1A">
            <w:pPr>
              <w:snapToGrid w:val="0"/>
              <w:spacing w:line="400" w:lineRule="exac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竞选文件的份数</w:t>
            </w:r>
          </w:p>
        </w:tc>
        <w:tc>
          <w:tcPr>
            <w:tcW w:w="6372" w:type="dxa"/>
            <w:vAlign w:val="center"/>
          </w:tcPr>
          <w:p w14:paraId="4716F5F5">
            <w:pPr>
              <w:widowControl/>
              <w:spacing w:line="400" w:lineRule="exact"/>
              <w:ind w:firstLine="456"/>
              <w:jc w:val="left"/>
              <w:rPr>
                <w:rFonts w:hint="eastAsia" w:ascii="宋体" w:hAnsi="宋体"/>
                <w:color w:val="auto"/>
                <w:kern w:val="0"/>
                <w:szCs w:val="21"/>
                <w:highlight w:val="none"/>
              </w:rPr>
            </w:pPr>
            <w:r>
              <w:rPr>
                <w:rFonts w:hint="eastAsia" w:ascii="宋体" w:hAnsi="宋体"/>
                <w:color w:val="auto"/>
                <w:kern w:val="0"/>
                <w:szCs w:val="21"/>
                <w:highlight w:val="none"/>
              </w:rPr>
              <w:t>竞选文件</w:t>
            </w:r>
            <w:r>
              <w:rPr>
                <w:rFonts w:ascii="宋体" w:hAnsi="宋体"/>
                <w:color w:val="auto"/>
                <w:kern w:val="0"/>
                <w:szCs w:val="21"/>
                <w:highlight w:val="none"/>
              </w:rPr>
              <w:t>正本</w:t>
            </w:r>
            <w:r>
              <w:rPr>
                <w:rFonts w:hint="eastAsia" w:ascii="宋体" w:hAnsi="宋体"/>
                <w:color w:val="auto"/>
                <w:kern w:val="0"/>
                <w:szCs w:val="21"/>
                <w:highlight w:val="none"/>
              </w:rPr>
              <w:t>1份、副本</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份，电子版形式（U盘）1份。当副本和正本不一致时，以正本为准。否则由评标委员会作否决投标处理。</w:t>
            </w:r>
          </w:p>
          <w:p w14:paraId="56E685DA">
            <w:pPr>
              <w:widowControl/>
              <w:spacing w:line="400" w:lineRule="exact"/>
              <w:ind w:firstLine="456"/>
              <w:jc w:val="left"/>
              <w:rPr>
                <w:rFonts w:hint="eastAsia" w:ascii="宋体" w:hAnsi="宋体" w:cs="宋体"/>
                <w:color w:val="auto"/>
                <w:kern w:val="0"/>
                <w:szCs w:val="21"/>
                <w:highlight w:val="none"/>
              </w:rPr>
            </w:pPr>
            <w:r>
              <w:rPr>
                <w:rFonts w:hint="eastAsia" w:ascii="宋体" w:hAnsi="宋体"/>
                <w:color w:val="auto"/>
                <w:highlight w:val="none"/>
              </w:rPr>
              <w:t>电子版形式（U盘）：包含纸质竞选文件中的所有内容，不分正副本。</w:t>
            </w:r>
          </w:p>
        </w:tc>
      </w:tr>
      <w:tr w14:paraId="5894FA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6AF58F6">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3.7.5</w:t>
            </w:r>
          </w:p>
        </w:tc>
        <w:tc>
          <w:tcPr>
            <w:tcW w:w="1964" w:type="dxa"/>
            <w:vAlign w:val="center"/>
          </w:tcPr>
          <w:p w14:paraId="6FF4B460">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装订要求</w:t>
            </w:r>
          </w:p>
        </w:tc>
        <w:tc>
          <w:tcPr>
            <w:tcW w:w="6372" w:type="dxa"/>
            <w:vAlign w:val="center"/>
          </w:tcPr>
          <w:p w14:paraId="19B8AD01">
            <w:pPr>
              <w:adjustRightInd w:val="0"/>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1、本技术部分采用</w:t>
            </w:r>
            <w:r>
              <w:rPr>
                <w:rFonts w:hint="eastAsia" w:ascii="宋体" w:hAnsi="宋体"/>
                <w:color w:val="auto"/>
                <w:szCs w:val="21"/>
                <w:highlight w:val="none"/>
              </w:rPr>
              <w:t>明</w:t>
            </w:r>
            <w:r>
              <w:rPr>
                <w:rFonts w:ascii="宋体" w:hAnsi="宋体"/>
                <w:color w:val="auto"/>
                <w:szCs w:val="21"/>
                <w:highlight w:val="none"/>
              </w:rPr>
              <w:t>标评审，应将投标函部分、技术部分、</w:t>
            </w:r>
            <w:r>
              <w:rPr>
                <w:rFonts w:hint="eastAsia" w:ascii="宋体" w:hAnsi="宋体"/>
                <w:color w:val="auto"/>
                <w:kern w:val="0"/>
                <w:szCs w:val="21"/>
                <w:highlight w:val="none"/>
              </w:rPr>
              <w:t>资格审查部分</w:t>
            </w:r>
            <w:r>
              <w:rPr>
                <w:rFonts w:ascii="宋体" w:hAnsi="宋体"/>
                <w:color w:val="auto"/>
                <w:szCs w:val="21"/>
                <w:highlight w:val="none"/>
              </w:rPr>
              <w:t>各自分别装订成册。</w:t>
            </w:r>
          </w:p>
          <w:p w14:paraId="5CD1C904">
            <w:pPr>
              <w:adjustRightInd w:val="0"/>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2、装订</w:t>
            </w:r>
          </w:p>
          <w:p w14:paraId="77198D7E">
            <w:pPr>
              <w:adjustRightInd w:val="0"/>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）投标函部分的装订要求</w:t>
            </w:r>
          </w:p>
          <w:p w14:paraId="2A562252">
            <w:pPr>
              <w:adjustRightInd w:val="0"/>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应按照第</w:t>
            </w:r>
            <w:r>
              <w:rPr>
                <w:rFonts w:hint="eastAsia" w:ascii="宋体" w:hAnsi="宋体"/>
                <w:color w:val="auto"/>
                <w:szCs w:val="21"/>
                <w:highlight w:val="none"/>
              </w:rPr>
              <w:t>六</w:t>
            </w:r>
            <w:r>
              <w:rPr>
                <w:rFonts w:ascii="宋体" w:hAnsi="宋体"/>
                <w:color w:val="auto"/>
                <w:szCs w:val="21"/>
                <w:highlight w:val="none"/>
              </w:rPr>
              <w:t>章规定格式装订成册，</w:t>
            </w:r>
            <w:r>
              <w:rPr>
                <w:rFonts w:hint="eastAsia" w:ascii="宋体" w:hAnsi="宋体" w:cstheme="minorEastAsia"/>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p>
          <w:p w14:paraId="456F6DE5">
            <w:pPr>
              <w:adjustRightInd w:val="0"/>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）技术部分的装订要求</w:t>
            </w:r>
          </w:p>
          <w:p w14:paraId="5ED7B651">
            <w:pPr>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投标文件技术明标并设封面，技术部分文本部分的文字采用四号仿宋字体，文本部分采用A4页面；图表内的字体、字号大小不限，图表部分采用A3或A4页面；（技术部分原则上不超过</w:t>
            </w:r>
            <w:r>
              <w:rPr>
                <w:rFonts w:hint="eastAsia" w:asciiTheme="minorEastAsia" w:hAnsiTheme="minorEastAsia" w:eastAsiaTheme="minorEastAsia" w:cstheme="minorEastAsia"/>
                <w:color w:val="auto"/>
                <w:szCs w:val="21"/>
                <w:highlight w:val="none"/>
                <w:u w:val="single"/>
              </w:rPr>
              <w:t>200</w:t>
            </w:r>
            <w:r>
              <w:rPr>
                <w:rFonts w:hint="eastAsia" w:asciiTheme="minorEastAsia" w:hAnsiTheme="minorEastAsia" w:eastAsiaTheme="minorEastAsia" w:cstheme="minorEastAsia"/>
                <w:color w:val="auto"/>
                <w:szCs w:val="21"/>
                <w:highlight w:val="none"/>
              </w:rPr>
              <w:t>页，但不得将页数作为评审因素。）</w:t>
            </w:r>
          </w:p>
          <w:p w14:paraId="147A303F">
            <w:pPr>
              <w:adjustRightInd w:val="0"/>
              <w:snapToGrid w:val="0"/>
              <w:spacing w:line="400" w:lineRule="exact"/>
              <w:ind w:firstLine="420" w:firstLineChars="200"/>
              <w:rPr>
                <w:rFonts w:hint="eastAsia" w:ascii="宋体" w:hAnsi="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kern w:val="0"/>
                <w:szCs w:val="21"/>
                <w:highlight w:val="none"/>
              </w:rPr>
              <w:t>资格审查部分</w:t>
            </w:r>
            <w:r>
              <w:rPr>
                <w:rFonts w:ascii="宋体" w:hAnsi="宋体"/>
                <w:color w:val="auto"/>
                <w:kern w:val="0"/>
                <w:szCs w:val="21"/>
                <w:highlight w:val="none"/>
              </w:rPr>
              <w:t>的装订要求</w:t>
            </w:r>
          </w:p>
          <w:p w14:paraId="2E99AD2A">
            <w:pPr>
              <w:adjustRightInd w:val="0"/>
              <w:snapToGrid w:val="0"/>
              <w:spacing w:line="400" w:lineRule="exact"/>
              <w:ind w:firstLine="420" w:firstLineChars="200"/>
              <w:rPr>
                <w:rFonts w:hint="eastAsia" w:ascii="宋体" w:hAnsi="宋体"/>
                <w:color w:val="auto"/>
                <w:highlight w:val="none"/>
              </w:rPr>
            </w:pPr>
            <w:r>
              <w:rPr>
                <w:rFonts w:ascii="宋体" w:hAnsi="宋体"/>
                <w:color w:val="auto"/>
                <w:szCs w:val="21"/>
                <w:highlight w:val="none"/>
              </w:rPr>
              <w:t>应按照第</w:t>
            </w:r>
            <w:r>
              <w:rPr>
                <w:rFonts w:hint="eastAsia" w:ascii="宋体" w:hAnsi="宋体"/>
                <w:color w:val="auto"/>
                <w:szCs w:val="21"/>
                <w:highlight w:val="none"/>
              </w:rPr>
              <w:t>六</w:t>
            </w:r>
            <w:r>
              <w:rPr>
                <w:rFonts w:ascii="宋体" w:hAnsi="宋体"/>
                <w:color w:val="auto"/>
                <w:szCs w:val="21"/>
                <w:highlight w:val="none"/>
              </w:rPr>
              <w:t>章规定格式装订成册，</w:t>
            </w:r>
            <w:r>
              <w:rPr>
                <w:rFonts w:hint="eastAsia" w:ascii="宋体" w:hAnsi="宋体" w:cstheme="minorEastAsia"/>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r>
              <w:rPr>
                <w:rFonts w:hint="eastAsia" w:ascii="宋体" w:hAnsi="宋体"/>
                <w:color w:val="auto"/>
                <w:szCs w:val="21"/>
                <w:highlight w:val="none"/>
              </w:rPr>
              <w:t>。</w:t>
            </w:r>
          </w:p>
        </w:tc>
      </w:tr>
      <w:tr w14:paraId="09B25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6609CB3">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4.1.1</w:t>
            </w:r>
          </w:p>
        </w:tc>
        <w:tc>
          <w:tcPr>
            <w:tcW w:w="1964" w:type="dxa"/>
            <w:vAlign w:val="center"/>
          </w:tcPr>
          <w:p w14:paraId="23687C89">
            <w:pPr>
              <w:snapToGrid w:val="0"/>
              <w:spacing w:line="400" w:lineRule="exact"/>
              <w:jc w:val="center"/>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竞选文件的密封</w:t>
            </w:r>
          </w:p>
        </w:tc>
        <w:tc>
          <w:tcPr>
            <w:tcW w:w="6372" w:type="dxa"/>
            <w:vAlign w:val="center"/>
          </w:tcPr>
          <w:p w14:paraId="7A7E50C2">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竞选文件</w:t>
            </w:r>
            <w:r>
              <w:rPr>
                <w:rFonts w:ascii="宋体" w:hAnsi="宋体"/>
                <w:color w:val="auto"/>
                <w:szCs w:val="21"/>
                <w:highlight w:val="none"/>
              </w:rPr>
              <w:t>袋使用“</w:t>
            </w:r>
            <w:r>
              <w:rPr>
                <w:rFonts w:hint="eastAsia" w:ascii="宋体" w:hAnsi="宋体"/>
                <w:color w:val="auto"/>
                <w:szCs w:val="21"/>
                <w:highlight w:val="none"/>
              </w:rPr>
              <w:t>竞选</w:t>
            </w:r>
            <w:r>
              <w:rPr>
                <w:rFonts w:ascii="宋体" w:hAnsi="宋体"/>
                <w:color w:val="auto"/>
                <w:szCs w:val="21"/>
                <w:highlight w:val="none"/>
              </w:rPr>
              <w:t>函部分”袋、“技术部分”袋、“</w:t>
            </w:r>
            <w:r>
              <w:rPr>
                <w:rFonts w:hint="eastAsia" w:ascii="宋体" w:hAnsi="宋体"/>
                <w:color w:val="auto"/>
                <w:szCs w:val="21"/>
                <w:highlight w:val="none"/>
              </w:rPr>
              <w:t>资格审查部分</w:t>
            </w:r>
            <w:r>
              <w:rPr>
                <w:rFonts w:ascii="宋体" w:hAnsi="宋体"/>
                <w:color w:val="auto"/>
                <w:szCs w:val="21"/>
                <w:highlight w:val="none"/>
              </w:rPr>
              <w:t>”袋以及“</w:t>
            </w:r>
            <w:r>
              <w:rPr>
                <w:rFonts w:hint="eastAsia" w:ascii="宋体" w:hAnsi="宋体"/>
                <w:color w:val="auto"/>
                <w:szCs w:val="21"/>
                <w:highlight w:val="none"/>
              </w:rPr>
              <w:t>竞选文件</w:t>
            </w:r>
            <w:r>
              <w:rPr>
                <w:rFonts w:ascii="宋体" w:hAnsi="宋体"/>
                <w:color w:val="auto"/>
                <w:szCs w:val="21"/>
                <w:highlight w:val="none"/>
              </w:rPr>
              <w:t>”大袋。</w:t>
            </w:r>
          </w:p>
          <w:p w14:paraId="5AED1D2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.投标函部分</w:t>
            </w:r>
            <w:r>
              <w:rPr>
                <w:rFonts w:hint="eastAsia" w:ascii="宋体" w:hAnsi="宋体"/>
                <w:color w:val="auto"/>
                <w:szCs w:val="21"/>
                <w:highlight w:val="none"/>
              </w:rPr>
              <w:t>和电子版形式（U盘）</w:t>
            </w:r>
            <w:r>
              <w:rPr>
                <w:rFonts w:ascii="宋体" w:hAnsi="宋体"/>
                <w:color w:val="auto"/>
                <w:szCs w:val="21"/>
                <w:highlight w:val="none"/>
              </w:rPr>
              <w:t>装入“投标函部分”袋中，密封并在袋上加盖</w:t>
            </w:r>
            <w:r>
              <w:rPr>
                <w:rFonts w:hint="eastAsia" w:ascii="宋体" w:hAnsi="宋体"/>
                <w:color w:val="auto"/>
                <w:szCs w:val="21"/>
                <w:highlight w:val="none"/>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w:t>
            </w:r>
          </w:p>
          <w:p w14:paraId="5583888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.技术部分装入“技术部分”袋中，密封并在袋上加盖</w:t>
            </w:r>
            <w:r>
              <w:rPr>
                <w:rFonts w:hint="eastAsia" w:ascii="宋体" w:hAnsi="宋体"/>
                <w:color w:val="auto"/>
                <w:szCs w:val="21"/>
                <w:highlight w:val="none"/>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w:t>
            </w:r>
          </w:p>
          <w:p w14:paraId="3219817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 资格审查部分装入“资格审查部分”袋中，密封并在袋上加盖竞选人单位法人章。</w:t>
            </w:r>
          </w:p>
          <w:p w14:paraId="178813E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.“投标函部分”、“技术部分”</w:t>
            </w:r>
            <w:r>
              <w:rPr>
                <w:rFonts w:hint="eastAsia" w:ascii="宋体" w:hAnsi="宋体"/>
                <w:color w:val="auto"/>
                <w:szCs w:val="21"/>
                <w:highlight w:val="none"/>
              </w:rPr>
              <w:t>、“资格审查部分”</w:t>
            </w:r>
            <w:r>
              <w:rPr>
                <w:rFonts w:ascii="宋体" w:hAnsi="宋体"/>
                <w:color w:val="auto"/>
                <w:szCs w:val="21"/>
                <w:highlight w:val="none"/>
              </w:rPr>
              <w:t>等小袋装入“</w:t>
            </w:r>
            <w:r>
              <w:rPr>
                <w:rFonts w:hint="eastAsia" w:ascii="宋体" w:hAnsi="宋体"/>
                <w:color w:val="auto"/>
                <w:szCs w:val="21"/>
                <w:highlight w:val="none"/>
              </w:rPr>
              <w:t>竞选文件</w:t>
            </w:r>
            <w:r>
              <w:rPr>
                <w:rFonts w:ascii="宋体" w:hAnsi="宋体"/>
                <w:color w:val="auto"/>
                <w:szCs w:val="21"/>
                <w:highlight w:val="none"/>
              </w:rPr>
              <w:t>”大袋中，密封并在大袋上加盖</w:t>
            </w:r>
            <w:r>
              <w:rPr>
                <w:rFonts w:hint="eastAsia" w:ascii="宋体" w:hAnsi="宋体"/>
                <w:color w:val="auto"/>
                <w:szCs w:val="21"/>
                <w:highlight w:val="none"/>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章，同时“</w:t>
            </w:r>
            <w:r>
              <w:rPr>
                <w:rFonts w:hint="eastAsia" w:ascii="宋体" w:hAnsi="宋体"/>
                <w:color w:val="auto"/>
                <w:szCs w:val="21"/>
                <w:highlight w:val="none"/>
              </w:rPr>
              <w:t>竞选文件</w:t>
            </w:r>
            <w:r>
              <w:rPr>
                <w:rFonts w:ascii="宋体" w:hAnsi="宋体"/>
                <w:color w:val="auto"/>
                <w:szCs w:val="21"/>
                <w:highlight w:val="none"/>
              </w:rPr>
              <w:t>”大袋应按本表第4.1.2项的规定写明相应内容。</w:t>
            </w:r>
            <w:r>
              <w:rPr>
                <w:rFonts w:hint="eastAsia" w:ascii="宋体" w:hAnsi="宋体"/>
                <w:color w:val="auto"/>
                <w:szCs w:val="21"/>
                <w:highlight w:val="none"/>
              </w:rPr>
              <w:t>一个大袋装不下的，可使用多个大袋分册封装。</w:t>
            </w:r>
          </w:p>
          <w:p w14:paraId="5A6FAFA6">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注：“投标函部分”袋、“技术部分”袋、“资格审查部分”袋只为方便竞选文件分装，不作为判定密封合格与否的条件。但为了方便开标，请各竞选人主动配合，按要求分装。</w:t>
            </w:r>
          </w:p>
        </w:tc>
      </w:tr>
      <w:tr w14:paraId="2CA6DF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9F582B8">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4.1.2</w:t>
            </w:r>
          </w:p>
        </w:tc>
        <w:tc>
          <w:tcPr>
            <w:tcW w:w="1964" w:type="dxa"/>
            <w:vAlign w:val="center"/>
          </w:tcPr>
          <w:p w14:paraId="7AA47B85">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封套上写明</w:t>
            </w:r>
          </w:p>
        </w:tc>
        <w:tc>
          <w:tcPr>
            <w:tcW w:w="6372" w:type="dxa"/>
            <w:vAlign w:val="center"/>
          </w:tcPr>
          <w:p w14:paraId="74E6EC7B">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应在封套上写明如下内容：</w:t>
            </w:r>
          </w:p>
          <w:p w14:paraId="5A0B1DC6">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竞选人名称：</w:t>
            </w:r>
          </w:p>
          <w:p w14:paraId="77820EC4">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竞选文件</w:t>
            </w:r>
          </w:p>
          <w:p w14:paraId="07D90BD0">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分前不得开启</w:t>
            </w:r>
          </w:p>
        </w:tc>
      </w:tr>
      <w:tr w14:paraId="027D4D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8D1D51C">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4.2.3</w:t>
            </w:r>
          </w:p>
        </w:tc>
        <w:tc>
          <w:tcPr>
            <w:tcW w:w="1964" w:type="dxa"/>
            <w:vAlign w:val="center"/>
          </w:tcPr>
          <w:p w14:paraId="44E94CDE">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是否退还竞选文件</w:t>
            </w:r>
          </w:p>
        </w:tc>
        <w:tc>
          <w:tcPr>
            <w:tcW w:w="6372" w:type="dxa"/>
            <w:vAlign w:val="center"/>
          </w:tcPr>
          <w:p w14:paraId="4536B53E">
            <w:pPr>
              <w:spacing w:line="400" w:lineRule="exact"/>
              <w:ind w:firstLine="210" w:firstLineChars="100"/>
              <w:rPr>
                <w:rFonts w:hint="eastAsia" w:ascii="宋体" w:hAnsi="宋体" w:cs="宋体"/>
                <w:color w:val="auto"/>
                <w:szCs w:val="21"/>
                <w:highlight w:val="none"/>
              </w:rPr>
            </w:pPr>
            <w:r>
              <w:rPr>
                <w:rFonts w:hint="eastAsia" w:ascii="宋体" w:hAnsi="MS Mincho" w:eastAsia="MS Mincho" w:cs="MS Mincho"/>
                <w:color w:val="auto"/>
                <w:szCs w:val="21"/>
                <w:highlight w:val="none"/>
              </w:rPr>
              <w:t>☑</w:t>
            </w:r>
            <w:r>
              <w:rPr>
                <w:rFonts w:hint="eastAsia" w:ascii="宋体" w:hAnsi="宋体" w:cs="宋体"/>
                <w:color w:val="auto"/>
                <w:szCs w:val="21"/>
                <w:highlight w:val="none"/>
              </w:rPr>
              <w:t>否</w:t>
            </w:r>
          </w:p>
          <w:p w14:paraId="5ED3E822">
            <w:pPr>
              <w:snapToGrid w:val="0"/>
              <w:spacing w:line="400" w:lineRule="exact"/>
              <w:ind w:firstLine="210" w:firstLineChars="100"/>
              <w:rPr>
                <w:rFonts w:hint="eastAsia" w:ascii="宋体" w:hAnsi="宋体" w:cs="宋体"/>
                <w:color w:val="auto"/>
                <w:kern w:val="0"/>
                <w:szCs w:val="21"/>
                <w:highlight w:val="none"/>
              </w:rPr>
            </w:pPr>
            <w:r>
              <w:rPr>
                <w:rFonts w:hint="eastAsia" w:ascii="宋体" w:hAnsi="宋体" w:cs="宋体"/>
                <w:color w:val="auto"/>
                <w:szCs w:val="21"/>
                <w:highlight w:val="none"/>
              </w:rPr>
              <w:t>□是</w:t>
            </w:r>
          </w:p>
        </w:tc>
      </w:tr>
      <w:tr w14:paraId="66A1C0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C1999DA">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5.1.1</w:t>
            </w:r>
          </w:p>
        </w:tc>
        <w:tc>
          <w:tcPr>
            <w:tcW w:w="1964" w:type="dxa"/>
            <w:vAlign w:val="center"/>
          </w:tcPr>
          <w:p w14:paraId="1D2FF5EC">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评选时间和地点</w:t>
            </w:r>
          </w:p>
        </w:tc>
        <w:tc>
          <w:tcPr>
            <w:tcW w:w="6372" w:type="dxa"/>
            <w:vAlign w:val="center"/>
          </w:tcPr>
          <w:p w14:paraId="53FA3247">
            <w:pPr>
              <w:snapToGrid w:val="0"/>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开标时间：同</w:t>
            </w:r>
            <w:r>
              <w:rPr>
                <w:rFonts w:hint="eastAsia" w:ascii="宋体" w:hAnsi="宋体"/>
                <w:color w:val="auto"/>
                <w:kern w:val="0"/>
                <w:szCs w:val="21"/>
                <w:highlight w:val="none"/>
              </w:rPr>
              <w:t>竞选截止时间</w:t>
            </w:r>
          </w:p>
          <w:p w14:paraId="4067BBF0">
            <w:pPr>
              <w:snapToGrid w:val="0"/>
              <w:spacing w:line="400" w:lineRule="exact"/>
              <w:ind w:firstLine="420" w:firstLineChars="200"/>
              <w:rPr>
                <w:rFonts w:hint="eastAsia" w:ascii="宋体" w:hAnsi="宋体" w:cs="宋体"/>
                <w:bCs/>
                <w:i/>
                <w:color w:val="auto"/>
                <w:szCs w:val="21"/>
                <w:highlight w:val="none"/>
              </w:rPr>
            </w:pPr>
            <w:r>
              <w:rPr>
                <w:rFonts w:ascii="宋体" w:hAnsi="宋体"/>
                <w:color w:val="auto"/>
                <w:kern w:val="0"/>
                <w:szCs w:val="21"/>
                <w:highlight w:val="none"/>
              </w:rPr>
              <w:t>开标地点：</w:t>
            </w:r>
            <w:r>
              <w:rPr>
                <w:rFonts w:hint="eastAsia" w:cs="宋体" w:asciiTheme="minorEastAsia" w:hAnsiTheme="minorEastAsia" w:eastAsiaTheme="minorEastAsia"/>
                <w:color w:val="auto"/>
                <w:szCs w:val="21"/>
                <w:highlight w:val="none"/>
              </w:rPr>
              <w:t>重庆市南岸区城市建设发展（集团）有限公司（重庆市南岸区行政服务中心B区3号楼</w:t>
            </w:r>
            <w:r>
              <w:rPr>
                <w:rFonts w:hint="eastAsia" w:cs="宋体" w:asciiTheme="minorEastAsia" w:hAnsiTheme="minorEastAsia" w:eastAsiaTheme="minorEastAsia"/>
                <w:color w:val="auto"/>
                <w:szCs w:val="21"/>
                <w:highlight w:val="none"/>
                <w:lang w:val="en-US" w:eastAsia="zh-CN"/>
              </w:rPr>
              <w:t>2012</w:t>
            </w:r>
            <w:r>
              <w:rPr>
                <w:rFonts w:hint="eastAsia" w:cs="宋体" w:asciiTheme="minorEastAsia" w:hAnsiTheme="minorEastAsia" w:eastAsiaTheme="minorEastAsia"/>
                <w:color w:val="auto"/>
                <w:szCs w:val="21"/>
                <w:highlight w:val="none"/>
              </w:rPr>
              <w:t>室）</w:t>
            </w:r>
          </w:p>
        </w:tc>
      </w:tr>
      <w:tr w14:paraId="3EC833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661DD70">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1964" w:type="dxa"/>
            <w:vAlign w:val="center"/>
          </w:tcPr>
          <w:p w14:paraId="5378F8B7">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竞选文件开启</w:t>
            </w:r>
          </w:p>
          <w:p w14:paraId="62EA54F4">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及唱标程序</w:t>
            </w:r>
          </w:p>
        </w:tc>
        <w:tc>
          <w:tcPr>
            <w:tcW w:w="6372" w:type="dxa"/>
            <w:vAlign w:val="center"/>
          </w:tcPr>
          <w:p w14:paraId="52C9F1A0">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主持人按下列程序进行开标：</w:t>
            </w:r>
          </w:p>
          <w:p w14:paraId="284770ED">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1. 核验参加开标会议的</w:t>
            </w:r>
            <w:r>
              <w:rPr>
                <w:rFonts w:hint="eastAsia" w:ascii="宋体" w:hAnsi="宋体"/>
                <w:color w:val="auto"/>
                <w:szCs w:val="21"/>
                <w:highlight w:val="none"/>
              </w:rPr>
              <w:t>竞选人</w:t>
            </w:r>
            <w:r>
              <w:rPr>
                <w:rFonts w:ascii="宋体" w:hAnsi="宋体"/>
                <w:color w:val="auto"/>
                <w:szCs w:val="21"/>
                <w:highlight w:val="none"/>
              </w:rPr>
              <w:t>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57C3F9DB">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2.宣布开标纪律</w:t>
            </w:r>
            <w:r>
              <w:rPr>
                <w:rFonts w:hint="eastAsia" w:ascii="宋体" w:hAnsi="宋体"/>
                <w:color w:val="auto"/>
                <w:szCs w:val="21"/>
                <w:highlight w:val="none"/>
              </w:rPr>
              <w:t>。</w:t>
            </w:r>
          </w:p>
          <w:p w14:paraId="14552486">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2166D39E">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4. 公布在</w:t>
            </w:r>
            <w:r>
              <w:rPr>
                <w:rFonts w:hint="eastAsia" w:ascii="宋体" w:hAnsi="宋体"/>
                <w:color w:val="auto"/>
                <w:szCs w:val="21"/>
                <w:highlight w:val="none"/>
              </w:rPr>
              <w:t>竞选截止时间</w:t>
            </w:r>
            <w:r>
              <w:rPr>
                <w:rFonts w:ascii="宋体" w:hAnsi="宋体"/>
                <w:color w:val="auto"/>
                <w:szCs w:val="21"/>
                <w:highlight w:val="none"/>
              </w:rPr>
              <w:t>前递交</w:t>
            </w:r>
            <w:r>
              <w:rPr>
                <w:rFonts w:hint="eastAsia" w:ascii="宋体" w:hAnsi="宋体"/>
                <w:color w:val="auto"/>
                <w:szCs w:val="21"/>
                <w:highlight w:val="none"/>
              </w:rPr>
              <w:t>竞选文件</w:t>
            </w:r>
            <w:r>
              <w:rPr>
                <w:rFonts w:ascii="宋体" w:hAnsi="宋体"/>
                <w:color w:val="auto"/>
                <w:szCs w:val="21"/>
                <w:highlight w:val="none"/>
              </w:rPr>
              <w:t>的</w:t>
            </w:r>
            <w:r>
              <w:rPr>
                <w:rFonts w:hint="eastAsia" w:ascii="宋体" w:hAnsi="宋体"/>
                <w:color w:val="auto"/>
                <w:szCs w:val="21"/>
                <w:highlight w:val="none"/>
              </w:rPr>
              <w:t>竞选人</w:t>
            </w:r>
            <w:r>
              <w:rPr>
                <w:rFonts w:ascii="宋体" w:hAnsi="宋体"/>
                <w:color w:val="auto"/>
                <w:szCs w:val="21"/>
                <w:highlight w:val="none"/>
              </w:rPr>
              <w:t>名称</w:t>
            </w:r>
            <w:r>
              <w:rPr>
                <w:rFonts w:hint="eastAsia" w:ascii="宋体" w:hAnsi="宋体"/>
                <w:color w:val="auto"/>
                <w:szCs w:val="21"/>
                <w:highlight w:val="none"/>
              </w:rPr>
              <w:t>。</w:t>
            </w:r>
          </w:p>
          <w:p w14:paraId="00D10AF3">
            <w:pPr>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竞选文件的密封检查：竞选人可对自己的竞选文件封装情况进行检查，以确认其竞选文件密封完好。</w:t>
            </w:r>
          </w:p>
          <w:p w14:paraId="6E9DC8BE">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 核验投标保证金交纳情况。</w:t>
            </w:r>
          </w:p>
          <w:p w14:paraId="362B1145">
            <w:pPr>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w:t>
            </w:r>
          </w:p>
          <w:p w14:paraId="2D4246D4">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.逐单位随机开启</w:t>
            </w:r>
            <w:r>
              <w:rPr>
                <w:rFonts w:hint="eastAsia" w:ascii="宋体" w:hAnsi="宋体"/>
                <w:color w:val="auto"/>
                <w:szCs w:val="21"/>
                <w:highlight w:val="none"/>
              </w:rPr>
              <w:t>竞选文件</w:t>
            </w:r>
            <w:r>
              <w:rPr>
                <w:rFonts w:ascii="宋体" w:hAnsi="宋体"/>
                <w:color w:val="auto"/>
                <w:szCs w:val="21"/>
                <w:highlight w:val="none"/>
              </w:rPr>
              <w:t>。开启</w:t>
            </w:r>
            <w:r>
              <w:rPr>
                <w:rFonts w:hint="eastAsia" w:ascii="宋体" w:hAnsi="宋体"/>
                <w:color w:val="auto"/>
                <w:szCs w:val="21"/>
                <w:highlight w:val="none"/>
              </w:rPr>
              <w:t>竞选文件</w:t>
            </w:r>
            <w:r>
              <w:rPr>
                <w:rFonts w:ascii="宋体" w:hAnsi="宋体"/>
                <w:color w:val="auto"/>
                <w:szCs w:val="21"/>
                <w:highlight w:val="none"/>
              </w:rPr>
              <w:t>大袋及投标函部分袋、技术部分袋</w:t>
            </w:r>
            <w:r>
              <w:rPr>
                <w:rFonts w:hint="eastAsia" w:ascii="宋体" w:hAnsi="宋体"/>
                <w:color w:val="auto"/>
                <w:szCs w:val="21"/>
                <w:highlight w:val="none"/>
              </w:rPr>
              <w:t>、资格审查部分袋</w:t>
            </w:r>
            <w:r>
              <w:rPr>
                <w:rFonts w:ascii="宋体" w:hAnsi="宋体"/>
                <w:color w:val="auto"/>
                <w:szCs w:val="21"/>
                <w:highlight w:val="none"/>
              </w:rPr>
              <w:t>；公布</w:t>
            </w:r>
            <w:r>
              <w:rPr>
                <w:rFonts w:hint="eastAsia" w:ascii="宋体" w:hAnsi="宋体"/>
                <w:color w:val="auto"/>
                <w:szCs w:val="21"/>
                <w:highlight w:val="none"/>
              </w:rPr>
              <w:t>竞选人</w:t>
            </w:r>
            <w:r>
              <w:rPr>
                <w:rFonts w:ascii="宋体" w:hAnsi="宋体"/>
                <w:color w:val="auto"/>
                <w:szCs w:val="21"/>
                <w:highlight w:val="none"/>
              </w:rPr>
              <w:t>名称、投标报价、质量要求、</w:t>
            </w:r>
            <w:r>
              <w:rPr>
                <w:rFonts w:hint="eastAsia" w:ascii="宋体" w:hAnsi="宋体"/>
                <w:color w:val="auto"/>
                <w:szCs w:val="21"/>
                <w:highlight w:val="none"/>
              </w:rPr>
              <w:t>服务期</w:t>
            </w:r>
            <w:r>
              <w:rPr>
                <w:rFonts w:ascii="宋体" w:hAnsi="宋体"/>
                <w:color w:val="auto"/>
                <w:szCs w:val="21"/>
                <w:highlight w:val="none"/>
              </w:rPr>
              <w:t>及其他内容并记录在案</w:t>
            </w:r>
            <w:r>
              <w:rPr>
                <w:rFonts w:hint="eastAsia" w:ascii="宋体" w:hAnsi="宋体"/>
                <w:color w:val="auto"/>
                <w:szCs w:val="21"/>
                <w:highlight w:val="none"/>
              </w:rPr>
              <w:t>。</w:t>
            </w:r>
          </w:p>
          <w:p w14:paraId="62A406C9">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 竞选人对开标有异议的，应当场提出，由比选人或代理机构当场答复，并记录到开标记录表中。异议处理完毕后，汇总开标情况，打印开标记录表。</w:t>
            </w:r>
          </w:p>
          <w:p w14:paraId="49A529B5">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 xml:space="preserve">. </w:t>
            </w:r>
            <w:r>
              <w:rPr>
                <w:rFonts w:hint="eastAsia" w:ascii="宋体" w:hAnsi="宋体"/>
                <w:color w:val="auto"/>
                <w:szCs w:val="21"/>
                <w:highlight w:val="none"/>
              </w:rPr>
              <w:t>竞选人</w:t>
            </w:r>
            <w:r>
              <w:rPr>
                <w:rFonts w:ascii="宋体" w:hAnsi="宋体"/>
                <w:color w:val="auto"/>
                <w:szCs w:val="21"/>
                <w:highlight w:val="none"/>
              </w:rPr>
              <w:t>代表、</w:t>
            </w:r>
            <w:r>
              <w:rPr>
                <w:rFonts w:hint="eastAsia" w:ascii="宋体" w:hAnsi="宋体"/>
                <w:color w:val="auto"/>
                <w:szCs w:val="21"/>
                <w:highlight w:val="none"/>
              </w:rPr>
              <w:t>比选人</w:t>
            </w:r>
            <w:r>
              <w:rPr>
                <w:rFonts w:ascii="宋体" w:hAnsi="宋体"/>
                <w:color w:val="auto"/>
                <w:szCs w:val="21"/>
                <w:highlight w:val="none"/>
              </w:rPr>
              <w:t>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603DD2AD">
            <w:pPr>
              <w:snapToGrid w:val="0"/>
              <w:spacing w:line="40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11</w:t>
            </w:r>
            <w:r>
              <w:rPr>
                <w:rFonts w:ascii="宋体" w:hAnsi="宋体"/>
                <w:color w:val="auto"/>
                <w:szCs w:val="21"/>
                <w:highlight w:val="none"/>
              </w:rPr>
              <w:t>. 开标结束。</w:t>
            </w:r>
          </w:p>
        </w:tc>
      </w:tr>
      <w:tr w14:paraId="29CDE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16AC59B">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6.1.1</w:t>
            </w:r>
          </w:p>
        </w:tc>
        <w:tc>
          <w:tcPr>
            <w:tcW w:w="1964" w:type="dxa"/>
            <w:vAlign w:val="center"/>
          </w:tcPr>
          <w:p w14:paraId="182B8455">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评选委员会的组建</w:t>
            </w:r>
          </w:p>
        </w:tc>
        <w:tc>
          <w:tcPr>
            <w:tcW w:w="6372" w:type="dxa"/>
            <w:vAlign w:val="center"/>
          </w:tcPr>
          <w:p w14:paraId="58806D1F">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1、评选委员会构成：</w:t>
            </w:r>
            <w:r>
              <w:rPr>
                <w:rFonts w:hint="eastAsia" w:ascii="宋体" w:hAnsi="宋体"/>
                <w:color w:val="auto"/>
                <w:szCs w:val="21"/>
                <w:highlight w:val="none"/>
                <w:u w:val="single"/>
              </w:rPr>
              <w:t xml:space="preserve"> 3 </w:t>
            </w:r>
            <w:r>
              <w:rPr>
                <w:rFonts w:hint="eastAsia" w:ascii="宋体" w:hAnsi="宋体"/>
                <w:color w:val="auto"/>
                <w:szCs w:val="21"/>
                <w:highlight w:val="none"/>
              </w:rPr>
              <w:t>人。</w:t>
            </w:r>
          </w:p>
          <w:p w14:paraId="51E71999">
            <w:pPr>
              <w:pStyle w:val="8"/>
              <w:spacing w:line="400" w:lineRule="exact"/>
              <w:ind w:firstLine="420" w:firstLineChars="200"/>
              <w:rPr>
                <w:rFonts w:hint="eastAsia" w:ascii="宋体" w:hAnsi="宋体"/>
                <w:color w:val="auto"/>
                <w:highlight w:val="none"/>
              </w:rPr>
            </w:pPr>
            <w:r>
              <w:rPr>
                <w:rFonts w:hint="eastAsia" w:ascii="宋体" w:hAnsi="宋体"/>
                <w:color w:val="auto"/>
                <w:szCs w:val="21"/>
                <w:highlight w:val="none"/>
              </w:rPr>
              <w:t>2、评选专家确定方式：依法组建。</w:t>
            </w:r>
          </w:p>
        </w:tc>
      </w:tr>
      <w:tr w14:paraId="4A1A86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BF7F11A">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7.1</w:t>
            </w:r>
          </w:p>
        </w:tc>
        <w:tc>
          <w:tcPr>
            <w:tcW w:w="1964" w:type="dxa"/>
            <w:vAlign w:val="center"/>
          </w:tcPr>
          <w:p w14:paraId="51E9482A">
            <w:pPr>
              <w:snapToGrid w:val="0"/>
              <w:spacing w:after="62" w:afterLines="20"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是否授权评选委员会确定中选人</w:t>
            </w:r>
          </w:p>
        </w:tc>
        <w:tc>
          <w:tcPr>
            <w:tcW w:w="6372" w:type="dxa"/>
            <w:vAlign w:val="center"/>
          </w:tcPr>
          <w:p w14:paraId="7D82454D">
            <w:pPr>
              <w:snapToGrid w:val="0"/>
              <w:spacing w:line="400" w:lineRule="exact"/>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□是</w:t>
            </w:r>
          </w:p>
          <w:p w14:paraId="09A99735">
            <w:pPr>
              <w:snapToGrid w:val="0"/>
              <w:spacing w:line="400" w:lineRule="exact"/>
              <w:ind w:firstLine="210" w:firstLineChars="100"/>
              <w:rPr>
                <w:rFonts w:hint="eastAsia" w:ascii="宋体" w:hAnsi="宋体" w:cs="宋体"/>
                <w:i/>
                <w:color w:val="auto"/>
                <w:kern w:val="0"/>
                <w:szCs w:val="21"/>
                <w:highlight w:val="none"/>
              </w:rPr>
            </w:pPr>
            <w:r>
              <w:rPr>
                <w:rFonts w:hint="eastAsia" w:ascii="宋体" w:hAnsi="MS Mincho" w:eastAsia="MS Mincho" w:cs="MS Mincho"/>
                <w:color w:val="auto"/>
                <w:kern w:val="0"/>
                <w:szCs w:val="21"/>
                <w:highlight w:val="none"/>
              </w:rPr>
              <w:t>☑</w:t>
            </w:r>
            <w:r>
              <w:rPr>
                <w:rFonts w:hint="eastAsia" w:ascii="宋体" w:hAnsi="宋体" w:cs="宋体"/>
                <w:color w:val="auto"/>
                <w:kern w:val="0"/>
                <w:szCs w:val="21"/>
                <w:highlight w:val="none"/>
              </w:rPr>
              <w:t>否，</w:t>
            </w:r>
            <w:r>
              <w:rPr>
                <w:rFonts w:ascii="宋体" w:hAnsi="宋体" w:cs="宋体"/>
                <w:color w:val="auto"/>
                <w:szCs w:val="21"/>
                <w:highlight w:val="none"/>
              </w:rPr>
              <w:t>推荐经</w:t>
            </w:r>
            <w:r>
              <w:rPr>
                <w:rFonts w:hint="eastAsia" w:ascii="宋体" w:hAnsi="宋体" w:cs="宋体"/>
                <w:color w:val="auto"/>
                <w:szCs w:val="21"/>
                <w:highlight w:val="none"/>
              </w:rPr>
              <w:t>评选</w:t>
            </w:r>
            <w:r>
              <w:rPr>
                <w:rFonts w:ascii="宋体" w:hAnsi="宋体" w:cs="宋体"/>
                <w:color w:val="auto"/>
                <w:szCs w:val="21"/>
                <w:highlight w:val="none"/>
              </w:rPr>
              <w:t>综合得分由高到低排名前三名为</w:t>
            </w:r>
            <w:r>
              <w:rPr>
                <w:rFonts w:hint="eastAsia" w:ascii="宋体" w:hAnsi="宋体" w:cs="宋体"/>
                <w:color w:val="auto"/>
                <w:szCs w:val="21"/>
                <w:highlight w:val="none"/>
              </w:rPr>
              <w:t>中选</w:t>
            </w:r>
            <w:r>
              <w:rPr>
                <w:rFonts w:ascii="宋体" w:hAnsi="宋体" w:cs="宋体"/>
                <w:color w:val="auto"/>
                <w:szCs w:val="21"/>
                <w:highlight w:val="none"/>
              </w:rPr>
              <w:t>候选人</w:t>
            </w:r>
            <w:r>
              <w:rPr>
                <w:rFonts w:hint="eastAsia" w:ascii="宋体" w:hAnsi="宋体" w:cs="宋体"/>
                <w:color w:val="auto"/>
                <w:kern w:val="0"/>
                <w:szCs w:val="21"/>
                <w:highlight w:val="none"/>
              </w:rPr>
              <w:t>。</w:t>
            </w:r>
          </w:p>
        </w:tc>
      </w:tr>
      <w:tr w14:paraId="53045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6946FBD">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7.2</w:t>
            </w:r>
          </w:p>
        </w:tc>
        <w:tc>
          <w:tcPr>
            <w:tcW w:w="1964" w:type="dxa"/>
            <w:vAlign w:val="center"/>
          </w:tcPr>
          <w:p w14:paraId="378FA484">
            <w:pPr>
              <w:snapToGrid w:val="0"/>
              <w:spacing w:after="62" w:afterLines="20"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中选结果公告</w:t>
            </w:r>
          </w:p>
        </w:tc>
        <w:tc>
          <w:tcPr>
            <w:tcW w:w="6372" w:type="dxa"/>
            <w:vAlign w:val="center"/>
          </w:tcPr>
          <w:p w14:paraId="1CA7235D">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评选结果在比选人确认评选结果后2个工作日内，于“</w:t>
            </w:r>
            <w:r>
              <w:rPr>
                <w:rFonts w:hint="eastAsia" w:ascii="宋体" w:hAnsi="宋体"/>
                <w:snapToGrid w:val="0"/>
                <w:color w:val="auto"/>
                <w:kern w:val="0"/>
                <w:szCs w:val="21"/>
                <w:highlight w:val="none"/>
              </w:rPr>
              <w:t>行采家”网站（https://www.gec123.com/）上</w:t>
            </w:r>
            <w:r>
              <w:rPr>
                <w:rFonts w:hint="eastAsia" w:ascii="宋体" w:hAnsi="宋体" w:cs="宋体"/>
                <w:color w:val="auto"/>
                <w:szCs w:val="21"/>
                <w:highlight w:val="none"/>
              </w:rPr>
              <w:t>进行公告，公告期限为3日。</w:t>
            </w:r>
          </w:p>
        </w:tc>
      </w:tr>
      <w:tr w14:paraId="37788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99FE728">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7.3.1</w:t>
            </w:r>
          </w:p>
        </w:tc>
        <w:tc>
          <w:tcPr>
            <w:tcW w:w="1964" w:type="dxa"/>
            <w:vAlign w:val="center"/>
          </w:tcPr>
          <w:p w14:paraId="3673CEAF">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履约担保</w:t>
            </w:r>
          </w:p>
        </w:tc>
        <w:tc>
          <w:tcPr>
            <w:tcW w:w="6372" w:type="dxa"/>
            <w:vAlign w:val="center"/>
          </w:tcPr>
          <w:p w14:paraId="7BFBD794">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14:paraId="2E1A24B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14:paraId="5D149E1B">
            <w:pPr>
              <w:snapToGrid w:val="0"/>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（1）履约担保的形式：</w:t>
            </w:r>
            <w:r>
              <w:rPr>
                <w:rFonts w:hint="eastAsia" w:ascii="宋体" w:hAnsi="宋体"/>
                <w:color w:val="auto"/>
                <w:kern w:val="0"/>
                <w:szCs w:val="21"/>
                <w:highlight w:val="none"/>
                <w:u w:val="single"/>
              </w:rPr>
              <w:t>现金或履约保函；采用保函形式的,保函的开立人应当是具有相应资格的且发包人认可的银行、保险机构、融资担保公司，其信用资质、履约能力、担保能力、赔付流程、安全保密等应符合履约保函业务条件。保函应合法合规，符合招投标行政监督部门、行业主管部门和金融监管部门的相关规定，满足招标文件约定要求。承包人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承包人对所提交的保函的真实性、合法性、有效性负责。”</w:t>
            </w:r>
            <w:r>
              <w:rPr>
                <w:rFonts w:hint="eastAsia" w:ascii="宋体" w:hAnsi="宋体"/>
                <w:color w:val="auto"/>
                <w:szCs w:val="21"/>
                <w:highlight w:val="none"/>
                <w:u w:val="single"/>
              </w:rPr>
              <w:t>；</w:t>
            </w:r>
          </w:p>
          <w:p w14:paraId="2DF615AD">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（2）履约担保的金额：</w:t>
            </w:r>
            <w:r>
              <w:rPr>
                <w:rFonts w:hint="eastAsia" w:ascii="宋体" w:hAnsi="宋体"/>
                <w:color w:val="auto"/>
                <w:szCs w:val="21"/>
                <w:highlight w:val="none"/>
                <w:u w:val="single"/>
              </w:rPr>
              <w:t>合同价的10%；</w:t>
            </w:r>
          </w:p>
          <w:p w14:paraId="022D8796">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（3）履约担保的提交时间：</w:t>
            </w:r>
            <w:r>
              <w:rPr>
                <w:rFonts w:hint="eastAsia" w:ascii="宋体" w:hAnsi="宋体"/>
                <w:color w:val="auto"/>
                <w:szCs w:val="21"/>
                <w:highlight w:val="none"/>
                <w:u w:val="single"/>
              </w:rPr>
              <w:t>中标通知书发出后10日内，合同签订前，乙方按担保金额向甲方提交履约担保。</w:t>
            </w:r>
          </w:p>
          <w:p w14:paraId="322DA056">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（4）履约担保的期限：</w:t>
            </w:r>
            <w:r>
              <w:rPr>
                <w:rFonts w:hint="eastAsia" w:ascii="宋体" w:hAnsi="宋体"/>
                <w:color w:val="auto"/>
                <w:szCs w:val="21"/>
                <w:highlight w:val="none"/>
                <w:u w:val="single"/>
              </w:rPr>
              <w:t>自提交履约担保之日起至项目验收合格之日止。</w:t>
            </w:r>
          </w:p>
          <w:p w14:paraId="6F12B993">
            <w:pPr>
              <w:tabs>
                <w:tab w:val="left" w:pos="1134"/>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）履约担保的退还时间：</w:t>
            </w:r>
            <w:r>
              <w:rPr>
                <w:rFonts w:hint="eastAsia" w:ascii="宋体" w:hAnsi="宋体"/>
                <w:color w:val="auto"/>
                <w:szCs w:val="21"/>
                <w:highlight w:val="none"/>
                <w:u w:val="single"/>
              </w:rPr>
              <w:t xml:space="preserve">采用现金的，工程办理完结算、且咨询人无违约的情形下 </w:t>
            </w:r>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rPr>
              <w:t xml:space="preserve">0 日内无息退还；采用银行保函或担保公司保函的， 工程办理完结算、且咨询人无违约的情形下 </w:t>
            </w:r>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rPr>
              <w:t>0 日内终止。</w:t>
            </w:r>
          </w:p>
        </w:tc>
      </w:tr>
      <w:tr w14:paraId="31BD3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58356A5">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8.1</w:t>
            </w:r>
          </w:p>
        </w:tc>
        <w:tc>
          <w:tcPr>
            <w:tcW w:w="1964" w:type="dxa"/>
            <w:vAlign w:val="center"/>
          </w:tcPr>
          <w:p w14:paraId="3A9FBDDA">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重新比选</w:t>
            </w:r>
          </w:p>
        </w:tc>
        <w:tc>
          <w:tcPr>
            <w:tcW w:w="6372" w:type="dxa"/>
            <w:vAlign w:val="center"/>
          </w:tcPr>
          <w:p w14:paraId="1D4319BB">
            <w:pPr>
              <w:autoSpaceDE w:val="0"/>
              <w:autoSpaceDN w:val="0"/>
              <w:adjustRightInd w:val="0"/>
              <w:snapToGrid w:val="0"/>
              <w:spacing w:after="62" w:afterLines="20" w:line="400" w:lineRule="exact"/>
              <w:ind w:firstLine="420" w:firstLineChars="200"/>
              <w:rPr>
                <w:rFonts w:hint="eastAsia" w:ascii="宋体" w:hAnsi="宋体"/>
                <w:snapToGrid w:val="0"/>
                <w:color w:val="auto"/>
                <w:highlight w:val="none"/>
              </w:rPr>
            </w:pPr>
            <w:r>
              <w:rPr>
                <w:rFonts w:hint="eastAsia" w:ascii="宋体" w:hAnsi="宋体"/>
                <w:snapToGrid w:val="0"/>
                <w:color w:val="auto"/>
                <w:highlight w:val="none"/>
              </w:rPr>
              <w:t>1.初次比选：按竞选人须知第8.1执行；</w:t>
            </w:r>
          </w:p>
          <w:p w14:paraId="323EE3FD">
            <w:pPr>
              <w:autoSpaceDE w:val="0"/>
              <w:autoSpaceDN w:val="0"/>
              <w:adjustRightInd w:val="0"/>
              <w:snapToGrid w:val="0"/>
              <w:spacing w:after="62" w:afterLines="20" w:line="400" w:lineRule="exact"/>
              <w:ind w:firstLine="420" w:firstLineChars="200"/>
              <w:rPr>
                <w:rFonts w:hint="eastAsia" w:ascii="宋体" w:hAnsi="宋体" w:cs="宋体"/>
                <w:snapToGrid w:val="0"/>
                <w:color w:val="auto"/>
                <w:kern w:val="0"/>
                <w:szCs w:val="21"/>
                <w:highlight w:val="none"/>
              </w:rPr>
            </w:pPr>
            <w:r>
              <w:rPr>
                <w:rFonts w:hint="eastAsia" w:ascii="宋体" w:hAnsi="宋体"/>
                <w:snapToGrid w:val="0"/>
                <w:color w:val="auto"/>
                <w:highlight w:val="none"/>
              </w:rPr>
              <w:t>2.二次比选：若初次比选因故终止，第二次比选有效竞选人仍然少于三个的，按照原规定的程序比选和评审。</w:t>
            </w:r>
          </w:p>
        </w:tc>
      </w:tr>
      <w:tr w14:paraId="39395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41642D4">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8336" w:type="dxa"/>
            <w:gridSpan w:val="2"/>
            <w:vAlign w:val="center"/>
          </w:tcPr>
          <w:p w14:paraId="250E860D">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需要补充的其他内容</w:t>
            </w:r>
          </w:p>
        </w:tc>
      </w:tr>
      <w:tr w14:paraId="67B6B2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87F6D44">
            <w:pPr>
              <w:spacing w:line="40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10.1</w:t>
            </w:r>
          </w:p>
        </w:tc>
        <w:tc>
          <w:tcPr>
            <w:tcW w:w="1964" w:type="dxa"/>
            <w:vAlign w:val="center"/>
          </w:tcPr>
          <w:p w14:paraId="7B8FACFB">
            <w:pPr>
              <w:spacing w:line="400" w:lineRule="exact"/>
              <w:jc w:val="center"/>
              <w:rPr>
                <w:rFonts w:hint="eastAsia" w:ascii="宋体" w:hAnsi="宋体" w:cs="宋体"/>
                <w:color w:val="auto"/>
                <w:kern w:val="0"/>
                <w:szCs w:val="21"/>
                <w:highlight w:val="none"/>
              </w:rPr>
            </w:pPr>
            <w:r>
              <w:rPr>
                <w:rFonts w:hint="eastAsia" w:ascii="宋体" w:hAnsi="宋体"/>
                <w:color w:val="auto"/>
                <w:kern w:val="0"/>
                <w:szCs w:val="21"/>
                <w:highlight w:val="none"/>
              </w:rPr>
              <w:t>低价风险担保</w:t>
            </w:r>
          </w:p>
        </w:tc>
        <w:tc>
          <w:tcPr>
            <w:tcW w:w="6372" w:type="dxa"/>
            <w:shd w:val="clear" w:color="auto" w:fill="auto"/>
            <w:vAlign w:val="center"/>
          </w:tcPr>
          <w:p w14:paraId="5A64BB53">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1、低价风险担保：中标价低于最高限价的85%时提供，如不按时足额提供，视为中标人放弃中标，招标人有权不退还其投标保证金，</w:t>
            </w:r>
            <w:r>
              <w:rPr>
                <w:rFonts w:hint="eastAsia" w:asciiTheme="minorEastAsia" w:hAnsiTheme="minorEastAsia" w:eastAsiaTheme="minorEastAsia" w:cstheme="minorEastAsia"/>
                <w:color w:val="auto"/>
                <w:sz w:val="21"/>
                <w:szCs w:val="21"/>
                <w:highlight w:val="none"/>
              </w:rPr>
              <w:t>并报招标投标行政监督部门按照信用管理办法的规定处理，对中标人的不良行为直接记12分，纳入重点关注名单。</w:t>
            </w:r>
          </w:p>
          <w:p w14:paraId="36472C3F">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2、中标人提供低价风险担保的形式、金额及期限：</w:t>
            </w:r>
          </w:p>
          <w:p w14:paraId="2322D71C">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（1）低价风险担保的形式：现金或银行保函</w:t>
            </w:r>
            <w:r>
              <w:rPr>
                <w:rFonts w:hint="eastAsia" w:asciiTheme="minorEastAsia" w:hAnsiTheme="minorEastAsia" w:eastAsiaTheme="minorEastAsia" w:cstheme="minorEastAsia"/>
                <w:color w:val="auto"/>
                <w:sz w:val="21"/>
                <w:szCs w:val="21"/>
                <w:highlight w:val="none"/>
              </w:rPr>
              <w:t>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r>
              <w:rPr>
                <w:rFonts w:hint="eastAsia" w:asciiTheme="minorEastAsia" w:hAnsiTheme="minorEastAsia" w:eastAsiaTheme="minorEastAsia" w:cstheme="minorEastAsia"/>
                <w:color w:val="auto"/>
                <w:kern w:val="0"/>
                <w:sz w:val="21"/>
                <w:szCs w:val="21"/>
                <w:highlight w:val="none"/>
              </w:rPr>
              <w:t>。</w:t>
            </w:r>
          </w:p>
          <w:p w14:paraId="66844C9B">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i/>
                <w:i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（2）低价风险担保的金额：（最高限价×85%-中标价）×3</w:t>
            </w:r>
            <w:r>
              <w:rPr>
                <w:rStyle w:val="41"/>
                <w:rFonts w:hint="eastAsia" w:asciiTheme="minorEastAsia" w:hAnsiTheme="minorEastAsia" w:eastAsiaTheme="minorEastAsia" w:cstheme="minorEastAsia"/>
                <w:color w:val="auto"/>
                <w:sz w:val="21"/>
                <w:szCs w:val="21"/>
                <w:highlight w:val="none"/>
              </w:rPr>
              <w:t>，且最高不超过最高限价的85%</w:t>
            </w:r>
            <w:r>
              <w:rPr>
                <w:rStyle w:val="41"/>
                <w:rFonts w:hint="eastAsia" w:asciiTheme="minorEastAsia" w:hAnsiTheme="minorEastAsia" w:eastAsiaTheme="minorEastAsia" w:cstheme="minorEastAsia"/>
                <w:color w:val="auto"/>
                <w:sz w:val="21"/>
                <w:szCs w:val="21"/>
                <w:highlight w:val="none"/>
                <w:lang w:eastAsia="zh-CN"/>
              </w:rPr>
              <w:t>。</w:t>
            </w:r>
          </w:p>
          <w:p w14:paraId="51B19B23">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（3）低价风险担保送达招标人的时间：</w:t>
            </w:r>
            <w:r>
              <w:rPr>
                <w:rFonts w:hint="eastAsia" w:asciiTheme="minorEastAsia" w:hAnsiTheme="minorEastAsia" w:eastAsiaTheme="minorEastAsia" w:cstheme="minorEastAsia"/>
                <w:color w:val="auto"/>
                <w:sz w:val="21"/>
                <w:szCs w:val="21"/>
                <w:highlight w:val="none"/>
              </w:rPr>
              <w:t>从招标人中标通知书送达拟中标人之日起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10</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工作日内</w:t>
            </w:r>
            <w:r>
              <w:rPr>
                <w:rFonts w:hint="eastAsia" w:asciiTheme="minorEastAsia" w:hAnsiTheme="minorEastAsia" w:eastAsiaTheme="minorEastAsia" w:cstheme="minorEastAsia"/>
                <w:color w:val="auto"/>
                <w:kern w:val="0"/>
                <w:sz w:val="21"/>
                <w:szCs w:val="21"/>
                <w:highlight w:val="none"/>
              </w:rPr>
              <w:t>；</w:t>
            </w:r>
          </w:p>
          <w:p w14:paraId="714CE51E">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（4）中标人因自身原因未按中标通知书规定的时限与招标人签订合同的，招标人有权扣除其低价风险担保并取消中标资格。</w:t>
            </w:r>
          </w:p>
          <w:p w14:paraId="02A33DF8">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（5）低价风险担保的期限：</w:t>
            </w:r>
            <w:r>
              <w:rPr>
                <w:rFonts w:hint="eastAsia" w:asciiTheme="minorEastAsia" w:hAnsiTheme="minorEastAsia" w:eastAsiaTheme="minorEastAsia" w:cstheme="minorEastAsia"/>
                <w:color w:val="auto"/>
                <w:kern w:val="0"/>
                <w:sz w:val="21"/>
                <w:szCs w:val="21"/>
                <w:highlight w:val="none"/>
                <w:u w:val="single"/>
              </w:rPr>
              <w:t>自低价风险担保生效之日起至工程办理完结算之日止</w:t>
            </w:r>
            <w:r>
              <w:rPr>
                <w:rFonts w:hint="eastAsia" w:asciiTheme="minorEastAsia" w:hAnsiTheme="minorEastAsia" w:eastAsiaTheme="minorEastAsia" w:cstheme="minorEastAsia"/>
                <w:color w:val="auto"/>
                <w:kern w:val="0"/>
                <w:sz w:val="21"/>
                <w:szCs w:val="21"/>
                <w:highlight w:val="none"/>
              </w:rPr>
              <w:t>。</w:t>
            </w:r>
          </w:p>
          <w:p w14:paraId="7D353841">
            <w:pPr>
              <w:widowControl/>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3、低价风险担保的退还时间：采用现金担保的，工程竣工验收合格后14天内退还，合同履行期间允许承包人用符合要求的银行保函进行置换；采用银行保函的，工程竣工验收合格后14天内退还。</w:t>
            </w:r>
          </w:p>
          <w:p w14:paraId="241B6194">
            <w:pPr>
              <w:widowControl/>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5318AF4D">
            <w:pPr>
              <w:widowControl/>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备注：当中标人或拟中标人未按时提交低价风险担保，且属于可以延长低价风险担保提交期限的特殊情形时，经招标人同意，可适当延长低价风险担保的提交期限。</w:t>
            </w:r>
          </w:p>
          <w:p w14:paraId="53CFA884">
            <w:pPr>
              <w:pStyle w:val="8"/>
              <w:widowControl/>
              <w:spacing w:line="400" w:lineRule="exact"/>
              <w:ind w:firstLine="420" w:firstLineChars="200"/>
              <w:rPr>
                <w:rFonts w:hint="eastAsia" w:ascii="宋体" w:hAnsi="宋体" w:eastAsia="宋体" w:cs="Times New Roman"/>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5、投标总报价低于最高限价85%的，投标人应在编制投标文件时，在投标函部分中递交低价风险担保提交承诺书。承诺书格式详见第八章投标文件格式。</w:t>
            </w:r>
          </w:p>
        </w:tc>
      </w:tr>
      <w:tr w14:paraId="4A6799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6E07EDD">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10.2</w:t>
            </w:r>
          </w:p>
        </w:tc>
        <w:tc>
          <w:tcPr>
            <w:tcW w:w="1964" w:type="dxa"/>
            <w:vAlign w:val="center"/>
          </w:tcPr>
          <w:p w14:paraId="4D6FC0AC">
            <w:pPr>
              <w:spacing w:line="400" w:lineRule="exact"/>
              <w:jc w:val="center"/>
              <w:rPr>
                <w:rFonts w:hint="eastAsia" w:ascii="宋体" w:hAnsi="宋体" w:cs="宋体"/>
                <w:color w:val="auto"/>
                <w:szCs w:val="21"/>
                <w:highlight w:val="none"/>
              </w:rPr>
            </w:pPr>
            <w:r>
              <w:rPr>
                <w:rFonts w:hint="eastAsia" w:ascii="宋体" w:hAnsi="宋体"/>
                <w:color w:val="auto"/>
                <w:kern w:val="0"/>
                <w:szCs w:val="21"/>
                <w:highlight w:val="none"/>
              </w:rPr>
              <w:t>比选代理服务费</w:t>
            </w:r>
          </w:p>
        </w:tc>
        <w:tc>
          <w:tcPr>
            <w:tcW w:w="6372" w:type="dxa"/>
            <w:vAlign w:val="center"/>
          </w:tcPr>
          <w:p w14:paraId="41288448">
            <w:pPr>
              <w:spacing w:line="400" w:lineRule="exact"/>
              <w:ind w:firstLine="420"/>
              <w:rPr>
                <w:rFonts w:hint="eastAsia" w:ascii="宋体" w:hAnsi="宋体" w:cs="宋体"/>
                <w:color w:val="auto"/>
                <w:szCs w:val="21"/>
                <w:highlight w:val="none"/>
              </w:rPr>
            </w:pPr>
            <w:r>
              <w:rPr>
                <w:rFonts w:hint="eastAsia" w:asciiTheme="minorEastAsia" w:hAnsiTheme="minorEastAsia" w:eastAsiaTheme="minorEastAsia"/>
                <w:color w:val="auto"/>
                <w:kern w:val="0"/>
                <w:szCs w:val="21"/>
                <w:highlight w:val="none"/>
              </w:rPr>
              <w:t>比选代理服务费：本工程</w:t>
            </w:r>
            <w:r>
              <w:rPr>
                <w:rFonts w:hint="eastAsia" w:asciiTheme="minorEastAsia" w:hAnsiTheme="minorEastAsia" w:eastAsiaTheme="minorEastAsia"/>
                <w:snapToGrid w:val="0"/>
                <w:color w:val="auto"/>
                <w:kern w:val="0"/>
                <w:szCs w:val="21"/>
                <w:highlight w:val="none"/>
              </w:rPr>
              <w:t>比选</w:t>
            </w:r>
            <w:r>
              <w:rPr>
                <w:rFonts w:hint="eastAsia" w:asciiTheme="minorEastAsia" w:hAnsiTheme="minorEastAsia" w:eastAsiaTheme="minorEastAsia"/>
                <w:color w:val="auto"/>
                <w:kern w:val="0"/>
                <w:szCs w:val="21"/>
                <w:highlight w:val="none"/>
              </w:rPr>
              <w:t>代理服务费按照《招标代理服务收费管理暂行办法》（计价格[2002]1980</w:t>
            </w:r>
            <w:r>
              <w:rPr>
                <w:rFonts w:hint="eastAsia" w:asciiTheme="minorEastAsia" w:hAnsiTheme="minorEastAsia" w:eastAsiaTheme="minorEastAsia"/>
                <w:color w:val="auto"/>
                <w:kern w:val="0"/>
                <w:szCs w:val="21"/>
                <w:highlight w:val="none"/>
                <w:lang w:eastAsia="zh-CN"/>
              </w:rPr>
              <w:t>）</w:t>
            </w:r>
            <w:r>
              <w:rPr>
                <w:rFonts w:hint="eastAsia" w:asciiTheme="minorEastAsia" w:hAnsiTheme="minorEastAsia" w:eastAsiaTheme="minorEastAsia"/>
                <w:color w:val="auto"/>
                <w:kern w:val="0"/>
                <w:szCs w:val="21"/>
                <w:highlight w:val="none"/>
                <w:lang w:val="en-US" w:eastAsia="zh-CN"/>
              </w:rPr>
              <w:t>70%计取，计算金额如低于6000.00元则按照6000.00元计</w:t>
            </w:r>
            <w:r>
              <w:rPr>
                <w:rFonts w:hint="eastAsia" w:asciiTheme="minorEastAsia" w:hAnsiTheme="minorEastAsia" w:eastAsiaTheme="minorEastAsia"/>
                <w:color w:val="auto"/>
                <w:kern w:val="0"/>
                <w:szCs w:val="21"/>
                <w:highlight w:val="none"/>
              </w:rPr>
              <w:t>。由中标人在领取中标通知书时一次性支付。</w:t>
            </w:r>
          </w:p>
        </w:tc>
      </w:tr>
      <w:tr w14:paraId="1F32D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36A015F">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10.3</w:t>
            </w:r>
          </w:p>
        </w:tc>
        <w:tc>
          <w:tcPr>
            <w:tcW w:w="1964" w:type="dxa"/>
            <w:vAlign w:val="center"/>
          </w:tcPr>
          <w:p w14:paraId="14C35B74">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关于对比选文件及竞选文件理解争议的解释</w:t>
            </w:r>
          </w:p>
        </w:tc>
        <w:tc>
          <w:tcPr>
            <w:tcW w:w="6372" w:type="dxa"/>
            <w:vAlign w:val="center"/>
          </w:tcPr>
          <w:p w14:paraId="25981EA0">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对比选文件的评选标准和方法，以及资格审查和否决条款理解有争议的，应当作出不利于比选人的解释，但违背国家利益、社会公共利益的除外。</w:t>
            </w:r>
          </w:p>
          <w:p w14:paraId="57DB9D6A">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对竞选文件理解有争议的，应当作出不利于提交该竞选文件的竞选人的解释。</w:t>
            </w:r>
          </w:p>
        </w:tc>
      </w:tr>
      <w:tr w14:paraId="49528C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4D19C3E">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4</w:t>
            </w:r>
          </w:p>
        </w:tc>
        <w:tc>
          <w:tcPr>
            <w:tcW w:w="1964" w:type="dxa"/>
            <w:vAlign w:val="center"/>
          </w:tcPr>
          <w:p w14:paraId="6863D71B">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中选候选人和中选人无故放弃中选或不签订合同的后果</w:t>
            </w:r>
          </w:p>
        </w:tc>
        <w:tc>
          <w:tcPr>
            <w:tcW w:w="6372" w:type="dxa"/>
            <w:vAlign w:val="center"/>
          </w:tcPr>
          <w:p w14:paraId="594005D1">
            <w:pPr>
              <w:autoSpaceDE w:val="0"/>
              <w:autoSpaceDN w:val="0"/>
              <w:adjustRightInd w:val="0"/>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1.不予退还比选保证金；</w:t>
            </w:r>
          </w:p>
          <w:p w14:paraId="082C090F">
            <w:pPr>
              <w:autoSpaceDE w:val="0"/>
              <w:autoSpaceDN w:val="0"/>
              <w:adjustRightInd w:val="0"/>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2.给比选人造成经济损失的，要赔偿比选人合理损失；</w:t>
            </w:r>
          </w:p>
          <w:p w14:paraId="1C6427AB">
            <w:pPr>
              <w:autoSpaceDE w:val="0"/>
              <w:autoSpaceDN w:val="0"/>
              <w:adjustRightInd w:val="0"/>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3.由比选人将其不良行为上报监督部门处理。</w:t>
            </w:r>
          </w:p>
        </w:tc>
      </w:tr>
      <w:tr w14:paraId="707AD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17437D7">
            <w:pPr>
              <w:snapToGrid w:val="0"/>
              <w:spacing w:line="400" w:lineRule="exact"/>
              <w:jc w:val="center"/>
              <w:rPr>
                <w:rFonts w:hint="default" w:ascii="宋体" w:hAnsi="宋体" w:eastAsia="宋体"/>
                <w:color w:val="auto"/>
                <w:kern w:val="0"/>
                <w:szCs w:val="21"/>
                <w:highlight w:val="none"/>
                <w:lang w:val="en-US" w:eastAsia="zh-CN"/>
              </w:rPr>
            </w:pPr>
            <w:bookmarkStart w:id="41" w:name="_Toc277082552"/>
            <w:bookmarkStart w:id="42" w:name="_Toc224103317"/>
            <w:bookmarkStart w:id="43" w:name="_Toc287620685"/>
            <w:bookmarkStart w:id="44" w:name="_Toc287607746"/>
            <w:bookmarkStart w:id="45" w:name="_Toc430530435"/>
            <w:bookmarkStart w:id="46" w:name="_Toc509218710"/>
            <w:bookmarkStart w:id="47" w:name="_Toc200513126"/>
            <w:r>
              <w:rPr>
                <w:rFonts w:hint="eastAsia" w:ascii="宋体" w:hAnsi="宋体"/>
                <w:color w:val="auto"/>
                <w:kern w:val="0"/>
                <w:szCs w:val="21"/>
                <w:highlight w:val="none"/>
                <w:lang w:val="en-US" w:eastAsia="zh-CN"/>
              </w:rPr>
              <w:t>10.5</w:t>
            </w:r>
          </w:p>
        </w:tc>
        <w:tc>
          <w:tcPr>
            <w:tcW w:w="1964" w:type="dxa"/>
            <w:vAlign w:val="center"/>
          </w:tcPr>
          <w:p w14:paraId="15E4E8E4">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其它</w:t>
            </w:r>
          </w:p>
        </w:tc>
        <w:tc>
          <w:tcPr>
            <w:tcW w:w="6372" w:type="dxa"/>
            <w:vAlign w:val="center"/>
          </w:tcPr>
          <w:p w14:paraId="07AE1AC7">
            <w:pPr>
              <w:autoSpaceDE w:val="0"/>
              <w:autoSpaceDN w:val="0"/>
              <w:adjustRightInd w:val="0"/>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tc>
      </w:tr>
    </w:tbl>
    <w:p w14:paraId="580373E6">
      <w:pPr>
        <w:pStyle w:val="8"/>
        <w:outlineLvl w:val="1"/>
        <w:rPr>
          <w:rFonts w:hint="eastAsia" w:ascii="宋体" w:hAnsi="宋体" w:cs="宋体"/>
          <w:bCs/>
          <w:snapToGrid w:val="0"/>
          <w:color w:val="auto"/>
          <w:sz w:val="24"/>
          <w:highlight w:val="none"/>
        </w:rPr>
      </w:pPr>
    </w:p>
    <w:p w14:paraId="187A7F3B">
      <w:pPr>
        <w:rPr>
          <w:snapToGrid w:val="0"/>
          <w:color w:val="auto"/>
          <w:highlight w:val="none"/>
        </w:rPr>
      </w:pPr>
      <w:r>
        <w:rPr>
          <w:snapToGrid w:val="0"/>
          <w:color w:val="auto"/>
          <w:highlight w:val="none"/>
        </w:rPr>
        <w:br w:type="page"/>
      </w:r>
    </w:p>
    <w:p w14:paraId="2E6FC331">
      <w:pPr>
        <w:pStyle w:val="8"/>
        <w:outlineLvl w:val="1"/>
        <w:rPr>
          <w:rFonts w:hint="eastAsia" w:ascii="宋体" w:hAnsi="宋体" w:cs="宋体"/>
          <w:bCs/>
          <w:snapToGrid w:val="0"/>
          <w:color w:val="auto"/>
          <w:sz w:val="24"/>
          <w:highlight w:val="none"/>
        </w:rPr>
      </w:pPr>
      <w:r>
        <w:rPr>
          <w:rFonts w:hint="eastAsia" w:ascii="宋体" w:hAnsi="宋体" w:cs="宋体"/>
          <w:bCs/>
          <w:snapToGrid w:val="0"/>
          <w:color w:val="auto"/>
          <w:sz w:val="24"/>
          <w:highlight w:val="none"/>
        </w:rPr>
        <w:t>1.  总则</w:t>
      </w:r>
      <w:bookmarkEnd w:id="41"/>
      <w:bookmarkEnd w:id="42"/>
      <w:bookmarkEnd w:id="43"/>
      <w:bookmarkEnd w:id="44"/>
      <w:bookmarkEnd w:id="45"/>
      <w:bookmarkEnd w:id="46"/>
      <w:bookmarkEnd w:id="47"/>
    </w:p>
    <w:p w14:paraId="109FF097">
      <w:pPr>
        <w:pStyle w:val="4"/>
        <w:snapToGrid w:val="0"/>
        <w:spacing w:before="0" w:after="0" w:line="360" w:lineRule="auto"/>
        <w:rPr>
          <w:rFonts w:hint="eastAsia" w:ascii="宋体" w:hAnsi="宋体" w:cs="宋体"/>
          <w:b w:val="0"/>
          <w:snapToGrid w:val="0"/>
          <w:color w:val="auto"/>
          <w:sz w:val="24"/>
          <w:szCs w:val="24"/>
          <w:highlight w:val="none"/>
        </w:rPr>
      </w:pPr>
      <w:bookmarkStart w:id="48" w:name="_Toc32083"/>
      <w:bookmarkStart w:id="49" w:name="_Toc224103318"/>
      <w:bookmarkStart w:id="50" w:name="_Toc509218711"/>
      <w:bookmarkStart w:id="51" w:name="_Toc10890"/>
      <w:bookmarkStart w:id="52" w:name="_Toc287607747"/>
      <w:bookmarkStart w:id="53" w:name="_Toc40569046"/>
      <w:bookmarkStart w:id="54" w:name="_Toc3411"/>
      <w:bookmarkStart w:id="55" w:name="_Toc200513127"/>
      <w:bookmarkStart w:id="56" w:name="_Toc287620686"/>
      <w:bookmarkStart w:id="57" w:name="_Toc277082553"/>
      <w:bookmarkStart w:id="58" w:name="_Toc430530436"/>
      <w:bookmarkStart w:id="59" w:name="_Toc40569141"/>
      <w:r>
        <w:rPr>
          <w:rFonts w:hint="eastAsia" w:ascii="宋体" w:hAnsi="宋体" w:cs="宋体"/>
          <w:b w:val="0"/>
          <w:snapToGrid w:val="0"/>
          <w:color w:val="auto"/>
          <w:sz w:val="24"/>
          <w:szCs w:val="24"/>
          <w:highlight w:val="none"/>
        </w:rPr>
        <w:t>1.1  项目概况</w:t>
      </w:r>
      <w:bookmarkEnd w:id="48"/>
      <w:bookmarkEnd w:id="49"/>
      <w:bookmarkEnd w:id="50"/>
      <w:bookmarkEnd w:id="51"/>
      <w:bookmarkEnd w:id="52"/>
      <w:bookmarkEnd w:id="53"/>
      <w:bookmarkEnd w:id="54"/>
      <w:bookmarkEnd w:id="55"/>
      <w:bookmarkEnd w:id="56"/>
      <w:bookmarkEnd w:id="57"/>
      <w:bookmarkEnd w:id="58"/>
      <w:bookmarkEnd w:id="59"/>
    </w:p>
    <w:p w14:paraId="62DD96C3">
      <w:pPr>
        <w:autoSpaceDE w:val="0"/>
        <w:autoSpaceDN w:val="0"/>
        <w:adjustRightInd w:val="0"/>
        <w:snapToGrid w:val="0"/>
        <w:spacing w:line="360" w:lineRule="auto"/>
        <w:ind w:firstLine="357" w:firstLineChars="17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1.1.1  根据《中华人民共和国招标投标法》等有关法律、法规和规章的规定，本发包项目已具备比选条件，现对本项目进行竞争性比选。</w:t>
      </w:r>
    </w:p>
    <w:p w14:paraId="69EDA2BC">
      <w:pPr>
        <w:autoSpaceDE w:val="0"/>
        <w:autoSpaceDN w:val="0"/>
        <w:adjustRightInd w:val="0"/>
        <w:snapToGrid w:val="0"/>
        <w:spacing w:line="360" w:lineRule="auto"/>
        <w:ind w:firstLine="357" w:firstLineChars="17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1.1.2  本发包项目比选人：见竞选人须知前附表。</w:t>
      </w:r>
    </w:p>
    <w:p w14:paraId="5C88F5B7">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1.1.3  本项目比选代理机构：见竞选人须知前附表。</w:t>
      </w:r>
    </w:p>
    <w:p w14:paraId="0D474B25">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1.1.4  本发包项目名称：见竞选人须知前附表。</w:t>
      </w:r>
    </w:p>
    <w:p w14:paraId="031A7FDF">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1.1.5  本项目建设地点：见竞选人须知前附表。</w:t>
      </w:r>
    </w:p>
    <w:p w14:paraId="2AA82EAF">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1.1.6  本项目建设规模：见竞选人须知前附表。</w:t>
      </w:r>
    </w:p>
    <w:p w14:paraId="1113AA8C">
      <w:pPr>
        <w:pStyle w:val="4"/>
        <w:snapToGrid w:val="0"/>
        <w:spacing w:before="0" w:after="0" w:line="360" w:lineRule="auto"/>
        <w:rPr>
          <w:rFonts w:hint="eastAsia" w:ascii="宋体" w:hAnsi="宋体" w:cs="宋体"/>
          <w:b w:val="0"/>
          <w:snapToGrid w:val="0"/>
          <w:color w:val="auto"/>
          <w:sz w:val="24"/>
          <w:szCs w:val="24"/>
          <w:highlight w:val="none"/>
        </w:rPr>
      </w:pPr>
      <w:bookmarkStart w:id="60" w:name="_Toc2933"/>
      <w:bookmarkStart w:id="61" w:name="_Toc509218712"/>
      <w:bookmarkStart w:id="62" w:name="_Toc287607748"/>
      <w:bookmarkStart w:id="63" w:name="_Toc287620687"/>
      <w:bookmarkStart w:id="64" w:name="_Toc40569142"/>
      <w:bookmarkStart w:id="65" w:name="_Toc21234"/>
      <w:bookmarkStart w:id="66" w:name="_Toc430530437"/>
      <w:bookmarkStart w:id="67" w:name="_Toc200513128"/>
      <w:bookmarkStart w:id="68" w:name="_Toc25629"/>
      <w:bookmarkStart w:id="69" w:name="_Toc40569047"/>
      <w:bookmarkStart w:id="70" w:name="_Toc224103319"/>
      <w:bookmarkStart w:id="71" w:name="_Toc277082554"/>
      <w:r>
        <w:rPr>
          <w:rFonts w:hint="eastAsia" w:ascii="宋体" w:hAnsi="宋体" w:cs="宋体"/>
          <w:b w:val="0"/>
          <w:snapToGrid w:val="0"/>
          <w:color w:val="auto"/>
          <w:sz w:val="24"/>
          <w:szCs w:val="24"/>
          <w:highlight w:val="none"/>
        </w:rPr>
        <w:t>1.2  资金来源和落实情况</w:t>
      </w:r>
      <w:bookmarkEnd w:id="60"/>
      <w:bookmarkEnd w:id="61"/>
      <w:bookmarkEnd w:id="62"/>
      <w:bookmarkEnd w:id="63"/>
      <w:bookmarkEnd w:id="64"/>
      <w:bookmarkEnd w:id="65"/>
      <w:bookmarkEnd w:id="66"/>
      <w:bookmarkEnd w:id="67"/>
      <w:bookmarkEnd w:id="68"/>
      <w:bookmarkEnd w:id="69"/>
      <w:bookmarkEnd w:id="70"/>
      <w:bookmarkEnd w:id="71"/>
    </w:p>
    <w:p w14:paraId="3A828577">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1.2.1  本发包项目的资金来源：见竞选人须知前附表。</w:t>
      </w:r>
    </w:p>
    <w:p w14:paraId="3C470072">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1.2.2  本发包项目的出资比例：见竞选人须知前附表。</w:t>
      </w:r>
    </w:p>
    <w:p w14:paraId="0AE8E391">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1.2.3  本发包项目的资金落实情况：见竞选人须知前附表。</w:t>
      </w:r>
    </w:p>
    <w:p w14:paraId="236EF676">
      <w:pPr>
        <w:pStyle w:val="4"/>
        <w:snapToGrid w:val="0"/>
        <w:spacing w:before="0" w:after="0" w:line="360" w:lineRule="auto"/>
        <w:rPr>
          <w:rFonts w:hint="eastAsia" w:ascii="宋体" w:hAnsi="宋体" w:cs="宋体"/>
          <w:b w:val="0"/>
          <w:snapToGrid w:val="0"/>
          <w:color w:val="auto"/>
          <w:sz w:val="24"/>
          <w:szCs w:val="24"/>
          <w:highlight w:val="none"/>
        </w:rPr>
      </w:pPr>
      <w:bookmarkStart w:id="72" w:name="_Toc509218713"/>
      <w:bookmarkStart w:id="73" w:name="_Toc40569048"/>
      <w:bookmarkStart w:id="74" w:name="_Toc430530438"/>
      <w:bookmarkStart w:id="75" w:name="_Toc3621"/>
      <w:bookmarkStart w:id="76" w:name="_Toc287607749"/>
      <w:bookmarkStart w:id="77" w:name="_Toc40569143"/>
      <w:bookmarkStart w:id="78" w:name="_Toc200513129"/>
      <w:bookmarkStart w:id="79" w:name="_Toc23212"/>
      <w:bookmarkStart w:id="80" w:name="_Toc277082555"/>
      <w:bookmarkStart w:id="81" w:name="_Toc287620688"/>
      <w:bookmarkStart w:id="82" w:name="_Toc224103320"/>
      <w:bookmarkStart w:id="83" w:name="_Toc21182"/>
      <w:r>
        <w:rPr>
          <w:rFonts w:hint="eastAsia" w:ascii="宋体" w:hAnsi="宋体" w:cs="宋体"/>
          <w:b w:val="0"/>
          <w:snapToGrid w:val="0"/>
          <w:color w:val="auto"/>
          <w:sz w:val="24"/>
          <w:szCs w:val="24"/>
          <w:highlight w:val="none"/>
        </w:rPr>
        <w:t>1.3  比选范围、工期和质量要求</w:t>
      </w:r>
      <w:bookmarkEnd w:id="72"/>
      <w:bookmarkEnd w:id="73"/>
      <w:bookmarkEnd w:id="74"/>
      <w:bookmarkEnd w:id="75"/>
      <w:bookmarkEnd w:id="76"/>
      <w:bookmarkEnd w:id="77"/>
      <w:bookmarkEnd w:id="78"/>
      <w:bookmarkEnd w:id="79"/>
      <w:bookmarkEnd w:id="80"/>
      <w:bookmarkEnd w:id="81"/>
      <w:bookmarkEnd w:id="82"/>
      <w:bookmarkEnd w:id="83"/>
    </w:p>
    <w:p w14:paraId="72F1DCF6">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1.3.1  本次比选范围：见竞选人须知前附表。</w:t>
      </w:r>
    </w:p>
    <w:p w14:paraId="43B6D03D">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1.3.2  本项目的服务期：见竞选人须知前附表。</w:t>
      </w:r>
    </w:p>
    <w:p w14:paraId="575F8C33">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1.3.3  本项目的质量要求：见竞选人须知前附表。</w:t>
      </w:r>
    </w:p>
    <w:p w14:paraId="07926AC8">
      <w:pPr>
        <w:pStyle w:val="4"/>
        <w:snapToGrid w:val="0"/>
        <w:spacing w:before="0" w:after="0" w:line="360" w:lineRule="auto"/>
        <w:rPr>
          <w:rFonts w:hint="eastAsia" w:ascii="宋体" w:hAnsi="宋体" w:cs="宋体"/>
          <w:b w:val="0"/>
          <w:snapToGrid w:val="0"/>
          <w:color w:val="auto"/>
          <w:sz w:val="24"/>
          <w:szCs w:val="24"/>
          <w:highlight w:val="none"/>
        </w:rPr>
      </w:pPr>
      <w:bookmarkStart w:id="84" w:name="_Toc509218714"/>
      <w:bookmarkStart w:id="85" w:name="_Toc277082556"/>
      <w:bookmarkStart w:id="86" w:name="_Toc430530439"/>
      <w:bookmarkStart w:id="87" w:name="_Toc224103321"/>
      <w:bookmarkStart w:id="88" w:name="_Toc287607750"/>
      <w:bookmarkStart w:id="89" w:name="_Toc287620689"/>
      <w:bookmarkStart w:id="90" w:name="_Toc200513130"/>
      <w:bookmarkStart w:id="91" w:name="_Toc30002"/>
      <w:bookmarkStart w:id="92" w:name="_Toc28521"/>
      <w:bookmarkStart w:id="93" w:name="_Toc5712"/>
      <w:bookmarkStart w:id="94" w:name="_Toc40569049"/>
      <w:bookmarkStart w:id="95" w:name="_Toc40569144"/>
      <w:r>
        <w:rPr>
          <w:rFonts w:hint="eastAsia" w:ascii="宋体" w:hAnsi="宋体" w:cs="宋体"/>
          <w:b w:val="0"/>
          <w:snapToGrid w:val="0"/>
          <w:color w:val="auto"/>
          <w:sz w:val="24"/>
          <w:szCs w:val="24"/>
          <w:highlight w:val="none"/>
        </w:rPr>
        <w:t xml:space="preserve">1.4  </w:t>
      </w:r>
      <w:bookmarkEnd w:id="84"/>
      <w:bookmarkEnd w:id="85"/>
      <w:bookmarkEnd w:id="86"/>
      <w:bookmarkEnd w:id="87"/>
      <w:bookmarkEnd w:id="88"/>
      <w:bookmarkEnd w:id="89"/>
      <w:bookmarkEnd w:id="90"/>
      <w:bookmarkStart w:id="96" w:name="_Toc430530440"/>
      <w:bookmarkStart w:id="97" w:name="_Toc509218715"/>
      <w:bookmarkStart w:id="98" w:name="_Toc224103322"/>
      <w:bookmarkStart w:id="99" w:name="_Toc287620690"/>
      <w:bookmarkStart w:id="100" w:name="_Toc287607751"/>
      <w:bookmarkStart w:id="101" w:name="_Toc200513131"/>
      <w:bookmarkStart w:id="102" w:name="_Toc277082557"/>
      <w:r>
        <w:rPr>
          <w:rFonts w:hint="eastAsia" w:ascii="宋体" w:hAnsi="宋体" w:cs="宋体"/>
          <w:b w:val="0"/>
          <w:snapToGrid w:val="0"/>
          <w:color w:val="auto"/>
          <w:sz w:val="24"/>
          <w:szCs w:val="24"/>
          <w:highlight w:val="none"/>
        </w:rPr>
        <w:t>竞选人资格要求</w:t>
      </w:r>
      <w:bookmarkEnd w:id="91"/>
      <w:bookmarkEnd w:id="92"/>
      <w:bookmarkEnd w:id="93"/>
      <w:bookmarkEnd w:id="94"/>
      <w:bookmarkEnd w:id="95"/>
      <w:bookmarkEnd w:id="96"/>
      <w:bookmarkEnd w:id="97"/>
      <w:bookmarkEnd w:id="98"/>
      <w:bookmarkEnd w:id="99"/>
      <w:bookmarkEnd w:id="100"/>
      <w:bookmarkEnd w:id="101"/>
      <w:bookmarkEnd w:id="102"/>
    </w:p>
    <w:p w14:paraId="17171D80">
      <w:pPr>
        <w:autoSpaceDE w:val="0"/>
        <w:autoSpaceDN w:val="0"/>
        <w:adjustRightInd w:val="0"/>
        <w:snapToGrid w:val="0"/>
        <w:spacing w:line="360" w:lineRule="auto"/>
        <w:ind w:firstLine="359" w:firstLine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1.4.1 竞选人应具备承担本项目的资质条件、能力和信誉。</w:t>
      </w:r>
    </w:p>
    <w:p w14:paraId="6CD37CBB">
      <w:pPr>
        <w:autoSpaceDE w:val="0"/>
        <w:autoSpaceDN w:val="0"/>
        <w:adjustRightInd w:val="0"/>
        <w:snapToGrid w:val="0"/>
        <w:spacing w:line="360" w:lineRule="auto"/>
        <w:ind w:firstLine="359" w:firstLine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r>
        <w:rPr>
          <w:rFonts w:hint="eastAsia" w:ascii="宋体" w:hAnsi="宋体" w:cs="宋体"/>
          <w:color w:val="auto"/>
          <w:szCs w:val="21"/>
          <w:highlight w:val="none"/>
        </w:rPr>
        <w:t>资质条件、营业执照</w:t>
      </w:r>
      <w:r>
        <w:rPr>
          <w:rFonts w:hint="eastAsia" w:ascii="宋体" w:hAnsi="宋体" w:cs="宋体"/>
          <w:snapToGrid w:val="0"/>
          <w:color w:val="auto"/>
          <w:kern w:val="0"/>
          <w:szCs w:val="21"/>
          <w:highlight w:val="none"/>
        </w:rPr>
        <w:t>：见竞选人须知前附表；</w:t>
      </w:r>
    </w:p>
    <w:p w14:paraId="08650BD8">
      <w:pPr>
        <w:autoSpaceDE w:val="0"/>
        <w:autoSpaceDN w:val="0"/>
        <w:adjustRightInd w:val="0"/>
        <w:snapToGrid w:val="0"/>
        <w:spacing w:line="360" w:lineRule="auto"/>
        <w:ind w:firstLine="359" w:firstLine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（2）财务要求：见竞选人须知前附表；</w:t>
      </w:r>
    </w:p>
    <w:p w14:paraId="27842554">
      <w:pPr>
        <w:autoSpaceDE w:val="0"/>
        <w:autoSpaceDN w:val="0"/>
        <w:adjustRightInd w:val="0"/>
        <w:snapToGrid w:val="0"/>
        <w:spacing w:line="360" w:lineRule="auto"/>
        <w:ind w:firstLine="359" w:firstLine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（3）业绩要求：见竞选人须知前附表；</w:t>
      </w:r>
    </w:p>
    <w:p w14:paraId="1398C26A">
      <w:pPr>
        <w:autoSpaceDE w:val="0"/>
        <w:autoSpaceDN w:val="0"/>
        <w:adjustRightInd w:val="0"/>
        <w:snapToGrid w:val="0"/>
        <w:spacing w:line="360" w:lineRule="auto"/>
        <w:ind w:firstLine="359" w:firstLine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（4）人员要求：见竞选人须知前附表；</w:t>
      </w:r>
    </w:p>
    <w:p w14:paraId="66670724">
      <w:pPr>
        <w:autoSpaceDE w:val="0"/>
        <w:autoSpaceDN w:val="0"/>
        <w:adjustRightInd w:val="0"/>
        <w:snapToGrid w:val="0"/>
        <w:spacing w:line="360" w:lineRule="auto"/>
        <w:ind w:firstLine="359" w:firstLine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（5）其他要求：见竞选人须知前附表。</w:t>
      </w:r>
    </w:p>
    <w:p w14:paraId="1989D77B">
      <w:pPr>
        <w:autoSpaceDE w:val="0"/>
        <w:autoSpaceDN w:val="0"/>
        <w:adjustRightInd w:val="0"/>
        <w:snapToGrid w:val="0"/>
        <w:spacing w:line="360" w:lineRule="auto"/>
        <w:ind w:firstLine="359" w:firstLine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1.4.2  竞选人须知前附表规定接受联合体参与竞选的，除应符合本章第1.4.1项和竞选人须知前附表的要求外，还应遵守以下规定：</w:t>
      </w:r>
    </w:p>
    <w:p w14:paraId="581C56A2">
      <w:pPr>
        <w:autoSpaceDE w:val="0"/>
        <w:autoSpaceDN w:val="0"/>
        <w:adjustRightInd w:val="0"/>
        <w:snapToGrid w:val="0"/>
        <w:spacing w:line="360" w:lineRule="auto"/>
        <w:ind w:firstLine="359" w:firstLine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（1）联合体各方应按比选文件提供的格式签订联合体协议书，明确联合体牵头人和各方权利义务；</w:t>
      </w:r>
    </w:p>
    <w:p w14:paraId="52347398">
      <w:pPr>
        <w:autoSpaceDE w:val="0"/>
        <w:autoSpaceDN w:val="0"/>
        <w:adjustRightInd w:val="0"/>
        <w:snapToGrid w:val="0"/>
        <w:spacing w:line="360" w:lineRule="auto"/>
        <w:ind w:firstLine="359" w:firstLine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（2）联合体各方均应当具备承担招标项目的相应能力；联合体协议约定同一专业分工由两个及以上单位共同承担的，按照就低不就高的原则确定联合体资质；</w:t>
      </w:r>
    </w:p>
    <w:p w14:paraId="414379E4">
      <w:pPr>
        <w:autoSpaceDE w:val="0"/>
        <w:autoSpaceDN w:val="0"/>
        <w:adjustRightInd w:val="0"/>
        <w:snapToGrid w:val="0"/>
        <w:spacing w:line="360" w:lineRule="auto"/>
        <w:ind w:firstLine="359" w:firstLine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（3）联合体各方不得再以自己名义单独或参加其他联合体在同一标段中投标。</w:t>
      </w:r>
    </w:p>
    <w:p w14:paraId="54A7FA57">
      <w:pPr>
        <w:autoSpaceDE w:val="0"/>
        <w:autoSpaceDN w:val="0"/>
        <w:adjustRightInd w:val="0"/>
        <w:snapToGrid w:val="0"/>
        <w:spacing w:line="360" w:lineRule="auto"/>
        <w:ind w:firstLine="359" w:firstLine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1.4.3  竞选人不得存在下列情形之一：</w:t>
      </w:r>
    </w:p>
    <w:p w14:paraId="4B3BC5A1">
      <w:pPr>
        <w:spacing w:line="400" w:lineRule="exact"/>
        <w:ind w:firstLine="420" w:firstLineChars="200"/>
        <w:rPr>
          <w:rFonts w:hint="eastAsia" w:ascii="宋体" w:hAnsi="宋体"/>
          <w:color w:val="auto"/>
          <w:szCs w:val="21"/>
          <w:highlight w:val="none"/>
        </w:rPr>
      </w:pPr>
      <w:bookmarkStart w:id="103" w:name="_Toc7266"/>
      <w:bookmarkStart w:id="104" w:name="_Toc509218716"/>
      <w:bookmarkStart w:id="105" w:name="_Toc200513132"/>
      <w:bookmarkStart w:id="106" w:name="_Toc430530441"/>
      <w:bookmarkStart w:id="107" w:name="_Toc40569145"/>
      <w:bookmarkStart w:id="108" w:name="_Toc9192"/>
      <w:bookmarkStart w:id="109" w:name="_Toc40569050"/>
      <w:bookmarkStart w:id="110" w:name="_Toc224103323"/>
      <w:bookmarkStart w:id="111" w:name="_Toc287620691"/>
      <w:bookmarkStart w:id="112" w:name="_Toc287607752"/>
      <w:bookmarkStart w:id="113" w:name="_Toc277082558"/>
      <w:bookmarkStart w:id="114" w:name="_Toc5221"/>
      <w:r>
        <w:rPr>
          <w:rFonts w:hint="eastAsia" w:ascii="宋体" w:hAnsi="宋体"/>
          <w:color w:val="auto"/>
          <w:szCs w:val="21"/>
          <w:highlight w:val="none"/>
        </w:rPr>
        <w:t>（1）与比选人存在利害关系可能影响招标公正性的法人、其他组织或者个人；</w:t>
      </w:r>
    </w:p>
    <w:p w14:paraId="4F198C2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（2）为本项目的代理人；</w:t>
      </w:r>
    </w:p>
    <w:p w14:paraId="222285C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（3）为本项目的代建人；</w:t>
      </w:r>
    </w:p>
    <w:p w14:paraId="217282A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（4）为本项目提供比选代理服务的；</w:t>
      </w:r>
    </w:p>
    <w:p w14:paraId="410A067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（5）与本项目的代建人或比选代理机构同为一个法定代表人的；</w:t>
      </w:r>
    </w:p>
    <w:p w14:paraId="38A71B5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（6）与本项目的代建人或比选代理机构相互控股或参股的；</w:t>
      </w:r>
    </w:p>
    <w:p w14:paraId="7DD081B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（7）与本项目的代建人或比选代理机构相互任职或工作的；</w:t>
      </w:r>
    </w:p>
    <w:p w14:paraId="430E252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（8）被责令停业的；</w:t>
      </w:r>
    </w:p>
    <w:p w14:paraId="10B3F57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（9）被暂停或取消投标资格的；</w:t>
      </w:r>
    </w:p>
    <w:p w14:paraId="62DC240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（10）财产被接管或冻结的；</w:t>
      </w:r>
    </w:p>
    <w:p w14:paraId="325F05E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（11）单位负责人为同一人或者存在控股、管理关系的不同单位，不得在同一标段中同时投标。</w:t>
      </w:r>
    </w:p>
    <w:p w14:paraId="0272FF5C">
      <w:pPr>
        <w:pStyle w:val="4"/>
        <w:snapToGrid w:val="0"/>
        <w:spacing w:before="0" w:after="0" w:line="360" w:lineRule="auto"/>
        <w:rPr>
          <w:rFonts w:hint="eastAsia" w:ascii="宋体" w:hAnsi="宋体" w:cs="宋体"/>
          <w:b w:val="0"/>
          <w:snapToGrid w:val="0"/>
          <w:color w:val="auto"/>
          <w:sz w:val="24"/>
          <w:szCs w:val="24"/>
          <w:highlight w:val="none"/>
        </w:rPr>
      </w:pPr>
      <w:r>
        <w:rPr>
          <w:rFonts w:hint="eastAsia" w:ascii="宋体" w:hAnsi="宋体" w:cs="宋体"/>
          <w:b w:val="0"/>
          <w:snapToGrid w:val="0"/>
          <w:color w:val="auto"/>
          <w:sz w:val="24"/>
          <w:szCs w:val="24"/>
          <w:highlight w:val="none"/>
        </w:rPr>
        <w:t>1.5  费用承担</w:t>
      </w:r>
      <w:bookmarkEnd w:id="103"/>
      <w:bookmarkEnd w:id="104"/>
      <w:bookmarkEnd w:id="105"/>
      <w:bookmarkEnd w:id="106"/>
      <w:bookmarkEnd w:id="107"/>
      <w:bookmarkEnd w:id="108"/>
      <w:bookmarkEnd w:id="109"/>
      <w:bookmarkEnd w:id="110"/>
      <w:bookmarkEnd w:id="111"/>
      <w:bookmarkEnd w:id="112"/>
      <w:bookmarkEnd w:id="113"/>
      <w:bookmarkEnd w:id="114"/>
    </w:p>
    <w:p w14:paraId="10BB30FC">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竞选人准备和参加竞选活动发生的费用自理。</w:t>
      </w:r>
    </w:p>
    <w:p w14:paraId="7852EEBD">
      <w:pPr>
        <w:pStyle w:val="4"/>
        <w:snapToGrid w:val="0"/>
        <w:spacing w:before="0" w:after="0" w:line="360" w:lineRule="auto"/>
        <w:rPr>
          <w:rFonts w:hint="eastAsia" w:ascii="宋体" w:hAnsi="宋体" w:cs="宋体"/>
          <w:b w:val="0"/>
          <w:snapToGrid w:val="0"/>
          <w:color w:val="auto"/>
          <w:sz w:val="24"/>
          <w:szCs w:val="24"/>
          <w:highlight w:val="none"/>
        </w:rPr>
      </w:pPr>
      <w:bookmarkStart w:id="115" w:name="_Toc20139"/>
      <w:bookmarkStart w:id="116" w:name="_Toc277082559"/>
      <w:bookmarkStart w:id="117" w:name="_Toc287607753"/>
      <w:bookmarkStart w:id="118" w:name="_Toc200513133"/>
      <w:bookmarkStart w:id="119" w:name="_Toc287620692"/>
      <w:bookmarkStart w:id="120" w:name="_Toc224103324"/>
      <w:bookmarkStart w:id="121" w:name="_Toc5293"/>
      <w:bookmarkStart w:id="122" w:name="_Toc40569051"/>
      <w:bookmarkStart w:id="123" w:name="_Toc40569146"/>
      <w:bookmarkStart w:id="124" w:name="_Toc5781"/>
      <w:bookmarkStart w:id="125" w:name="_Toc430530442"/>
      <w:bookmarkStart w:id="126" w:name="_Toc509218717"/>
      <w:r>
        <w:rPr>
          <w:rFonts w:hint="eastAsia" w:ascii="宋体" w:hAnsi="宋体" w:cs="宋体"/>
          <w:b w:val="0"/>
          <w:snapToGrid w:val="0"/>
          <w:color w:val="auto"/>
          <w:sz w:val="24"/>
          <w:szCs w:val="24"/>
          <w:highlight w:val="none"/>
        </w:rPr>
        <w:t>1.6  保密</w:t>
      </w:r>
      <w:bookmarkEnd w:id="115"/>
      <w:bookmarkEnd w:id="116"/>
      <w:bookmarkEnd w:id="117"/>
      <w:bookmarkEnd w:id="118"/>
      <w:bookmarkEnd w:id="119"/>
      <w:bookmarkEnd w:id="120"/>
      <w:bookmarkEnd w:id="121"/>
      <w:bookmarkEnd w:id="122"/>
      <w:bookmarkEnd w:id="123"/>
      <w:bookmarkEnd w:id="124"/>
      <w:bookmarkEnd w:id="125"/>
      <w:bookmarkEnd w:id="126"/>
    </w:p>
    <w:p w14:paraId="209DCC89">
      <w:pPr>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参与比选活动的各方应对比选文件和竞选文件中的商业和技术等秘密保密，违者应对由此造成的后果承担法律责任。</w:t>
      </w:r>
    </w:p>
    <w:p w14:paraId="60BC719E">
      <w:pPr>
        <w:pStyle w:val="4"/>
        <w:snapToGrid w:val="0"/>
        <w:spacing w:before="0" w:after="0" w:line="360" w:lineRule="auto"/>
        <w:rPr>
          <w:rFonts w:hint="eastAsia" w:ascii="宋体" w:hAnsi="宋体" w:cs="宋体"/>
          <w:b w:val="0"/>
          <w:snapToGrid w:val="0"/>
          <w:color w:val="auto"/>
          <w:sz w:val="24"/>
          <w:szCs w:val="24"/>
          <w:highlight w:val="none"/>
        </w:rPr>
      </w:pPr>
      <w:bookmarkStart w:id="127" w:name="_Toc10589"/>
      <w:bookmarkStart w:id="128" w:name="_Toc287620693"/>
      <w:bookmarkStart w:id="129" w:name="_Toc430530443"/>
      <w:bookmarkStart w:id="130" w:name="_Toc32367"/>
      <w:bookmarkStart w:id="131" w:name="_Toc7317"/>
      <w:bookmarkStart w:id="132" w:name="_Toc277082560"/>
      <w:bookmarkStart w:id="133" w:name="_Toc40569052"/>
      <w:bookmarkStart w:id="134" w:name="_Toc200513134"/>
      <w:bookmarkStart w:id="135" w:name="_Toc509218718"/>
      <w:bookmarkStart w:id="136" w:name="_Toc287607754"/>
      <w:bookmarkStart w:id="137" w:name="_Toc224103325"/>
      <w:bookmarkStart w:id="138" w:name="_Toc40569147"/>
      <w:r>
        <w:rPr>
          <w:rFonts w:hint="eastAsia" w:ascii="宋体" w:hAnsi="宋体" w:cs="宋体"/>
          <w:b w:val="0"/>
          <w:snapToGrid w:val="0"/>
          <w:color w:val="auto"/>
          <w:sz w:val="24"/>
          <w:szCs w:val="24"/>
          <w:highlight w:val="none"/>
        </w:rPr>
        <w:t>1.7  语言文字</w:t>
      </w:r>
      <w:bookmarkEnd w:id="127"/>
      <w:bookmarkEnd w:id="128"/>
      <w:bookmarkEnd w:id="129"/>
      <w:bookmarkEnd w:id="130"/>
      <w:bookmarkEnd w:id="131"/>
      <w:bookmarkEnd w:id="132"/>
      <w:bookmarkEnd w:id="133"/>
      <w:bookmarkEnd w:id="134"/>
      <w:bookmarkEnd w:id="135"/>
      <w:bookmarkEnd w:id="136"/>
      <w:bookmarkEnd w:id="137"/>
      <w:bookmarkEnd w:id="138"/>
    </w:p>
    <w:p w14:paraId="385FB009">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除专用术语外，与比选有关的语言均使用中文。必要时专用术语应附有中文注释。</w:t>
      </w:r>
    </w:p>
    <w:p w14:paraId="49F129DA">
      <w:pPr>
        <w:pStyle w:val="4"/>
        <w:snapToGrid w:val="0"/>
        <w:spacing w:before="0" w:after="0" w:line="360" w:lineRule="auto"/>
        <w:rPr>
          <w:rFonts w:hint="eastAsia" w:ascii="宋体" w:hAnsi="宋体" w:cs="宋体"/>
          <w:b w:val="0"/>
          <w:snapToGrid w:val="0"/>
          <w:color w:val="auto"/>
          <w:sz w:val="24"/>
          <w:szCs w:val="24"/>
          <w:highlight w:val="none"/>
        </w:rPr>
      </w:pPr>
      <w:bookmarkStart w:id="139" w:name="_Toc430530444"/>
      <w:bookmarkStart w:id="140" w:name="_Toc287620694"/>
      <w:bookmarkStart w:id="141" w:name="_Toc509218719"/>
      <w:bookmarkStart w:id="142" w:name="_Toc224103326"/>
      <w:bookmarkStart w:id="143" w:name="_Toc1276"/>
      <w:bookmarkStart w:id="144" w:name="_Toc287607755"/>
      <w:bookmarkStart w:id="145" w:name="_Toc23841"/>
      <w:bookmarkStart w:id="146" w:name="_Toc277082561"/>
      <w:bookmarkStart w:id="147" w:name="_Toc7911"/>
      <w:bookmarkStart w:id="148" w:name="_Toc40569148"/>
      <w:bookmarkStart w:id="149" w:name="_Toc200513135"/>
      <w:bookmarkStart w:id="150" w:name="_Toc40569053"/>
      <w:r>
        <w:rPr>
          <w:rFonts w:hint="eastAsia" w:ascii="宋体" w:hAnsi="宋体" w:cs="宋体"/>
          <w:b w:val="0"/>
          <w:snapToGrid w:val="0"/>
          <w:color w:val="auto"/>
          <w:sz w:val="24"/>
          <w:szCs w:val="24"/>
          <w:highlight w:val="none"/>
        </w:rPr>
        <w:t>1.8  计量单位</w:t>
      </w:r>
      <w:bookmarkEnd w:id="139"/>
      <w:bookmarkEnd w:id="140"/>
      <w:bookmarkEnd w:id="141"/>
      <w:bookmarkEnd w:id="142"/>
      <w:bookmarkEnd w:id="143"/>
      <w:bookmarkEnd w:id="144"/>
      <w:bookmarkEnd w:id="145"/>
      <w:bookmarkEnd w:id="146"/>
      <w:bookmarkEnd w:id="147"/>
      <w:bookmarkEnd w:id="148"/>
      <w:bookmarkEnd w:id="149"/>
      <w:bookmarkEnd w:id="150"/>
    </w:p>
    <w:p w14:paraId="43DF6F34">
      <w:pPr>
        <w:autoSpaceDE w:val="0"/>
        <w:autoSpaceDN w:val="0"/>
        <w:adjustRightInd w:val="0"/>
        <w:snapToGrid w:val="0"/>
        <w:spacing w:line="360" w:lineRule="auto"/>
        <w:ind w:firstLine="424" w:firstLineChars="202"/>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所有计量均采用中华人民共和国法定计量单位。</w:t>
      </w:r>
    </w:p>
    <w:p w14:paraId="6DBA0404">
      <w:pPr>
        <w:pStyle w:val="4"/>
        <w:snapToGrid w:val="0"/>
        <w:spacing w:before="0" w:after="0" w:line="360" w:lineRule="auto"/>
        <w:rPr>
          <w:rFonts w:hint="eastAsia" w:ascii="宋体" w:hAnsi="宋体" w:cs="宋体"/>
          <w:b w:val="0"/>
          <w:snapToGrid w:val="0"/>
          <w:color w:val="auto"/>
          <w:sz w:val="24"/>
          <w:szCs w:val="24"/>
          <w:highlight w:val="none"/>
        </w:rPr>
      </w:pPr>
      <w:bookmarkStart w:id="151" w:name="_Toc40569054"/>
      <w:bookmarkStart w:id="152" w:name="_Toc200513136"/>
      <w:bookmarkStart w:id="153" w:name="_Toc287620695"/>
      <w:bookmarkStart w:id="154" w:name="_Toc40569149"/>
      <w:bookmarkStart w:id="155" w:name="_Toc5120"/>
      <w:bookmarkStart w:id="156" w:name="_Toc277082562"/>
      <w:bookmarkStart w:id="157" w:name="_Toc5390"/>
      <w:bookmarkStart w:id="158" w:name="_Toc509218720"/>
      <w:bookmarkStart w:id="159" w:name="_Toc11881"/>
      <w:bookmarkStart w:id="160" w:name="_Toc224103327"/>
      <w:bookmarkStart w:id="161" w:name="_Toc287607756"/>
      <w:bookmarkStart w:id="162" w:name="_Toc430530445"/>
      <w:r>
        <w:rPr>
          <w:rFonts w:hint="eastAsia" w:ascii="宋体" w:hAnsi="宋体" w:cs="宋体"/>
          <w:b w:val="0"/>
          <w:snapToGrid w:val="0"/>
          <w:color w:val="auto"/>
          <w:sz w:val="24"/>
          <w:szCs w:val="24"/>
          <w:highlight w:val="none"/>
        </w:rPr>
        <w:t>1.9  踏勘现场</w:t>
      </w:r>
      <w:bookmarkEnd w:id="151"/>
      <w:bookmarkEnd w:id="152"/>
      <w:bookmarkEnd w:id="153"/>
      <w:bookmarkEnd w:id="154"/>
      <w:bookmarkEnd w:id="155"/>
      <w:bookmarkEnd w:id="156"/>
      <w:bookmarkEnd w:id="157"/>
      <w:bookmarkEnd w:id="158"/>
      <w:bookmarkEnd w:id="159"/>
      <w:bookmarkEnd w:id="160"/>
      <w:bookmarkEnd w:id="161"/>
      <w:bookmarkEnd w:id="162"/>
    </w:p>
    <w:p w14:paraId="1438FD66">
      <w:pPr>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1.9.1  竞选人须知前附表规定组织踏勘现场的，比选人按竞选人须知前附表规定的时间、 地点组织竞选人踏勘项目现场。</w:t>
      </w:r>
    </w:p>
    <w:p w14:paraId="695DF3EA">
      <w:pPr>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1.9.2  竞选人踏勘现场发生的费用自理。</w:t>
      </w:r>
    </w:p>
    <w:p w14:paraId="54634B3F">
      <w:pPr>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1.9.3  除比选人的原因外，竞选人自行负责在踏勘现场中所发生的人员伤亡和财产损失。</w:t>
      </w:r>
    </w:p>
    <w:p w14:paraId="004A97AB">
      <w:pPr>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1.9.4  比选人在踏勘现场中介绍的工程场地和相关的周边环境情况，供竞选人在编制竞选文件时参考，比选人不对竞选人据此做出的判断和决策负责。</w:t>
      </w:r>
    </w:p>
    <w:p w14:paraId="48A91E30">
      <w:pPr>
        <w:pStyle w:val="4"/>
        <w:snapToGrid w:val="0"/>
        <w:spacing w:before="0" w:after="0" w:line="360" w:lineRule="auto"/>
        <w:rPr>
          <w:rFonts w:hint="eastAsia" w:ascii="宋体" w:hAnsi="宋体" w:cs="宋体"/>
          <w:b w:val="0"/>
          <w:snapToGrid w:val="0"/>
          <w:color w:val="auto"/>
          <w:sz w:val="24"/>
          <w:szCs w:val="24"/>
          <w:highlight w:val="none"/>
        </w:rPr>
      </w:pPr>
      <w:bookmarkStart w:id="163" w:name="_Toc14731"/>
      <w:bookmarkStart w:id="164" w:name="_Toc224103328"/>
      <w:bookmarkStart w:id="165" w:name="_Toc10229"/>
      <w:bookmarkStart w:id="166" w:name="_Toc509218721"/>
      <w:bookmarkStart w:id="167" w:name="_Toc287620696"/>
      <w:bookmarkStart w:id="168" w:name="_Toc40569055"/>
      <w:bookmarkStart w:id="169" w:name="_Toc277082563"/>
      <w:bookmarkStart w:id="170" w:name="_Toc430530446"/>
      <w:bookmarkStart w:id="171" w:name="_Toc27798"/>
      <w:bookmarkStart w:id="172" w:name="_Toc287607757"/>
      <w:bookmarkStart w:id="173" w:name="_Toc200513137"/>
      <w:bookmarkStart w:id="174" w:name="_Toc40569150"/>
      <w:r>
        <w:rPr>
          <w:rFonts w:hint="eastAsia" w:ascii="宋体" w:hAnsi="宋体" w:cs="宋体"/>
          <w:b w:val="0"/>
          <w:snapToGrid w:val="0"/>
          <w:color w:val="auto"/>
          <w:sz w:val="24"/>
          <w:szCs w:val="24"/>
          <w:highlight w:val="none"/>
        </w:rPr>
        <w:t>1.10  比选预备会</w:t>
      </w:r>
      <w:bookmarkEnd w:id="163"/>
      <w:bookmarkEnd w:id="164"/>
      <w:bookmarkEnd w:id="165"/>
      <w:bookmarkEnd w:id="166"/>
      <w:bookmarkEnd w:id="167"/>
      <w:bookmarkEnd w:id="168"/>
      <w:bookmarkEnd w:id="169"/>
      <w:bookmarkEnd w:id="170"/>
      <w:bookmarkEnd w:id="171"/>
      <w:bookmarkEnd w:id="172"/>
      <w:bookmarkEnd w:id="173"/>
      <w:bookmarkEnd w:id="174"/>
    </w:p>
    <w:p w14:paraId="1AF7F195">
      <w:pPr>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1.10.1  竞选人须知前附表规定召开比选预备会的，比选人按竞选人须知前附表规定的时间和地点召开预备会，澄清竞选人提出的问题。</w:t>
      </w:r>
    </w:p>
    <w:p w14:paraId="34FB9056">
      <w:pPr>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1.10.2  竞选人应在竞选人须知前附表</w:t>
      </w:r>
      <w:r>
        <w:rPr>
          <w:rFonts w:hint="eastAsia" w:ascii="宋体" w:hAnsi="宋体" w:cs="宋体"/>
          <w:color w:val="auto"/>
          <w:kern w:val="0"/>
          <w:szCs w:val="21"/>
          <w:highlight w:val="none"/>
        </w:rPr>
        <w:t>2.2.4</w:t>
      </w:r>
      <w:r>
        <w:rPr>
          <w:rFonts w:hint="eastAsia" w:ascii="宋体" w:hAnsi="宋体" w:cs="宋体"/>
          <w:snapToGrid w:val="0"/>
          <w:color w:val="auto"/>
          <w:kern w:val="0"/>
          <w:szCs w:val="21"/>
          <w:highlight w:val="none"/>
        </w:rPr>
        <w:t>规定的时间前，以书面形式将提出的问题送达比选人，以便比选人澄清。</w:t>
      </w:r>
    </w:p>
    <w:p w14:paraId="31DCF75A">
      <w:pPr>
        <w:autoSpaceDE w:val="0"/>
        <w:autoSpaceDN w:val="0"/>
        <w:adjustRightInd w:val="0"/>
        <w:snapToGrid w:val="0"/>
        <w:spacing w:line="360" w:lineRule="auto"/>
        <w:ind w:firstLine="424" w:firstLineChars="202"/>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1.10.3  比选人在竞选人须知前附表规定的时间内，将对竞选人所提</w:t>
      </w:r>
      <w:r>
        <w:rPr>
          <w:rFonts w:hint="eastAsia" w:ascii="宋体" w:hAnsi="宋体" w:cs="宋体"/>
          <w:snapToGrid w:val="0"/>
          <w:color w:val="auto"/>
          <w:kern w:val="0"/>
          <w:position w:val="-2"/>
          <w:szCs w:val="21"/>
          <w:highlight w:val="none"/>
        </w:rPr>
        <w:t>的</w:t>
      </w:r>
      <w:r>
        <w:rPr>
          <w:rFonts w:hint="eastAsia" w:ascii="宋体" w:hAnsi="宋体" w:cs="宋体"/>
          <w:snapToGrid w:val="0"/>
          <w:color w:val="auto"/>
          <w:kern w:val="0"/>
          <w:szCs w:val="21"/>
          <w:highlight w:val="none"/>
        </w:rPr>
        <w:t>问题</w:t>
      </w:r>
      <w:r>
        <w:rPr>
          <w:rFonts w:hint="eastAsia" w:ascii="宋体" w:hAnsi="宋体" w:cs="宋体"/>
          <w:snapToGrid w:val="0"/>
          <w:color w:val="auto"/>
          <w:kern w:val="0"/>
          <w:position w:val="-2"/>
          <w:szCs w:val="21"/>
          <w:highlight w:val="none"/>
        </w:rPr>
        <w:t>进行澄清。该澄清内容为比选文件的组成部分。</w:t>
      </w:r>
    </w:p>
    <w:p w14:paraId="050A15CF">
      <w:pPr>
        <w:pStyle w:val="4"/>
        <w:snapToGrid w:val="0"/>
        <w:spacing w:before="0" w:after="0" w:line="360" w:lineRule="auto"/>
        <w:rPr>
          <w:rFonts w:hint="eastAsia" w:ascii="宋体" w:hAnsi="宋体" w:cs="宋体"/>
          <w:b w:val="0"/>
          <w:snapToGrid w:val="0"/>
          <w:color w:val="auto"/>
          <w:sz w:val="24"/>
          <w:szCs w:val="24"/>
          <w:highlight w:val="none"/>
        </w:rPr>
      </w:pPr>
      <w:bookmarkStart w:id="175" w:name="_Toc40569151"/>
      <w:bookmarkStart w:id="176" w:name="_Toc7176"/>
      <w:bookmarkStart w:id="177" w:name="_Toc287620697"/>
      <w:bookmarkStart w:id="178" w:name="_Toc277082564"/>
      <w:bookmarkStart w:id="179" w:name="_Toc509218722"/>
      <w:bookmarkStart w:id="180" w:name="_Toc200513138"/>
      <w:bookmarkStart w:id="181" w:name="_Toc28064"/>
      <w:bookmarkStart w:id="182" w:name="_Toc224103329"/>
      <w:bookmarkStart w:id="183" w:name="_Toc21877"/>
      <w:bookmarkStart w:id="184" w:name="_Toc287607758"/>
      <w:bookmarkStart w:id="185" w:name="_Toc430530447"/>
      <w:bookmarkStart w:id="186" w:name="_Toc40569056"/>
      <w:r>
        <w:rPr>
          <w:rFonts w:hint="eastAsia" w:ascii="宋体" w:hAnsi="宋体" w:cs="宋体"/>
          <w:b w:val="0"/>
          <w:snapToGrid w:val="0"/>
          <w:color w:val="auto"/>
          <w:sz w:val="24"/>
          <w:szCs w:val="24"/>
          <w:highlight w:val="none"/>
        </w:rPr>
        <w:t>1.11  分包</w:t>
      </w:r>
      <w:bookmarkEnd w:id="175"/>
      <w:bookmarkEnd w:id="176"/>
      <w:bookmarkEnd w:id="177"/>
      <w:bookmarkEnd w:id="178"/>
      <w:bookmarkEnd w:id="179"/>
      <w:bookmarkEnd w:id="180"/>
      <w:bookmarkEnd w:id="181"/>
      <w:bookmarkEnd w:id="182"/>
      <w:bookmarkEnd w:id="183"/>
      <w:bookmarkEnd w:id="184"/>
      <w:bookmarkEnd w:id="185"/>
      <w:bookmarkEnd w:id="186"/>
    </w:p>
    <w:p w14:paraId="6EF35F11">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本项目不允许分包。</w:t>
      </w:r>
    </w:p>
    <w:p w14:paraId="09930A36">
      <w:pPr>
        <w:pStyle w:val="4"/>
        <w:snapToGrid w:val="0"/>
        <w:spacing w:before="0" w:after="0" w:line="360" w:lineRule="auto"/>
        <w:rPr>
          <w:rFonts w:hint="eastAsia" w:ascii="宋体" w:hAnsi="宋体" w:cs="宋体"/>
          <w:b w:val="0"/>
          <w:snapToGrid w:val="0"/>
          <w:color w:val="auto"/>
          <w:sz w:val="24"/>
          <w:szCs w:val="24"/>
          <w:highlight w:val="none"/>
        </w:rPr>
      </w:pPr>
      <w:bookmarkStart w:id="187" w:name="_Toc29373"/>
      <w:bookmarkStart w:id="188" w:name="_Toc200513139"/>
      <w:bookmarkStart w:id="189" w:name="_Toc40569152"/>
      <w:bookmarkStart w:id="190" w:name="_Toc287620698"/>
      <w:bookmarkStart w:id="191" w:name="_Toc509218723"/>
      <w:bookmarkStart w:id="192" w:name="_Toc287607759"/>
      <w:bookmarkStart w:id="193" w:name="_Toc430530448"/>
      <w:bookmarkStart w:id="194" w:name="_Toc5934"/>
      <w:bookmarkStart w:id="195" w:name="_Toc277082565"/>
      <w:bookmarkStart w:id="196" w:name="_Toc224103330"/>
      <w:bookmarkStart w:id="197" w:name="_Toc23307"/>
      <w:bookmarkStart w:id="198" w:name="_Toc40569057"/>
      <w:r>
        <w:rPr>
          <w:rFonts w:hint="eastAsia" w:ascii="宋体" w:hAnsi="宋体" w:cs="宋体"/>
          <w:b w:val="0"/>
          <w:snapToGrid w:val="0"/>
          <w:color w:val="auto"/>
          <w:sz w:val="24"/>
          <w:szCs w:val="24"/>
          <w:highlight w:val="none"/>
        </w:rPr>
        <w:t>1.12  偏离</w:t>
      </w:r>
      <w:bookmarkEnd w:id="187"/>
      <w:bookmarkEnd w:id="188"/>
      <w:bookmarkEnd w:id="189"/>
      <w:bookmarkEnd w:id="190"/>
      <w:bookmarkEnd w:id="191"/>
      <w:bookmarkEnd w:id="192"/>
      <w:bookmarkEnd w:id="193"/>
      <w:bookmarkEnd w:id="194"/>
      <w:bookmarkEnd w:id="195"/>
      <w:bookmarkEnd w:id="196"/>
      <w:bookmarkEnd w:id="197"/>
      <w:bookmarkEnd w:id="198"/>
    </w:p>
    <w:p w14:paraId="68FB76FB">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竞选人须知前附表允许竞选文件偏离比选文件某些要求的，偏离应当符合比选文件规定的偏离范围和幅度。</w:t>
      </w:r>
    </w:p>
    <w:p w14:paraId="12107253">
      <w:pPr>
        <w:pStyle w:val="3"/>
        <w:spacing w:before="0" w:after="0" w:line="360" w:lineRule="auto"/>
        <w:rPr>
          <w:rFonts w:hint="eastAsia" w:ascii="宋体" w:hAnsi="宋体" w:cs="宋体"/>
          <w:b w:val="0"/>
          <w:snapToGrid w:val="0"/>
          <w:color w:val="auto"/>
          <w:sz w:val="24"/>
          <w:szCs w:val="24"/>
          <w:highlight w:val="none"/>
        </w:rPr>
      </w:pPr>
      <w:bookmarkStart w:id="199" w:name="_Toc287620699"/>
      <w:bookmarkStart w:id="200" w:name="_Toc200513140"/>
      <w:bookmarkStart w:id="201" w:name="_Toc10764"/>
      <w:bookmarkStart w:id="202" w:name="_Toc7676"/>
      <w:bookmarkStart w:id="203" w:name="_Toc23017"/>
      <w:bookmarkStart w:id="204" w:name="_Toc509218724"/>
      <w:bookmarkStart w:id="205" w:name="_Toc224103331"/>
      <w:bookmarkStart w:id="206" w:name="_Toc277082566"/>
      <w:bookmarkStart w:id="207" w:name="_Toc430530449"/>
      <w:bookmarkStart w:id="208" w:name="_Toc287607760"/>
      <w:r>
        <w:rPr>
          <w:rFonts w:hint="eastAsia" w:ascii="宋体" w:hAnsi="宋体" w:cs="宋体"/>
          <w:b w:val="0"/>
          <w:snapToGrid w:val="0"/>
          <w:color w:val="auto"/>
          <w:sz w:val="24"/>
          <w:szCs w:val="24"/>
          <w:highlight w:val="none"/>
        </w:rPr>
        <w:t>2.  比选文件</w:t>
      </w:r>
      <w:bookmarkEnd w:id="199"/>
      <w:bookmarkEnd w:id="200"/>
      <w:bookmarkEnd w:id="201"/>
      <w:bookmarkEnd w:id="202"/>
      <w:bookmarkEnd w:id="203"/>
      <w:bookmarkEnd w:id="204"/>
      <w:bookmarkEnd w:id="205"/>
      <w:bookmarkEnd w:id="206"/>
      <w:bookmarkEnd w:id="207"/>
      <w:bookmarkEnd w:id="208"/>
    </w:p>
    <w:p w14:paraId="1BFE864A">
      <w:pPr>
        <w:pStyle w:val="4"/>
        <w:snapToGrid w:val="0"/>
        <w:spacing w:before="0" w:after="0" w:line="360" w:lineRule="auto"/>
        <w:rPr>
          <w:rFonts w:hint="eastAsia" w:ascii="宋体" w:hAnsi="宋体" w:cs="宋体"/>
          <w:b w:val="0"/>
          <w:snapToGrid w:val="0"/>
          <w:color w:val="auto"/>
          <w:sz w:val="24"/>
          <w:szCs w:val="24"/>
          <w:highlight w:val="none"/>
        </w:rPr>
      </w:pPr>
      <w:bookmarkStart w:id="209" w:name="_Toc287607761"/>
      <w:bookmarkStart w:id="210" w:name="_Toc224103332"/>
      <w:bookmarkStart w:id="211" w:name="_Toc31485"/>
      <w:bookmarkStart w:id="212" w:name="_Toc430530450"/>
      <w:bookmarkStart w:id="213" w:name="_Toc21327"/>
      <w:bookmarkStart w:id="214" w:name="_Toc287620700"/>
      <w:bookmarkStart w:id="215" w:name="_Toc40569059"/>
      <w:bookmarkStart w:id="216" w:name="_Toc1329"/>
      <w:bookmarkStart w:id="217" w:name="_Toc277082567"/>
      <w:bookmarkStart w:id="218" w:name="_Toc200513141"/>
      <w:bookmarkStart w:id="219" w:name="_Toc509218725"/>
      <w:bookmarkStart w:id="220" w:name="_Toc40569154"/>
      <w:r>
        <w:rPr>
          <w:rFonts w:hint="eastAsia" w:ascii="宋体" w:hAnsi="宋体" w:cs="宋体"/>
          <w:b w:val="0"/>
          <w:snapToGrid w:val="0"/>
          <w:color w:val="auto"/>
          <w:sz w:val="24"/>
          <w:szCs w:val="24"/>
          <w:highlight w:val="none"/>
        </w:rPr>
        <w:t>2.1  比选文件的组成</w:t>
      </w:r>
      <w:bookmarkEnd w:id="209"/>
      <w:bookmarkEnd w:id="210"/>
      <w:bookmarkEnd w:id="211"/>
      <w:bookmarkEnd w:id="212"/>
      <w:bookmarkEnd w:id="213"/>
      <w:bookmarkEnd w:id="214"/>
      <w:bookmarkEnd w:id="215"/>
      <w:bookmarkEnd w:id="216"/>
      <w:bookmarkEnd w:id="217"/>
      <w:bookmarkEnd w:id="218"/>
      <w:bookmarkEnd w:id="219"/>
      <w:bookmarkEnd w:id="220"/>
    </w:p>
    <w:p w14:paraId="0E7277D6">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本比选文件包括：</w:t>
      </w:r>
    </w:p>
    <w:p w14:paraId="586C13FF">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（1）比选公告；</w:t>
      </w:r>
    </w:p>
    <w:p w14:paraId="454813E0">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（2）竞选人须知；</w:t>
      </w:r>
    </w:p>
    <w:p w14:paraId="792F43F9">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（3）评选办法；</w:t>
      </w:r>
    </w:p>
    <w:p w14:paraId="254FB23A">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（4）合同条款及格式；</w:t>
      </w:r>
    </w:p>
    <w:p w14:paraId="7D751DD4">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（5）技术标准和要求；</w:t>
      </w:r>
    </w:p>
    <w:p w14:paraId="11064827">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（6）图纸及工程量清单（如有）；</w:t>
      </w:r>
    </w:p>
    <w:p w14:paraId="390AB6A4">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（7）竞选文件格式；</w:t>
      </w:r>
    </w:p>
    <w:p w14:paraId="6B0D8D70">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（8）竞选人须知前附表规定的其他材料。</w:t>
      </w:r>
    </w:p>
    <w:p w14:paraId="01F7F60E">
      <w:pPr>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根据本章第1.10款、第2.2款和第2.3款对比选文件所作的澄清、修改，构成比选文件的组成部分。</w:t>
      </w:r>
    </w:p>
    <w:p w14:paraId="20A72E03">
      <w:pPr>
        <w:pStyle w:val="4"/>
        <w:snapToGrid w:val="0"/>
        <w:spacing w:before="0" w:after="0" w:line="360" w:lineRule="auto"/>
        <w:rPr>
          <w:rFonts w:hint="eastAsia" w:ascii="宋体" w:hAnsi="宋体" w:cs="宋体"/>
          <w:b w:val="0"/>
          <w:snapToGrid w:val="0"/>
          <w:color w:val="auto"/>
          <w:sz w:val="24"/>
          <w:szCs w:val="24"/>
          <w:highlight w:val="none"/>
        </w:rPr>
      </w:pPr>
      <w:bookmarkStart w:id="221" w:name="_Toc40569060"/>
      <w:bookmarkStart w:id="222" w:name="_Toc20393"/>
      <w:bookmarkStart w:id="223" w:name="_Toc25357"/>
      <w:bookmarkStart w:id="224" w:name="_Toc40569155"/>
      <w:bookmarkStart w:id="225" w:name="_Toc430530451"/>
      <w:bookmarkStart w:id="226" w:name="_Toc509218726"/>
      <w:bookmarkStart w:id="227" w:name="_Toc5751"/>
      <w:r>
        <w:rPr>
          <w:rFonts w:hint="eastAsia" w:ascii="宋体" w:hAnsi="宋体" w:cs="宋体"/>
          <w:b w:val="0"/>
          <w:snapToGrid w:val="0"/>
          <w:color w:val="auto"/>
          <w:sz w:val="24"/>
          <w:szCs w:val="24"/>
          <w:highlight w:val="none"/>
        </w:rPr>
        <w:t>2.2  比选文件的澄清</w:t>
      </w:r>
      <w:bookmarkEnd w:id="221"/>
      <w:bookmarkEnd w:id="222"/>
      <w:bookmarkEnd w:id="223"/>
      <w:bookmarkEnd w:id="224"/>
      <w:bookmarkEnd w:id="225"/>
      <w:bookmarkEnd w:id="226"/>
      <w:bookmarkEnd w:id="227"/>
    </w:p>
    <w:p w14:paraId="489CE20A">
      <w:pPr>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2.2.1  竞选人应仔细阅读和检查比选文件的全部内容。如发现缺页或附件不全，应及时向比选人提出，以便补齐。如有疑问，应在竞选人须知前附表规定的时间前</w:t>
      </w:r>
      <w:r>
        <w:rPr>
          <w:rFonts w:hint="eastAsia" w:ascii="宋体" w:hAnsi="宋体" w:cs="宋体"/>
          <w:color w:val="auto"/>
          <w:kern w:val="0"/>
          <w:szCs w:val="21"/>
          <w:highlight w:val="none"/>
        </w:rPr>
        <w:t>以书面形式向比选人或代理机构提出</w:t>
      </w:r>
      <w:r>
        <w:rPr>
          <w:rFonts w:hint="eastAsia" w:ascii="宋体" w:hAnsi="宋体" w:cs="宋体"/>
          <w:snapToGrid w:val="0"/>
          <w:color w:val="auto"/>
          <w:kern w:val="0"/>
          <w:szCs w:val="21"/>
          <w:highlight w:val="none"/>
        </w:rPr>
        <w:t>，要求比选人对比选文件予以澄清。</w:t>
      </w:r>
    </w:p>
    <w:p w14:paraId="459865E9">
      <w:pPr>
        <w:pStyle w:val="4"/>
        <w:snapToGrid w:val="0"/>
        <w:spacing w:before="0" w:after="0" w:line="360" w:lineRule="auto"/>
        <w:rPr>
          <w:rFonts w:hint="eastAsia" w:ascii="宋体" w:hAnsi="宋体" w:cs="宋体"/>
          <w:b w:val="0"/>
          <w:snapToGrid w:val="0"/>
          <w:color w:val="auto"/>
          <w:sz w:val="24"/>
          <w:szCs w:val="24"/>
          <w:highlight w:val="none"/>
        </w:rPr>
      </w:pPr>
      <w:bookmarkStart w:id="228" w:name="_Toc224103334"/>
      <w:bookmarkStart w:id="229" w:name="_Toc8378"/>
      <w:bookmarkStart w:id="230" w:name="_Toc277082569"/>
      <w:bookmarkStart w:id="231" w:name="_Toc26098"/>
      <w:bookmarkStart w:id="232" w:name="_Toc430530452"/>
      <w:bookmarkStart w:id="233" w:name="_Toc14087"/>
      <w:bookmarkStart w:id="234" w:name="_Toc40569061"/>
      <w:bookmarkStart w:id="235" w:name="_Toc200513143"/>
      <w:bookmarkStart w:id="236" w:name="_Toc40569156"/>
      <w:bookmarkStart w:id="237" w:name="_Toc509218727"/>
      <w:bookmarkStart w:id="238" w:name="_Toc287607763"/>
      <w:bookmarkStart w:id="239" w:name="_Toc287620702"/>
      <w:r>
        <w:rPr>
          <w:rFonts w:hint="eastAsia" w:ascii="宋体" w:hAnsi="宋体" w:cs="宋体"/>
          <w:b w:val="0"/>
          <w:snapToGrid w:val="0"/>
          <w:color w:val="auto"/>
          <w:sz w:val="24"/>
          <w:szCs w:val="24"/>
          <w:highlight w:val="none"/>
        </w:rPr>
        <w:t>2.3  比选文件的修改</w:t>
      </w:r>
      <w:bookmarkEnd w:id="228"/>
      <w:bookmarkEnd w:id="229"/>
      <w:bookmarkEnd w:id="230"/>
      <w:bookmarkEnd w:id="231"/>
      <w:bookmarkEnd w:id="232"/>
      <w:bookmarkEnd w:id="233"/>
      <w:bookmarkEnd w:id="234"/>
      <w:bookmarkEnd w:id="235"/>
      <w:bookmarkEnd w:id="236"/>
      <w:bookmarkEnd w:id="237"/>
      <w:bookmarkEnd w:id="238"/>
      <w:bookmarkEnd w:id="239"/>
    </w:p>
    <w:p w14:paraId="028A720A">
      <w:pPr>
        <w:autoSpaceDE w:val="0"/>
        <w:autoSpaceDN w:val="0"/>
        <w:adjustRightInd w:val="0"/>
        <w:snapToGrid w:val="0"/>
        <w:spacing w:line="360" w:lineRule="auto"/>
        <w:ind w:firstLine="420"/>
        <w:rPr>
          <w:rFonts w:hint="eastAsia" w:ascii="宋体" w:hAnsi="宋体" w:cs="宋体"/>
          <w:snapToGrid w:val="0"/>
          <w:color w:val="auto"/>
          <w:highlight w:val="none"/>
        </w:rPr>
      </w:pPr>
      <w:bookmarkStart w:id="240" w:name="_Toc224103335"/>
      <w:bookmarkStart w:id="241" w:name="_Toc277082570"/>
      <w:bookmarkStart w:id="242" w:name="_Toc287620703"/>
      <w:bookmarkStart w:id="243" w:name="_Toc200513144"/>
      <w:bookmarkStart w:id="244" w:name="_Toc287607764"/>
      <w:r>
        <w:rPr>
          <w:rFonts w:hint="eastAsia" w:ascii="宋体" w:hAnsi="宋体" w:cs="宋体"/>
          <w:snapToGrid w:val="0"/>
          <w:color w:val="auto"/>
          <w:highlight w:val="none"/>
        </w:rPr>
        <w:t>按照本章2.2比选文件的澄清相关内容及方式执行。</w:t>
      </w:r>
    </w:p>
    <w:p w14:paraId="1445ADAC">
      <w:pPr>
        <w:pStyle w:val="3"/>
        <w:spacing w:before="0" w:after="0" w:line="360" w:lineRule="auto"/>
        <w:rPr>
          <w:rFonts w:hint="eastAsia" w:ascii="宋体" w:hAnsi="宋体" w:cs="宋体"/>
          <w:b w:val="0"/>
          <w:snapToGrid w:val="0"/>
          <w:color w:val="auto"/>
          <w:sz w:val="24"/>
          <w:szCs w:val="24"/>
          <w:highlight w:val="none"/>
        </w:rPr>
      </w:pPr>
      <w:bookmarkStart w:id="245" w:name="_Toc22016"/>
      <w:bookmarkStart w:id="246" w:name="_Toc509218728"/>
      <w:bookmarkStart w:id="247" w:name="_Toc6009"/>
      <w:bookmarkStart w:id="248" w:name="_Toc430530453"/>
      <w:bookmarkStart w:id="249" w:name="_Toc5400"/>
      <w:r>
        <w:rPr>
          <w:rFonts w:hint="eastAsia" w:ascii="宋体" w:hAnsi="宋体" w:cs="宋体"/>
          <w:b w:val="0"/>
          <w:snapToGrid w:val="0"/>
          <w:color w:val="auto"/>
          <w:sz w:val="24"/>
          <w:szCs w:val="24"/>
          <w:highlight w:val="none"/>
        </w:rPr>
        <w:t xml:space="preserve">3.  </w:t>
      </w:r>
      <w:bookmarkEnd w:id="240"/>
      <w:bookmarkEnd w:id="241"/>
      <w:bookmarkEnd w:id="242"/>
      <w:bookmarkEnd w:id="243"/>
      <w:bookmarkEnd w:id="244"/>
      <w:bookmarkEnd w:id="245"/>
      <w:bookmarkEnd w:id="246"/>
      <w:bookmarkEnd w:id="247"/>
      <w:bookmarkEnd w:id="248"/>
      <w:bookmarkEnd w:id="249"/>
      <w:r>
        <w:rPr>
          <w:rFonts w:hint="eastAsia" w:ascii="宋体" w:hAnsi="宋体" w:cs="宋体"/>
          <w:b w:val="0"/>
          <w:snapToGrid w:val="0"/>
          <w:color w:val="auto"/>
          <w:sz w:val="24"/>
          <w:szCs w:val="24"/>
          <w:highlight w:val="none"/>
        </w:rPr>
        <w:t>竞选文件</w:t>
      </w:r>
    </w:p>
    <w:p w14:paraId="50245044">
      <w:pPr>
        <w:pStyle w:val="4"/>
        <w:snapToGrid w:val="0"/>
        <w:spacing w:before="0" w:after="0" w:line="360" w:lineRule="auto"/>
        <w:rPr>
          <w:rFonts w:hint="eastAsia" w:ascii="宋体" w:hAnsi="宋体" w:cs="宋体"/>
          <w:b w:val="0"/>
          <w:snapToGrid w:val="0"/>
          <w:color w:val="auto"/>
          <w:sz w:val="24"/>
          <w:szCs w:val="24"/>
          <w:highlight w:val="none"/>
        </w:rPr>
      </w:pPr>
      <w:bookmarkStart w:id="250" w:name="_Toc7795"/>
      <w:bookmarkStart w:id="251" w:name="_Toc29196"/>
      <w:bookmarkStart w:id="252" w:name="_Toc509218729"/>
      <w:bookmarkStart w:id="253" w:name="_Toc277082571"/>
      <w:bookmarkStart w:id="254" w:name="_Toc40569158"/>
      <w:bookmarkStart w:id="255" w:name="_Toc40569063"/>
      <w:bookmarkStart w:id="256" w:name="_Toc13714"/>
      <w:bookmarkStart w:id="257" w:name="_Toc287607765"/>
      <w:bookmarkStart w:id="258" w:name="_Toc287620704"/>
      <w:bookmarkStart w:id="259" w:name="_Toc200513145"/>
      <w:bookmarkStart w:id="260" w:name="_Toc430530454"/>
      <w:bookmarkStart w:id="261" w:name="_Toc224103336"/>
      <w:r>
        <w:rPr>
          <w:rFonts w:hint="eastAsia" w:ascii="宋体" w:hAnsi="宋体" w:cs="宋体"/>
          <w:b w:val="0"/>
          <w:snapToGrid w:val="0"/>
          <w:color w:val="auto"/>
          <w:sz w:val="24"/>
          <w:szCs w:val="24"/>
          <w:highlight w:val="none"/>
        </w:rPr>
        <w:t>3.1  竞选文件的组成</w:t>
      </w:r>
      <w:bookmarkEnd w:id="250"/>
      <w:bookmarkEnd w:id="251"/>
      <w:bookmarkEnd w:id="252"/>
      <w:bookmarkEnd w:id="253"/>
      <w:bookmarkEnd w:id="254"/>
      <w:bookmarkEnd w:id="255"/>
      <w:bookmarkEnd w:id="256"/>
      <w:bookmarkEnd w:id="257"/>
      <w:bookmarkEnd w:id="258"/>
      <w:bookmarkEnd w:id="259"/>
      <w:bookmarkEnd w:id="260"/>
      <w:bookmarkEnd w:id="261"/>
    </w:p>
    <w:p w14:paraId="1C2814B3">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3.1.1 竞选文件应包括下列内容：</w:t>
      </w:r>
    </w:p>
    <w:p w14:paraId="48AEE241">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（1）竞选函及竞选函附录；</w:t>
      </w:r>
    </w:p>
    <w:p w14:paraId="782ABF89">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（2）法定代表人身份证明或附有法定代表人身份证明的授权委托书；</w:t>
      </w:r>
    </w:p>
    <w:p w14:paraId="1B02E880">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（3）比选保证金；</w:t>
      </w:r>
    </w:p>
    <w:p w14:paraId="599E488C">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（4）服务方案；</w:t>
      </w:r>
    </w:p>
    <w:p w14:paraId="2851F8BB">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（5）资格审查资料；</w:t>
      </w:r>
    </w:p>
    <w:p w14:paraId="6BBFD78D">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（6）竞选人须知前附表规定的其他材料。</w:t>
      </w:r>
    </w:p>
    <w:p w14:paraId="39BD3036">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3.1.2  竞选人须知前附表规定不接受联合体投标的，或竞选人没有组成联合体的，竞选文件不包括本章第3.1.1（3）目所指的联合体协议书。</w:t>
      </w:r>
    </w:p>
    <w:p w14:paraId="29EF685A">
      <w:pPr>
        <w:pStyle w:val="4"/>
        <w:snapToGrid w:val="0"/>
        <w:spacing w:before="0" w:after="0" w:line="360" w:lineRule="auto"/>
        <w:rPr>
          <w:rFonts w:hint="eastAsia" w:ascii="宋体" w:hAnsi="宋体" w:cs="宋体"/>
          <w:b w:val="0"/>
          <w:snapToGrid w:val="0"/>
          <w:color w:val="auto"/>
          <w:sz w:val="24"/>
          <w:szCs w:val="24"/>
          <w:highlight w:val="none"/>
        </w:rPr>
      </w:pPr>
      <w:bookmarkStart w:id="262" w:name="_Toc5935"/>
      <w:bookmarkStart w:id="263" w:name="_Toc40569159"/>
      <w:bookmarkStart w:id="264" w:name="_Toc430530455"/>
      <w:bookmarkStart w:id="265" w:name="_Toc287620705"/>
      <w:bookmarkStart w:id="266" w:name="_Toc509218730"/>
      <w:bookmarkStart w:id="267" w:name="_Toc40569064"/>
      <w:bookmarkStart w:id="268" w:name="_Toc3265"/>
      <w:bookmarkStart w:id="269" w:name="_Toc2578"/>
      <w:bookmarkStart w:id="270" w:name="_Toc200513146"/>
      <w:bookmarkStart w:id="271" w:name="_Toc224103337"/>
      <w:bookmarkStart w:id="272" w:name="_Toc277082572"/>
      <w:bookmarkStart w:id="273" w:name="_Toc287607766"/>
      <w:r>
        <w:rPr>
          <w:rFonts w:hint="eastAsia" w:ascii="宋体" w:hAnsi="宋体" w:cs="宋体"/>
          <w:b w:val="0"/>
          <w:snapToGrid w:val="0"/>
          <w:color w:val="auto"/>
          <w:sz w:val="24"/>
          <w:szCs w:val="24"/>
          <w:highlight w:val="none"/>
        </w:rPr>
        <w:t>3.2  竞选报价</w:t>
      </w:r>
      <w:bookmarkEnd w:id="262"/>
      <w:bookmarkEnd w:id="263"/>
      <w:bookmarkEnd w:id="264"/>
      <w:bookmarkEnd w:id="265"/>
      <w:bookmarkEnd w:id="266"/>
      <w:bookmarkEnd w:id="267"/>
      <w:bookmarkEnd w:id="268"/>
      <w:bookmarkEnd w:id="269"/>
      <w:bookmarkEnd w:id="270"/>
      <w:bookmarkEnd w:id="271"/>
      <w:bookmarkEnd w:id="272"/>
      <w:bookmarkEnd w:id="273"/>
    </w:p>
    <w:p w14:paraId="60830B47">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3.2.1  竞选人应按第七章“竞选文件格式”的要求填写相应表格。</w:t>
      </w:r>
    </w:p>
    <w:p w14:paraId="1E5480AE">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3.2.2  竞选人应认真阅读比选文件规定的计价、结算要求，自行填报报价。</w:t>
      </w:r>
    </w:p>
    <w:p w14:paraId="2AD95D8B">
      <w:pPr>
        <w:pStyle w:val="4"/>
        <w:snapToGrid w:val="0"/>
        <w:spacing w:before="0" w:after="0" w:line="360" w:lineRule="auto"/>
        <w:rPr>
          <w:rFonts w:hint="eastAsia" w:ascii="宋体" w:hAnsi="宋体" w:cs="宋体"/>
          <w:b w:val="0"/>
          <w:snapToGrid w:val="0"/>
          <w:color w:val="auto"/>
          <w:sz w:val="24"/>
          <w:szCs w:val="24"/>
          <w:highlight w:val="none"/>
        </w:rPr>
      </w:pPr>
      <w:bookmarkStart w:id="274" w:name="_Toc27583"/>
      <w:bookmarkStart w:id="275" w:name="_Toc915"/>
      <w:bookmarkStart w:id="276" w:name="_Toc40569160"/>
      <w:bookmarkStart w:id="277" w:name="_Toc40569065"/>
      <w:bookmarkStart w:id="278" w:name="_Toc277082573"/>
      <w:bookmarkStart w:id="279" w:name="_Toc224103338"/>
      <w:bookmarkStart w:id="280" w:name="_Toc200513147"/>
      <w:bookmarkStart w:id="281" w:name="_Toc287620706"/>
      <w:bookmarkStart w:id="282" w:name="_Toc287607767"/>
      <w:bookmarkStart w:id="283" w:name="_Toc509218731"/>
      <w:bookmarkStart w:id="284" w:name="_Toc15462"/>
      <w:bookmarkStart w:id="285" w:name="_Toc430530456"/>
      <w:r>
        <w:rPr>
          <w:rFonts w:hint="eastAsia" w:ascii="宋体" w:hAnsi="宋体" w:cs="宋体"/>
          <w:b w:val="0"/>
          <w:snapToGrid w:val="0"/>
          <w:color w:val="auto"/>
          <w:sz w:val="24"/>
          <w:szCs w:val="24"/>
          <w:highlight w:val="none"/>
        </w:rPr>
        <w:t>3.3  比选有效期</w:t>
      </w:r>
      <w:bookmarkEnd w:id="274"/>
      <w:bookmarkEnd w:id="275"/>
      <w:bookmarkEnd w:id="276"/>
      <w:bookmarkEnd w:id="277"/>
      <w:bookmarkEnd w:id="278"/>
      <w:bookmarkEnd w:id="279"/>
      <w:bookmarkEnd w:id="280"/>
      <w:bookmarkEnd w:id="281"/>
      <w:bookmarkEnd w:id="282"/>
      <w:bookmarkEnd w:id="283"/>
      <w:bookmarkEnd w:id="284"/>
      <w:bookmarkEnd w:id="285"/>
    </w:p>
    <w:p w14:paraId="6FE6582A">
      <w:pPr>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3.3.1  在竞选人须知前附表规定的比选有效期内，竞选人不得要求撤销或修改其竞选文件。</w:t>
      </w:r>
    </w:p>
    <w:p w14:paraId="72D125B6">
      <w:pPr>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3.3.2  出现特殊情况需要延长比选有效期的，比选人以书面形式通知所有竞选人延长比选有效期。竞选人同意延长的，应相应延长其保证金或保函的有效期，但不得要求或被允许修改或撤销其竞选文件；竞选人拒绝延长的，其竞选文件失效，但竞选人有权收回其保函。（适用于比选保证金采用保函形式的）</w:t>
      </w:r>
    </w:p>
    <w:p w14:paraId="5CA0AB08">
      <w:pPr>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出现特殊情况需要延长比选有效期的，比选人以书面形式通知所有竞选人延长比选有效期。竞选人同意延长的，应相应延长其比选保证金的有效期，但不得要求或被允许修改或撤销其竞选文件；竞选人拒绝延长的，其投标失效，但竞选人有权收回其比选保证金。（适用于比选保证金采用银行转账形式的）</w:t>
      </w:r>
    </w:p>
    <w:p w14:paraId="1ACE2BBF">
      <w:pPr>
        <w:pStyle w:val="4"/>
        <w:keepNext w:val="0"/>
        <w:keepLines w:val="0"/>
        <w:snapToGrid w:val="0"/>
        <w:spacing w:before="0" w:after="0" w:line="360" w:lineRule="auto"/>
        <w:rPr>
          <w:rFonts w:hint="eastAsia" w:ascii="宋体" w:hAnsi="宋体" w:cs="宋体"/>
          <w:b w:val="0"/>
          <w:snapToGrid w:val="0"/>
          <w:color w:val="auto"/>
          <w:sz w:val="24"/>
          <w:szCs w:val="24"/>
          <w:highlight w:val="none"/>
        </w:rPr>
      </w:pPr>
      <w:bookmarkStart w:id="286" w:name="_Toc14235"/>
      <w:bookmarkStart w:id="287" w:name="_Toc224103339"/>
      <w:bookmarkStart w:id="288" w:name="_Toc430530457"/>
      <w:bookmarkStart w:id="289" w:name="_Toc19857"/>
      <w:bookmarkStart w:id="290" w:name="_Toc40569161"/>
      <w:bookmarkStart w:id="291" w:name="_Toc509218732"/>
      <w:bookmarkStart w:id="292" w:name="_Toc287620707"/>
      <w:bookmarkStart w:id="293" w:name="_Toc40569066"/>
      <w:bookmarkStart w:id="294" w:name="_Toc277082574"/>
      <w:bookmarkStart w:id="295" w:name="_Toc287607768"/>
      <w:bookmarkStart w:id="296" w:name="_Toc200513148"/>
      <w:bookmarkStart w:id="297" w:name="_Toc26206"/>
      <w:r>
        <w:rPr>
          <w:rFonts w:hint="eastAsia" w:ascii="宋体" w:hAnsi="宋体" w:cs="宋体"/>
          <w:b w:val="0"/>
          <w:snapToGrid w:val="0"/>
          <w:color w:val="auto"/>
          <w:sz w:val="24"/>
          <w:szCs w:val="24"/>
          <w:highlight w:val="none"/>
        </w:rPr>
        <w:t xml:space="preserve">3.4  </w:t>
      </w:r>
      <w:bookmarkEnd w:id="286"/>
      <w:bookmarkEnd w:id="287"/>
      <w:bookmarkEnd w:id="288"/>
      <w:bookmarkEnd w:id="289"/>
      <w:bookmarkEnd w:id="290"/>
      <w:bookmarkEnd w:id="291"/>
      <w:bookmarkEnd w:id="292"/>
      <w:bookmarkEnd w:id="293"/>
      <w:bookmarkEnd w:id="294"/>
      <w:bookmarkEnd w:id="295"/>
      <w:bookmarkEnd w:id="296"/>
      <w:bookmarkEnd w:id="297"/>
      <w:r>
        <w:rPr>
          <w:rFonts w:hint="eastAsia" w:ascii="宋体" w:hAnsi="宋体" w:cs="宋体"/>
          <w:b w:val="0"/>
          <w:snapToGrid w:val="0"/>
          <w:color w:val="auto"/>
          <w:sz w:val="24"/>
          <w:szCs w:val="24"/>
          <w:highlight w:val="none"/>
        </w:rPr>
        <w:t>比选保证金</w:t>
      </w:r>
    </w:p>
    <w:p w14:paraId="7271100E">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3.4.1  竞选人在递交竞选文件前，应按竞选人须知前附表规定的金额、担保形式形式递交比选保证金，并作为其竞选文件的组成部分。联合体投标的，其比选保证金由牵头人递交，并应符合竞选人须知前附表的规定。</w:t>
      </w:r>
    </w:p>
    <w:p w14:paraId="7681E8D6">
      <w:pPr>
        <w:autoSpaceDE w:val="0"/>
        <w:autoSpaceDN w:val="0"/>
        <w:adjustRightInd w:val="0"/>
        <w:snapToGrid w:val="0"/>
        <w:spacing w:line="360" w:lineRule="auto"/>
        <w:ind w:left="13" w:leftChars="6" w:firstLine="405" w:firstLineChars="193"/>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3.4.2  竞选人不按本章第 3.4.1 项要求提交比选保证金的，其竞选文件作否决竞选处理。</w:t>
      </w:r>
    </w:p>
    <w:p w14:paraId="70CE4E67">
      <w:pPr>
        <w:autoSpaceDE w:val="0"/>
        <w:autoSpaceDN w:val="0"/>
        <w:adjustRightInd w:val="0"/>
        <w:snapToGrid w:val="0"/>
        <w:spacing w:line="360" w:lineRule="auto"/>
        <w:ind w:left="13" w:leftChars="6" w:firstLine="405" w:firstLineChars="193"/>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3.4.3  比选保证金（保函）退还：见竞选人须知前附表</w:t>
      </w:r>
      <w:r>
        <w:rPr>
          <w:rFonts w:hint="eastAsia" w:ascii="宋体" w:hAnsi="宋体" w:cs="宋体"/>
          <w:snapToGrid w:val="0"/>
          <w:color w:val="auto"/>
          <w:kern w:val="0"/>
          <w:position w:val="-2"/>
          <w:szCs w:val="21"/>
          <w:highlight w:val="none"/>
        </w:rPr>
        <w:t>。</w:t>
      </w:r>
    </w:p>
    <w:p w14:paraId="35A2BE94">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3.4.4  有下列情形之一的，比选保证金将不予退还：</w:t>
      </w:r>
    </w:p>
    <w:p w14:paraId="3F7602AA">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（1）竞选人在规定的比选有效期内撤销或修改其竞选文件；</w:t>
      </w:r>
    </w:p>
    <w:p w14:paraId="2D5117DD">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（2）中选人在收到中选通知书后，无正当理由拒签合同协议书或未按比选文件规定提交履约担保；</w:t>
      </w:r>
    </w:p>
    <w:p w14:paraId="1B0D468A">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（3）违反本章9.2条对竞选人的纪律要求的；</w:t>
      </w:r>
    </w:p>
    <w:p w14:paraId="6757DA06">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（4）法律法规和本比选文件规定的其他情形。</w:t>
      </w:r>
    </w:p>
    <w:p w14:paraId="3053F35E">
      <w:pPr>
        <w:tabs>
          <w:tab w:val="left" w:pos="611"/>
          <w:tab w:val="left" w:pos="669"/>
        </w:tabs>
        <w:snapToGrid w:val="0"/>
        <w:spacing w:line="360" w:lineRule="auto"/>
        <w:ind w:firstLine="420" w:firstLineChars="200"/>
        <w:rPr>
          <w:rFonts w:hint="eastAsia" w:ascii="宋体" w:hAnsi="宋体" w:cs="宋体"/>
          <w:color w:val="auto"/>
          <w:kern w:val="0"/>
          <w:highlight w:val="none"/>
        </w:rPr>
      </w:pPr>
      <w:r>
        <w:rPr>
          <w:rFonts w:hint="eastAsia" w:ascii="宋体" w:hAnsi="宋体" w:cs="宋体"/>
          <w:snapToGrid w:val="0"/>
          <w:color w:val="auto"/>
          <w:kern w:val="0"/>
          <w:szCs w:val="21"/>
          <w:highlight w:val="none"/>
        </w:rPr>
        <w:t>3.4.5</w:t>
      </w:r>
      <w:r>
        <w:rPr>
          <w:rFonts w:hint="eastAsia" w:ascii="宋体" w:hAnsi="宋体" w:cs="宋体"/>
          <w:color w:val="auto"/>
          <w:kern w:val="0"/>
          <w:highlight w:val="none"/>
        </w:rPr>
        <w:t>（1）比选保证金为无条件担保；</w:t>
      </w:r>
    </w:p>
    <w:p w14:paraId="1FAC392A">
      <w:pPr>
        <w:tabs>
          <w:tab w:val="left" w:pos="611"/>
          <w:tab w:val="left" w:pos="669"/>
        </w:tabs>
        <w:snapToGrid w:val="0"/>
        <w:spacing w:line="360" w:lineRule="auto"/>
        <w:ind w:firstLine="945" w:firstLineChars="450"/>
        <w:rPr>
          <w:rFonts w:hint="eastAsia" w:ascii="宋体" w:hAnsi="宋体" w:cs="宋体"/>
          <w:color w:val="auto"/>
          <w:kern w:val="0"/>
          <w:highlight w:val="none"/>
        </w:rPr>
      </w:pPr>
      <w:r>
        <w:rPr>
          <w:rFonts w:hint="eastAsia" w:ascii="宋体" w:hAnsi="宋体" w:cs="宋体"/>
          <w:color w:val="auto"/>
          <w:kern w:val="0"/>
          <w:highlight w:val="none"/>
        </w:rPr>
        <w:t>（2）比选保证金的受益人为比选人。</w:t>
      </w:r>
    </w:p>
    <w:p w14:paraId="2D19B5D5">
      <w:pPr>
        <w:pStyle w:val="4"/>
        <w:keepNext w:val="0"/>
        <w:keepLines w:val="0"/>
        <w:snapToGrid w:val="0"/>
        <w:spacing w:before="0" w:after="0" w:line="360" w:lineRule="auto"/>
        <w:rPr>
          <w:rFonts w:hint="eastAsia" w:ascii="宋体" w:hAnsi="宋体" w:cs="宋体"/>
          <w:b w:val="0"/>
          <w:snapToGrid w:val="0"/>
          <w:color w:val="auto"/>
          <w:sz w:val="24"/>
          <w:szCs w:val="24"/>
          <w:highlight w:val="none"/>
        </w:rPr>
      </w:pPr>
      <w:bookmarkStart w:id="298" w:name="_Toc200513150"/>
      <w:bookmarkStart w:id="299" w:name="_Toc277082576"/>
      <w:bookmarkStart w:id="300" w:name="_Toc509218734"/>
      <w:bookmarkStart w:id="301" w:name="_Toc40569162"/>
      <w:bookmarkStart w:id="302" w:name="_Toc430530459"/>
      <w:bookmarkStart w:id="303" w:name="_Toc40569067"/>
      <w:bookmarkStart w:id="304" w:name="_Toc224103341"/>
      <w:bookmarkStart w:id="305" w:name="_Toc287620709"/>
      <w:bookmarkStart w:id="306" w:name="_Toc8188"/>
      <w:bookmarkStart w:id="307" w:name="_Toc7055"/>
      <w:bookmarkStart w:id="308" w:name="_Toc287607770"/>
      <w:bookmarkStart w:id="309" w:name="_Toc30972"/>
      <w:r>
        <w:rPr>
          <w:rFonts w:hint="eastAsia" w:ascii="宋体" w:hAnsi="宋体" w:cs="宋体"/>
          <w:b w:val="0"/>
          <w:snapToGrid w:val="0"/>
          <w:color w:val="auto"/>
          <w:sz w:val="24"/>
          <w:szCs w:val="24"/>
          <w:highlight w:val="none"/>
        </w:rPr>
        <w:t>3.5  资格审查资料</w:t>
      </w:r>
      <w:bookmarkEnd w:id="298"/>
      <w:bookmarkEnd w:id="299"/>
      <w:bookmarkEnd w:id="300"/>
      <w:bookmarkEnd w:id="301"/>
      <w:bookmarkEnd w:id="302"/>
      <w:bookmarkEnd w:id="303"/>
      <w:bookmarkEnd w:id="304"/>
      <w:bookmarkEnd w:id="305"/>
      <w:bookmarkEnd w:id="306"/>
      <w:bookmarkEnd w:id="307"/>
      <w:bookmarkEnd w:id="308"/>
      <w:bookmarkEnd w:id="309"/>
    </w:p>
    <w:p w14:paraId="4E618159">
      <w:pPr>
        <w:autoSpaceDE w:val="0"/>
        <w:autoSpaceDN w:val="0"/>
        <w:adjustRightInd w:val="0"/>
        <w:snapToGrid w:val="0"/>
        <w:spacing w:line="360" w:lineRule="auto"/>
        <w:ind w:left="103" w:leftChars="49" w:right="37" w:firstLine="420" w:firstLineChars="200"/>
        <w:rPr>
          <w:rFonts w:hint="eastAsia" w:ascii="宋体" w:hAnsi="宋体" w:cs="宋体"/>
          <w:color w:val="auto"/>
          <w:szCs w:val="21"/>
          <w:highlight w:val="none"/>
        </w:rPr>
      </w:pPr>
      <w:r>
        <w:rPr>
          <w:rFonts w:hint="eastAsia" w:ascii="宋体" w:hAnsi="宋体" w:cs="宋体"/>
          <w:color w:val="auto"/>
          <w:szCs w:val="21"/>
          <w:highlight w:val="none"/>
        </w:rPr>
        <w:t>竞选人须在提交竞选文件时将</w:t>
      </w:r>
      <w:r>
        <w:rPr>
          <w:rFonts w:hint="eastAsia" w:ascii="宋体" w:hAnsi="宋体" w:cs="宋体"/>
          <w:color w:val="auto"/>
          <w:kern w:val="0"/>
          <w:szCs w:val="21"/>
          <w:highlight w:val="none"/>
        </w:rPr>
        <w:t>竞选人须知前附表1.4.1中要求的原件</w:t>
      </w:r>
      <w:r>
        <w:rPr>
          <w:rFonts w:hint="eastAsia" w:ascii="宋体" w:hAnsi="宋体" w:cs="宋体"/>
          <w:color w:val="auto"/>
          <w:szCs w:val="21"/>
          <w:highlight w:val="none"/>
        </w:rPr>
        <w:t>一次性提交，</w:t>
      </w:r>
      <w:r>
        <w:rPr>
          <w:rFonts w:hint="eastAsia" w:ascii="宋体" w:hAnsi="宋体" w:cs="宋体"/>
          <w:color w:val="auto"/>
          <w:kern w:val="0"/>
          <w:szCs w:val="21"/>
          <w:highlight w:val="none"/>
        </w:rPr>
        <w:t>评选委员会审查时必须对</w:t>
      </w:r>
      <w:r>
        <w:rPr>
          <w:rFonts w:hint="eastAsia" w:ascii="宋体" w:hAnsi="宋体" w:cs="宋体"/>
          <w:color w:val="auto"/>
          <w:szCs w:val="21"/>
          <w:highlight w:val="none"/>
        </w:rPr>
        <w:t>有关证明和证件的原件核查，若经审查复印件与原件不一致，或未提交原件的，则竞选文件作否决竞选处理。</w:t>
      </w:r>
    </w:p>
    <w:p w14:paraId="0DAC0C6D">
      <w:pPr>
        <w:autoSpaceDE w:val="0"/>
        <w:autoSpaceDN w:val="0"/>
        <w:adjustRightInd w:val="0"/>
        <w:snapToGrid w:val="0"/>
        <w:spacing w:line="360" w:lineRule="auto"/>
        <w:ind w:left="103" w:leftChars="49" w:right="37"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联合体投标的，详见竞选人须知前附表联合体投标相关内容。</w:t>
      </w:r>
    </w:p>
    <w:p w14:paraId="1C6563F4">
      <w:pPr>
        <w:pStyle w:val="4"/>
        <w:snapToGrid w:val="0"/>
        <w:spacing w:before="0" w:after="0" w:line="360" w:lineRule="auto"/>
        <w:rPr>
          <w:rFonts w:hint="eastAsia" w:ascii="宋体" w:hAnsi="宋体" w:cs="宋体"/>
          <w:b w:val="0"/>
          <w:snapToGrid w:val="0"/>
          <w:color w:val="auto"/>
          <w:sz w:val="24"/>
          <w:szCs w:val="24"/>
          <w:highlight w:val="none"/>
        </w:rPr>
      </w:pPr>
      <w:bookmarkStart w:id="310" w:name="_Toc40569068"/>
      <w:bookmarkStart w:id="311" w:name="_Toc224103342"/>
      <w:bookmarkStart w:id="312" w:name="_Toc26526"/>
      <w:bookmarkStart w:id="313" w:name="_Toc287620710"/>
      <w:bookmarkStart w:id="314" w:name="_Toc430530460"/>
      <w:bookmarkStart w:id="315" w:name="_Toc277082577"/>
      <w:bookmarkStart w:id="316" w:name="_Toc40569163"/>
      <w:bookmarkStart w:id="317" w:name="_Toc509218735"/>
      <w:bookmarkStart w:id="318" w:name="_Toc7522"/>
      <w:bookmarkStart w:id="319" w:name="_Toc9341"/>
      <w:bookmarkStart w:id="320" w:name="_Toc200513151"/>
      <w:bookmarkStart w:id="321" w:name="_Toc287607771"/>
      <w:r>
        <w:rPr>
          <w:rFonts w:hint="eastAsia" w:ascii="宋体" w:hAnsi="宋体" w:cs="宋体"/>
          <w:b w:val="0"/>
          <w:snapToGrid w:val="0"/>
          <w:color w:val="auto"/>
          <w:sz w:val="24"/>
          <w:szCs w:val="24"/>
          <w:highlight w:val="none"/>
        </w:rPr>
        <w:t>3.6  备选投标方案</w:t>
      </w:r>
      <w:bookmarkEnd w:id="310"/>
      <w:bookmarkEnd w:id="311"/>
      <w:bookmarkEnd w:id="312"/>
      <w:bookmarkEnd w:id="313"/>
      <w:bookmarkEnd w:id="314"/>
      <w:bookmarkEnd w:id="315"/>
      <w:bookmarkEnd w:id="316"/>
      <w:bookmarkEnd w:id="317"/>
      <w:bookmarkEnd w:id="318"/>
      <w:bookmarkEnd w:id="319"/>
      <w:bookmarkEnd w:id="320"/>
      <w:bookmarkEnd w:id="321"/>
    </w:p>
    <w:p w14:paraId="78B83D83">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除竞选人须知前附表另有规定外，竞选人不得递交备选投标方案。允许竞选人递交备选投标方案的，只有中选人所递交的备选投标方案方可予以考虑。评选委员会认为中选人的备 选投标方案优于其按照比选文件要求编制的投标方案的，比选人可以接受该备选投标方案。</w:t>
      </w:r>
    </w:p>
    <w:p w14:paraId="4F1CBB6E">
      <w:pPr>
        <w:pStyle w:val="4"/>
        <w:snapToGrid w:val="0"/>
        <w:spacing w:before="0" w:after="0" w:line="360" w:lineRule="auto"/>
        <w:rPr>
          <w:rFonts w:hint="eastAsia" w:ascii="宋体" w:hAnsi="宋体" w:cs="宋体"/>
          <w:b w:val="0"/>
          <w:snapToGrid w:val="0"/>
          <w:color w:val="auto"/>
          <w:sz w:val="24"/>
          <w:szCs w:val="24"/>
          <w:highlight w:val="none"/>
        </w:rPr>
      </w:pPr>
      <w:bookmarkStart w:id="322" w:name="_Toc29274"/>
      <w:bookmarkStart w:id="323" w:name="_Toc25048"/>
      <w:bookmarkStart w:id="324" w:name="_Toc40569164"/>
      <w:bookmarkStart w:id="325" w:name="_Toc29561"/>
      <w:bookmarkStart w:id="326" w:name="_Toc509218736"/>
      <w:bookmarkStart w:id="327" w:name="_Toc287607772"/>
      <w:bookmarkStart w:id="328" w:name="_Toc224103343"/>
      <w:bookmarkStart w:id="329" w:name="_Toc200513152"/>
      <w:bookmarkStart w:id="330" w:name="_Toc40569069"/>
      <w:bookmarkStart w:id="331" w:name="_Toc287620711"/>
      <w:bookmarkStart w:id="332" w:name="_Toc277082578"/>
      <w:bookmarkStart w:id="333" w:name="_Toc430530461"/>
      <w:r>
        <w:rPr>
          <w:rFonts w:hint="eastAsia" w:ascii="宋体" w:hAnsi="宋体" w:cs="宋体"/>
          <w:b w:val="0"/>
          <w:snapToGrid w:val="0"/>
          <w:color w:val="auto"/>
          <w:sz w:val="24"/>
          <w:szCs w:val="24"/>
          <w:highlight w:val="none"/>
        </w:rPr>
        <w:t>3.7  竞选文件的编制</w:t>
      </w:r>
      <w:bookmarkEnd w:id="322"/>
      <w:bookmarkEnd w:id="323"/>
      <w:bookmarkEnd w:id="324"/>
      <w:bookmarkEnd w:id="325"/>
      <w:bookmarkEnd w:id="326"/>
      <w:bookmarkEnd w:id="327"/>
      <w:bookmarkEnd w:id="328"/>
      <w:bookmarkEnd w:id="329"/>
      <w:bookmarkEnd w:id="330"/>
      <w:bookmarkEnd w:id="331"/>
      <w:bookmarkEnd w:id="332"/>
      <w:bookmarkEnd w:id="333"/>
    </w:p>
    <w:p w14:paraId="1C4F5A15">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3.7.1  竞选文件应按第七章“竞选文件格式”进行编写，如有必要，可以增加附页，作为竞选文件的组成部分。其中，竞选函附录在满足比选文件实质性要求的基础上，可以提出比选文件要求更有利于比选人的承诺。</w:t>
      </w:r>
    </w:p>
    <w:p w14:paraId="2B3F996B">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3.7.2  竞选文件应当对比选文件有关工期、比选有效期、质量要求、技术标准和要求、比选范围等实质性内容做出响应。</w:t>
      </w:r>
    </w:p>
    <w:p w14:paraId="41ED63C8">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position w:val="-2"/>
          <w:szCs w:val="21"/>
          <w:highlight w:val="none"/>
        </w:rPr>
        <w:t>3.7.3  按竞选人须知前附表3.7.3款执行。</w:t>
      </w:r>
    </w:p>
    <w:p w14:paraId="4B19B530">
      <w:pPr>
        <w:autoSpaceDE w:val="0"/>
        <w:autoSpaceDN w:val="0"/>
        <w:adjustRightInd w:val="0"/>
        <w:snapToGrid w:val="0"/>
        <w:spacing w:line="360" w:lineRule="auto"/>
        <w:ind w:right="-164" w:firstLine="420" w:firstLineChars="200"/>
        <w:rPr>
          <w:rFonts w:hint="eastAsia" w:ascii="宋体" w:hAnsi="宋体" w:cs="宋体"/>
          <w:i/>
          <w:snapToGrid w:val="0"/>
          <w:color w:val="auto"/>
          <w:kern w:val="0"/>
          <w:szCs w:val="21"/>
          <w:highlight w:val="none"/>
        </w:rPr>
      </w:pPr>
      <w:r>
        <w:rPr>
          <w:rFonts w:hint="eastAsia" w:ascii="宋体" w:hAnsi="宋体" w:cs="宋体"/>
          <w:snapToGrid w:val="0"/>
          <w:color w:val="auto"/>
          <w:kern w:val="0"/>
          <w:szCs w:val="21"/>
          <w:highlight w:val="none"/>
        </w:rPr>
        <w:t>3.7.4  竞选文件的份数见竞选人须知前附表，不按规定递交足够份数的竞选文件作否决处理。</w:t>
      </w:r>
    </w:p>
    <w:p w14:paraId="3448E1DB">
      <w:pPr>
        <w:autoSpaceDE w:val="0"/>
        <w:autoSpaceDN w:val="0"/>
        <w:adjustRightInd w:val="0"/>
        <w:snapToGrid w:val="0"/>
        <w:spacing w:line="360" w:lineRule="auto"/>
        <w:ind w:right="-109"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3.7.5  竞选文件应装订成册，并编制目录，具体装订要求见竞选人须知前附表规定。</w:t>
      </w:r>
    </w:p>
    <w:p w14:paraId="6B0D6C37">
      <w:pPr>
        <w:pStyle w:val="3"/>
        <w:spacing w:before="0" w:after="0" w:line="360" w:lineRule="auto"/>
        <w:rPr>
          <w:rFonts w:hint="eastAsia" w:ascii="宋体" w:hAnsi="宋体" w:cs="宋体"/>
          <w:b w:val="0"/>
          <w:snapToGrid w:val="0"/>
          <w:color w:val="auto"/>
          <w:sz w:val="24"/>
          <w:szCs w:val="24"/>
          <w:highlight w:val="none"/>
        </w:rPr>
      </w:pPr>
      <w:bookmarkStart w:id="334" w:name="_Toc430530462"/>
      <w:bookmarkStart w:id="335" w:name="_Toc17781"/>
      <w:bookmarkStart w:id="336" w:name="_Toc287607773"/>
      <w:bookmarkStart w:id="337" w:name="_Toc26662"/>
      <w:bookmarkStart w:id="338" w:name="_Toc509218737"/>
      <w:bookmarkStart w:id="339" w:name="_Toc31627"/>
      <w:bookmarkStart w:id="340" w:name="_Toc224103344"/>
      <w:bookmarkStart w:id="341" w:name="_Toc200513153"/>
      <w:bookmarkStart w:id="342" w:name="_Toc277082579"/>
      <w:bookmarkStart w:id="343" w:name="_Toc287620712"/>
      <w:r>
        <w:rPr>
          <w:rFonts w:hint="eastAsia" w:ascii="宋体" w:hAnsi="宋体" w:cs="宋体"/>
          <w:b w:val="0"/>
          <w:snapToGrid w:val="0"/>
          <w:color w:val="auto"/>
          <w:sz w:val="24"/>
          <w:szCs w:val="24"/>
          <w:highlight w:val="none"/>
        </w:rPr>
        <w:t xml:space="preserve">4.  </w:t>
      </w:r>
      <w:bookmarkEnd w:id="334"/>
      <w:bookmarkEnd w:id="335"/>
      <w:bookmarkEnd w:id="336"/>
      <w:bookmarkEnd w:id="337"/>
      <w:bookmarkEnd w:id="338"/>
      <w:bookmarkEnd w:id="339"/>
      <w:bookmarkEnd w:id="340"/>
      <w:bookmarkEnd w:id="341"/>
      <w:bookmarkEnd w:id="342"/>
      <w:bookmarkEnd w:id="343"/>
      <w:r>
        <w:rPr>
          <w:rFonts w:hint="eastAsia" w:ascii="宋体" w:hAnsi="宋体" w:cs="宋体"/>
          <w:b w:val="0"/>
          <w:snapToGrid w:val="0"/>
          <w:color w:val="auto"/>
          <w:sz w:val="24"/>
          <w:szCs w:val="24"/>
          <w:highlight w:val="none"/>
        </w:rPr>
        <w:t>竞选文件递交</w:t>
      </w:r>
    </w:p>
    <w:p w14:paraId="7CFD7C21">
      <w:pPr>
        <w:pStyle w:val="4"/>
        <w:keepNext w:val="0"/>
        <w:keepLines w:val="0"/>
        <w:snapToGrid w:val="0"/>
        <w:spacing w:before="0" w:after="0" w:line="360" w:lineRule="auto"/>
        <w:rPr>
          <w:rFonts w:hint="eastAsia" w:ascii="宋体" w:hAnsi="宋体" w:cs="宋体"/>
          <w:b w:val="0"/>
          <w:snapToGrid w:val="0"/>
          <w:color w:val="auto"/>
          <w:sz w:val="24"/>
          <w:szCs w:val="24"/>
          <w:highlight w:val="none"/>
        </w:rPr>
      </w:pPr>
      <w:bookmarkStart w:id="344" w:name="_Toc224103345"/>
      <w:bookmarkStart w:id="345" w:name="_Toc430530463"/>
      <w:bookmarkStart w:id="346" w:name="_Toc30123"/>
      <w:bookmarkStart w:id="347" w:name="_Toc40569166"/>
      <w:bookmarkStart w:id="348" w:name="_Toc287620713"/>
      <w:bookmarkStart w:id="349" w:name="_Toc287607774"/>
      <w:bookmarkStart w:id="350" w:name="_Toc21526"/>
      <w:bookmarkStart w:id="351" w:name="_Toc40569071"/>
      <w:bookmarkStart w:id="352" w:name="_Toc277082580"/>
      <w:bookmarkStart w:id="353" w:name="_Toc1906"/>
      <w:bookmarkStart w:id="354" w:name="_Toc509218738"/>
      <w:bookmarkStart w:id="355" w:name="_Toc200513154"/>
      <w:r>
        <w:rPr>
          <w:rFonts w:hint="eastAsia" w:ascii="宋体" w:hAnsi="宋体" w:cs="宋体"/>
          <w:b w:val="0"/>
          <w:snapToGrid w:val="0"/>
          <w:color w:val="auto"/>
          <w:sz w:val="24"/>
          <w:szCs w:val="24"/>
          <w:highlight w:val="none"/>
        </w:rPr>
        <w:t>4.1  竞选文件的密封和标记</w:t>
      </w:r>
      <w:bookmarkEnd w:id="344"/>
      <w:bookmarkEnd w:id="345"/>
      <w:bookmarkEnd w:id="346"/>
      <w:bookmarkEnd w:id="347"/>
      <w:bookmarkEnd w:id="348"/>
      <w:bookmarkEnd w:id="349"/>
      <w:bookmarkEnd w:id="350"/>
      <w:bookmarkEnd w:id="351"/>
      <w:bookmarkEnd w:id="352"/>
      <w:bookmarkEnd w:id="353"/>
      <w:bookmarkEnd w:id="354"/>
      <w:bookmarkEnd w:id="355"/>
    </w:p>
    <w:p w14:paraId="238FEB76">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bookmarkStart w:id="356" w:name="_Toc200513155"/>
      <w:r>
        <w:rPr>
          <w:rFonts w:hint="eastAsia" w:ascii="宋体" w:hAnsi="宋体" w:cs="宋体"/>
          <w:snapToGrid w:val="0"/>
          <w:color w:val="auto"/>
          <w:kern w:val="0"/>
          <w:szCs w:val="21"/>
          <w:highlight w:val="none"/>
        </w:rPr>
        <w:t>4.1.1  竞选文件的密封见竞选人须知前附表。</w:t>
      </w:r>
    </w:p>
    <w:p w14:paraId="6348CFE1">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4.1.2  竞选文件的封套上应写明的内容见竞选人须知前附表。</w:t>
      </w:r>
    </w:p>
    <w:p w14:paraId="7B5BC58C">
      <w:pPr>
        <w:pStyle w:val="4"/>
        <w:keepNext w:val="0"/>
        <w:keepLines w:val="0"/>
        <w:snapToGrid w:val="0"/>
        <w:spacing w:before="0" w:after="0" w:line="360" w:lineRule="auto"/>
        <w:rPr>
          <w:rFonts w:hint="eastAsia" w:ascii="宋体" w:hAnsi="宋体" w:cs="宋体"/>
          <w:b w:val="0"/>
          <w:snapToGrid w:val="0"/>
          <w:color w:val="auto"/>
          <w:sz w:val="24"/>
          <w:szCs w:val="24"/>
          <w:highlight w:val="none"/>
        </w:rPr>
      </w:pPr>
      <w:bookmarkStart w:id="357" w:name="_Toc509218739"/>
      <w:bookmarkStart w:id="358" w:name="_Toc11740"/>
      <w:bookmarkStart w:id="359" w:name="_Toc287620714"/>
      <w:bookmarkStart w:id="360" w:name="_Toc430530464"/>
      <w:bookmarkStart w:id="361" w:name="_Toc287607775"/>
      <w:bookmarkStart w:id="362" w:name="_Toc40569167"/>
      <w:bookmarkStart w:id="363" w:name="_Toc224103346"/>
      <w:bookmarkStart w:id="364" w:name="_Toc26108"/>
      <w:bookmarkStart w:id="365" w:name="_Toc40569072"/>
      <w:bookmarkStart w:id="366" w:name="_Toc7699"/>
      <w:bookmarkStart w:id="367" w:name="_Toc277082581"/>
      <w:r>
        <w:rPr>
          <w:rFonts w:hint="eastAsia" w:ascii="宋体" w:hAnsi="宋体" w:cs="宋体"/>
          <w:b w:val="0"/>
          <w:snapToGrid w:val="0"/>
          <w:color w:val="auto"/>
          <w:sz w:val="24"/>
          <w:szCs w:val="24"/>
          <w:highlight w:val="none"/>
        </w:rPr>
        <w:t>4.2  竞选文件的递交</w:t>
      </w:r>
      <w:bookmarkEnd w:id="356"/>
      <w:bookmarkEnd w:id="357"/>
      <w:bookmarkEnd w:id="358"/>
      <w:bookmarkEnd w:id="359"/>
      <w:bookmarkEnd w:id="360"/>
      <w:bookmarkEnd w:id="361"/>
      <w:bookmarkEnd w:id="362"/>
      <w:bookmarkEnd w:id="363"/>
      <w:bookmarkEnd w:id="364"/>
      <w:bookmarkEnd w:id="365"/>
      <w:bookmarkEnd w:id="366"/>
      <w:bookmarkEnd w:id="367"/>
    </w:p>
    <w:p w14:paraId="0AB691C3">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4.2.1  竞选人应在竞选人须知前附表第 2.2.2 项规定的竞选文件递交截止时间前递交竞选文件。</w:t>
      </w:r>
    </w:p>
    <w:p w14:paraId="190289BC">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4.2.2  竞选人递交竞选文件的地点：见竞选人须知前附表。</w:t>
      </w:r>
    </w:p>
    <w:p w14:paraId="116AA500">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4.2.3  除竞选人须知前附表另有规定外，竞选人所递交的竞选文件不予退还。</w:t>
      </w:r>
    </w:p>
    <w:p w14:paraId="4348B137">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4.2.4  比选人收到竞选文件后，向竞选人出具签收凭证。</w:t>
      </w:r>
    </w:p>
    <w:p w14:paraId="56C35801">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4.2.5  逾期送达的或者未送达指定地点的竞选文件，比选人不予受理。</w:t>
      </w:r>
    </w:p>
    <w:p w14:paraId="1F141414">
      <w:pPr>
        <w:pStyle w:val="4"/>
        <w:keepNext w:val="0"/>
        <w:keepLines w:val="0"/>
        <w:snapToGrid w:val="0"/>
        <w:spacing w:before="0" w:after="0" w:line="360" w:lineRule="auto"/>
        <w:rPr>
          <w:rFonts w:hint="eastAsia" w:ascii="宋体" w:hAnsi="宋体" w:cs="宋体"/>
          <w:b w:val="0"/>
          <w:snapToGrid w:val="0"/>
          <w:color w:val="auto"/>
          <w:sz w:val="24"/>
          <w:szCs w:val="24"/>
          <w:highlight w:val="none"/>
        </w:rPr>
      </w:pPr>
      <w:bookmarkStart w:id="368" w:name="_Toc40569168"/>
      <w:bookmarkStart w:id="369" w:name="_Toc287620715"/>
      <w:bookmarkStart w:id="370" w:name="_Toc430530465"/>
      <w:bookmarkStart w:id="371" w:name="_Toc30961"/>
      <w:bookmarkStart w:id="372" w:name="_Toc224103347"/>
      <w:bookmarkStart w:id="373" w:name="_Toc40569073"/>
      <w:bookmarkStart w:id="374" w:name="_Toc277082582"/>
      <w:bookmarkStart w:id="375" w:name="_Toc23344"/>
      <w:bookmarkStart w:id="376" w:name="_Toc13850"/>
      <w:bookmarkStart w:id="377" w:name="_Toc200513156"/>
      <w:bookmarkStart w:id="378" w:name="_Toc509218740"/>
      <w:bookmarkStart w:id="379" w:name="_Toc287607776"/>
      <w:r>
        <w:rPr>
          <w:rFonts w:hint="eastAsia" w:ascii="宋体" w:hAnsi="宋体" w:cs="宋体"/>
          <w:b w:val="0"/>
          <w:snapToGrid w:val="0"/>
          <w:color w:val="auto"/>
          <w:sz w:val="24"/>
          <w:szCs w:val="24"/>
          <w:highlight w:val="none"/>
        </w:rPr>
        <w:t>4.3  竞选文件的修改与撤回</w:t>
      </w:r>
      <w:bookmarkEnd w:id="368"/>
      <w:bookmarkEnd w:id="369"/>
      <w:bookmarkEnd w:id="370"/>
      <w:bookmarkEnd w:id="371"/>
      <w:bookmarkEnd w:id="372"/>
      <w:bookmarkEnd w:id="373"/>
      <w:bookmarkEnd w:id="374"/>
      <w:bookmarkEnd w:id="375"/>
      <w:bookmarkEnd w:id="376"/>
      <w:bookmarkEnd w:id="377"/>
      <w:bookmarkEnd w:id="378"/>
      <w:bookmarkEnd w:id="379"/>
    </w:p>
    <w:p w14:paraId="60530474">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4.3.1  在竞选人须知前附表第2.2.2项规定的竞选文件递交截止时间前，竞选人可以修改或撤回已递交的竞选文件，但应以书面形式通知比选人。</w:t>
      </w:r>
    </w:p>
    <w:p w14:paraId="6BDEB107">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4.3.2  竞选人修改或撤回已递交竞选文件的书面通知应按照本章第3.7.3项的要求签字或盖章。比选人收到书面通知后，向竞选人出具签收凭证。</w:t>
      </w:r>
    </w:p>
    <w:p w14:paraId="593A400B">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4.3.3  修改的内容为竞选文件的组成部分。修改的竞选文件应按照本章第3条、第4条规定进行编制、密封、标记和递交，并标明“修改”字样。</w:t>
      </w:r>
    </w:p>
    <w:p w14:paraId="2AB7D26B">
      <w:pPr>
        <w:pStyle w:val="3"/>
        <w:spacing w:before="0" w:after="0" w:line="360" w:lineRule="auto"/>
        <w:rPr>
          <w:rFonts w:hint="eastAsia" w:ascii="宋体" w:hAnsi="宋体" w:cs="宋体"/>
          <w:b w:val="0"/>
          <w:snapToGrid w:val="0"/>
          <w:color w:val="auto"/>
          <w:sz w:val="24"/>
          <w:szCs w:val="24"/>
          <w:highlight w:val="none"/>
        </w:rPr>
      </w:pPr>
      <w:bookmarkStart w:id="380" w:name="_Toc200513157"/>
      <w:bookmarkStart w:id="381" w:name="_Toc7310"/>
      <w:bookmarkStart w:id="382" w:name="_Toc277082583"/>
      <w:bookmarkStart w:id="383" w:name="_Toc224103348"/>
      <w:bookmarkStart w:id="384" w:name="_Toc430530466"/>
      <w:bookmarkStart w:id="385" w:name="_Toc509218741"/>
      <w:bookmarkStart w:id="386" w:name="_Toc287620716"/>
      <w:bookmarkStart w:id="387" w:name="_Toc287607777"/>
      <w:bookmarkStart w:id="388" w:name="_Toc24445"/>
      <w:bookmarkStart w:id="389" w:name="_Toc18092"/>
      <w:r>
        <w:rPr>
          <w:rFonts w:hint="eastAsia" w:ascii="宋体" w:hAnsi="宋体" w:cs="宋体"/>
          <w:b w:val="0"/>
          <w:snapToGrid w:val="0"/>
          <w:color w:val="auto"/>
          <w:sz w:val="24"/>
          <w:szCs w:val="24"/>
          <w:highlight w:val="none"/>
        </w:rPr>
        <w:t>5.  开标</w:t>
      </w:r>
      <w:bookmarkEnd w:id="380"/>
      <w:bookmarkEnd w:id="381"/>
      <w:bookmarkEnd w:id="382"/>
      <w:bookmarkEnd w:id="383"/>
      <w:bookmarkEnd w:id="384"/>
      <w:bookmarkEnd w:id="385"/>
      <w:bookmarkEnd w:id="386"/>
      <w:bookmarkEnd w:id="387"/>
      <w:bookmarkEnd w:id="388"/>
      <w:bookmarkEnd w:id="389"/>
    </w:p>
    <w:p w14:paraId="69102657">
      <w:pPr>
        <w:pStyle w:val="4"/>
        <w:keepNext w:val="0"/>
        <w:keepLines w:val="0"/>
        <w:snapToGrid w:val="0"/>
        <w:spacing w:before="0" w:after="0" w:line="360" w:lineRule="auto"/>
        <w:rPr>
          <w:rFonts w:hint="eastAsia" w:ascii="宋体" w:hAnsi="宋体" w:cs="宋体"/>
          <w:b w:val="0"/>
          <w:snapToGrid w:val="0"/>
          <w:color w:val="auto"/>
          <w:sz w:val="24"/>
          <w:szCs w:val="24"/>
          <w:highlight w:val="none"/>
        </w:rPr>
      </w:pPr>
      <w:bookmarkStart w:id="390" w:name="_Toc21177"/>
      <w:bookmarkStart w:id="391" w:name="_Toc40569075"/>
      <w:bookmarkStart w:id="392" w:name="_Toc224103349"/>
      <w:bookmarkStart w:id="393" w:name="_Toc430530467"/>
      <w:bookmarkStart w:id="394" w:name="_Toc509218742"/>
      <w:bookmarkStart w:id="395" w:name="_Toc287607778"/>
      <w:bookmarkStart w:id="396" w:name="_Toc277082584"/>
      <w:bookmarkStart w:id="397" w:name="_Toc21647"/>
      <w:bookmarkStart w:id="398" w:name="_Toc200513158"/>
      <w:bookmarkStart w:id="399" w:name="_Toc23360"/>
      <w:bookmarkStart w:id="400" w:name="_Toc40569170"/>
      <w:bookmarkStart w:id="401" w:name="_Toc287620717"/>
      <w:r>
        <w:rPr>
          <w:rFonts w:hint="eastAsia" w:ascii="宋体" w:hAnsi="宋体" w:cs="宋体"/>
          <w:b w:val="0"/>
          <w:snapToGrid w:val="0"/>
          <w:color w:val="auto"/>
          <w:sz w:val="24"/>
          <w:szCs w:val="24"/>
          <w:highlight w:val="none"/>
        </w:rPr>
        <w:t>5.1  开标时间和地点</w:t>
      </w:r>
      <w:bookmarkEnd w:id="390"/>
      <w:bookmarkEnd w:id="391"/>
      <w:bookmarkEnd w:id="392"/>
      <w:bookmarkEnd w:id="393"/>
      <w:bookmarkEnd w:id="394"/>
      <w:bookmarkEnd w:id="395"/>
      <w:bookmarkEnd w:id="396"/>
      <w:bookmarkEnd w:id="397"/>
      <w:bookmarkEnd w:id="398"/>
      <w:bookmarkEnd w:id="399"/>
      <w:bookmarkEnd w:id="400"/>
      <w:bookmarkEnd w:id="401"/>
    </w:p>
    <w:p w14:paraId="2B9BBEC9">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比选人在竞选人须知前附表第 2.2.2 项规定的竞选文件递交截止时间和竞选人须知前附表规定的地点公开开标，并邀请所有竞选人的法定代表人或其委托代理人准时参加。</w:t>
      </w:r>
    </w:p>
    <w:p w14:paraId="10F2DD12">
      <w:pPr>
        <w:pStyle w:val="4"/>
        <w:keepNext w:val="0"/>
        <w:keepLines w:val="0"/>
        <w:snapToGrid w:val="0"/>
        <w:spacing w:before="0" w:after="0" w:line="360" w:lineRule="auto"/>
        <w:rPr>
          <w:rFonts w:hint="eastAsia" w:ascii="宋体" w:hAnsi="宋体" w:cs="宋体"/>
          <w:b w:val="0"/>
          <w:snapToGrid w:val="0"/>
          <w:color w:val="auto"/>
          <w:sz w:val="24"/>
          <w:szCs w:val="24"/>
          <w:highlight w:val="none"/>
        </w:rPr>
      </w:pPr>
      <w:bookmarkStart w:id="402" w:name="_Toc509218743"/>
      <w:bookmarkStart w:id="403" w:name="_Toc287620718"/>
      <w:bookmarkStart w:id="404" w:name="_Toc2116"/>
      <w:bookmarkStart w:id="405" w:name="_Toc200513159"/>
      <w:bookmarkStart w:id="406" w:name="_Toc9819"/>
      <w:bookmarkStart w:id="407" w:name="_Toc40569171"/>
      <w:bookmarkStart w:id="408" w:name="_Toc277082585"/>
      <w:bookmarkStart w:id="409" w:name="_Toc430530468"/>
      <w:bookmarkStart w:id="410" w:name="_Toc287607779"/>
      <w:bookmarkStart w:id="411" w:name="_Toc4086"/>
      <w:bookmarkStart w:id="412" w:name="_Toc224103350"/>
      <w:bookmarkStart w:id="413" w:name="_Toc40569076"/>
      <w:r>
        <w:rPr>
          <w:rFonts w:hint="eastAsia" w:ascii="宋体" w:hAnsi="宋体" w:cs="宋体"/>
          <w:b w:val="0"/>
          <w:snapToGrid w:val="0"/>
          <w:color w:val="auto"/>
          <w:sz w:val="24"/>
          <w:szCs w:val="24"/>
          <w:highlight w:val="none"/>
        </w:rPr>
        <w:t>5.2  开标程序</w:t>
      </w:r>
      <w:bookmarkEnd w:id="402"/>
      <w:bookmarkEnd w:id="403"/>
      <w:bookmarkEnd w:id="404"/>
      <w:bookmarkEnd w:id="405"/>
      <w:bookmarkEnd w:id="406"/>
      <w:bookmarkEnd w:id="407"/>
      <w:bookmarkEnd w:id="408"/>
      <w:bookmarkEnd w:id="409"/>
      <w:bookmarkEnd w:id="410"/>
      <w:bookmarkEnd w:id="411"/>
      <w:bookmarkEnd w:id="412"/>
      <w:bookmarkEnd w:id="413"/>
    </w:p>
    <w:p w14:paraId="5017A9EB">
      <w:pPr>
        <w:autoSpaceDE w:val="0"/>
        <w:autoSpaceDN w:val="0"/>
        <w:adjustRightInd w:val="0"/>
        <w:snapToGrid w:val="0"/>
        <w:spacing w:line="360" w:lineRule="auto"/>
        <w:ind w:firstLine="420" w:firstLineChars="200"/>
        <w:rPr>
          <w:rFonts w:hint="eastAsia" w:ascii="宋体" w:hAnsi="宋体" w:cs="宋体"/>
          <w:color w:val="auto"/>
          <w:szCs w:val="21"/>
          <w:highlight w:val="none"/>
        </w:rPr>
      </w:pPr>
      <w:bookmarkStart w:id="414" w:name="_Toc200513160"/>
      <w:bookmarkStart w:id="415" w:name="_Toc224103351"/>
      <w:bookmarkStart w:id="416" w:name="_Toc277082586"/>
      <w:bookmarkStart w:id="417" w:name="_Toc287607780"/>
      <w:bookmarkStart w:id="418" w:name="_Toc287620719"/>
      <w:r>
        <w:rPr>
          <w:rFonts w:hint="eastAsia" w:ascii="宋体" w:hAnsi="宋体" w:cs="宋体"/>
          <w:color w:val="auto"/>
          <w:szCs w:val="21"/>
          <w:highlight w:val="none"/>
        </w:rPr>
        <w:t>详见竞选人须知前附表5.2开标程序。</w:t>
      </w:r>
    </w:p>
    <w:p w14:paraId="36DE86EC">
      <w:pPr>
        <w:pStyle w:val="3"/>
        <w:spacing w:before="0" w:after="0" w:line="360" w:lineRule="auto"/>
        <w:rPr>
          <w:rFonts w:hint="eastAsia" w:ascii="宋体" w:hAnsi="宋体" w:cs="宋体"/>
          <w:b w:val="0"/>
          <w:snapToGrid w:val="0"/>
          <w:color w:val="auto"/>
          <w:sz w:val="24"/>
          <w:szCs w:val="24"/>
          <w:highlight w:val="none"/>
        </w:rPr>
      </w:pPr>
      <w:bookmarkStart w:id="419" w:name="_Toc509218744"/>
      <w:bookmarkStart w:id="420" w:name="_Toc28222"/>
      <w:bookmarkStart w:id="421" w:name="_Toc20444"/>
      <w:bookmarkStart w:id="422" w:name="_Toc430530469"/>
      <w:bookmarkStart w:id="423" w:name="_Toc29670"/>
      <w:r>
        <w:rPr>
          <w:rFonts w:hint="eastAsia" w:ascii="宋体" w:hAnsi="宋体" w:cs="宋体"/>
          <w:b w:val="0"/>
          <w:snapToGrid w:val="0"/>
          <w:color w:val="auto"/>
          <w:sz w:val="24"/>
          <w:szCs w:val="24"/>
          <w:highlight w:val="none"/>
        </w:rPr>
        <w:t xml:space="preserve">6.  </w:t>
      </w:r>
      <w:bookmarkEnd w:id="414"/>
      <w:bookmarkEnd w:id="415"/>
      <w:bookmarkEnd w:id="416"/>
      <w:bookmarkEnd w:id="417"/>
      <w:bookmarkEnd w:id="418"/>
      <w:bookmarkEnd w:id="419"/>
      <w:bookmarkEnd w:id="420"/>
      <w:bookmarkEnd w:id="421"/>
      <w:bookmarkEnd w:id="422"/>
      <w:bookmarkEnd w:id="423"/>
      <w:r>
        <w:rPr>
          <w:rFonts w:hint="eastAsia" w:ascii="宋体" w:hAnsi="宋体" w:cs="宋体"/>
          <w:b w:val="0"/>
          <w:snapToGrid w:val="0"/>
          <w:color w:val="auto"/>
          <w:sz w:val="24"/>
          <w:szCs w:val="24"/>
          <w:highlight w:val="none"/>
        </w:rPr>
        <w:t>评选</w:t>
      </w:r>
    </w:p>
    <w:p w14:paraId="11EACA74">
      <w:pPr>
        <w:pStyle w:val="4"/>
        <w:keepNext w:val="0"/>
        <w:keepLines w:val="0"/>
        <w:snapToGrid w:val="0"/>
        <w:spacing w:before="0" w:after="0" w:line="360" w:lineRule="auto"/>
        <w:rPr>
          <w:rFonts w:hint="eastAsia" w:ascii="宋体" w:hAnsi="宋体" w:cs="宋体"/>
          <w:b w:val="0"/>
          <w:snapToGrid w:val="0"/>
          <w:color w:val="auto"/>
          <w:sz w:val="24"/>
          <w:szCs w:val="24"/>
          <w:highlight w:val="none"/>
        </w:rPr>
      </w:pPr>
      <w:bookmarkStart w:id="424" w:name="_Toc200513161"/>
      <w:bookmarkStart w:id="425" w:name="_Toc40569173"/>
      <w:bookmarkStart w:id="426" w:name="_Toc509218745"/>
      <w:bookmarkStart w:id="427" w:name="_Toc1171"/>
      <w:bookmarkStart w:id="428" w:name="_Toc40569078"/>
      <w:bookmarkStart w:id="429" w:name="_Toc8411"/>
      <w:bookmarkStart w:id="430" w:name="_Toc224103352"/>
      <w:bookmarkStart w:id="431" w:name="_Toc277082587"/>
      <w:bookmarkStart w:id="432" w:name="_Toc430530470"/>
      <w:bookmarkStart w:id="433" w:name="_Toc11628"/>
      <w:bookmarkStart w:id="434" w:name="_Toc287607781"/>
      <w:bookmarkStart w:id="435" w:name="_Toc287620720"/>
      <w:r>
        <w:rPr>
          <w:rFonts w:hint="eastAsia" w:ascii="宋体" w:hAnsi="宋体" w:cs="宋体"/>
          <w:b w:val="0"/>
          <w:snapToGrid w:val="0"/>
          <w:color w:val="auto"/>
          <w:sz w:val="24"/>
          <w:szCs w:val="24"/>
          <w:highlight w:val="none"/>
        </w:rPr>
        <w:t>6.1  评选委员会</w:t>
      </w:r>
      <w:bookmarkEnd w:id="424"/>
      <w:bookmarkEnd w:id="425"/>
      <w:bookmarkEnd w:id="426"/>
      <w:bookmarkEnd w:id="427"/>
      <w:bookmarkEnd w:id="428"/>
      <w:bookmarkEnd w:id="429"/>
      <w:bookmarkEnd w:id="430"/>
      <w:bookmarkEnd w:id="431"/>
      <w:bookmarkEnd w:id="432"/>
      <w:bookmarkEnd w:id="433"/>
      <w:bookmarkEnd w:id="434"/>
      <w:bookmarkEnd w:id="435"/>
    </w:p>
    <w:p w14:paraId="776578E3">
      <w:pPr>
        <w:autoSpaceDE w:val="0"/>
        <w:autoSpaceDN w:val="0"/>
        <w:adjustRightInd w:val="0"/>
        <w:snapToGrid w:val="0"/>
        <w:spacing w:line="360" w:lineRule="auto"/>
        <w:ind w:firstLine="420" w:firstLineChars="200"/>
        <w:rPr>
          <w:rFonts w:hint="eastAsia" w:ascii="宋体" w:hAnsi="宋体" w:cs="宋体"/>
          <w:b/>
          <w:snapToGrid w:val="0"/>
          <w:color w:val="auto"/>
          <w:kern w:val="0"/>
          <w:szCs w:val="21"/>
          <w:highlight w:val="none"/>
        </w:rPr>
      </w:pPr>
      <w:r>
        <w:rPr>
          <w:rFonts w:hint="eastAsia" w:ascii="宋体" w:hAnsi="宋体" w:cs="宋体"/>
          <w:snapToGrid w:val="0"/>
          <w:color w:val="auto"/>
          <w:kern w:val="0"/>
          <w:szCs w:val="21"/>
          <w:highlight w:val="none"/>
        </w:rPr>
        <w:t>6.1.1  评选由比选人依据法律法规和相关规范性文件组建的评选委员会负责。</w:t>
      </w:r>
    </w:p>
    <w:p w14:paraId="0ADB97E0">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6.1.2  评选委员会成员有下列情形之一的，应当回避：</w:t>
      </w:r>
    </w:p>
    <w:p w14:paraId="255E2626">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（1）竞选人或竞选人的主要负责人的近亲属；</w:t>
      </w:r>
    </w:p>
    <w:p w14:paraId="27EA3501">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（2）项目主管部门或者行政监督部门的人员；</w:t>
      </w:r>
    </w:p>
    <w:p w14:paraId="5F003FDA">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（3）与竞选人有利害关系，可能影响对投标公正评选的；</w:t>
      </w:r>
    </w:p>
    <w:p w14:paraId="279E7BE4">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（4）曾因在招标、评选以及其他与招标投标有关活动中从事违法行为而受过行政处罚或刑事处罚的。</w:t>
      </w:r>
    </w:p>
    <w:p w14:paraId="0603B0AD">
      <w:pPr>
        <w:pStyle w:val="4"/>
        <w:snapToGrid w:val="0"/>
        <w:spacing w:before="0" w:after="0" w:line="360" w:lineRule="auto"/>
        <w:rPr>
          <w:rFonts w:hint="eastAsia" w:ascii="宋体" w:hAnsi="宋体" w:cs="宋体"/>
          <w:b w:val="0"/>
          <w:snapToGrid w:val="0"/>
          <w:color w:val="auto"/>
          <w:sz w:val="24"/>
          <w:szCs w:val="24"/>
          <w:highlight w:val="none"/>
        </w:rPr>
      </w:pPr>
      <w:bookmarkStart w:id="436" w:name="_Toc287620721"/>
      <w:bookmarkStart w:id="437" w:name="_Toc1737"/>
      <w:bookmarkStart w:id="438" w:name="_Toc200513162"/>
      <w:bookmarkStart w:id="439" w:name="_Toc277082588"/>
      <w:bookmarkStart w:id="440" w:name="_Toc224103353"/>
      <w:bookmarkStart w:id="441" w:name="_Toc287607782"/>
      <w:bookmarkStart w:id="442" w:name="_Toc40569174"/>
      <w:bookmarkStart w:id="443" w:name="_Toc509218746"/>
      <w:bookmarkStart w:id="444" w:name="_Toc5380"/>
      <w:bookmarkStart w:id="445" w:name="_Toc19907"/>
      <w:bookmarkStart w:id="446" w:name="_Toc40569079"/>
      <w:bookmarkStart w:id="447" w:name="_Toc430530471"/>
      <w:r>
        <w:rPr>
          <w:rFonts w:hint="eastAsia" w:ascii="宋体" w:hAnsi="宋体" w:cs="宋体"/>
          <w:b w:val="0"/>
          <w:snapToGrid w:val="0"/>
          <w:color w:val="auto"/>
          <w:sz w:val="24"/>
          <w:szCs w:val="24"/>
          <w:highlight w:val="none"/>
        </w:rPr>
        <w:t>6.2  评选原则</w:t>
      </w:r>
      <w:bookmarkEnd w:id="436"/>
      <w:bookmarkEnd w:id="437"/>
      <w:bookmarkEnd w:id="438"/>
      <w:bookmarkEnd w:id="439"/>
      <w:bookmarkEnd w:id="440"/>
      <w:bookmarkEnd w:id="441"/>
      <w:bookmarkEnd w:id="442"/>
      <w:bookmarkEnd w:id="443"/>
      <w:bookmarkEnd w:id="444"/>
      <w:bookmarkEnd w:id="445"/>
      <w:bookmarkEnd w:id="446"/>
      <w:bookmarkEnd w:id="447"/>
    </w:p>
    <w:p w14:paraId="569D7DF7">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评选活动遵循公平、公正、科学和择优的原则。</w:t>
      </w:r>
    </w:p>
    <w:p w14:paraId="72F65182">
      <w:pPr>
        <w:pStyle w:val="4"/>
        <w:snapToGrid w:val="0"/>
        <w:spacing w:before="0" w:after="0" w:line="360" w:lineRule="auto"/>
        <w:rPr>
          <w:rFonts w:hint="eastAsia" w:ascii="宋体" w:hAnsi="宋体" w:cs="宋体"/>
          <w:b w:val="0"/>
          <w:snapToGrid w:val="0"/>
          <w:color w:val="auto"/>
          <w:sz w:val="24"/>
          <w:szCs w:val="24"/>
          <w:highlight w:val="none"/>
        </w:rPr>
      </w:pPr>
      <w:bookmarkStart w:id="448" w:name="_Toc509218747"/>
      <w:bookmarkStart w:id="449" w:name="_Toc29814"/>
      <w:bookmarkStart w:id="450" w:name="_Toc277082589"/>
      <w:bookmarkStart w:id="451" w:name="_Toc32653"/>
      <w:bookmarkStart w:id="452" w:name="_Toc40569175"/>
      <w:bookmarkStart w:id="453" w:name="_Toc40569080"/>
      <w:bookmarkStart w:id="454" w:name="_Toc200513163"/>
      <w:bookmarkStart w:id="455" w:name="_Toc224103354"/>
      <w:bookmarkStart w:id="456" w:name="_Toc287607783"/>
      <w:bookmarkStart w:id="457" w:name="_Toc430530472"/>
      <w:bookmarkStart w:id="458" w:name="_Toc287620722"/>
      <w:bookmarkStart w:id="459" w:name="_Toc17901"/>
      <w:r>
        <w:rPr>
          <w:rFonts w:hint="eastAsia" w:ascii="宋体" w:hAnsi="宋体" w:cs="宋体"/>
          <w:b w:val="0"/>
          <w:snapToGrid w:val="0"/>
          <w:color w:val="auto"/>
          <w:sz w:val="24"/>
          <w:szCs w:val="24"/>
          <w:highlight w:val="none"/>
        </w:rPr>
        <w:t xml:space="preserve">6.3  </w:t>
      </w:r>
      <w:bookmarkEnd w:id="448"/>
      <w:bookmarkEnd w:id="449"/>
      <w:bookmarkEnd w:id="450"/>
      <w:bookmarkEnd w:id="451"/>
      <w:bookmarkEnd w:id="452"/>
      <w:bookmarkEnd w:id="453"/>
      <w:bookmarkEnd w:id="454"/>
      <w:bookmarkEnd w:id="455"/>
      <w:bookmarkEnd w:id="456"/>
      <w:bookmarkEnd w:id="457"/>
      <w:bookmarkEnd w:id="458"/>
      <w:bookmarkEnd w:id="459"/>
      <w:r>
        <w:rPr>
          <w:rFonts w:hint="eastAsia" w:ascii="宋体" w:hAnsi="宋体" w:cs="宋体"/>
          <w:b w:val="0"/>
          <w:snapToGrid w:val="0"/>
          <w:color w:val="auto"/>
          <w:sz w:val="24"/>
          <w:szCs w:val="24"/>
          <w:highlight w:val="none"/>
        </w:rPr>
        <w:t>评选</w:t>
      </w:r>
    </w:p>
    <w:p w14:paraId="6EA1CDD4">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评选委员会按照第三章“评选办法”规定的方法、评选因素、标准和程序对竞选文件进行评选。第三章“评选办法”没有规定的方法、评选因素和标准，不得作为评选依据。</w:t>
      </w:r>
    </w:p>
    <w:p w14:paraId="5062238B">
      <w:pPr>
        <w:pStyle w:val="3"/>
        <w:spacing w:before="0" w:after="0" w:line="360" w:lineRule="auto"/>
        <w:rPr>
          <w:rFonts w:hint="eastAsia" w:ascii="宋体" w:hAnsi="宋体" w:cs="宋体"/>
          <w:b w:val="0"/>
          <w:snapToGrid w:val="0"/>
          <w:color w:val="auto"/>
          <w:sz w:val="24"/>
          <w:szCs w:val="24"/>
          <w:highlight w:val="none"/>
        </w:rPr>
      </w:pPr>
      <w:bookmarkStart w:id="460" w:name="_Toc27760"/>
      <w:bookmarkStart w:id="461" w:name="_Toc277082590"/>
      <w:bookmarkStart w:id="462" w:name="_Toc509218748"/>
      <w:bookmarkStart w:id="463" w:name="_Toc677"/>
      <w:bookmarkStart w:id="464" w:name="_Toc200513164"/>
      <w:bookmarkStart w:id="465" w:name="_Toc430530473"/>
      <w:bookmarkStart w:id="466" w:name="_Toc287620723"/>
      <w:bookmarkStart w:id="467" w:name="_Toc23357"/>
      <w:bookmarkStart w:id="468" w:name="_Toc287607784"/>
      <w:bookmarkStart w:id="469" w:name="_Toc224103355"/>
      <w:r>
        <w:rPr>
          <w:rFonts w:hint="eastAsia" w:ascii="宋体" w:hAnsi="宋体" w:cs="宋体"/>
          <w:b w:val="0"/>
          <w:snapToGrid w:val="0"/>
          <w:color w:val="auto"/>
          <w:sz w:val="24"/>
          <w:szCs w:val="24"/>
          <w:highlight w:val="none"/>
        </w:rPr>
        <w:t>7.  合同授予</w:t>
      </w:r>
      <w:bookmarkEnd w:id="460"/>
      <w:bookmarkEnd w:id="461"/>
      <w:bookmarkEnd w:id="462"/>
      <w:bookmarkEnd w:id="463"/>
      <w:bookmarkEnd w:id="464"/>
      <w:bookmarkEnd w:id="465"/>
      <w:bookmarkEnd w:id="466"/>
      <w:bookmarkEnd w:id="467"/>
      <w:bookmarkEnd w:id="468"/>
      <w:bookmarkEnd w:id="469"/>
    </w:p>
    <w:p w14:paraId="5FFA6A21">
      <w:pPr>
        <w:pStyle w:val="4"/>
        <w:snapToGrid w:val="0"/>
        <w:spacing w:before="0" w:after="0" w:line="360" w:lineRule="auto"/>
        <w:rPr>
          <w:rFonts w:hint="eastAsia" w:ascii="宋体" w:hAnsi="宋体" w:cs="宋体"/>
          <w:b w:val="0"/>
          <w:snapToGrid w:val="0"/>
          <w:color w:val="auto"/>
          <w:sz w:val="24"/>
          <w:szCs w:val="24"/>
          <w:highlight w:val="none"/>
        </w:rPr>
      </w:pPr>
      <w:bookmarkStart w:id="470" w:name="_Toc12616"/>
      <w:bookmarkStart w:id="471" w:name="_Toc40569082"/>
      <w:bookmarkStart w:id="472" w:name="_Toc277082591"/>
      <w:bookmarkStart w:id="473" w:name="_Toc287607785"/>
      <w:bookmarkStart w:id="474" w:name="_Toc430530474"/>
      <w:bookmarkStart w:id="475" w:name="_Toc287620724"/>
      <w:bookmarkStart w:id="476" w:name="_Toc224103356"/>
      <w:bookmarkStart w:id="477" w:name="_Toc14144"/>
      <w:bookmarkStart w:id="478" w:name="_Toc12014"/>
      <w:bookmarkStart w:id="479" w:name="_Toc40569177"/>
      <w:bookmarkStart w:id="480" w:name="_Toc509218749"/>
      <w:bookmarkStart w:id="481" w:name="_Toc200513165"/>
      <w:r>
        <w:rPr>
          <w:rFonts w:hint="eastAsia" w:ascii="宋体" w:hAnsi="宋体" w:cs="宋体"/>
          <w:b w:val="0"/>
          <w:snapToGrid w:val="0"/>
          <w:color w:val="auto"/>
          <w:sz w:val="24"/>
          <w:szCs w:val="24"/>
          <w:highlight w:val="none"/>
        </w:rPr>
        <w:t>7.1  定标方式</w:t>
      </w:r>
      <w:bookmarkEnd w:id="470"/>
      <w:bookmarkEnd w:id="471"/>
      <w:bookmarkEnd w:id="472"/>
      <w:bookmarkEnd w:id="473"/>
      <w:bookmarkEnd w:id="474"/>
      <w:bookmarkEnd w:id="475"/>
      <w:bookmarkEnd w:id="476"/>
      <w:bookmarkEnd w:id="477"/>
      <w:bookmarkEnd w:id="478"/>
      <w:bookmarkEnd w:id="479"/>
      <w:bookmarkEnd w:id="480"/>
      <w:bookmarkEnd w:id="481"/>
    </w:p>
    <w:p w14:paraId="24C65D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国有资金占控股或者主导地位的依法必须进行招标的项目，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选委员会提出的中选候选人名单排序依次确定其他中选候选人为中选人，也可以重新比选。</w:t>
      </w:r>
    </w:p>
    <w:p w14:paraId="69031466">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评选委员会推荐中选候选人的人数见竞选人须知前附表。</w:t>
      </w:r>
    </w:p>
    <w:p w14:paraId="36327342">
      <w:pPr>
        <w:pStyle w:val="4"/>
        <w:snapToGrid w:val="0"/>
        <w:spacing w:before="0" w:after="0" w:line="360" w:lineRule="auto"/>
        <w:rPr>
          <w:rFonts w:hint="eastAsia" w:ascii="宋体" w:hAnsi="宋体" w:cs="宋体"/>
          <w:b w:val="0"/>
          <w:snapToGrid w:val="0"/>
          <w:color w:val="auto"/>
          <w:sz w:val="24"/>
          <w:szCs w:val="24"/>
          <w:highlight w:val="none"/>
        </w:rPr>
      </w:pPr>
      <w:bookmarkStart w:id="482" w:name="_Toc23600"/>
      <w:bookmarkStart w:id="483" w:name="_Toc757"/>
      <w:bookmarkStart w:id="484" w:name="_Toc40569083"/>
      <w:bookmarkStart w:id="485" w:name="_Toc3480"/>
      <w:bookmarkStart w:id="486" w:name="_Toc40569178"/>
      <w:bookmarkStart w:id="487" w:name="_Toc509218750"/>
      <w:bookmarkStart w:id="488" w:name="_Toc430530475"/>
      <w:r>
        <w:rPr>
          <w:rFonts w:hint="eastAsia" w:ascii="宋体" w:hAnsi="宋体" w:cs="宋体"/>
          <w:b w:val="0"/>
          <w:snapToGrid w:val="0"/>
          <w:color w:val="auto"/>
          <w:sz w:val="24"/>
          <w:szCs w:val="24"/>
          <w:highlight w:val="none"/>
        </w:rPr>
        <w:t>7.2  中选公示及中选通知</w:t>
      </w:r>
      <w:bookmarkEnd w:id="482"/>
      <w:bookmarkEnd w:id="483"/>
      <w:bookmarkEnd w:id="484"/>
      <w:bookmarkEnd w:id="485"/>
      <w:bookmarkEnd w:id="486"/>
      <w:bookmarkEnd w:id="487"/>
      <w:bookmarkEnd w:id="488"/>
    </w:p>
    <w:p w14:paraId="487C7B86">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详见竞选人须知前附表。</w:t>
      </w:r>
    </w:p>
    <w:p w14:paraId="6A9BA7A2">
      <w:pPr>
        <w:pStyle w:val="4"/>
        <w:snapToGrid w:val="0"/>
        <w:spacing w:before="0" w:after="0" w:line="360" w:lineRule="auto"/>
        <w:rPr>
          <w:rFonts w:hint="eastAsia" w:ascii="宋体" w:hAnsi="宋体" w:cs="宋体"/>
          <w:b w:val="0"/>
          <w:snapToGrid w:val="0"/>
          <w:color w:val="auto"/>
          <w:sz w:val="24"/>
          <w:szCs w:val="24"/>
          <w:highlight w:val="none"/>
        </w:rPr>
      </w:pPr>
      <w:bookmarkStart w:id="489" w:name="_Toc430530476"/>
      <w:bookmarkStart w:id="490" w:name="_Toc277082593"/>
      <w:bookmarkStart w:id="491" w:name="_Toc31150"/>
      <w:bookmarkStart w:id="492" w:name="_Toc509218751"/>
      <w:bookmarkStart w:id="493" w:name="_Toc287620726"/>
      <w:bookmarkStart w:id="494" w:name="_Toc287607787"/>
      <w:bookmarkStart w:id="495" w:name="_Toc40569084"/>
      <w:bookmarkStart w:id="496" w:name="_Toc40569179"/>
      <w:bookmarkStart w:id="497" w:name="_Toc224103358"/>
      <w:bookmarkStart w:id="498" w:name="_Toc20679"/>
      <w:bookmarkStart w:id="499" w:name="_Toc1444"/>
      <w:bookmarkStart w:id="500" w:name="_Toc200513167"/>
      <w:r>
        <w:rPr>
          <w:rFonts w:hint="eastAsia" w:ascii="宋体" w:hAnsi="宋体" w:cs="宋体"/>
          <w:b w:val="0"/>
          <w:snapToGrid w:val="0"/>
          <w:color w:val="auto"/>
          <w:sz w:val="24"/>
          <w:szCs w:val="24"/>
          <w:highlight w:val="none"/>
        </w:rPr>
        <w:t>7.3  履约担保</w:t>
      </w:r>
      <w:bookmarkEnd w:id="489"/>
      <w:bookmarkEnd w:id="490"/>
      <w:bookmarkEnd w:id="491"/>
      <w:bookmarkEnd w:id="492"/>
      <w:bookmarkEnd w:id="493"/>
      <w:bookmarkEnd w:id="494"/>
      <w:bookmarkEnd w:id="495"/>
      <w:bookmarkEnd w:id="496"/>
      <w:bookmarkEnd w:id="497"/>
      <w:bookmarkEnd w:id="498"/>
      <w:bookmarkEnd w:id="499"/>
      <w:bookmarkEnd w:id="500"/>
    </w:p>
    <w:p w14:paraId="707AD787">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7.3.1  在签订合同前，中选人应按竞选人须知前附表规定的金额、担保形式和比选文件第四章“合同条款及格式”规定的履约担保格式向比选人提交履约担保。联合体中选的，其履约担保由牵头人递交，并应符合竞选人须知前附表规定的金额、担保形式和比选文件第四章“合同条款及格式”规定的履约担保格式要求。</w:t>
      </w:r>
    </w:p>
    <w:p w14:paraId="33AB428A">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7.3.2  中选人不能按本章第 7.3.1 项要求提交履约担保的，视为放弃中选，其比选保证金不予退还，给比选人造成的损失超过比选保证金数额的，中选人还应当对超过部分予以赔偿。</w:t>
      </w:r>
    </w:p>
    <w:p w14:paraId="4C248292">
      <w:pPr>
        <w:pStyle w:val="4"/>
        <w:snapToGrid w:val="0"/>
        <w:spacing w:before="0" w:after="0" w:line="360" w:lineRule="auto"/>
        <w:rPr>
          <w:rFonts w:hint="eastAsia" w:ascii="宋体" w:hAnsi="宋体" w:cs="宋体"/>
          <w:b w:val="0"/>
          <w:snapToGrid w:val="0"/>
          <w:color w:val="auto"/>
          <w:sz w:val="24"/>
          <w:szCs w:val="24"/>
          <w:highlight w:val="none"/>
        </w:rPr>
      </w:pPr>
      <w:bookmarkStart w:id="501" w:name="_Toc509218752"/>
      <w:bookmarkStart w:id="502" w:name="_Toc23731"/>
      <w:bookmarkStart w:id="503" w:name="_Toc430530477"/>
      <w:bookmarkStart w:id="504" w:name="_Toc40569085"/>
      <w:bookmarkStart w:id="505" w:name="_Toc40569180"/>
      <w:bookmarkStart w:id="506" w:name="_Toc224103359"/>
      <w:bookmarkStart w:id="507" w:name="_Toc1871"/>
      <w:bookmarkStart w:id="508" w:name="_Toc287620727"/>
      <w:bookmarkStart w:id="509" w:name="_Toc287607788"/>
      <w:bookmarkStart w:id="510" w:name="_Toc3209"/>
      <w:bookmarkStart w:id="511" w:name="_Toc277082594"/>
      <w:bookmarkStart w:id="512" w:name="_Toc200513168"/>
      <w:r>
        <w:rPr>
          <w:rFonts w:hint="eastAsia" w:ascii="宋体" w:hAnsi="宋体" w:cs="宋体"/>
          <w:b w:val="0"/>
          <w:snapToGrid w:val="0"/>
          <w:color w:val="auto"/>
          <w:sz w:val="24"/>
          <w:szCs w:val="24"/>
          <w:highlight w:val="none"/>
        </w:rPr>
        <w:t>7.4  签订合同</w:t>
      </w:r>
      <w:bookmarkEnd w:id="501"/>
      <w:bookmarkEnd w:id="502"/>
      <w:bookmarkEnd w:id="503"/>
      <w:bookmarkEnd w:id="504"/>
      <w:bookmarkEnd w:id="505"/>
      <w:bookmarkEnd w:id="506"/>
      <w:bookmarkEnd w:id="507"/>
      <w:bookmarkEnd w:id="508"/>
      <w:bookmarkEnd w:id="509"/>
      <w:bookmarkEnd w:id="510"/>
      <w:bookmarkEnd w:id="511"/>
      <w:bookmarkEnd w:id="512"/>
    </w:p>
    <w:p w14:paraId="2FB1FE18">
      <w:pPr>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7.4.1 比选人和中选人应当自中选通知书发出之日起 14 天内，根据比选文件和中选人的竞选文件订立书面合同。中选人无正当理由拒签合同的，比选人取消其中选资格，其比选保证金不予退还；给比选人造成的损失超过比选保证金数额的，中选人还应当对超过部分予以赔偿。</w:t>
      </w:r>
    </w:p>
    <w:p w14:paraId="5A6DBD80">
      <w:pPr>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7.4.2  发出中选通知书后，比选人无正当理由拒签合同的，比选人向中选人退还比选保证金；给中选人造成损失的，还应当赔偿损失。</w:t>
      </w:r>
    </w:p>
    <w:p w14:paraId="3F0BCF16">
      <w:pPr>
        <w:pStyle w:val="3"/>
        <w:spacing w:before="0" w:after="0" w:line="360" w:lineRule="auto"/>
        <w:rPr>
          <w:rFonts w:hint="eastAsia" w:ascii="宋体" w:hAnsi="宋体" w:cs="宋体"/>
          <w:b w:val="0"/>
          <w:snapToGrid w:val="0"/>
          <w:color w:val="auto"/>
          <w:sz w:val="24"/>
          <w:szCs w:val="24"/>
          <w:highlight w:val="none"/>
        </w:rPr>
      </w:pPr>
      <w:bookmarkStart w:id="513" w:name="_Toc200513169"/>
      <w:bookmarkStart w:id="514" w:name="_Toc287607789"/>
      <w:bookmarkStart w:id="515" w:name="_Toc32452"/>
      <w:bookmarkStart w:id="516" w:name="_Toc387"/>
      <w:bookmarkStart w:id="517" w:name="_Toc430530478"/>
      <w:bookmarkStart w:id="518" w:name="_Toc509218753"/>
      <w:bookmarkStart w:id="519" w:name="_Toc224103360"/>
      <w:bookmarkStart w:id="520" w:name="_Toc277082595"/>
      <w:bookmarkStart w:id="521" w:name="_Toc287620728"/>
      <w:bookmarkStart w:id="522" w:name="_Toc4906"/>
      <w:r>
        <w:rPr>
          <w:rFonts w:hint="eastAsia" w:ascii="宋体" w:hAnsi="宋体" w:cs="宋体"/>
          <w:b w:val="0"/>
          <w:snapToGrid w:val="0"/>
          <w:color w:val="auto"/>
          <w:sz w:val="24"/>
          <w:szCs w:val="24"/>
          <w:highlight w:val="none"/>
        </w:rPr>
        <w:t>8.  重新</w:t>
      </w:r>
      <w:bookmarkEnd w:id="513"/>
      <w:bookmarkEnd w:id="514"/>
      <w:bookmarkEnd w:id="515"/>
      <w:bookmarkEnd w:id="516"/>
      <w:bookmarkEnd w:id="517"/>
      <w:bookmarkEnd w:id="518"/>
      <w:bookmarkEnd w:id="519"/>
      <w:bookmarkEnd w:id="520"/>
      <w:bookmarkEnd w:id="521"/>
      <w:bookmarkEnd w:id="522"/>
      <w:r>
        <w:rPr>
          <w:rFonts w:hint="eastAsia" w:ascii="宋体" w:hAnsi="宋体" w:cs="宋体"/>
          <w:b w:val="0"/>
          <w:snapToGrid w:val="0"/>
          <w:color w:val="auto"/>
          <w:sz w:val="24"/>
          <w:szCs w:val="24"/>
          <w:highlight w:val="none"/>
        </w:rPr>
        <w:t>比选</w:t>
      </w:r>
    </w:p>
    <w:p w14:paraId="431454EF">
      <w:pPr>
        <w:pStyle w:val="4"/>
        <w:snapToGrid w:val="0"/>
        <w:spacing w:before="0" w:after="0" w:line="360" w:lineRule="auto"/>
        <w:rPr>
          <w:rFonts w:hint="eastAsia" w:ascii="宋体" w:hAnsi="宋体" w:cs="宋体"/>
          <w:b w:val="0"/>
          <w:snapToGrid w:val="0"/>
          <w:color w:val="auto"/>
          <w:sz w:val="24"/>
          <w:szCs w:val="24"/>
          <w:highlight w:val="none"/>
        </w:rPr>
      </w:pPr>
      <w:bookmarkStart w:id="523" w:name="_Toc224103361"/>
      <w:bookmarkStart w:id="524" w:name="_Toc509218754"/>
      <w:bookmarkStart w:id="525" w:name="_Toc40569087"/>
      <w:bookmarkStart w:id="526" w:name="_Toc40569182"/>
      <w:bookmarkStart w:id="527" w:name="_Toc287607790"/>
      <w:bookmarkStart w:id="528" w:name="_Toc5411"/>
      <w:bookmarkStart w:id="529" w:name="_Toc277082596"/>
      <w:bookmarkStart w:id="530" w:name="_Toc16710"/>
      <w:bookmarkStart w:id="531" w:name="_Toc287620729"/>
      <w:bookmarkStart w:id="532" w:name="_Toc200513170"/>
      <w:bookmarkStart w:id="533" w:name="_Toc23599"/>
      <w:bookmarkStart w:id="534" w:name="_Toc430530479"/>
      <w:r>
        <w:rPr>
          <w:rFonts w:hint="eastAsia" w:ascii="宋体" w:hAnsi="宋体" w:cs="宋体"/>
          <w:b w:val="0"/>
          <w:snapToGrid w:val="0"/>
          <w:color w:val="auto"/>
          <w:sz w:val="24"/>
          <w:szCs w:val="24"/>
          <w:highlight w:val="none"/>
        </w:rPr>
        <w:t>8.1  重新</w:t>
      </w:r>
      <w:bookmarkEnd w:id="523"/>
      <w:bookmarkEnd w:id="524"/>
      <w:bookmarkEnd w:id="525"/>
      <w:bookmarkEnd w:id="526"/>
      <w:bookmarkEnd w:id="527"/>
      <w:bookmarkEnd w:id="528"/>
      <w:bookmarkEnd w:id="529"/>
      <w:bookmarkEnd w:id="530"/>
      <w:bookmarkEnd w:id="531"/>
      <w:bookmarkEnd w:id="532"/>
      <w:bookmarkEnd w:id="533"/>
      <w:bookmarkEnd w:id="534"/>
      <w:r>
        <w:rPr>
          <w:rFonts w:hint="eastAsia" w:ascii="宋体" w:hAnsi="宋体" w:cs="宋体"/>
          <w:b w:val="0"/>
          <w:snapToGrid w:val="0"/>
          <w:color w:val="auto"/>
          <w:sz w:val="24"/>
          <w:szCs w:val="24"/>
          <w:highlight w:val="none"/>
        </w:rPr>
        <w:t>比选</w:t>
      </w:r>
    </w:p>
    <w:p w14:paraId="7E0B3BC6">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snapToGrid w:val="0"/>
          <w:color w:val="auto"/>
          <w:highlight w:val="none"/>
        </w:rPr>
        <w:t>（1）初次比选，</w:t>
      </w:r>
      <w:r>
        <w:rPr>
          <w:rFonts w:hint="eastAsia" w:ascii="宋体" w:hAnsi="宋体" w:cs="宋体"/>
          <w:snapToGrid w:val="0"/>
          <w:color w:val="auto"/>
          <w:kern w:val="0"/>
          <w:szCs w:val="21"/>
          <w:highlight w:val="none"/>
        </w:rPr>
        <w:t>有下列情形之一的，比选人将重新开展比选活动：</w:t>
      </w:r>
    </w:p>
    <w:p w14:paraId="10010ACD">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①竞选文件递交截止时间为止，竞选人少于3个的；</w:t>
      </w:r>
    </w:p>
    <w:p w14:paraId="1308154B">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②经评选委员会评选后否决所有竞选人的；</w:t>
      </w:r>
    </w:p>
    <w:p w14:paraId="3825A847">
      <w:pPr>
        <w:widowControl/>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③经评选委员会评选后部分竞选人被否决，导致有效竞选人不足3个的，原则上应否决全部竞选。但是有效竞选人的经济、技术等指标仍然具有市场竞争力，能够满足比选文件要求的，评选委员会可以继续评选并确定中选候选人。</w:t>
      </w:r>
    </w:p>
    <w:p w14:paraId="17B570F4">
      <w:pPr>
        <w:widowControl/>
        <w:spacing w:line="360" w:lineRule="auto"/>
        <w:ind w:firstLine="420" w:firstLineChars="200"/>
        <w:rPr>
          <w:rFonts w:hint="eastAsia" w:ascii="宋体" w:hAnsi="宋体"/>
          <w:snapToGrid w:val="0"/>
          <w:color w:val="auto"/>
          <w:highlight w:val="none"/>
        </w:rPr>
      </w:pPr>
      <w:r>
        <w:rPr>
          <w:rFonts w:hint="eastAsia" w:ascii="宋体" w:hAnsi="宋体" w:cs="宋体"/>
          <w:snapToGrid w:val="0"/>
          <w:color w:val="auto"/>
          <w:kern w:val="0"/>
          <w:szCs w:val="21"/>
          <w:highlight w:val="none"/>
        </w:rPr>
        <w:t>④法律法规规定的其他情形。</w:t>
      </w:r>
    </w:p>
    <w:p w14:paraId="26BB0D38">
      <w:pPr>
        <w:widowControl/>
        <w:spacing w:line="360" w:lineRule="auto"/>
        <w:ind w:firstLine="420" w:firstLineChars="200"/>
        <w:rPr>
          <w:rFonts w:hint="eastAsia" w:ascii="宋体" w:hAnsi="宋体"/>
          <w:snapToGrid w:val="0"/>
          <w:color w:val="auto"/>
          <w:highlight w:val="none"/>
        </w:rPr>
      </w:pPr>
      <w:r>
        <w:rPr>
          <w:rFonts w:hint="eastAsia" w:ascii="宋体" w:hAnsi="宋体"/>
          <w:snapToGrid w:val="0"/>
          <w:color w:val="auto"/>
          <w:highlight w:val="none"/>
        </w:rPr>
        <w:t>（2）若初次比选因故终止，第二次比选有效竞选人仍然少于三个的，按照原规定的程序比选和评审。</w:t>
      </w:r>
    </w:p>
    <w:p w14:paraId="70F6E93E">
      <w:pPr>
        <w:pStyle w:val="3"/>
        <w:spacing w:before="0" w:after="0" w:line="360" w:lineRule="auto"/>
        <w:rPr>
          <w:rFonts w:hint="eastAsia" w:ascii="宋体" w:hAnsi="宋体" w:cs="宋体"/>
          <w:b w:val="0"/>
          <w:snapToGrid w:val="0"/>
          <w:color w:val="auto"/>
          <w:sz w:val="24"/>
          <w:szCs w:val="24"/>
          <w:highlight w:val="none"/>
        </w:rPr>
      </w:pPr>
      <w:bookmarkStart w:id="535" w:name="_Toc287620731"/>
      <w:bookmarkStart w:id="536" w:name="_Toc200513172"/>
      <w:bookmarkStart w:id="537" w:name="_Toc509218756"/>
      <w:bookmarkStart w:id="538" w:name="_Toc277082598"/>
      <w:bookmarkStart w:id="539" w:name="_Toc7059"/>
      <w:bookmarkStart w:id="540" w:name="_Toc287607792"/>
      <w:bookmarkStart w:id="541" w:name="_Toc30342"/>
      <w:bookmarkStart w:id="542" w:name="_Toc32459"/>
      <w:bookmarkStart w:id="543" w:name="_Toc430530481"/>
      <w:bookmarkStart w:id="544" w:name="_Toc224103363"/>
      <w:r>
        <w:rPr>
          <w:rFonts w:hint="eastAsia" w:ascii="宋体" w:hAnsi="宋体" w:cs="宋体"/>
          <w:b w:val="0"/>
          <w:snapToGrid w:val="0"/>
          <w:color w:val="auto"/>
          <w:sz w:val="24"/>
          <w:szCs w:val="24"/>
          <w:highlight w:val="none"/>
        </w:rPr>
        <w:t>9.  纪律和监督</w:t>
      </w:r>
      <w:bookmarkEnd w:id="535"/>
      <w:bookmarkEnd w:id="536"/>
      <w:bookmarkEnd w:id="537"/>
      <w:bookmarkEnd w:id="538"/>
      <w:bookmarkEnd w:id="539"/>
      <w:bookmarkEnd w:id="540"/>
      <w:bookmarkEnd w:id="541"/>
      <w:bookmarkEnd w:id="542"/>
      <w:bookmarkEnd w:id="543"/>
      <w:bookmarkEnd w:id="544"/>
    </w:p>
    <w:p w14:paraId="4B5EEFCD">
      <w:pPr>
        <w:pStyle w:val="4"/>
        <w:snapToGrid w:val="0"/>
        <w:spacing w:before="0" w:after="0" w:line="360" w:lineRule="auto"/>
        <w:rPr>
          <w:rFonts w:hint="eastAsia" w:ascii="宋体" w:hAnsi="宋体" w:cs="宋体"/>
          <w:b w:val="0"/>
          <w:snapToGrid w:val="0"/>
          <w:color w:val="auto"/>
          <w:sz w:val="24"/>
          <w:szCs w:val="24"/>
          <w:highlight w:val="none"/>
        </w:rPr>
      </w:pPr>
      <w:bookmarkStart w:id="545" w:name="_Toc277082599"/>
      <w:bookmarkStart w:id="546" w:name="_Toc200513173"/>
      <w:bookmarkStart w:id="547" w:name="_Toc287607793"/>
      <w:bookmarkStart w:id="548" w:name="_Toc224103364"/>
      <w:bookmarkStart w:id="549" w:name="_Toc40569090"/>
      <w:bookmarkStart w:id="550" w:name="_Toc15838"/>
      <w:bookmarkStart w:id="551" w:name="_Toc287620732"/>
      <w:bookmarkStart w:id="552" w:name="_Toc430530482"/>
      <w:bookmarkStart w:id="553" w:name="_Toc509218757"/>
      <w:bookmarkStart w:id="554" w:name="_Toc40569185"/>
      <w:bookmarkStart w:id="555" w:name="_Toc20555"/>
      <w:bookmarkStart w:id="556" w:name="_Toc14823"/>
      <w:r>
        <w:rPr>
          <w:rFonts w:hint="eastAsia" w:ascii="宋体" w:hAnsi="宋体" w:cs="宋体"/>
          <w:b w:val="0"/>
          <w:snapToGrid w:val="0"/>
          <w:color w:val="auto"/>
          <w:sz w:val="24"/>
          <w:szCs w:val="24"/>
          <w:highlight w:val="none"/>
        </w:rPr>
        <w:t>9.1  对比选人的纪律要求</w:t>
      </w:r>
      <w:bookmarkEnd w:id="545"/>
      <w:bookmarkEnd w:id="546"/>
      <w:bookmarkEnd w:id="547"/>
      <w:bookmarkEnd w:id="548"/>
      <w:bookmarkEnd w:id="549"/>
      <w:bookmarkEnd w:id="550"/>
      <w:bookmarkEnd w:id="551"/>
      <w:bookmarkEnd w:id="552"/>
      <w:bookmarkEnd w:id="553"/>
      <w:bookmarkEnd w:id="554"/>
      <w:bookmarkEnd w:id="555"/>
      <w:bookmarkEnd w:id="556"/>
    </w:p>
    <w:p w14:paraId="1422641E">
      <w:pPr>
        <w:autoSpaceDE w:val="0"/>
        <w:autoSpaceDN w:val="0"/>
        <w:adjustRightInd w:val="0"/>
        <w:snapToGrid w:val="0"/>
        <w:spacing w:line="360" w:lineRule="auto"/>
        <w:ind w:firstLine="420"/>
        <w:rPr>
          <w:rFonts w:hint="eastAsia" w:ascii="宋体" w:hAnsi="宋体" w:cs="宋体"/>
          <w:color w:val="auto"/>
          <w:highlight w:val="none"/>
        </w:rPr>
      </w:pPr>
      <w:r>
        <w:rPr>
          <w:rFonts w:hint="eastAsia" w:ascii="宋体" w:hAnsi="宋体" w:cs="宋体"/>
          <w:snapToGrid w:val="0"/>
          <w:color w:val="auto"/>
          <w:kern w:val="0"/>
          <w:szCs w:val="21"/>
          <w:highlight w:val="none"/>
        </w:rPr>
        <w:t>比选人不得泄漏比选活动中应当保密的情况和资料，不得与竞选人串通损害国家利 益、社会公共利益或者他人合法权益，</w:t>
      </w:r>
      <w:r>
        <w:rPr>
          <w:rFonts w:hint="eastAsia" w:ascii="宋体" w:hAnsi="宋体" w:cs="宋体"/>
          <w:color w:val="auto"/>
          <w:highlight w:val="none"/>
        </w:rPr>
        <w:t>禁止比选人与竞选人串通投标。</w:t>
      </w:r>
    </w:p>
    <w:p w14:paraId="066781CF">
      <w:pPr>
        <w:autoSpaceDE w:val="0"/>
        <w:autoSpaceDN w:val="0"/>
        <w:adjustRightInd w:val="0"/>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有下列情形之一的，属于比选人与竞选人串通投标：</w:t>
      </w:r>
    </w:p>
    <w:p w14:paraId="4BEB8A6F">
      <w:pPr>
        <w:autoSpaceDE w:val="0"/>
        <w:autoSpaceDN w:val="0"/>
        <w:adjustRightInd w:val="0"/>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（1）比选人在评选开始前开启竞选文件并将有关信息泄露给其他竞选人；</w:t>
      </w:r>
    </w:p>
    <w:p w14:paraId="262AB2EC">
      <w:pPr>
        <w:autoSpaceDE w:val="0"/>
        <w:autoSpaceDN w:val="0"/>
        <w:adjustRightInd w:val="0"/>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（2）比选人直接或者间接向竞选人泄露标底、评选委员会成员等信息；</w:t>
      </w:r>
    </w:p>
    <w:p w14:paraId="4F1EBF1B">
      <w:pPr>
        <w:autoSpaceDE w:val="0"/>
        <w:autoSpaceDN w:val="0"/>
        <w:adjustRightInd w:val="0"/>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（3）比选人明示或者暗示竞选人压低或者抬高竞选总报价；</w:t>
      </w:r>
    </w:p>
    <w:p w14:paraId="69965190">
      <w:pPr>
        <w:autoSpaceDE w:val="0"/>
        <w:autoSpaceDN w:val="0"/>
        <w:adjustRightInd w:val="0"/>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（4）比选人授意竞选人撤换、修改竞选文件；</w:t>
      </w:r>
    </w:p>
    <w:p w14:paraId="46C3EA96">
      <w:pPr>
        <w:autoSpaceDE w:val="0"/>
        <w:autoSpaceDN w:val="0"/>
        <w:adjustRightInd w:val="0"/>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（5）比选人明示或者暗示竞选人为特定竞选人中选提供方便；</w:t>
      </w:r>
    </w:p>
    <w:p w14:paraId="650B5E32">
      <w:pPr>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r>
        <w:rPr>
          <w:rFonts w:hint="eastAsia" w:ascii="宋体" w:hAnsi="宋体" w:cs="宋体"/>
          <w:color w:val="auto"/>
          <w:highlight w:val="none"/>
        </w:rPr>
        <w:t>（6）比选人与竞选人为谋求特定竞选人中选而采取的其他串通行为。</w:t>
      </w:r>
    </w:p>
    <w:p w14:paraId="00299EFA">
      <w:pPr>
        <w:pStyle w:val="4"/>
        <w:snapToGrid w:val="0"/>
        <w:spacing w:before="0" w:after="0" w:line="360" w:lineRule="auto"/>
        <w:rPr>
          <w:rFonts w:hint="eastAsia" w:ascii="宋体" w:hAnsi="宋体" w:cs="宋体"/>
          <w:b w:val="0"/>
          <w:snapToGrid w:val="0"/>
          <w:color w:val="auto"/>
          <w:sz w:val="24"/>
          <w:szCs w:val="24"/>
          <w:highlight w:val="none"/>
        </w:rPr>
      </w:pPr>
      <w:bookmarkStart w:id="557" w:name="_Toc509218758"/>
      <w:bookmarkStart w:id="558" w:name="_Toc287620733"/>
      <w:bookmarkStart w:id="559" w:name="_Toc224103365"/>
      <w:bookmarkStart w:id="560" w:name="_Toc430530483"/>
      <w:bookmarkStart w:id="561" w:name="_Toc200513174"/>
      <w:bookmarkStart w:id="562" w:name="_Toc277082600"/>
      <w:bookmarkStart w:id="563" w:name="_Toc13914"/>
      <w:bookmarkStart w:id="564" w:name="_Toc1612"/>
      <w:bookmarkStart w:id="565" w:name="_Toc40569091"/>
      <w:bookmarkStart w:id="566" w:name="_Toc40569186"/>
      <w:bookmarkStart w:id="567" w:name="_Toc287607794"/>
      <w:bookmarkStart w:id="568" w:name="_Toc26842"/>
      <w:r>
        <w:rPr>
          <w:rFonts w:hint="eastAsia" w:ascii="宋体" w:hAnsi="宋体" w:cs="宋体"/>
          <w:b w:val="0"/>
          <w:snapToGrid w:val="0"/>
          <w:color w:val="auto"/>
          <w:sz w:val="24"/>
          <w:szCs w:val="24"/>
          <w:highlight w:val="none"/>
        </w:rPr>
        <w:t>9.2  对竞选人的纪律要求</w:t>
      </w:r>
      <w:bookmarkEnd w:id="557"/>
      <w:bookmarkEnd w:id="558"/>
      <w:bookmarkEnd w:id="559"/>
      <w:bookmarkEnd w:id="560"/>
      <w:bookmarkEnd w:id="561"/>
      <w:bookmarkEnd w:id="562"/>
      <w:bookmarkEnd w:id="563"/>
      <w:bookmarkEnd w:id="564"/>
      <w:bookmarkEnd w:id="565"/>
      <w:bookmarkEnd w:id="566"/>
      <w:bookmarkEnd w:id="567"/>
      <w:bookmarkEnd w:id="568"/>
    </w:p>
    <w:p w14:paraId="57C48521">
      <w:pPr>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snapToGrid w:val="0"/>
          <w:color w:val="auto"/>
          <w:kern w:val="0"/>
          <w:szCs w:val="21"/>
          <w:highlight w:val="none"/>
        </w:rPr>
        <w:t>竞选人不得相互串通投标或者与比选人串通投标，不得向比选人或者评选委员会成员行贿谋取中选，不得以他人名义投标或者以其他方式弄虚作假骗取中选；竞选人不得以任何方式干扰、影响评选工作。</w:t>
      </w:r>
      <w:r>
        <w:rPr>
          <w:rFonts w:hint="eastAsia" w:ascii="宋体" w:hAnsi="宋体" w:cs="宋体"/>
          <w:color w:val="auto"/>
          <w:highlight w:val="none"/>
        </w:rPr>
        <w:t>有下列情形之一的，属于竞选人相互串通投标：</w:t>
      </w:r>
    </w:p>
    <w:p w14:paraId="2934388E">
      <w:pPr>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（1）竞选人之间协商竞选总报价等竞选文件的实质性内容；</w:t>
      </w:r>
    </w:p>
    <w:p w14:paraId="536A6139">
      <w:pPr>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（2）竞选人之间约定中选人；</w:t>
      </w:r>
    </w:p>
    <w:p w14:paraId="3320A60B">
      <w:pPr>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（3）竞选人之间约定部分竞选人放弃投标或者中选；</w:t>
      </w:r>
    </w:p>
    <w:p w14:paraId="068EC1C7">
      <w:pPr>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（4）属于同一集团、协会、商会等组织成员的竞选人按照该组织要求协同投标；</w:t>
      </w:r>
    </w:p>
    <w:p w14:paraId="2DAC913D">
      <w:pPr>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（5）竞选人之间为谋取中选或者排斥特定竞选人而采取的其他联合行动。</w:t>
      </w:r>
    </w:p>
    <w:p w14:paraId="504C8F80">
      <w:pPr>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有下列情形之一的，视为竞选人相互串通投标：</w:t>
      </w:r>
    </w:p>
    <w:p w14:paraId="242A0023">
      <w:pPr>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（1）不同竞选人的竞选文件由同一单位或者个人编制；</w:t>
      </w:r>
    </w:p>
    <w:p w14:paraId="7A5401FF">
      <w:pPr>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（2）不同竞选人委托同一单位或者个人办理投标事宜；</w:t>
      </w:r>
    </w:p>
    <w:p w14:paraId="03DD9830">
      <w:pPr>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（3）不同竞选人的竞选文件载明的项目管理成员为同一人；</w:t>
      </w:r>
    </w:p>
    <w:p w14:paraId="67242959">
      <w:pPr>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（4）不同竞选人的竞选文件异常一致或者竞选总报价呈规律性差异；</w:t>
      </w:r>
    </w:p>
    <w:p w14:paraId="71533935">
      <w:pPr>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（5）不同竞选人的竞选文件相互混装；</w:t>
      </w:r>
    </w:p>
    <w:p w14:paraId="20C6AC74">
      <w:pPr>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（6）不同竞选人的比选保证金从同一单位或者个人的账户转出。</w:t>
      </w:r>
    </w:p>
    <w:p w14:paraId="00D29DE9">
      <w:pPr>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使用通过受让或者租借等方式获取的资格、资质证书投标的，属于以他人名义投标。</w:t>
      </w:r>
    </w:p>
    <w:p w14:paraId="2B0096DD">
      <w:pPr>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竞选人有下列情形之一的，属于以其他方式弄虚作假的行为：</w:t>
      </w:r>
    </w:p>
    <w:p w14:paraId="50A85DFF">
      <w:pPr>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（一）使用伪造、变造的许可证件；</w:t>
      </w:r>
    </w:p>
    <w:p w14:paraId="662AF070">
      <w:pPr>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（二）提供虚假的财务状况或者业绩；</w:t>
      </w:r>
    </w:p>
    <w:p w14:paraId="1856F752">
      <w:pPr>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（三）提供虚假的项目负责人或者主要技术人员简历、劳动关系证明；</w:t>
      </w:r>
    </w:p>
    <w:p w14:paraId="5B5AB737">
      <w:pPr>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（四）提供虚假的信用状况；</w:t>
      </w:r>
    </w:p>
    <w:p w14:paraId="42339C30">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color w:val="auto"/>
          <w:highlight w:val="none"/>
        </w:rPr>
        <w:t>（五）其他弄虚作假的行为。</w:t>
      </w:r>
    </w:p>
    <w:p w14:paraId="50FBA3CB">
      <w:pPr>
        <w:pStyle w:val="4"/>
        <w:snapToGrid w:val="0"/>
        <w:spacing w:before="0" w:after="0" w:line="360" w:lineRule="auto"/>
        <w:rPr>
          <w:rFonts w:hint="eastAsia" w:ascii="宋体" w:hAnsi="宋体" w:cs="宋体"/>
          <w:b w:val="0"/>
          <w:snapToGrid w:val="0"/>
          <w:color w:val="auto"/>
          <w:sz w:val="24"/>
          <w:szCs w:val="24"/>
          <w:highlight w:val="none"/>
        </w:rPr>
      </w:pPr>
      <w:bookmarkStart w:id="569" w:name="_Toc277082601"/>
      <w:bookmarkStart w:id="570" w:name="_Toc509218759"/>
      <w:bookmarkStart w:id="571" w:name="_Toc30347"/>
      <w:bookmarkStart w:id="572" w:name="_Toc40569187"/>
      <w:bookmarkStart w:id="573" w:name="_Toc430530484"/>
      <w:bookmarkStart w:id="574" w:name="_Toc287607795"/>
      <w:bookmarkStart w:id="575" w:name="_Toc40569092"/>
      <w:bookmarkStart w:id="576" w:name="_Toc287620734"/>
      <w:bookmarkStart w:id="577" w:name="_Toc3385"/>
      <w:bookmarkStart w:id="578" w:name="_Toc224103366"/>
      <w:bookmarkStart w:id="579" w:name="_Toc200513175"/>
      <w:bookmarkStart w:id="580" w:name="_Toc15322"/>
      <w:r>
        <w:rPr>
          <w:rFonts w:hint="eastAsia" w:ascii="宋体" w:hAnsi="宋体" w:cs="宋体"/>
          <w:b w:val="0"/>
          <w:snapToGrid w:val="0"/>
          <w:color w:val="auto"/>
          <w:sz w:val="24"/>
          <w:szCs w:val="24"/>
          <w:highlight w:val="none"/>
        </w:rPr>
        <w:t>9.3  对评选委员会成员的纪律要求</w:t>
      </w:r>
      <w:bookmarkEnd w:id="569"/>
      <w:bookmarkEnd w:id="570"/>
      <w:bookmarkEnd w:id="571"/>
      <w:bookmarkEnd w:id="572"/>
      <w:bookmarkEnd w:id="573"/>
      <w:bookmarkEnd w:id="574"/>
      <w:bookmarkEnd w:id="575"/>
      <w:bookmarkEnd w:id="576"/>
      <w:bookmarkEnd w:id="577"/>
      <w:bookmarkEnd w:id="578"/>
      <w:bookmarkEnd w:id="579"/>
      <w:bookmarkEnd w:id="580"/>
    </w:p>
    <w:p w14:paraId="60C79216">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选委员会成员不得收受他人的财物或者其他好处，不得向他人透漏对竞选文件的评选和比较、中选候选人的推荐情况以及评选有关的其他情况。在评选活动中，评选委员会成员不得擅离职守，影响评选程序正常进行，不得使用第三章“评选办法”没有规定的评选因素和标准进行评选。</w:t>
      </w:r>
    </w:p>
    <w:p w14:paraId="633C530C">
      <w:pPr>
        <w:pStyle w:val="4"/>
        <w:snapToGrid w:val="0"/>
        <w:spacing w:before="0" w:after="0" w:line="360" w:lineRule="auto"/>
        <w:rPr>
          <w:rFonts w:hint="eastAsia" w:ascii="宋体" w:hAnsi="宋体" w:cs="宋体"/>
          <w:b w:val="0"/>
          <w:snapToGrid w:val="0"/>
          <w:color w:val="auto"/>
          <w:sz w:val="24"/>
          <w:szCs w:val="24"/>
          <w:highlight w:val="none"/>
        </w:rPr>
      </w:pPr>
      <w:bookmarkStart w:id="581" w:name="_Toc430530485"/>
      <w:bookmarkStart w:id="582" w:name="_Toc287607796"/>
      <w:bookmarkStart w:id="583" w:name="_Toc19795"/>
      <w:bookmarkStart w:id="584" w:name="_Toc40569093"/>
      <w:bookmarkStart w:id="585" w:name="_Toc509218760"/>
      <w:bookmarkStart w:id="586" w:name="_Toc200513176"/>
      <w:bookmarkStart w:id="587" w:name="_Toc277082602"/>
      <w:bookmarkStart w:id="588" w:name="_Toc224103367"/>
      <w:bookmarkStart w:id="589" w:name="_Toc40569188"/>
      <w:bookmarkStart w:id="590" w:name="_Toc24901"/>
      <w:bookmarkStart w:id="591" w:name="_Toc14712"/>
      <w:bookmarkStart w:id="592" w:name="_Toc287620735"/>
      <w:r>
        <w:rPr>
          <w:rFonts w:hint="eastAsia" w:ascii="宋体" w:hAnsi="宋体" w:cs="宋体"/>
          <w:b w:val="0"/>
          <w:snapToGrid w:val="0"/>
          <w:color w:val="auto"/>
          <w:sz w:val="24"/>
          <w:szCs w:val="24"/>
          <w:highlight w:val="none"/>
        </w:rPr>
        <w:t>9.4  对与评选活动有关的工作人员的纪律要求</w:t>
      </w:r>
      <w:bookmarkEnd w:id="581"/>
      <w:bookmarkEnd w:id="582"/>
      <w:bookmarkEnd w:id="583"/>
      <w:bookmarkEnd w:id="584"/>
      <w:bookmarkEnd w:id="585"/>
      <w:bookmarkEnd w:id="586"/>
      <w:bookmarkEnd w:id="587"/>
      <w:bookmarkEnd w:id="588"/>
      <w:bookmarkEnd w:id="589"/>
      <w:bookmarkEnd w:id="590"/>
      <w:bookmarkEnd w:id="591"/>
      <w:bookmarkEnd w:id="592"/>
    </w:p>
    <w:p w14:paraId="1C4AD345">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与评选活动有关的工作人员不得收受他人的财物或者其他好处，不得向他人透漏对竞选文件的评选和比较、中选候选人的推荐情况以及与评选有关的其他情况。在评选活动中，与评选活动有关的工作人员不得擅离职守，影响评选程序正常进行。</w:t>
      </w:r>
    </w:p>
    <w:p w14:paraId="7D97C4B8">
      <w:pPr>
        <w:pStyle w:val="4"/>
        <w:snapToGrid w:val="0"/>
        <w:spacing w:before="0" w:after="0" w:line="360" w:lineRule="auto"/>
        <w:rPr>
          <w:rFonts w:hint="eastAsia" w:ascii="宋体" w:hAnsi="宋体" w:cs="宋体"/>
          <w:b w:val="0"/>
          <w:snapToGrid w:val="0"/>
          <w:color w:val="auto"/>
          <w:sz w:val="24"/>
          <w:szCs w:val="24"/>
          <w:highlight w:val="none"/>
        </w:rPr>
      </w:pPr>
      <w:bookmarkStart w:id="593" w:name="_Toc7152"/>
      <w:bookmarkStart w:id="594" w:name="_Toc24405"/>
      <w:bookmarkStart w:id="595" w:name="_Toc224103368"/>
      <w:bookmarkStart w:id="596" w:name="_Toc277082603"/>
      <w:bookmarkStart w:id="597" w:name="_Toc9443"/>
      <w:bookmarkStart w:id="598" w:name="_Toc40569094"/>
      <w:bookmarkStart w:id="599" w:name="_Toc40569189"/>
      <w:bookmarkStart w:id="600" w:name="_Toc287620736"/>
      <w:bookmarkStart w:id="601" w:name="_Toc200513177"/>
      <w:bookmarkStart w:id="602" w:name="_Toc509218761"/>
      <w:bookmarkStart w:id="603" w:name="_Toc287607797"/>
      <w:bookmarkStart w:id="604" w:name="_Toc430530486"/>
      <w:r>
        <w:rPr>
          <w:rFonts w:hint="eastAsia" w:ascii="宋体" w:hAnsi="宋体" w:cs="宋体"/>
          <w:b w:val="0"/>
          <w:snapToGrid w:val="0"/>
          <w:color w:val="auto"/>
          <w:sz w:val="24"/>
          <w:szCs w:val="24"/>
          <w:highlight w:val="none"/>
        </w:rPr>
        <w:t>9.5  投诉</w:t>
      </w:r>
      <w:bookmarkEnd w:id="593"/>
      <w:bookmarkEnd w:id="594"/>
      <w:bookmarkEnd w:id="595"/>
      <w:bookmarkEnd w:id="596"/>
      <w:bookmarkEnd w:id="597"/>
      <w:bookmarkEnd w:id="598"/>
      <w:bookmarkEnd w:id="599"/>
      <w:bookmarkEnd w:id="600"/>
      <w:bookmarkEnd w:id="601"/>
      <w:bookmarkEnd w:id="602"/>
      <w:bookmarkEnd w:id="603"/>
      <w:bookmarkEnd w:id="604"/>
    </w:p>
    <w:p w14:paraId="4262D210">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竞选人和其他利害关系人认为本次比选活动违反法律、法规和规章规定的，有权向有关行政监督部门投诉。</w:t>
      </w:r>
    </w:p>
    <w:p w14:paraId="6421762B">
      <w:pPr>
        <w:pStyle w:val="4"/>
        <w:snapToGrid w:val="0"/>
        <w:spacing w:before="0" w:after="0" w:line="360" w:lineRule="auto"/>
        <w:rPr>
          <w:rFonts w:hint="eastAsia" w:ascii="宋体" w:hAnsi="宋体" w:cs="宋体"/>
          <w:b w:val="0"/>
          <w:snapToGrid w:val="0"/>
          <w:color w:val="auto"/>
          <w:sz w:val="24"/>
          <w:szCs w:val="24"/>
          <w:highlight w:val="none"/>
        </w:rPr>
      </w:pPr>
      <w:bookmarkStart w:id="605" w:name="_Toc200513178"/>
      <w:bookmarkStart w:id="606" w:name="_Toc287620737"/>
      <w:bookmarkStart w:id="607" w:name="_Toc287607798"/>
      <w:bookmarkStart w:id="608" w:name="_Toc224103369"/>
      <w:bookmarkStart w:id="609" w:name="_Toc430530487"/>
      <w:bookmarkStart w:id="610" w:name="_Toc32650"/>
      <w:bookmarkStart w:id="611" w:name="_Toc6297"/>
      <w:bookmarkStart w:id="612" w:name="_Toc509218762"/>
      <w:bookmarkStart w:id="613" w:name="_Toc18945"/>
      <w:bookmarkStart w:id="614" w:name="_Toc277082604"/>
      <w:r>
        <w:rPr>
          <w:rFonts w:hint="eastAsia" w:ascii="宋体" w:hAnsi="宋体" w:cs="宋体"/>
          <w:b w:val="0"/>
          <w:snapToGrid w:val="0"/>
          <w:color w:val="auto"/>
          <w:sz w:val="24"/>
          <w:szCs w:val="24"/>
          <w:highlight w:val="none"/>
        </w:rPr>
        <w:t>10. 需要补充的其他内容</w:t>
      </w:r>
      <w:bookmarkEnd w:id="605"/>
      <w:bookmarkEnd w:id="606"/>
      <w:bookmarkEnd w:id="607"/>
      <w:bookmarkEnd w:id="608"/>
      <w:bookmarkEnd w:id="609"/>
      <w:bookmarkEnd w:id="610"/>
      <w:bookmarkEnd w:id="611"/>
      <w:bookmarkEnd w:id="612"/>
      <w:bookmarkEnd w:id="613"/>
      <w:bookmarkEnd w:id="614"/>
    </w:p>
    <w:p w14:paraId="72BF3EF6">
      <w:pPr>
        <w:pStyle w:val="4"/>
        <w:snapToGrid w:val="0"/>
        <w:spacing w:before="0" w:after="0" w:line="360" w:lineRule="auto"/>
        <w:ind w:firstLine="480" w:firstLineChars="200"/>
        <w:rPr>
          <w:rFonts w:hint="eastAsia" w:ascii="宋体" w:hAnsi="宋体" w:cs="宋体"/>
          <w:b w:val="0"/>
          <w:snapToGrid w:val="0"/>
          <w:color w:val="auto"/>
          <w:sz w:val="24"/>
          <w:szCs w:val="24"/>
          <w:highlight w:val="none"/>
        </w:rPr>
      </w:pPr>
      <w:r>
        <w:rPr>
          <w:rFonts w:hint="eastAsia" w:ascii="宋体" w:hAnsi="宋体" w:cs="宋体"/>
          <w:b w:val="0"/>
          <w:snapToGrid w:val="0"/>
          <w:color w:val="auto"/>
          <w:sz w:val="24"/>
          <w:szCs w:val="24"/>
          <w:highlight w:val="none"/>
        </w:rPr>
        <w:t>见竞选人须知前附表。</w:t>
      </w:r>
    </w:p>
    <w:p w14:paraId="2DDF606D">
      <w:pPr>
        <w:widowControl/>
        <w:jc w:val="left"/>
        <w:rPr>
          <w:rFonts w:hint="eastAsia" w:ascii="宋体" w:hAnsi="宋体" w:cs="宋体"/>
          <w:b/>
          <w:snapToGrid w:val="0"/>
          <w:color w:val="auto"/>
          <w:kern w:val="0"/>
          <w:highlight w:val="none"/>
        </w:rPr>
      </w:pPr>
      <w:r>
        <w:rPr>
          <w:rFonts w:ascii="宋体" w:hAnsi="宋体" w:cs="宋体"/>
          <w:b/>
          <w:snapToGrid w:val="0"/>
          <w:color w:val="auto"/>
          <w:kern w:val="0"/>
          <w:highlight w:val="none"/>
        </w:rPr>
        <w:br w:type="page"/>
      </w:r>
    </w:p>
    <w:p w14:paraId="6D82EF37">
      <w:pPr>
        <w:autoSpaceDE w:val="0"/>
        <w:autoSpaceDN w:val="0"/>
        <w:adjustRightInd w:val="0"/>
        <w:snapToGrid w:val="0"/>
        <w:spacing w:line="360" w:lineRule="auto"/>
        <w:jc w:val="left"/>
        <w:outlineLvl w:val="2"/>
        <w:rPr>
          <w:rFonts w:hint="eastAsia" w:ascii="宋体" w:hAnsi="宋体" w:cs="宋体"/>
          <w:b/>
          <w:snapToGrid w:val="0"/>
          <w:color w:val="auto"/>
          <w:kern w:val="0"/>
          <w:highlight w:val="none"/>
        </w:rPr>
      </w:pPr>
      <w:r>
        <w:rPr>
          <w:rFonts w:hint="eastAsia" w:ascii="宋体" w:hAnsi="宋体" w:cs="宋体"/>
          <w:b/>
          <w:snapToGrid w:val="0"/>
          <w:color w:val="auto"/>
          <w:kern w:val="0"/>
          <w:highlight w:val="none"/>
        </w:rPr>
        <w:t>附表一：报价记录表</w:t>
      </w:r>
    </w:p>
    <w:p w14:paraId="532004F8">
      <w:pPr>
        <w:autoSpaceDE w:val="0"/>
        <w:autoSpaceDN w:val="0"/>
        <w:adjustRightInd w:val="0"/>
        <w:snapToGrid w:val="0"/>
        <w:spacing w:line="360" w:lineRule="auto"/>
        <w:jc w:val="left"/>
        <w:rPr>
          <w:rFonts w:hint="eastAsia" w:ascii="宋体" w:hAnsi="宋体" w:cs="宋体"/>
          <w:b/>
          <w:snapToGrid w:val="0"/>
          <w:color w:val="auto"/>
          <w:kern w:val="0"/>
          <w:highlight w:val="none"/>
        </w:rPr>
      </w:pPr>
    </w:p>
    <w:p w14:paraId="0E6B7ED4">
      <w:pPr>
        <w:spacing w:line="360" w:lineRule="auto"/>
        <w:rPr>
          <w:rFonts w:hint="eastAsia" w:ascii="宋体" w:hAnsi="宋体" w:cs="宋体"/>
          <w:b/>
          <w:snapToGrid w:val="0"/>
          <w:color w:val="auto"/>
          <w:kern w:val="0"/>
          <w:sz w:val="28"/>
          <w:szCs w:val="28"/>
          <w:highlight w:val="none"/>
        </w:rPr>
      </w:pPr>
      <w:r>
        <w:rPr>
          <w:rFonts w:hint="eastAsia" w:ascii="宋体" w:hAnsi="宋体" w:cs="宋体"/>
          <w:b/>
          <w:snapToGrid w:val="0"/>
          <w:color w:val="auto"/>
          <w:w w:val="99"/>
          <w:kern w:val="0"/>
          <w:sz w:val="28"/>
          <w:szCs w:val="28"/>
          <w:highlight w:val="none"/>
        </w:rPr>
        <w:t>（项目名称）报价记录表</w:t>
      </w:r>
    </w:p>
    <w:p w14:paraId="4CED5199">
      <w:pPr>
        <w:tabs>
          <w:tab w:val="left" w:pos="2260"/>
          <w:tab w:val="left" w:pos="5060"/>
        </w:tabs>
        <w:autoSpaceDE w:val="0"/>
        <w:autoSpaceDN w:val="0"/>
        <w:adjustRightInd w:val="0"/>
        <w:snapToGrid w:val="0"/>
        <w:spacing w:line="360" w:lineRule="auto"/>
        <w:jc w:val="righ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时间：年月日时分</w:t>
      </w:r>
    </w:p>
    <w:tbl>
      <w:tblPr>
        <w:tblStyle w:val="29"/>
        <w:tblW w:w="880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378"/>
        <w:gridCol w:w="628"/>
        <w:gridCol w:w="695"/>
        <w:gridCol w:w="800"/>
        <w:gridCol w:w="642"/>
        <w:gridCol w:w="866"/>
        <w:gridCol w:w="1079"/>
        <w:gridCol w:w="845"/>
        <w:gridCol w:w="1435"/>
        <w:gridCol w:w="1435"/>
      </w:tblGrid>
      <w:tr w14:paraId="4473D5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9" w:hRule="exact"/>
          <w:jc w:val="center"/>
        </w:trPr>
        <w:tc>
          <w:tcPr>
            <w:tcW w:w="378" w:type="dxa"/>
            <w:vAlign w:val="center"/>
          </w:tcPr>
          <w:p w14:paraId="47603878">
            <w:pPr>
              <w:autoSpaceDE w:val="0"/>
              <w:autoSpaceDN w:val="0"/>
              <w:adjustRightInd w:val="0"/>
              <w:snapToGrid w:val="0"/>
              <w:spacing w:line="360"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序号</w:t>
            </w:r>
          </w:p>
        </w:tc>
        <w:tc>
          <w:tcPr>
            <w:tcW w:w="628" w:type="dxa"/>
            <w:vAlign w:val="center"/>
          </w:tcPr>
          <w:p w14:paraId="51631DEC">
            <w:pPr>
              <w:autoSpaceDE w:val="0"/>
              <w:autoSpaceDN w:val="0"/>
              <w:adjustRightInd w:val="0"/>
              <w:snapToGrid w:val="0"/>
              <w:spacing w:line="360"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w:t>
            </w:r>
          </w:p>
        </w:tc>
        <w:tc>
          <w:tcPr>
            <w:tcW w:w="695" w:type="dxa"/>
            <w:vAlign w:val="center"/>
          </w:tcPr>
          <w:p w14:paraId="627FC7C4">
            <w:pPr>
              <w:autoSpaceDE w:val="0"/>
              <w:autoSpaceDN w:val="0"/>
              <w:adjustRightInd w:val="0"/>
              <w:snapToGrid w:val="0"/>
              <w:spacing w:line="360"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密封</w:t>
            </w:r>
          </w:p>
          <w:p w14:paraId="5B1F8CA8">
            <w:pPr>
              <w:autoSpaceDE w:val="0"/>
              <w:autoSpaceDN w:val="0"/>
              <w:adjustRightInd w:val="0"/>
              <w:snapToGrid w:val="0"/>
              <w:spacing w:line="360"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情况</w:t>
            </w:r>
          </w:p>
        </w:tc>
        <w:tc>
          <w:tcPr>
            <w:tcW w:w="800" w:type="dxa"/>
            <w:vAlign w:val="center"/>
          </w:tcPr>
          <w:p w14:paraId="6463FCCB">
            <w:pPr>
              <w:autoSpaceDE w:val="0"/>
              <w:autoSpaceDN w:val="0"/>
              <w:adjustRightInd w:val="0"/>
              <w:snapToGrid w:val="0"/>
              <w:spacing w:line="360"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比选保</w:t>
            </w:r>
          </w:p>
          <w:p w14:paraId="6AE5E9EF">
            <w:pPr>
              <w:autoSpaceDE w:val="0"/>
              <w:autoSpaceDN w:val="0"/>
              <w:adjustRightInd w:val="0"/>
              <w:snapToGrid w:val="0"/>
              <w:spacing w:line="360"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证金</w:t>
            </w:r>
          </w:p>
        </w:tc>
        <w:tc>
          <w:tcPr>
            <w:tcW w:w="642" w:type="dxa"/>
            <w:tcBorders>
              <w:right w:val="single" w:color="auto" w:sz="4" w:space="0"/>
            </w:tcBorders>
            <w:vAlign w:val="center"/>
          </w:tcPr>
          <w:p w14:paraId="114C6F23">
            <w:pPr>
              <w:autoSpaceDE w:val="0"/>
              <w:autoSpaceDN w:val="0"/>
              <w:adjustRightInd w:val="0"/>
              <w:snapToGrid w:val="0"/>
              <w:spacing w:line="360"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w:t>
            </w:r>
          </w:p>
          <w:p w14:paraId="3C504830">
            <w:pPr>
              <w:autoSpaceDE w:val="0"/>
              <w:autoSpaceDN w:val="0"/>
              <w:adjustRightInd w:val="0"/>
              <w:snapToGrid w:val="0"/>
              <w:spacing w:line="360"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报价</w:t>
            </w:r>
          </w:p>
        </w:tc>
        <w:tc>
          <w:tcPr>
            <w:tcW w:w="866" w:type="dxa"/>
            <w:tcBorders>
              <w:left w:val="single" w:color="auto" w:sz="4" w:space="0"/>
            </w:tcBorders>
            <w:vAlign w:val="center"/>
          </w:tcPr>
          <w:p w14:paraId="6EEE354C">
            <w:pPr>
              <w:autoSpaceDE w:val="0"/>
              <w:autoSpaceDN w:val="0"/>
              <w:adjustRightInd w:val="0"/>
              <w:snapToGrid w:val="0"/>
              <w:spacing w:line="360"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质量目标</w:t>
            </w:r>
          </w:p>
        </w:tc>
        <w:tc>
          <w:tcPr>
            <w:tcW w:w="1079" w:type="dxa"/>
            <w:vAlign w:val="center"/>
          </w:tcPr>
          <w:p w14:paraId="437F98F9">
            <w:pPr>
              <w:autoSpaceDE w:val="0"/>
              <w:autoSpaceDN w:val="0"/>
              <w:adjustRightInd w:val="0"/>
              <w:snapToGrid w:val="0"/>
              <w:spacing w:line="360"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服务期</w:t>
            </w:r>
          </w:p>
        </w:tc>
        <w:tc>
          <w:tcPr>
            <w:tcW w:w="845" w:type="dxa"/>
            <w:vAlign w:val="center"/>
          </w:tcPr>
          <w:p w14:paraId="111C65BF">
            <w:pPr>
              <w:autoSpaceDE w:val="0"/>
              <w:autoSpaceDN w:val="0"/>
              <w:adjustRightInd w:val="0"/>
              <w:snapToGrid w:val="0"/>
              <w:spacing w:line="360"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项目负责人</w:t>
            </w:r>
          </w:p>
        </w:tc>
        <w:tc>
          <w:tcPr>
            <w:tcW w:w="1435" w:type="dxa"/>
            <w:vAlign w:val="center"/>
          </w:tcPr>
          <w:p w14:paraId="09780956">
            <w:pPr>
              <w:autoSpaceDE w:val="0"/>
              <w:autoSpaceDN w:val="0"/>
              <w:adjustRightInd w:val="0"/>
              <w:snapToGrid w:val="0"/>
              <w:spacing w:line="360"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竞选人代表</w:t>
            </w:r>
          </w:p>
          <w:p w14:paraId="5D0ADD84">
            <w:pPr>
              <w:autoSpaceDE w:val="0"/>
              <w:autoSpaceDN w:val="0"/>
              <w:adjustRightInd w:val="0"/>
              <w:snapToGrid w:val="0"/>
              <w:spacing w:line="360"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签名</w:t>
            </w:r>
          </w:p>
        </w:tc>
        <w:tc>
          <w:tcPr>
            <w:tcW w:w="1435" w:type="dxa"/>
            <w:vAlign w:val="center"/>
          </w:tcPr>
          <w:p w14:paraId="04E0F06A">
            <w:pPr>
              <w:autoSpaceDE w:val="0"/>
              <w:autoSpaceDN w:val="0"/>
              <w:adjustRightInd w:val="0"/>
              <w:snapToGrid w:val="0"/>
              <w:spacing w:line="360"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w:t>
            </w:r>
          </w:p>
        </w:tc>
      </w:tr>
      <w:tr w14:paraId="7E8199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2ADACB10">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28" w:type="dxa"/>
            <w:vAlign w:val="center"/>
          </w:tcPr>
          <w:p w14:paraId="26ACE8C6">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95" w:type="dxa"/>
            <w:vAlign w:val="center"/>
          </w:tcPr>
          <w:p w14:paraId="526AC41A">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00" w:type="dxa"/>
            <w:vAlign w:val="center"/>
          </w:tcPr>
          <w:p w14:paraId="64F200EB">
            <w:pPr>
              <w:autoSpaceDE w:val="0"/>
              <w:autoSpaceDN w:val="0"/>
              <w:adjustRightInd w:val="0"/>
              <w:snapToGrid w:val="0"/>
              <w:spacing w:line="360" w:lineRule="auto"/>
              <w:jc w:val="left"/>
              <w:rPr>
                <w:rFonts w:hint="eastAsia" w:ascii="宋体" w:hAnsi="宋体" w:cs="宋体"/>
                <w:snapToGrid w:val="0"/>
                <w:color w:val="auto"/>
                <w:kern w:val="0"/>
                <w:szCs w:val="21"/>
                <w:highlight w:val="none"/>
              </w:rPr>
            </w:pPr>
          </w:p>
        </w:tc>
        <w:tc>
          <w:tcPr>
            <w:tcW w:w="642" w:type="dxa"/>
            <w:tcBorders>
              <w:right w:val="single" w:color="auto" w:sz="4" w:space="0"/>
            </w:tcBorders>
            <w:vAlign w:val="center"/>
          </w:tcPr>
          <w:p w14:paraId="331A31A8">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66" w:type="dxa"/>
            <w:tcBorders>
              <w:left w:val="single" w:color="auto" w:sz="4" w:space="0"/>
            </w:tcBorders>
            <w:vAlign w:val="center"/>
          </w:tcPr>
          <w:p w14:paraId="0EEFBE4B">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079" w:type="dxa"/>
            <w:vAlign w:val="center"/>
          </w:tcPr>
          <w:p w14:paraId="1E6408EF">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45" w:type="dxa"/>
            <w:vAlign w:val="center"/>
          </w:tcPr>
          <w:p w14:paraId="7EB76973">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5D555C8F">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2ECCB67D">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r>
      <w:tr w14:paraId="682B31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4CE6BC8A">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28" w:type="dxa"/>
            <w:vAlign w:val="center"/>
          </w:tcPr>
          <w:p w14:paraId="4ADBD5EB">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95" w:type="dxa"/>
            <w:vAlign w:val="center"/>
          </w:tcPr>
          <w:p w14:paraId="6EAA85C4">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00" w:type="dxa"/>
            <w:vAlign w:val="center"/>
          </w:tcPr>
          <w:p w14:paraId="1EDA918A">
            <w:pPr>
              <w:autoSpaceDE w:val="0"/>
              <w:autoSpaceDN w:val="0"/>
              <w:adjustRightInd w:val="0"/>
              <w:snapToGrid w:val="0"/>
              <w:spacing w:line="360" w:lineRule="auto"/>
              <w:jc w:val="left"/>
              <w:rPr>
                <w:rFonts w:hint="eastAsia" w:ascii="宋体" w:hAnsi="宋体" w:cs="宋体"/>
                <w:snapToGrid w:val="0"/>
                <w:color w:val="auto"/>
                <w:kern w:val="0"/>
                <w:szCs w:val="21"/>
                <w:highlight w:val="none"/>
              </w:rPr>
            </w:pPr>
          </w:p>
        </w:tc>
        <w:tc>
          <w:tcPr>
            <w:tcW w:w="642" w:type="dxa"/>
            <w:tcBorders>
              <w:right w:val="single" w:color="auto" w:sz="4" w:space="0"/>
            </w:tcBorders>
            <w:vAlign w:val="center"/>
          </w:tcPr>
          <w:p w14:paraId="420E0CCF">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66" w:type="dxa"/>
            <w:tcBorders>
              <w:left w:val="single" w:color="auto" w:sz="4" w:space="0"/>
            </w:tcBorders>
            <w:vAlign w:val="center"/>
          </w:tcPr>
          <w:p w14:paraId="300E4B73">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079" w:type="dxa"/>
            <w:vAlign w:val="center"/>
          </w:tcPr>
          <w:p w14:paraId="2F7143FC">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45" w:type="dxa"/>
            <w:vAlign w:val="center"/>
          </w:tcPr>
          <w:p w14:paraId="2749DFC8">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581ACF33">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178BC5AD">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r>
      <w:tr w14:paraId="087ABF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5C214E0C">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28" w:type="dxa"/>
            <w:vAlign w:val="center"/>
          </w:tcPr>
          <w:p w14:paraId="04BC0964">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95" w:type="dxa"/>
            <w:vAlign w:val="center"/>
          </w:tcPr>
          <w:p w14:paraId="3CC0EB70">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00" w:type="dxa"/>
            <w:vAlign w:val="center"/>
          </w:tcPr>
          <w:p w14:paraId="501504AC">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42" w:type="dxa"/>
            <w:tcBorders>
              <w:right w:val="single" w:color="auto" w:sz="4" w:space="0"/>
            </w:tcBorders>
            <w:vAlign w:val="center"/>
          </w:tcPr>
          <w:p w14:paraId="51612448">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66" w:type="dxa"/>
            <w:tcBorders>
              <w:left w:val="single" w:color="auto" w:sz="4" w:space="0"/>
            </w:tcBorders>
            <w:vAlign w:val="center"/>
          </w:tcPr>
          <w:p w14:paraId="16B9CA48">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079" w:type="dxa"/>
            <w:vAlign w:val="center"/>
          </w:tcPr>
          <w:p w14:paraId="7091E3C0">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45" w:type="dxa"/>
            <w:vAlign w:val="center"/>
          </w:tcPr>
          <w:p w14:paraId="27DB346A">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1F767D22">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1FAB44CA">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r>
      <w:tr w14:paraId="0562E4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6803A609">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28" w:type="dxa"/>
            <w:vAlign w:val="center"/>
          </w:tcPr>
          <w:p w14:paraId="6F059EED">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95" w:type="dxa"/>
            <w:vAlign w:val="center"/>
          </w:tcPr>
          <w:p w14:paraId="45AEED5F">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00" w:type="dxa"/>
            <w:vAlign w:val="center"/>
          </w:tcPr>
          <w:p w14:paraId="62D53857">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42" w:type="dxa"/>
            <w:tcBorders>
              <w:right w:val="single" w:color="auto" w:sz="4" w:space="0"/>
            </w:tcBorders>
            <w:vAlign w:val="center"/>
          </w:tcPr>
          <w:p w14:paraId="28DF51DA">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66" w:type="dxa"/>
            <w:tcBorders>
              <w:left w:val="single" w:color="auto" w:sz="4" w:space="0"/>
            </w:tcBorders>
            <w:vAlign w:val="center"/>
          </w:tcPr>
          <w:p w14:paraId="1A53CF6C">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079" w:type="dxa"/>
            <w:vAlign w:val="center"/>
          </w:tcPr>
          <w:p w14:paraId="1C4910B1">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45" w:type="dxa"/>
            <w:vAlign w:val="center"/>
          </w:tcPr>
          <w:p w14:paraId="3A122174">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649A4019">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0C99DA93">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r>
      <w:tr w14:paraId="05EDB0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3DE733C4">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28" w:type="dxa"/>
            <w:vAlign w:val="center"/>
          </w:tcPr>
          <w:p w14:paraId="69B9BCAB">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95" w:type="dxa"/>
            <w:vAlign w:val="center"/>
          </w:tcPr>
          <w:p w14:paraId="1587DD7E">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00" w:type="dxa"/>
            <w:vAlign w:val="center"/>
          </w:tcPr>
          <w:p w14:paraId="1848D76F">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42" w:type="dxa"/>
            <w:tcBorders>
              <w:right w:val="single" w:color="auto" w:sz="4" w:space="0"/>
            </w:tcBorders>
            <w:vAlign w:val="center"/>
          </w:tcPr>
          <w:p w14:paraId="3D7D7AB1">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66" w:type="dxa"/>
            <w:tcBorders>
              <w:left w:val="single" w:color="auto" w:sz="4" w:space="0"/>
            </w:tcBorders>
            <w:vAlign w:val="center"/>
          </w:tcPr>
          <w:p w14:paraId="11D8A914">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079" w:type="dxa"/>
            <w:vAlign w:val="center"/>
          </w:tcPr>
          <w:p w14:paraId="3FDB1066">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45" w:type="dxa"/>
            <w:vAlign w:val="center"/>
          </w:tcPr>
          <w:p w14:paraId="5210F25E">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6F2EEDC4">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76646E70">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r>
      <w:tr w14:paraId="7A1FD1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0AA49AE4">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28" w:type="dxa"/>
            <w:vAlign w:val="center"/>
          </w:tcPr>
          <w:p w14:paraId="67D6DE50">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95" w:type="dxa"/>
            <w:vAlign w:val="center"/>
          </w:tcPr>
          <w:p w14:paraId="391B99D3">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00" w:type="dxa"/>
            <w:vAlign w:val="center"/>
          </w:tcPr>
          <w:p w14:paraId="72E909AB">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42" w:type="dxa"/>
            <w:tcBorders>
              <w:right w:val="single" w:color="auto" w:sz="4" w:space="0"/>
            </w:tcBorders>
            <w:vAlign w:val="center"/>
          </w:tcPr>
          <w:p w14:paraId="7124D30A">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66" w:type="dxa"/>
            <w:tcBorders>
              <w:left w:val="single" w:color="auto" w:sz="4" w:space="0"/>
            </w:tcBorders>
            <w:vAlign w:val="center"/>
          </w:tcPr>
          <w:p w14:paraId="2CC11275">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079" w:type="dxa"/>
            <w:vAlign w:val="center"/>
          </w:tcPr>
          <w:p w14:paraId="05EDD4AB">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45" w:type="dxa"/>
            <w:vAlign w:val="center"/>
          </w:tcPr>
          <w:p w14:paraId="10046683">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13DD6085">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2ECC993F">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r>
      <w:tr w14:paraId="27C6E7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31C5CC0A">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28" w:type="dxa"/>
            <w:vAlign w:val="center"/>
          </w:tcPr>
          <w:p w14:paraId="0C316C2F">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95" w:type="dxa"/>
            <w:vAlign w:val="center"/>
          </w:tcPr>
          <w:p w14:paraId="5F1004AA">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00" w:type="dxa"/>
            <w:vAlign w:val="center"/>
          </w:tcPr>
          <w:p w14:paraId="048FD371">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42" w:type="dxa"/>
            <w:tcBorders>
              <w:right w:val="single" w:color="auto" w:sz="4" w:space="0"/>
            </w:tcBorders>
            <w:vAlign w:val="center"/>
          </w:tcPr>
          <w:p w14:paraId="1CAF35D3">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66" w:type="dxa"/>
            <w:tcBorders>
              <w:left w:val="single" w:color="auto" w:sz="4" w:space="0"/>
            </w:tcBorders>
            <w:vAlign w:val="center"/>
          </w:tcPr>
          <w:p w14:paraId="08B093BB">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079" w:type="dxa"/>
            <w:vAlign w:val="center"/>
          </w:tcPr>
          <w:p w14:paraId="7920299F">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45" w:type="dxa"/>
            <w:vAlign w:val="center"/>
          </w:tcPr>
          <w:p w14:paraId="61E9BDE8">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5F2764F1">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05584E77">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r>
      <w:tr w14:paraId="1D9E56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14B387E9">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28" w:type="dxa"/>
            <w:vAlign w:val="center"/>
          </w:tcPr>
          <w:p w14:paraId="4671ACDE">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95" w:type="dxa"/>
            <w:vAlign w:val="center"/>
          </w:tcPr>
          <w:p w14:paraId="12019578">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00" w:type="dxa"/>
            <w:vAlign w:val="center"/>
          </w:tcPr>
          <w:p w14:paraId="61CFE7BF">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42" w:type="dxa"/>
            <w:tcBorders>
              <w:right w:val="single" w:color="auto" w:sz="4" w:space="0"/>
            </w:tcBorders>
            <w:vAlign w:val="center"/>
          </w:tcPr>
          <w:p w14:paraId="7FFA6B57">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66" w:type="dxa"/>
            <w:tcBorders>
              <w:left w:val="single" w:color="auto" w:sz="4" w:space="0"/>
            </w:tcBorders>
            <w:vAlign w:val="center"/>
          </w:tcPr>
          <w:p w14:paraId="44F4EA75">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079" w:type="dxa"/>
            <w:vAlign w:val="center"/>
          </w:tcPr>
          <w:p w14:paraId="02D35C1B">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45" w:type="dxa"/>
            <w:vAlign w:val="center"/>
          </w:tcPr>
          <w:p w14:paraId="018123DF">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5249CDFF">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74709202">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r>
      <w:tr w14:paraId="555664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5E73FA77">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28" w:type="dxa"/>
            <w:vAlign w:val="center"/>
          </w:tcPr>
          <w:p w14:paraId="225C8FD5">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95" w:type="dxa"/>
            <w:vAlign w:val="center"/>
          </w:tcPr>
          <w:p w14:paraId="5406A7BC">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00" w:type="dxa"/>
            <w:vAlign w:val="center"/>
          </w:tcPr>
          <w:p w14:paraId="1E5DAA78">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42" w:type="dxa"/>
            <w:tcBorders>
              <w:right w:val="single" w:color="auto" w:sz="4" w:space="0"/>
            </w:tcBorders>
            <w:vAlign w:val="center"/>
          </w:tcPr>
          <w:p w14:paraId="0A6188E6">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66" w:type="dxa"/>
            <w:tcBorders>
              <w:left w:val="single" w:color="auto" w:sz="4" w:space="0"/>
            </w:tcBorders>
            <w:vAlign w:val="center"/>
          </w:tcPr>
          <w:p w14:paraId="5ACDA815">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079" w:type="dxa"/>
            <w:vAlign w:val="center"/>
          </w:tcPr>
          <w:p w14:paraId="1EB6273D">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45" w:type="dxa"/>
            <w:vAlign w:val="center"/>
          </w:tcPr>
          <w:p w14:paraId="4D0C216E">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656B63BB">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63DDF6EA">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r>
      <w:tr w14:paraId="517061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6E4BCF6D">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28" w:type="dxa"/>
            <w:vAlign w:val="center"/>
          </w:tcPr>
          <w:p w14:paraId="6D618474">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95" w:type="dxa"/>
            <w:vAlign w:val="center"/>
          </w:tcPr>
          <w:p w14:paraId="512339B8">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00" w:type="dxa"/>
            <w:vAlign w:val="center"/>
          </w:tcPr>
          <w:p w14:paraId="4F6A311E">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42" w:type="dxa"/>
            <w:tcBorders>
              <w:right w:val="single" w:color="auto" w:sz="4" w:space="0"/>
            </w:tcBorders>
            <w:vAlign w:val="center"/>
          </w:tcPr>
          <w:p w14:paraId="37EB2D9B">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66" w:type="dxa"/>
            <w:tcBorders>
              <w:left w:val="single" w:color="auto" w:sz="4" w:space="0"/>
            </w:tcBorders>
            <w:vAlign w:val="center"/>
          </w:tcPr>
          <w:p w14:paraId="544167C0">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079" w:type="dxa"/>
            <w:vAlign w:val="center"/>
          </w:tcPr>
          <w:p w14:paraId="6C3625C9">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45" w:type="dxa"/>
            <w:vAlign w:val="center"/>
          </w:tcPr>
          <w:p w14:paraId="74548594">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69957ED1">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272F021A">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r>
      <w:tr w14:paraId="3C4866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5F603FED">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28" w:type="dxa"/>
            <w:vAlign w:val="center"/>
          </w:tcPr>
          <w:p w14:paraId="0A8160A3">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95" w:type="dxa"/>
            <w:vAlign w:val="center"/>
          </w:tcPr>
          <w:p w14:paraId="2064F228">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00" w:type="dxa"/>
            <w:vAlign w:val="center"/>
          </w:tcPr>
          <w:p w14:paraId="5BAAB10F">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42" w:type="dxa"/>
            <w:tcBorders>
              <w:right w:val="single" w:color="auto" w:sz="4" w:space="0"/>
            </w:tcBorders>
            <w:vAlign w:val="center"/>
          </w:tcPr>
          <w:p w14:paraId="3E57860F">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66" w:type="dxa"/>
            <w:tcBorders>
              <w:left w:val="single" w:color="auto" w:sz="4" w:space="0"/>
            </w:tcBorders>
            <w:vAlign w:val="center"/>
          </w:tcPr>
          <w:p w14:paraId="3EBEBFB9">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079" w:type="dxa"/>
            <w:vAlign w:val="center"/>
          </w:tcPr>
          <w:p w14:paraId="36CDE09E">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45" w:type="dxa"/>
            <w:vAlign w:val="center"/>
          </w:tcPr>
          <w:p w14:paraId="132EE105">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087B4B92">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7D0ECFD7">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r>
      <w:tr w14:paraId="0B9F9A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40A2CEF2">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28" w:type="dxa"/>
            <w:vAlign w:val="center"/>
          </w:tcPr>
          <w:p w14:paraId="40EA031D">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95" w:type="dxa"/>
            <w:vAlign w:val="center"/>
          </w:tcPr>
          <w:p w14:paraId="6C864A45">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00" w:type="dxa"/>
            <w:vAlign w:val="center"/>
          </w:tcPr>
          <w:p w14:paraId="76DC37FE">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42" w:type="dxa"/>
            <w:tcBorders>
              <w:right w:val="single" w:color="auto" w:sz="4" w:space="0"/>
            </w:tcBorders>
            <w:vAlign w:val="center"/>
          </w:tcPr>
          <w:p w14:paraId="795D0015">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66" w:type="dxa"/>
            <w:tcBorders>
              <w:left w:val="single" w:color="auto" w:sz="4" w:space="0"/>
            </w:tcBorders>
            <w:vAlign w:val="center"/>
          </w:tcPr>
          <w:p w14:paraId="7FD92CB9">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079" w:type="dxa"/>
            <w:vAlign w:val="center"/>
          </w:tcPr>
          <w:p w14:paraId="4995A23A">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45" w:type="dxa"/>
            <w:vAlign w:val="center"/>
          </w:tcPr>
          <w:p w14:paraId="0C7D7001">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433E7D2D">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4F5504A2">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r>
      <w:tr w14:paraId="7DCE62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04E9F289">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28" w:type="dxa"/>
            <w:vAlign w:val="center"/>
          </w:tcPr>
          <w:p w14:paraId="1E0A2ADE">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95" w:type="dxa"/>
            <w:vAlign w:val="center"/>
          </w:tcPr>
          <w:p w14:paraId="071B49DD">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00" w:type="dxa"/>
            <w:vAlign w:val="center"/>
          </w:tcPr>
          <w:p w14:paraId="3CED5424">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42" w:type="dxa"/>
            <w:tcBorders>
              <w:right w:val="single" w:color="auto" w:sz="4" w:space="0"/>
            </w:tcBorders>
            <w:vAlign w:val="center"/>
          </w:tcPr>
          <w:p w14:paraId="77C1AD09">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66" w:type="dxa"/>
            <w:tcBorders>
              <w:left w:val="single" w:color="auto" w:sz="4" w:space="0"/>
            </w:tcBorders>
            <w:vAlign w:val="center"/>
          </w:tcPr>
          <w:p w14:paraId="5C1828CE">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079" w:type="dxa"/>
            <w:vAlign w:val="center"/>
          </w:tcPr>
          <w:p w14:paraId="25E24E77">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45" w:type="dxa"/>
            <w:vAlign w:val="center"/>
          </w:tcPr>
          <w:p w14:paraId="75E8E6B8">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02E82998">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1F904C5E">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r>
      <w:tr w14:paraId="3FAA5B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71AD78D7">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28" w:type="dxa"/>
            <w:vAlign w:val="center"/>
          </w:tcPr>
          <w:p w14:paraId="2701CE36">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95" w:type="dxa"/>
            <w:vAlign w:val="center"/>
          </w:tcPr>
          <w:p w14:paraId="0B50BC12">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00" w:type="dxa"/>
            <w:vAlign w:val="center"/>
          </w:tcPr>
          <w:p w14:paraId="334BB8D6">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42" w:type="dxa"/>
            <w:tcBorders>
              <w:right w:val="single" w:color="auto" w:sz="4" w:space="0"/>
            </w:tcBorders>
            <w:vAlign w:val="center"/>
          </w:tcPr>
          <w:p w14:paraId="7AFEA95A">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66" w:type="dxa"/>
            <w:tcBorders>
              <w:left w:val="single" w:color="auto" w:sz="4" w:space="0"/>
            </w:tcBorders>
            <w:vAlign w:val="center"/>
          </w:tcPr>
          <w:p w14:paraId="16B3EA11">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079" w:type="dxa"/>
            <w:vAlign w:val="center"/>
          </w:tcPr>
          <w:p w14:paraId="0F275822">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45" w:type="dxa"/>
            <w:vAlign w:val="center"/>
          </w:tcPr>
          <w:p w14:paraId="736CCE8A">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303C7B32">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1B4EF8C5">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r>
      <w:tr w14:paraId="5ECA61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05893270">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28" w:type="dxa"/>
            <w:vAlign w:val="center"/>
          </w:tcPr>
          <w:p w14:paraId="7B60A017">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95" w:type="dxa"/>
            <w:vAlign w:val="center"/>
          </w:tcPr>
          <w:p w14:paraId="44EA9568">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00" w:type="dxa"/>
            <w:vAlign w:val="center"/>
          </w:tcPr>
          <w:p w14:paraId="767284C7">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42" w:type="dxa"/>
            <w:tcBorders>
              <w:right w:val="single" w:color="auto" w:sz="4" w:space="0"/>
            </w:tcBorders>
            <w:vAlign w:val="center"/>
          </w:tcPr>
          <w:p w14:paraId="225CC9DF">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66" w:type="dxa"/>
            <w:tcBorders>
              <w:left w:val="single" w:color="auto" w:sz="4" w:space="0"/>
            </w:tcBorders>
            <w:vAlign w:val="center"/>
          </w:tcPr>
          <w:p w14:paraId="5CB921FD">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079" w:type="dxa"/>
            <w:vAlign w:val="center"/>
          </w:tcPr>
          <w:p w14:paraId="4559C6AB">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45" w:type="dxa"/>
            <w:vAlign w:val="center"/>
          </w:tcPr>
          <w:p w14:paraId="20276D35">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239550FD">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3250BF5F">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r>
      <w:tr w14:paraId="2211FE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5" w:hRule="exact"/>
          <w:jc w:val="center"/>
        </w:trPr>
        <w:tc>
          <w:tcPr>
            <w:tcW w:w="378" w:type="dxa"/>
            <w:vAlign w:val="center"/>
          </w:tcPr>
          <w:p w14:paraId="150F0C5E">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28" w:type="dxa"/>
            <w:vAlign w:val="center"/>
          </w:tcPr>
          <w:p w14:paraId="7D5A2732">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95" w:type="dxa"/>
            <w:vAlign w:val="center"/>
          </w:tcPr>
          <w:p w14:paraId="069E9A16">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00" w:type="dxa"/>
            <w:vAlign w:val="center"/>
          </w:tcPr>
          <w:p w14:paraId="0D89E748">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642" w:type="dxa"/>
            <w:tcBorders>
              <w:right w:val="single" w:color="auto" w:sz="4" w:space="0"/>
            </w:tcBorders>
            <w:vAlign w:val="center"/>
          </w:tcPr>
          <w:p w14:paraId="7E7A6BDA">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66" w:type="dxa"/>
            <w:tcBorders>
              <w:left w:val="single" w:color="auto" w:sz="4" w:space="0"/>
            </w:tcBorders>
            <w:vAlign w:val="center"/>
          </w:tcPr>
          <w:p w14:paraId="39887AF7">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079" w:type="dxa"/>
            <w:vAlign w:val="center"/>
          </w:tcPr>
          <w:p w14:paraId="43E21771">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845" w:type="dxa"/>
            <w:vAlign w:val="center"/>
          </w:tcPr>
          <w:p w14:paraId="53AA2F5A">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42E77FB7">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461B5829">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r>
      <w:tr w14:paraId="401D0D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6" w:hRule="exact"/>
          <w:jc w:val="center"/>
        </w:trPr>
        <w:tc>
          <w:tcPr>
            <w:tcW w:w="1701" w:type="dxa"/>
            <w:gridSpan w:val="3"/>
            <w:vAlign w:val="center"/>
          </w:tcPr>
          <w:p w14:paraId="274D0F4C">
            <w:pPr>
              <w:autoSpaceDE w:val="0"/>
              <w:autoSpaceDN w:val="0"/>
              <w:adjustRightInd w:val="0"/>
              <w:snapToGrid w:val="0"/>
              <w:spacing w:line="360" w:lineRule="auto"/>
              <w:jc w:val="center"/>
              <w:rPr>
                <w:rFonts w:hint="eastAsia" w:ascii="宋体" w:hAnsi="宋体" w:cs="宋体"/>
                <w:snapToGrid w:val="0"/>
                <w:color w:val="auto"/>
                <w:kern w:val="0"/>
                <w:sz w:val="28"/>
                <w:szCs w:val="28"/>
                <w:highlight w:val="none"/>
              </w:rPr>
            </w:pPr>
            <w:r>
              <w:rPr>
                <w:rFonts w:hint="eastAsia" w:ascii="宋体" w:hAnsi="宋体" w:cs="宋体"/>
                <w:snapToGrid w:val="0"/>
                <w:color w:val="auto"/>
                <w:kern w:val="0"/>
                <w:sz w:val="28"/>
                <w:szCs w:val="28"/>
                <w:highlight w:val="none"/>
              </w:rPr>
              <w:t>最高限价</w:t>
            </w:r>
          </w:p>
        </w:tc>
        <w:tc>
          <w:tcPr>
            <w:tcW w:w="4232" w:type="dxa"/>
            <w:gridSpan w:val="5"/>
            <w:tcBorders>
              <w:right w:val="single" w:color="auto" w:sz="4" w:space="0"/>
            </w:tcBorders>
            <w:vAlign w:val="center"/>
          </w:tcPr>
          <w:p w14:paraId="52509BC4">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7974A124">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c>
          <w:tcPr>
            <w:tcW w:w="1435" w:type="dxa"/>
            <w:vAlign w:val="center"/>
          </w:tcPr>
          <w:p w14:paraId="0A56D459">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tc>
      </w:tr>
    </w:tbl>
    <w:p w14:paraId="35AD4F9D">
      <w:pPr>
        <w:tabs>
          <w:tab w:val="left" w:pos="2740"/>
          <w:tab w:val="left" w:pos="4940"/>
          <w:tab w:val="left" w:pos="7140"/>
        </w:tabs>
        <w:autoSpaceDE w:val="0"/>
        <w:autoSpaceDN w:val="0"/>
        <w:adjustRightInd w:val="0"/>
        <w:snapToGrid w:val="0"/>
        <w:spacing w:line="360" w:lineRule="auto"/>
        <w:jc w:val="left"/>
        <w:rPr>
          <w:rFonts w:hint="eastAsia" w:ascii="宋体" w:hAnsi="宋体" w:cs="宋体"/>
          <w:snapToGrid w:val="0"/>
          <w:color w:val="auto"/>
          <w:kern w:val="0"/>
          <w:szCs w:val="21"/>
          <w:highlight w:val="none"/>
        </w:rPr>
      </w:pPr>
    </w:p>
    <w:p w14:paraId="54D40B2E">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比选人代表：记录人： 监督人员：</w:t>
      </w:r>
    </w:p>
    <w:p w14:paraId="65BDD90C">
      <w:pPr>
        <w:autoSpaceDE w:val="0"/>
        <w:autoSpaceDN w:val="0"/>
        <w:adjustRightInd w:val="0"/>
        <w:snapToGrid w:val="0"/>
        <w:spacing w:before="62" w:beforeLines="20" w:line="360" w:lineRule="auto"/>
        <w:jc w:val="right"/>
        <w:rPr>
          <w:rFonts w:hint="eastAsia" w:ascii="宋体" w:hAnsi="宋体" w:cs="宋体"/>
          <w:snapToGrid w:val="0"/>
          <w:color w:val="auto"/>
          <w:kern w:val="0"/>
          <w:sz w:val="24"/>
          <w:highlight w:val="none"/>
        </w:rPr>
      </w:pPr>
    </w:p>
    <w:p w14:paraId="3F3C8C6F">
      <w:pPr>
        <w:autoSpaceDE w:val="0"/>
        <w:autoSpaceDN w:val="0"/>
        <w:adjustRightInd w:val="0"/>
        <w:snapToGrid w:val="0"/>
        <w:spacing w:before="62" w:beforeLines="20" w:line="360" w:lineRule="auto"/>
        <w:jc w:val="righ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年月日</w:t>
      </w:r>
    </w:p>
    <w:p w14:paraId="209611C6">
      <w:pPr>
        <w:widowControl/>
        <w:jc w:val="left"/>
        <w:rPr>
          <w:rFonts w:hint="eastAsia" w:ascii="宋体" w:hAnsi="宋体" w:cs="宋体"/>
          <w:b/>
          <w:snapToGrid w:val="0"/>
          <w:color w:val="auto"/>
          <w:kern w:val="0"/>
          <w:highlight w:val="none"/>
        </w:rPr>
      </w:pPr>
      <w:r>
        <w:rPr>
          <w:rFonts w:ascii="宋体" w:hAnsi="宋体" w:cs="宋体"/>
          <w:b/>
          <w:snapToGrid w:val="0"/>
          <w:color w:val="auto"/>
          <w:kern w:val="0"/>
          <w:highlight w:val="none"/>
        </w:rPr>
        <w:br w:type="page"/>
      </w:r>
      <w:r>
        <w:rPr>
          <w:rFonts w:hint="eastAsia" w:ascii="宋体" w:hAnsi="宋体" w:cs="宋体"/>
          <w:b/>
          <w:snapToGrid w:val="0"/>
          <w:color w:val="auto"/>
          <w:kern w:val="0"/>
          <w:highlight w:val="none"/>
        </w:rPr>
        <w:t>附表二：问题澄清通知</w:t>
      </w:r>
    </w:p>
    <w:p w14:paraId="38348A3C">
      <w:pPr>
        <w:autoSpaceDE w:val="0"/>
        <w:autoSpaceDN w:val="0"/>
        <w:adjustRightInd w:val="0"/>
        <w:snapToGrid w:val="0"/>
        <w:spacing w:line="360" w:lineRule="auto"/>
        <w:jc w:val="left"/>
        <w:rPr>
          <w:rFonts w:hint="eastAsia" w:ascii="宋体" w:hAnsi="宋体" w:cs="宋体"/>
          <w:b/>
          <w:snapToGrid w:val="0"/>
          <w:color w:val="auto"/>
          <w:kern w:val="0"/>
          <w:sz w:val="24"/>
          <w:highlight w:val="none"/>
        </w:rPr>
      </w:pPr>
    </w:p>
    <w:p w14:paraId="52A7E734">
      <w:pPr>
        <w:autoSpaceDE w:val="0"/>
        <w:autoSpaceDN w:val="0"/>
        <w:adjustRightInd w:val="0"/>
        <w:snapToGrid w:val="0"/>
        <w:spacing w:line="360" w:lineRule="auto"/>
        <w:jc w:val="center"/>
        <w:rPr>
          <w:rFonts w:hint="eastAsia" w:ascii="宋体" w:hAnsi="宋体" w:cs="宋体"/>
          <w:b/>
          <w:snapToGrid w:val="0"/>
          <w:color w:val="auto"/>
          <w:w w:val="99"/>
          <w:kern w:val="0"/>
          <w:sz w:val="32"/>
          <w:szCs w:val="32"/>
          <w:highlight w:val="none"/>
        </w:rPr>
      </w:pPr>
      <w:r>
        <w:rPr>
          <w:rFonts w:hint="eastAsia" w:ascii="宋体" w:hAnsi="宋体" w:cs="宋体"/>
          <w:b/>
          <w:snapToGrid w:val="0"/>
          <w:color w:val="auto"/>
          <w:w w:val="99"/>
          <w:kern w:val="0"/>
          <w:sz w:val="32"/>
          <w:szCs w:val="32"/>
          <w:highlight w:val="none"/>
        </w:rPr>
        <w:t>问题澄清通知</w:t>
      </w:r>
    </w:p>
    <w:p w14:paraId="0E5D93B4">
      <w:pPr>
        <w:autoSpaceDE w:val="0"/>
        <w:autoSpaceDN w:val="0"/>
        <w:adjustRightInd w:val="0"/>
        <w:snapToGrid w:val="0"/>
        <w:spacing w:line="360" w:lineRule="auto"/>
        <w:jc w:val="left"/>
        <w:rPr>
          <w:rFonts w:hint="eastAsia" w:ascii="宋体" w:hAnsi="宋体" w:cs="宋体"/>
          <w:b/>
          <w:snapToGrid w:val="0"/>
          <w:color w:val="auto"/>
          <w:kern w:val="0"/>
          <w:sz w:val="24"/>
          <w:highlight w:val="none"/>
        </w:rPr>
      </w:pPr>
    </w:p>
    <w:p w14:paraId="36F823C1">
      <w:pPr>
        <w:autoSpaceDE w:val="0"/>
        <w:autoSpaceDN w:val="0"/>
        <w:adjustRightInd w:val="0"/>
        <w:snapToGrid w:val="0"/>
        <w:spacing w:line="360" w:lineRule="auto"/>
        <w:ind w:firstLine="3255" w:firstLineChars="1550"/>
        <w:jc w:val="left"/>
        <w:rPr>
          <w:rFonts w:hint="eastAsia"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编号：</w:t>
      </w:r>
    </w:p>
    <w:p w14:paraId="688061E7">
      <w:pPr>
        <w:autoSpaceDE w:val="0"/>
        <w:autoSpaceDN w:val="0"/>
        <w:adjustRightInd w:val="0"/>
        <w:snapToGrid w:val="0"/>
        <w:spacing w:line="360" w:lineRule="auto"/>
        <w:jc w:val="left"/>
        <w:rPr>
          <w:rFonts w:hint="eastAsia" w:ascii="宋体" w:hAnsi="宋体" w:cs="宋体"/>
          <w:b/>
          <w:snapToGrid w:val="0"/>
          <w:color w:val="auto"/>
          <w:kern w:val="0"/>
          <w:sz w:val="24"/>
          <w:highlight w:val="none"/>
        </w:rPr>
      </w:pPr>
    </w:p>
    <w:p w14:paraId="2038BD00">
      <w:pPr>
        <w:autoSpaceDE w:val="0"/>
        <w:autoSpaceDN w:val="0"/>
        <w:adjustRightInd w:val="0"/>
        <w:snapToGrid w:val="0"/>
        <w:spacing w:line="360" w:lineRule="auto"/>
        <w:ind w:firstLine="140" w:firstLineChars="50"/>
        <w:rPr>
          <w:rFonts w:hint="eastAsia" w:ascii="宋体" w:hAnsi="宋体" w:cs="宋体"/>
          <w:snapToGrid w:val="0"/>
          <w:color w:val="auto"/>
          <w:kern w:val="0"/>
          <w:sz w:val="28"/>
          <w:szCs w:val="28"/>
          <w:highlight w:val="none"/>
        </w:rPr>
      </w:pPr>
    </w:p>
    <w:p w14:paraId="3BB779EC">
      <w:pPr>
        <w:tabs>
          <w:tab w:val="left" w:pos="1580"/>
        </w:tabs>
        <w:autoSpaceDE w:val="0"/>
        <w:autoSpaceDN w:val="0"/>
        <w:adjustRightInd w:val="0"/>
        <w:snapToGrid w:val="0"/>
        <w:spacing w:line="360" w:lineRule="auto"/>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（竞选人名称）：</w:t>
      </w:r>
    </w:p>
    <w:p w14:paraId="08CD332C">
      <w:pPr>
        <w:tabs>
          <w:tab w:val="left" w:pos="2320"/>
        </w:tabs>
        <w:autoSpaceDE w:val="0"/>
        <w:autoSpaceDN w:val="0"/>
        <w:adjustRightInd w:val="0"/>
        <w:snapToGrid w:val="0"/>
        <w:spacing w:line="360" w:lineRule="auto"/>
        <w:ind w:firstLine="212" w:firstLineChars="10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（项目名称）的评选委员会，对你方的竞选文件进行了仔细的审查，现需你方对下列问题以书面形式予以澄清：</w:t>
      </w:r>
    </w:p>
    <w:p w14:paraId="4330C9B2">
      <w:pPr>
        <w:autoSpaceDE w:val="0"/>
        <w:autoSpaceDN w:val="0"/>
        <w:adjustRightInd w:val="0"/>
        <w:snapToGrid w:val="0"/>
        <w:spacing w:line="360" w:lineRule="auto"/>
        <w:jc w:val="left"/>
        <w:rPr>
          <w:rFonts w:hint="eastAsia" w:ascii="宋体" w:hAnsi="宋体" w:cs="宋体"/>
          <w:snapToGrid w:val="0"/>
          <w:color w:val="auto"/>
          <w:kern w:val="0"/>
          <w:sz w:val="24"/>
          <w:highlight w:val="none"/>
        </w:rPr>
      </w:pPr>
    </w:p>
    <w:p w14:paraId="41B679AC">
      <w:pPr>
        <w:autoSpaceDE w:val="0"/>
        <w:autoSpaceDN w:val="0"/>
        <w:adjustRightInd w:val="0"/>
        <w:snapToGrid w:val="0"/>
        <w:spacing w:line="360" w:lineRule="auto"/>
        <w:jc w:val="left"/>
        <w:rPr>
          <w:rFonts w:hint="eastAsia" w:ascii="宋体" w:hAnsi="宋体" w:cs="宋体"/>
          <w:snapToGrid w:val="0"/>
          <w:color w:val="auto"/>
          <w:kern w:val="0"/>
          <w:sz w:val="24"/>
          <w:highlight w:val="none"/>
        </w:rPr>
      </w:pPr>
    </w:p>
    <w:p w14:paraId="10668451">
      <w:pPr>
        <w:autoSpaceDE w:val="0"/>
        <w:autoSpaceDN w:val="0"/>
        <w:adjustRightInd w:val="0"/>
        <w:snapToGrid w:val="0"/>
        <w:spacing w:line="360" w:lineRule="auto"/>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 </w:t>
      </w:r>
    </w:p>
    <w:p w14:paraId="47EEE02E">
      <w:pPr>
        <w:autoSpaceDE w:val="0"/>
        <w:autoSpaceDN w:val="0"/>
        <w:adjustRightInd w:val="0"/>
        <w:snapToGrid w:val="0"/>
        <w:spacing w:line="360" w:lineRule="auto"/>
        <w:jc w:val="left"/>
        <w:rPr>
          <w:rFonts w:hint="eastAsia" w:ascii="宋体" w:hAnsi="宋体" w:cs="宋体"/>
          <w:snapToGrid w:val="0"/>
          <w:color w:val="auto"/>
          <w:kern w:val="0"/>
          <w:szCs w:val="21"/>
          <w:highlight w:val="none"/>
        </w:rPr>
      </w:pPr>
    </w:p>
    <w:p w14:paraId="321B2CDD">
      <w:pPr>
        <w:autoSpaceDE w:val="0"/>
        <w:autoSpaceDN w:val="0"/>
        <w:adjustRightInd w:val="0"/>
        <w:snapToGrid w:val="0"/>
        <w:spacing w:line="360" w:lineRule="auto"/>
        <w:jc w:val="left"/>
        <w:rPr>
          <w:rFonts w:hint="eastAsia" w:ascii="宋体" w:hAnsi="宋体" w:cs="宋体"/>
          <w:snapToGrid w:val="0"/>
          <w:color w:val="auto"/>
          <w:kern w:val="0"/>
          <w:szCs w:val="21"/>
          <w:highlight w:val="none"/>
        </w:rPr>
      </w:pPr>
    </w:p>
    <w:p w14:paraId="5794E031">
      <w:pPr>
        <w:autoSpaceDE w:val="0"/>
        <w:autoSpaceDN w:val="0"/>
        <w:adjustRightInd w:val="0"/>
        <w:snapToGrid w:val="0"/>
        <w:spacing w:line="360" w:lineRule="auto"/>
        <w:jc w:val="left"/>
        <w:rPr>
          <w:rFonts w:hint="eastAsia" w:ascii="宋体" w:hAnsi="宋体" w:cs="宋体"/>
          <w:snapToGrid w:val="0"/>
          <w:color w:val="auto"/>
          <w:kern w:val="0"/>
          <w:sz w:val="18"/>
          <w:szCs w:val="18"/>
          <w:highlight w:val="none"/>
        </w:rPr>
      </w:pPr>
    </w:p>
    <w:p w14:paraId="0569A3B4">
      <w:pPr>
        <w:autoSpaceDE w:val="0"/>
        <w:autoSpaceDN w:val="0"/>
        <w:adjustRightInd w:val="0"/>
        <w:snapToGrid w:val="0"/>
        <w:spacing w:line="360" w:lineRule="auto"/>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2. </w:t>
      </w:r>
    </w:p>
    <w:p w14:paraId="40B9D315">
      <w:pPr>
        <w:autoSpaceDE w:val="0"/>
        <w:autoSpaceDN w:val="0"/>
        <w:adjustRightInd w:val="0"/>
        <w:snapToGrid w:val="0"/>
        <w:spacing w:line="360" w:lineRule="auto"/>
        <w:jc w:val="left"/>
        <w:rPr>
          <w:rFonts w:hint="eastAsia" w:ascii="宋体" w:hAnsi="宋体" w:cs="宋体"/>
          <w:snapToGrid w:val="0"/>
          <w:color w:val="auto"/>
          <w:kern w:val="0"/>
          <w:sz w:val="18"/>
          <w:szCs w:val="18"/>
          <w:highlight w:val="none"/>
        </w:rPr>
      </w:pPr>
    </w:p>
    <w:p w14:paraId="33E3AA4A">
      <w:pPr>
        <w:autoSpaceDE w:val="0"/>
        <w:autoSpaceDN w:val="0"/>
        <w:adjustRightInd w:val="0"/>
        <w:snapToGrid w:val="0"/>
        <w:spacing w:line="360" w:lineRule="auto"/>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p>
    <w:p w14:paraId="4008B4AC">
      <w:pPr>
        <w:autoSpaceDE w:val="0"/>
        <w:autoSpaceDN w:val="0"/>
        <w:adjustRightInd w:val="0"/>
        <w:snapToGrid w:val="0"/>
        <w:spacing w:line="360" w:lineRule="auto"/>
        <w:jc w:val="left"/>
        <w:rPr>
          <w:rFonts w:hint="eastAsia" w:ascii="宋体" w:hAnsi="宋体" w:cs="宋体"/>
          <w:snapToGrid w:val="0"/>
          <w:color w:val="auto"/>
          <w:kern w:val="0"/>
          <w:sz w:val="14"/>
          <w:szCs w:val="14"/>
          <w:highlight w:val="none"/>
        </w:rPr>
      </w:pPr>
    </w:p>
    <w:p w14:paraId="2907F185">
      <w:pPr>
        <w:autoSpaceDE w:val="0"/>
        <w:autoSpaceDN w:val="0"/>
        <w:adjustRightInd w:val="0"/>
        <w:snapToGrid w:val="0"/>
        <w:spacing w:line="360" w:lineRule="auto"/>
        <w:jc w:val="left"/>
        <w:rPr>
          <w:rFonts w:hint="eastAsia" w:ascii="宋体" w:hAnsi="宋体" w:cs="宋体"/>
          <w:snapToGrid w:val="0"/>
          <w:color w:val="auto"/>
          <w:kern w:val="0"/>
          <w:sz w:val="14"/>
          <w:szCs w:val="14"/>
          <w:highlight w:val="none"/>
        </w:rPr>
      </w:pPr>
    </w:p>
    <w:p w14:paraId="30C93649">
      <w:pPr>
        <w:autoSpaceDE w:val="0"/>
        <w:autoSpaceDN w:val="0"/>
        <w:adjustRightInd w:val="0"/>
        <w:snapToGrid w:val="0"/>
        <w:spacing w:line="360" w:lineRule="auto"/>
        <w:jc w:val="left"/>
        <w:rPr>
          <w:rFonts w:hint="eastAsia" w:ascii="宋体" w:hAnsi="宋体" w:cs="宋体"/>
          <w:snapToGrid w:val="0"/>
          <w:color w:val="auto"/>
          <w:kern w:val="0"/>
          <w:sz w:val="20"/>
          <w:szCs w:val="20"/>
          <w:highlight w:val="none"/>
        </w:rPr>
      </w:pPr>
    </w:p>
    <w:p w14:paraId="3234667D">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请将上述问题的澄清于年月日时前递交至（详细地址）或传真至（传真号码）。采用传真方式的，应在年月日时前将原件递交至</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（详细地址）。</w:t>
      </w:r>
    </w:p>
    <w:p w14:paraId="1F4C8654">
      <w:pPr>
        <w:autoSpaceDE w:val="0"/>
        <w:autoSpaceDN w:val="0"/>
        <w:adjustRightInd w:val="0"/>
        <w:snapToGrid w:val="0"/>
        <w:spacing w:line="360" w:lineRule="auto"/>
        <w:jc w:val="left"/>
        <w:rPr>
          <w:rFonts w:hint="eastAsia" w:ascii="宋体" w:hAnsi="宋体" w:cs="宋体"/>
          <w:snapToGrid w:val="0"/>
          <w:color w:val="auto"/>
          <w:kern w:val="0"/>
          <w:sz w:val="20"/>
          <w:szCs w:val="20"/>
          <w:highlight w:val="none"/>
        </w:rPr>
      </w:pPr>
    </w:p>
    <w:p w14:paraId="55CA11D7">
      <w:pPr>
        <w:autoSpaceDE w:val="0"/>
        <w:autoSpaceDN w:val="0"/>
        <w:adjustRightInd w:val="0"/>
        <w:snapToGrid w:val="0"/>
        <w:spacing w:line="360" w:lineRule="auto"/>
        <w:jc w:val="left"/>
        <w:rPr>
          <w:rFonts w:hint="eastAsia" w:ascii="宋体" w:hAnsi="宋体" w:cs="宋体"/>
          <w:snapToGrid w:val="0"/>
          <w:color w:val="auto"/>
          <w:kern w:val="0"/>
          <w:sz w:val="28"/>
          <w:szCs w:val="28"/>
          <w:highlight w:val="none"/>
        </w:rPr>
      </w:pPr>
    </w:p>
    <w:p w14:paraId="441B5054">
      <w:pPr>
        <w:tabs>
          <w:tab w:val="left" w:pos="6400"/>
        </w:tabs>
        <w:autoSpaceDE w:val="0"/>
        <w:autoSpaceDN w:val="0"/>
        <w:adjustRightInd w:val="0"/>
        <w:snapToGrid w:val="0"/>
        <w:spacing w:line="360" w:lineRule="auto"/>
        <w:jc w:val="right"/>
        <w:rPr>
          <w:rFonts w:hint="eastAsia" w:ascii="宋体" w:hAnsi="宋体" w:cs="宋体"/>
          <w:snapToGrid w:val="0"/>
          <w:color w:val="auto"/>
          <w:kern w:val="0"/>
          <w:sz w:val="24"/>
          <w:highlight w:val="none"/>
        </w:rPr>
      </w:pPr>
      <w:r>
        <w:rPr>
          <w:rFonts w:hint="eastAsia" w:ascii="宋体" w:hAnsi="宋体" w:cs="宋体"/>
          <w:snapToGrid w:val="0"/>
          <w:color w:val="auto"/>
          <w:kern w:val="0"/>
          <w:szCs w:val="21"/>
          <w:highlight w:val="none"/>
        </w:rPr>
        <w:t xml:space="preserve">                             评选委员会：（签字）</w:t>
      </w:r>
    </w:p>
    <w:p w14:paraId="66E57D95">
      <w:pPr>
        <w:autoSpaceDE w:val="0"/>
        <w:autoSpaceDN w:val="0"/>
        <w:adjustRightInd w:val="0"/>
        <w:snapToGrid w:val="0"/>
        <w:spacing w:line="360" w:lineRule="auto"/>
        <w:ind w:firstLine="315" w:firstLineChars="150"/>
        <w:jc w:val="right"/>
        <w:rPr>
          <w:rFonts w:hint="eastAsia" w:ascii="宋体" w:hAnsi="宋体" w:cs="宋体"/>
          <w:snapToGrid w:val="0"/>
          <w:color w:val="auto"/>
          <w:kern w:val="0"/>
          <w:szCs w:val="21"/>
          <w:highlight w:val="none"/>
        </w:rPr>
      </w:pPr>
    </w:p>
    <w:p w14:paraId="0D0F9985">
      <w:pPr>
        <w:wordWrap w:val="0"/>
        <w:autoSpaceDE w:val="0"/>
        <w:autoSpaceDN w:val="0"/>
        <w:adjustRightInd w:val="0"/>
        <w:snapToGrid w:val="0"/>
        <w:spacing w:line="360" w:lineRule="auto"/>
        <w:ind w:firstLine="850" w:firstLineChars="405"/>
        <w:jc w:val="righ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年月日  </w:t>
      </w:r>
    </w:p>
    <w:p w14:paraId="2A81355F">
      <w:pPr>
        <w:autoSpaceDE w:val="0"/>
        <w:autoSpaceDN w:val="0"/>
        <w:adjustRightInd w:val="0"/>
        <w:snapToGrid w:val="0"/>
        <w:spacing w:line="360" w:lineRule="auto"/>
        <w:jc w:val="left"/>
        <w:rPr>
          <w:rFonts w:hint="eastAsia" w:ascii="宋体" w:hAnsi="宋体" w:cs="宋体"/>
          <w:b/>
          <w:snapToGrid w:val="0"/>
          <w:color w:val="auto"/>
          <w:kern w:val="0"/>
          <w:highlight w:val="none"/>
        </w:rPr>
      </w:pPr>
    </w:p>
    <w:p w14:paraId="39E93DE0">
      <w:pPr>
        <w:autoSpaceDE w:val="0"/>
        <w:autoSpaceDN w:val="0"/>
        <w:adjustRightInd w:val="0"/>
        <w:snapToGrid w:val="0"/>
        <w:spacing w:line="360" w:lineRule="auto"/>
        <w:jc w:val="left"/>
        <w:rPr>
          <w:rFonts w:hint="eastAsia" w:ascii="宋体" w:hAnsi="宋体" w:cs="宋体"/>
          <w:b/>
          <w:snapToGrid w:val="0"/>
          <w:color w:val="auto"/>
          <w:kern w:val="0"/>
          <w:highlight w:val="none"/>
        </w:rPr>
      </w:pPr>
    </w:p>
    <w:p w14:paraId="43F79557">
      <w:pPr>
        <w:autoSpaceDE w:val="0"/>
        <w:autoSpaceDN w:val="0"/>
        <w:adjustRightInd w:val="0"/>
        <w:snapToGrid w:val="0"/>
        <w:spacing w:line="360" w:lineRule="auto"/>
        <w:jc w:val="left"/>
        <w:rPr>
          <w:rFonts w:hint="eastAsia" w:ascii="宋体" w:hAnsi="宋体" w:cs="宋体"/>
          <w:b/>
          <w:snapToGrid w:val="0"/>
          <w:color w:val="auto"/>
          <w:kern w:val="0"/>
          <w:highlight w:val="none"/>
        </w:rPr>
      </w:pPr>
    </w:p>
    <w:p w14:paraId="0C28F1B7">
      <w:pPr>
        <w:autoSpaceDE w:val="0"/>
        <w:autoSpaceDN w:val="0"/>
        <w:adjustRightInd w:val="0"/>
        <w:snapToGrid w:val="0"/>
        <w:spacing w:line="360" w:lineRule="auto"/>
        <w:jc w:val="left"/>
        <w:rPr>
          <w:rFonts w:hint="eastAsia" w:ascii="宋体" w:hAnsi="宋体" w:cs="宋体"/>
          <w:b/>
          <w:snapToGrid w:val="0"/>
          <w:color w:val="auto"/>
          <w:kern w:val="0"/>
          <w:highlight w:val="none"/>
        </w:rPr>
      </w:pPr>
    </w:p>
    <w:p w14:paraId="19CDBB6C">
      <w:pPr>
        <w:widowControl/>
        <w:jc w:val="left"/>
        <w:rPr>
          <w:rFonts w:hint="eastAsia" w:ascii="宋体" w:hAnsi="宋体" w:cs="宋体"/>
          <w:b/>
          <w:snapToGrid w:val="0"/>
          <w:color w:val="auto"/>
          <w:kern w:val="0"/>
          <w:highlight w:val="none"/>
        </w:rPr>
      </w:pPr>
      <w:r>
        <w:rPr>
          <w:rFonts w:ascii="宋体" w:hAnsi="宋体" w:cs="宋体"/>
          <w:b/>
          <w:snapToGrid w:val="0"/>
          <w:color w:val="auto"/>
          <w:kern w:val="0"/>
          <w:highlight w:val="none"/>
        </w:rPr>
        <w:br w:type="page"/>
      </w:r>
    </w:p>
    <w:p w14:paraId="049BCBB8">
      <w:pPr>
        <w:autoSpaceDE w:val="0"/>
        <w:autoSpaceDN w:val="0"/>
        <w:adjustRightInd w:val="0"/>
        <w:snapToGrid w:val="0"/>
        <w:spacing w:line="360" w:lineRule="auto"/>
        <w:jc w:val="left"/>
        <w:outlineLvl w:val="2"/>
        <w:rPr>
          <w:rFonts w:hint="eastAsia" w:ascii="宋体" w:hAnsi="宋体" w:cs="宋体"/>
          <w:b/>
          <w:snapToGrid w:val="0"/>
          <w:color w:val="auto"/>
          <w:kern w:val="0"/>
          <w:highlight w:val="none"/>
        </w:rPr>
      </w:pPr>
      <w:r>
        <w:rPr>
          <w:rFonts w:hint="eastAsia" w:ascii="宋体" w:hAnsi="宋体" w:cs="宋体"/>
          <w:b/>
          <w:snapToGrid w:val="0"/>
          <w:color w:val="auto"/>
          <w:kern w:val="0"/>
          <w:highlight w:val="none"/>
        </w:rPr>
        <w:t>附表三：问题的澄清</w:t>
      </w:r>
    </w:p>
    <w:p w14:paraId="67E30F22">
      <w:pPr>
        <w:autoSpaceDE w:val="0"/>
        <w:autoSpaceDN w:val="0"/>
        <w:adjustRightInd w:val="0"/>
        <w:snapToGrid w:val="0"/>
        <w:spacing w:line="360" w:lineRule="auto"/>
        <w:jc w:val="left"/>
        <w:rPr>
          <w:rFonts w:hint="eastAsia" w:ascii="宋体" w:hAnsi="宋体" w:cs="宋体"/>
          <w:b/>
          <w:snapToGrid w:val="0"/>
          <w:color w:val="auto"/>
          <w:kern w:val="0"/>
          <w:sz w:val="10"/>
          <w:szCs w:val="10"/>
          <w:highlight w:val="none"/>
        </w:rPr>
      </w:pPr>
    </w:p>
    <w:p w14:paraId="0CC87B86">
      <w:pPr>
        <w:autoSpaceDE w:val="0"/>
        <w:autoSpaceDN w:val="0"/>
        <w:adjustRightInd w:val="0"/>
        <w:snapToGrid w:val="0"/>
        <w:spacing w:line="360" w:lineRule="auto"/>
        <w:jc w:val="center"/>
        <w:rPr>
          <w:rFonts w:hint="eastAsia" w:ascii="宋体" w:hAnsi="宋体" w:cs="宋体"/>
          <w:b/>
          <w:snapToGrid w:val="0"/>
          <w:color w:val="auto"/>
          <w:kern w:val="0"/>
          <w:sz w:val="32"/>
          <w:szCs w:val="32"/>
          <w:highlight w:val="none"/>
        </w:rPr>
      </w:pPr>
      <w:r>
        <w:rPr>
          <w:rFonts w:hint="eastAsia" w:ascii="宋体" w:hAnsi="宋体" w:cs="宋体"/>
          <w:b/>
          <w:snapToGrid w:val="0"/>
          <w:color w:val="auto"/>
          <w:w w:val="99"/>
          <w:kern w:val="0"/>
          <w:sz w:val="32"/>
          <w:szCs w:val="32"/>
          <w:highlight w:val="none"/>
        </w:rPr>
        <w:t>问题的澄清</w:t>
      </w:r>
    </w:p>
    <w:p w14:paraId="023773F0">
      <w:pPr>
        <w:autoSpaceDE w:val="0"/>
        <w:autoSpaceDN w:val="0"/>
        <w:adjustRightInd w:val="0"/>
        <w:snapToGrid w:val="0"/>
        <w:spacing w:line="360" w:lineRule="auto"/>
        <w:ind w:firstLine="3255" w:firstLineChars="1550"/>
        <w:jc w:val="left"/>
        <w:rPr>
          <w:rFonts w:hint="eastAsia" w:ascii="宋体" w:hAnsi="宋体" w:cs="宋体"/>
          <w:snapToGrid w:val="0"/>
          <w:color w:val="auto"/>
          <w:kern w:val="0"/>
          <w:szCs w:val="21"/>
          <w:highlight w:val="none"/>
        </w:rPr>
      </w:pPr>
    </w:p>
    <w:p w14:paraId="246770C4">
      <w:pPr>
        <w:autoSpaceDE w:val="0"/>
        <w:autoSpaceDN w:val="0"/>
        <w:adjustRightInd w:val="0"/>
        <w:snapToGrid w:val="0"/>
        <w:spacing w:line="360" w:lineRule="auto"/>
        <w:ind w:firstLine="3255" w:firstLineChars="1550"/>
        <w:jc w:val="left"/>
        <w:rPr>
          <w:rFonts w:hint="eastAsia"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编号：</w:t>
      </w:r>
    </w:p>
    <w:p w14:paraId="2F5DD9FC">
      <w:pPr>
        <w:autoSpaceDE w:val="0"/>
        <w:autoSpaceDN w:val="0"/>
        <w:adjustRightInd w:val="0"/>
        <w:snapToGrid w:val="0"/>
        <w:spacing w:line="360" w:lineRule="auto"/>
        <w:ind w:firstLine="3150" w:firstLineChars="1500"/>
        <w:rPr>
          <w:rFonts w:hint="eastAsia" w:ascii="宋体" w:hAnsi="宋体" w:cs="宋体"/>
          <w:snapToGrid w:val="0"/>
          <w:color w:val="auto"/>
          <w:kern w:val="0"/>
          <w:szCs w:val="21"/>
          <w:highlight w:val="none"/>
        </w:rPr>
      </w:pPr>
    </w:p>
    <w:p w14:paraId="3E806DAA">
      <w:pPr>
        <w:autoSpaceDE w:val="0"/>
        <w:autoSpaceDN w:val="0"/>
        <w:adjustRightInd w:val="0"/>
        <w:snapToGrid w:val="0"/>
        <w:spacing w:line="360" w:lineRule="auto"/>
        <w:ind w:firstLine="3150" w:firstLineChars="1500"/>
        <w:rPr>
          <w:rFonts w:hint="eastAsia" w:ascii="宋体" w:hAnsi="宋体" w:cs="宋体"/>
          <w:snapToGrid w:val="0"/>
          <w:color w:val="auto"/>
          <w:kern w:val="0"/>
          <w:szCs w:val="21"/>
          <w:highlight w:val="none"/>
        </w:rPr>
      </w:pPr>
    </w:p>
    <w:p w14:paraId="5FFBF9C8">
      <w:pPr>
        <w:tabs>
          <w:tab w:val="left" w:pos="2415"/>
          <w:tab w:val="left" w:pos="3480"/>
          <w:tab w:val="left" w:pos="4200"/>
        </w:tabs>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（项目名称）评选委员会：</w:t>
      </w:r>
    </w:p>
    <w:p w14:paraId="60AA647E">
      <w:pPr>
        <w:tabs>
          <w:tab w:val="left" w:pos="2000"/>
          <w:tab w:val="left" w:pos="3480"/>
          <w:tab w:val="left" w:pos="4200"/>
        </w:tabs>
        <w:autoSpaceDE w:val="0"/>
        <w:autoSpaceDN w:val="0"/>
        <w:adjustRightInd w:val="0"/>
        <w:snapToGrid w:val="0"/>
        <w:spacing w:line="360" w:lineRule="auto"/>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问题澄清通知（编号：</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）已收悉，现澄清如下：</w:t>
      </w:r>
    </w:p>
    <w:p w14:paraId="03DE12C3">
      <w:pPr>
        <w:autoSpaceDE w:val="0"/>
        <w:autoSpaceDN w:val="0"/>
        <w:adjustRightInd w:val="0"/>
        <w:snapToGrid w:val="0"/>
        <w:spacing w:line="360" w:lineRule="auto"/>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 </w:t>
      </w:r>
    </w:p>
    <w:p w14:paraId="79828646">
      <w:pPr>
        <w:autoSpaceDE w:val="0"/>
        <w:autoSpaceDN w:val="0"/>
        <w:adjustRightInd w:val="0"/>
        <w:snapToGrid w:val="0"/>
        <w:spacing w:line="360" w:lineRule="auto"/>
        <w:jc w:val="left"/>
        <w:rPr>
          <w:rFonts w:hint="eastAsia" w:ascii="宋体" w:hAnsi="宋体" w:cs="宋体"/>
          <w:snapToGrid w:val="0"/>
          <w:color w:val="auto"/>
          <w:kern w:val="0"/>
          <w:sz w:val="18"/>
          <w:szCs w:val="18"/>
          <w:highlight w:val="none"/>
        </w:rPr>
      </w:pPr>
    </w:p>
    <w:p w14:paraId="1F66178E">
      <w:pPr>
        <w:autoSpaceDE w:val="0"/>
        <w:autoSpaceDN w:val="0"/>
        <w:adjustRightInd w:val="0"/>
        <w:snapToGrid w:val="0"/>
        <w:spacing w:line="360" w:lineRule="auto"/>
        <w:jc w:val="left"/>
        <w:rPr>
          <w:rFonts w:hint="eastAsia" w:ascii="宋体" w:hAnsi="宋体" w:cs="宋体"/>
          <w:snapToGrid w:val="0"/>
          <w:color w:val="auto"/>
          <w:kern w:val="0"/>
          <w:sz w:val="18"/>
          <w:szCs w:val="18"/>
          <w:highlight w:val="none"/>
        </w:rPr>
      </w:pPr>
    </w:p>
    <w:p w14:paraId="2AA25A42">
      <w:pPr>
        <w:autoSpaceDE w:val="0"/>
        <w:autoSpaceDN w:val="0"/>
        <w:adjustRightInd w:val="0"/>
        <w:snapToGrid w:val="0"/>
        <w:spacing w:line="360" w:lineRule="auto"/>
        <w:jc w:val="left"/>
        <w:rPr>
          <w:rFonts w:hint="eastAsia" w:ascii="宋体" w:hAnsi="宋体" w:cs="宋体"/>
          <w:snapToGrid w:val="0"/>
          <w:color w:val="auto"/>
          <w:kern w:val="0"/>
          <w:sz w:val="18"/>
          <w:szCs w:val="18"/>
          <w:highlight w:val="none"/>
        </w:rPr>
      </w:pPr>
    </w:p>
    <w:p w14:paraId="316D6E3E">
      <w:pPr>
        <w:autoSpaceDE w:val="0"/>
        <w:autoSpaceDN w:val="0"/>
        <w:adjustRightInd w:val="0"/>
        <w:snapToGrid w:val="0"/>
        <w:spacing w:line="360" w:lineRule="auto"/>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2. </w:t>
      </w:r>
    </w:p>
    <w:p w14:paraId="4E2B1950">
      <w:pPr>
        <w:autoSpaceDE w:val="0"/>
        <w:autoSpaceDN w:val="0"/>
        <w:adjustRightInd w:val="0"/>
        <w:snapToGrid w:val="0"/>
        <w:spacing w:line="360" w:lineRule="auto"/>
        <w:jc w:val="left"/>
        <w:rPr>
          <w:rFonts w:hint="eastAsia" w:ascii="宋体" w:hAnsi="宋体" w:cs="宋体"/>
          <w:snapToGrid w:val="0"/>
          <w:color w:val="auto"/>
          <w:kern w:val="0"/>
          <w:sz w:val="20"/>
          <w:szCs w:val="20"/>
          <w:highlight w:val="none"/>
        </w:rPr>
      </w:pPr>
    </w:p>
    <w:p w14:paraId="6676F544">
      <w:pPr>
        <w:autoSpaceDE w:val="0"/>
        <w:autoSpaceDN w:val="0"/>
        <w:adjustRightInd w:val="0"/>
        <w:snapToGrid w:val="0"/>
        <w:spacing w:line="360" w:lineRule="auto"/>
        <w:jc w:val="left"/>
        <w:rPr>
          <w:rFonts w:hint="eastAsia" w:ascii="宋体" w:hAnsi="宋体" w:cs="宋体"/>
          <w:snapToGrid w:val="0"/>
          <w:color w:val="auto"/>
          <w:kern w:val="0"/>
          <w:sz w:val="20"/>
          <w:szCs w:val="20"/>
          <w:highlight w:val="none"/>
        </w:rPr>
      </w:pPr>
    </w:p>
    <w:p w14:paraId="7CAC1E6C">
      <w:pPr>
        <w:autoSpaceDE w:val="0"/>
        <w:autoSpaceDN w:val="0"/>
        <w:adjustRightInd w:val="0"/>
        <w:snapToGrid w:val="0"/>
        <w:spacing w:line="360" w:lineRule="auto"/>
        <w:jc w:val="left"/>
        <w:rPr>
          <w:rFonts w:hint="eastAsia" w:ascii="宋体" w:hAnsi="宋体" w:cs="宋体"/>
          <w:snapToGrid w:val="0"/>
          <w:color w:val="auto"/>
          <w:kern w:val="0"/>
          <w:sz w:val="22"/>
          <w:szCs w:val="22"/>
          <w:highlight w:val="none"/>
        </w:rPr>
      </w:pPr>
    </w:p>
    <w:p w14:paraId="72180493">
      <w:pPr>
        <w:autoSpaceDE w:val="0"/>
        <w:autoSpaceDN w:val="0"/>
        <w:adjustRightInd w:val="0"/>
        <w:snapToGrid w:val="0"/>
        <w:spacing w:line="360" w:lineRule="auto"/>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p>
    <w:p w14:paraId="1E74789C">
      <w:pPr>
        <w:autoSpaceDE w:val="0"/>
        <w:autoSpaceDN w:val="0"/>
        <w:adjustRightInd w:val="0"/>
        <w:snapToGrid w:val="0"/>
        <w:spacing w:line="360" w:lineRule="auto"/>
        <w:jc w:val="left"/>
        <w:rPr>
          <w:rFonts w:hint="eastAsia" w:ascii="宋体" w:hAnsi="宋体" w:cs="宋体"/>
          <w:snapToGrid w:val="0"/>
          <w:color w:val="auto"/>
          <w:kern w:val="0"/>
          <w:sz w:val="18"/>
          <w:szCs w:val="18"/>
          <w:highlight w:val="none"/>
        </w:rPr>
      </w:pPr>
    </w:p>
    <w:p w14:paraId="7543C03A">
      <w:pPr>
        <w:autoSpaceDE w:val="0"/>
        <w:autoSpaceDN w:val="0"/>
        <w:adjustRightInd w:val="0"/>
        <w:snapToGrid w:val="0"/>
        <w:spacing w:line="360" w:lineRule="auto"/>
        <w:jc w:val="left"/>
        <w:rPr>
          <w:rFonts w:hint="eastAsia" w:ascii="宋体" w:hAnsi="宋体" w:cs="宋体"/>
          <w:snapToGrid w:val="0"/>
          <w:color w:val="auto"/>
          <w:kern w:val="0"/>
          <w:sz w:val="20"/>
          <w:szCs w:val="20"/>
          <w:highlight w:val="none"/>
        </w:rPr>
      </w:pPr>
    </w:p>
    <w:p w14:paraId="43325CD1">
      <w:pPr>
        <w:autoSpaceDE w:val="0"/>
        <w:autoSpaceDN w:val="0"/>
        <w:adjustRightInd w:val="0"/>
        <w:snapToGrid w:val="0"/>
        <w:spacing w:line="360" w:lineRule="auto"/>
        <w:jc w:val="left"/>
        <w:rPr>
          <w:rFonts w:hint="eastAsia" w:ascii="宋体" w:hAnsi="宋体" w:cs="宋体"/>
          <w:snapToGrid w:val="0"/>
          <w:color w:val="auto"/>
          <w:kern w:val="0"/>
          <w:sz w:val="20"/>
          <w:szCs w:val="20"/>
          <w:highlight w:val="none"/>
        </w:rPr>
      </w:pPr>
    </w:p>
    <w:p w14:paraId="7E1F9F8E">
      <w:pPr>
        <w:autoSpaceDE w:val="0"/>
        <w:autoSpaceDN w:val="0"/>
        <w:adjustRightInd w:val="0"/>
        <w:snapToGrid w:val="0"/>
        <w:spacing w:line="360" w:lineRule="auto"/>
        <w:jc w:val="left"/>
        <w:rPr>
          <w:rFonts w:hint="eastAsia" w:ascii="宋体" w:hAnsi="宋体" w:cs="宋体"/>
          <w:snapToGrid w:val="0"/>
          <w:color w:val="auto"/>
          <w:kern w:val="0"/>
          <w:sz w:val="20"/>
          <w:szCs w:val="20"/>
          <w:highlight w:val="none"/>
        </w:rPr>
      </w:pPr>
    </w:p>
    <w:p w14:paraId="1E38FE6D">
      <w:pPr>
        <w:autoSpaceDE w:val="0"/>
        <w:autoSpaceDN w:val="0"/>
        <w:adjustRightInd w:val="0"/>
        <w:snapToGrid w:val="0"/>
        <w:spacing w:line="360" w:lineRule="auto"/>
        <w:jc w:val="left"/>
        <w:rPr>
          <w:rFonts w:hint="eastAsia" w:ascii="宋体" w:hAnsi="宋体" w:cs="宋体"/>
          <w:snapToGrid w:val="0"/>
          <w:color w:val="auto"/>
          <w:kern w:val="0"/>
          <w:sz w:val="20"/>
          <w:szCs w:val="20"/>
          <w:highlight w:val="none"/>
        </w:rPr>
      </w:pPr>
    </w:p>
    <w:p w14:paraId="0B856E8C">
      <w:pPr>
        <w:tabs>
          <w:tab w:val="left" w:pos="7035"/>
        </w:tabs>
        <w:autoSpaceDE w:val="0"/>
        <w:autoSpaceDN w:val="0"/>
        <w:adjustRightInd w:val="0"/>
        <w:snapToGrid w:val="0"/>
        <w:spacing w:line="360" w:lineRule="auto"/>
        <w:ind w:firstLine="2551" w:firstLineChars="1215"/>
        <w:jc w:val="righ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竞选人：（盖单位公章） </w:t>
      </w:r>
    </w:p>
    <w:p w14:paraId="18EEA743">
      <w:pPr>
        <w:tabs>
          <w:tab w:val="left" w:pos="6620"/>
          <w:tab w:val="left" w:pos="7040"/>
        </w:tabs>
        <w:autoSpaceDE w:val="0"/>
        <w:autoSpaceDN w:val="0"/>
        <w:adjustRightInd w:val="0"/>
        <w:snapToGrid w:val="0"/>
        <w:spacing w:line="360" w:lineRule="auto"/>
        <w:ind w:firstLine="2551" w:firstLineChars="1215"/>
        <w:jc w:val="righ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法定代表人或其委托代理人：</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（签字或盖章）</w:t>
      </w:r>
    </w:p>
    <w:p w14:paraId="169363E0">
      <w:pPr>
        <w:autoSpaceDE w:val="0"/>
        <w:autoSpaceDN w:val="0"/>
        <w:adjustRightInd w:val="0"/>
        <w:snapToGrid w:val="0"/>
        <w:spacing w:line="360" w:lineRule="auto"/>
        <w:jc w:val="right"/>
        <w:rPr>
          <w:rFonts w:hint="eastAsia" w:ascii="宋体" w:hAnsi="宋体" w:cs="宋体"/>
          <w:snapToGrid w:val="0"/>
          <w:color w:val="auto"/>
          <w:kern w:val="0"/>
          <w:sz w:val="20"/>
          <w:szCs w:val="20"/>
          <w:highlight w:val="none"/>
        </w:rPr>
      </w:pPr>
    </w:p>
    <w:p w14:paraId="2F6B3422">
      <w:pPr>
        <w:wordWrap w:val="0"/>
        <w:autoSpaceDE w:val="0"/>
        <w:autoSpaceDN w:val="0"/>
        <w:adjustRightInd w:val="0"/>
        <w:snapToGrid w:val="0"/>
        <w:spacing w:line="360" w:lineRule="auto"/>
        <w:ind w:firstLine="315" w:firstLineChars="150"/>
        <w:jc w:val="righ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年月日 </w:t>
      </w:r>
    </w:p>
    <w:p w14:paraId="3EBBD930">
      <w:pPr>
        <w:autoSpaceDE w:val="0"/>
        <w:autoSpaceDN w:val="0"/>
        <w:adjustRightInd w:val="0"/>
        <w:snapToGrid w:val="0"/>
        <w:spacing w:line="360" w:lineRule="auto"/>
        <w:jc w:val="left"/>
        <w:rPr>
          <w:rFonts w:hint="eastAsia" w:ascii="宋体" w:hAnsi="宋体" w:cs="宋体"/>
          <w:b/>
          <w:snapToGrid w:val="0"/>
          <w:color w:val="auto"/>
          <w:kern w:val="0"/>
          <w:sz w:val="24"/>
          <w:highlight w:val="none"/>
        </w:rPr>
      </w:pPr>
    </w:p>
    <w:p w14:paraId="4787E24D">
      <w:pPr>
        <w:autoSpaceDE w:val="0"/>
        <w:autoSpaceDN w:val="0"/>
        <w:adjustRightInd w:val="0"/>
        <w:snapToGrid w:val="0"/>
        <w:spacing w:line="360" w:lineRule="auto"/>
        <w:jc w:val="left"/>
        <w:rPr>
          <w:rFonts w:hint="eastAsia" w:ascii="宋体" w:hAnsi="宋体" w:cs="宋体"/>
          <w:b/>
          <w:snapToGrid w:val="0"/>
          <w:color w:val="auto"/>
          <w:kern w:val="0"/>
          <w:highlight w:val="none"/>
        </w:rPr>
      </w:pPr>
    </w:p>
    <w:p w14:paraId="430171F9">
      <w:pPr>
        <w:widowControl/>
        <w:jc w:val="left"/>
        <w:rPr>
          <w:rFonts w:hint="eastAsia" w:ascii="宋体" w:hAnsi="宋体" w:cs="宋体"/>
          <w:b/>
          <w:snapToGrid w:val="0"/>
          <w:color w:val="auto"/>
          <w:kern w:val="0"/>
          <w:highlight w:val="none"/>
        </w:rPr>
      </w:pPr>
      <w:r>
        <w:rPr>
          <w:rFonts w:ascii="宋体" w:hAnsi="宋体" w:cs="宋体"/>
          <w:b/>
          <w:snapToGrid w:val="0"/>
          <w:color w:val="auto"/>
          <w:kern w:val="0"/>
          <w:highlight w:val="none"/>
        </w:rPr>
        <w:br w:type="page"/>
      </w:r>
    </w:p>
    <w:p w14:paraId="297E3AAB">
      <w:pPr>
        <w:autoSpaceDE w:val="0"/>
        <w:autoSpaceDN w:val="0"/>
        <w:adjustRightInd w:val="0"/>
        <w:snapToGrid w:val="0"/>
        <w:spacing w:line="360" w:lineRule="auto"/>
        <w:jc w:val="left"/>
        <w:outlineLvl w:val="2"/>
        <w:rPr>
          <w:rFonts w:hint="eastAsia" w:ascii="宋体" w:hAnsi="宋体" w:cs="宋体"/>
          <w:snapToGrid w:val="0"/>
          <w:color w:val="auto"/>
          <w:kern w:val="0"/>
          <w:sz w:val="20"/>
          <w:szCs w:val="20"/>
          <w:highlight w:val="none"/>
        </w:rPr>
      </w:pPr>
      <w:r>
        <w:rPr>
          <w:rFonts w:hint="eastAsia" w:ascii="宋体" w:hAnsi="宋体" w:cs="宋体"/>
          <w:b/>
          <w:snapToGrid w:val="0"/>
          <w:color w:val="auto"/>
          <w:kern w:val="0"/>
          <w:highlight w:val="none"/>
        </w:rPr>
        <w:t>附表四：中选通知书</w:t>
      </w:r>
    </w:p>
    <w:p w14:paraId="6A9D8A76">
      <w:pPr>
        <w:autoSpaceDE w:val="0"/>
        <w:autoSpaceDN w:val="0"/>
        <w:adjustRightInd w:val="0"/>
        <w:snapToGrid w:val="0"/>
        <w:spacing w:line="360" w:lineRule="auto"/>
        <w:jc w:val="center"/>
        <w:rPr>
          <w:rFonts w:hint="eastAsia" w:ascii="宋体" w:hAnsi="宋体" w:cs="宋体"/>
          <w:b/>
          <w:snapToGrid w:val="0"/>
          <w:color w:val="auto"/>
          <w:w w:val="99"/>
          <w:kern w:val="0"/>
          <w:sz w:val="32"/>
          <w:szCs w:val="32"/>
          <w:highlight w:val="none"/>
        </w:rPr>
      </w:pPr>
    </w:p>
    <w:p w14:paraId="38D5B0A0">
      <w:pPr>
        <w:autoSpaceDE w:val="0"/>
        <w:autoSpaceDN w:val="0"/>
        <w:adjustRightInd w:val="0"/>
        <w:snapToGrid w:val="0"/>
        <w:spacing w:line="360" w:lineRule="auto"/>
        <w:jc w:val="center"/>
        <w:rPr>
          <w:rFonts w:hint="eastAsia" w:ascii="宋体" w:hAnsi="宋体" w:cs="宋体"/>
          <w:b/>
          <w:snapToGrid w:val="0"/>
          <w:color w:val="auto"/>
          <w:w w:val="99"/>
          <w:kern w:val="0"/>
          <w:sz w:val="32"/>
          <w:szCs w:val="32"/>
          <w:highlight w:val="none"/>
        </w:rPr>
      </w:pPr>
      <w:r>
        <w:rPr>
          <w:rFonts w:hint="eastAsia" w:ascii="宋体" w:hAnsi="宋体" w:cs="宋体"/>
          <w:b/>
          <w:snapToGrid w:val="0"/>
          <w:color w:val="auto"/>
          <w:w w:val="99"/>
          <w:kern w:val="0"/>
          <w:sz w:val="32"/>
          <w:szCs w:val="32"/>
          <w:highlight w:val="none"/>
        </w:rPr>
        <w:t>中选通知书</w:t>
      </w:r>
    </w:p>
    <w:p w14:paraId="78E5C935">
      <w:pPr>
        <w:autoSpaceDE w:val="0"/>
        <w:autoSpaceDN w:val="0"/>
        <w:adjustRightInd w:val="0"/>
        <w:spacing w:line="360" w:lineRule="auto"/>
        <w:jc w:val="left"/>
        <w:rPr>
          <w:rFonts w:hint="eastAsia" w:ascii="宋体" w:hAnsi="宋体" w:cs="宋体"/>
          <w:snapToGrid w:val="0"/>
          <w:color w:val="auto"/>
          <w:kern w:val="0"/>
          <w:sz w:val="20"/>
          <w:szCs w:val="20"/>
          <w:highlight w:val="none"/>
        </w:rPr>
      </w:pPr>
    </w:p>
    <w:p w14:paraId="2264E35A">
      <w:pPr>
        <w:spacing w:line="360" w:lineRule="auto"/>
        <w:rPr>
          <w:rFonts w:hint="eastAsia" w:ascii="宋体" w:hAnsi="宋体" w:cs="宋体"/>
          <w:bCs/>
          <w:color w:val="auto"/>
          <w:kern w:val="0"/>
          <w:szCs w:val="21"/>
          <w:highlight w:val="none"/>
          <w:u w:val="single"/>
        </w:rPr>
      </w:pPr>
      <w:r>
        <w:rPr>
          <w:rFonts w:hint="eastAsia" w:ascii="宋体" w:hAnsi="宋体" w:cs="宋体"/>
          <w:color w:val="auto"/>
          <w:kern w:val="0"/>
          <w:szCs w:val="21"/>
          <w:highlight w:val="none"/>
          <w:u w:val="single"/>
        </w:rPr>
        <w:t>中选单位</w:t>
      </w:r>
      <w:r>
        <w:rPr>
          <w:rFonts w:hint="eastAsia" w:ascii="宋体" w:hAnsi="宋体" w:cs="宋体"/>
          <w:bCs/>
          <w:color w:val="auto"/>
          <w:kern w:val="0"/>
          <w:szCs w:val="21"/>
          <w:highlight w:val="none"/>
        </w:rPr>
        <w:t>：</w:t>
      </w:r>
    </w:p>
    <w:p w14:paraId="1372B928">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我单位拟建的 于年月日进行竞争性比选，经评选委员会评定，确定你单位为中选人，中选暂定总价为</w:t>
      </w:r>
      <w:r>
        <w:rPr>
          <w:rFonts w:hint="eastAsia" w:ascii="宋体" w:hAnsi="宋体" w:cs="宋体"/>
          <w:bCs/>
          <w:color w:val="auto"/>
          <w:kern w:val="0"/>
          <w:szCs w:val="21"/>
          <w:highlight w:val="none"/>
        </w:rPr>
        <w:t xml:space="preserve"> ，取费折扣比例为，</w:t>
      </w:r>
      <w:r>
        <w:rPr>
          <w:rFonts w:hint="eastAsia" w:ascii="宋体" w:hAnsi="宋体" w:cs="宋体"/>
          <w:color w:val="auto"/>
          <w:kern w:val="0"/>
          <w:szCs w:val="21"/>
          <w:highlight w:val="none"/>
        </w:rPr>
        <w:t>中选项目范围：，工程规模为 ，中选服务期，质量要求：。</w:t>
      </w:r>
    </w:p>
    <w:p w14:paraId="3335F59E">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你单位收到中选通知书后，在 日内到我单位签订施工合同。</w:t>
      </w:r>
    </w:p>
    <w:p w14:paraId="381C902E">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特此通知。</w:t>
      </w:r>
    </w:p>
    <w:p w14:paraId="3AD41020">
      <w:pPr>
        <w:spacing w:line="360" w:lineRule="auto"/>
        <w:rPr>
          <w:rFonts w:hint="eastAsia" w:ascii="宋体" w:hAnsi="宋体" w:cs="宋体"/>
          <w:color w:val="auto"/>
          <w:kern w:val="0"/>
          <w:sz w:val="24"/>
          <w:highlight w:val="none"/>
        </w:rPr>
      </w:pPr>
    </w:p>
    <w:p w14:paraId="747B662D">
      <w:pPr>
        <w:spacing w:line="360" w:lineRule="auto"/>
        <w:rPr>
          <w:rFonts w:hint="eastAsia" w:ascii="宋体" w:hAnsi="宋体" w:cs="宋体"/>
          <w:color w:val="auto"/>
          <w:kern w:val="0"/>
          <w:sz w:val="24"/>
          <w:highlight w:val="none"/>
        </w:rPr>
      </w:pPr>
    </w:p>
    <w:p w14:paraId="3D0BC249">
      <w:pPr>
        <w:spacing w:line="360" w:lineRule="auto"/>
        <w:rPr>
          <w:rFonts w:hint="eastAsia" w:ascii="宋体" w:hAnsi="宋体" w:cs="宋体"/>
          <w:color w:val="auto"/>
          <w:kern w:val="0"/>
          <w:sz w:val="24"/>
          <w:highlight w:val="none"/>
        </w:rPr>
      </w:pPr>
    </w:p>
    <w:p w14:paraId="072940C4">
      <w:pPr>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比选人</w:t>
      </w:r>
      <w:r>
        <w:rPr>
          <w:rFonts w:hint="eastAsia" w:ascii="宋体" w:hAnsi="宋体" w:cs="宋体"/>
          <w:snapToGrid w:val="0"/>
          <w:color w:val="auto"/>
          <w:kern w:val="0"/>
          <w:szCs w:val="21"/>
          <w:highlight w:val="none"/>
        </w:rPr>
        <w:t>：</w:t>
      </w:r>
      <w:r>
        <w:rPr>
          <w:rFonts w:hint="eastAsia" w:ascii="宋体" w:hAnsi="宋体" w:cs="宋体"/>
          <w:color w:val="auto"/>
          <w:kern w:val="0"/>
          <w:szCs w:val="21"/>
          <w:highlight w:val="none"/>
        </w:rPr>
        <w:t>（</w:t>
      </w:r>
      <w:r>
        <w:rPr>
          <w:rFonts w:hint="eastAsia" w:ascii="宋体" w:hAnsi="宋体" w:cs="宋体"/>
          <w:snapToGrid w:val="0"/>
          <w:color w:val="auto"/>
          <w:kern w:val="0"/>
          <w:szCs w:val="21"/>
          <w:highlight w:val="none"/>
        </w:rPr>
        <w:t>盖单位公章</w:t>
      </w:r>
      <w:r>
        <w:rPr>
          <w:rFonts w:hint="eastAsia" w:ascii="宋体" w:hAnsi="宋体" w:cs="宋体"/>
          <w:color w:val="auto"/>
          <w:kern w:val="0"/>
          <w:szCs w:val="21"/>
          <w:highlight w:val="none"/>
        </w:rPr>
        <w:t>）</w:t>
      </w:r>
    </w:p>
    <w:p w14:paraId="54A6554D">
      <w:pPr>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比选代理机构：（</w:t>
      </w:r>
      <w:r>
        <w:rPr>
          <w:rFonts w:hint="eastAsia" w:ascii="宋体" w:hAnsi="宋体" w:cs="宋体"/>
          <w:snapToGrid w:val="0"/>
          <w:color w:val="auto"/>
          <w:kern w:val="0"/>
          <w:szCs w:val="21"/>
          <w:highlight w:val="none"/>
        </w:rPr>
        <w:t>盖单位公章</w:t>
      </w:r>
      <w:r>
        <w:rPr>
          <w:rFonts w:hint="eastAsia" w:ascii="宋体" w:hAnsi="宋体" w:cs="宋体"/>
          <w:color w:val="auto"/>
          <w:kern w:val="0"/>
          <w:szCs w:val="21"/>
          <w:highlight w:val="none"/>
        </w:rPr>
        <w:t xml:space="preserve">）                                    </w:t>
      </w:r>
    </w:p>
    <w:p w14:paraId="0C234A5C">
      <w:pPr>
        <w:spacing w:line="360" w:lineRule="auto"/>
        <w:ind w:firstLine="3780" w:firstLineChars="18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snapToGrid w:val="0"/>
          <w:color w:val="auto"/>
          <w:kern w:val="0"/>
          <w:szCs w:val="21"/>
          <w:highlight w:val="none"/>
        </w:rPr>
        <w:t>：</w:t>
      </w:r>
      <w:r>
        <w:rPr>
          <w:rFonts w:hint="eastAsia" w:ascii="宋体" w:hAnsi="宋体" w:cs="宋体"/>
          <w:color w:val="auto"/>
          <w:kern w:val="0"/>
          <w:szCs w:val="21"/>
          <w:highlight w:val="none"/>
        </w:rPr>
        <w:t>（签字或盖章）</w:t>
      </w:r>
    </w:p>
    <w:p w14:paraId="40E867AA">
      <w:pPr>
        <w:spacing w:line="360" w:lineRule="auto"/>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 xml:space="preserve">                                    联系人</w:t>
      </w:r>
      <w:r>
        <w:rPr>
          <w:rFonts w:hint="eastAsia" w:ascii="宋体" w:hAnsi="宋体" w:cs="宋体"/>
          <w:snapToGrid w:val="0"/>
          <w:color w:val="auto"/>
          <w:kern w:val="0"/>
          <w:szCs w:val="21"/>
          <w:highlight w:val="none"/>
        </w:rPr>
        <w:t>：</w:t>
      </w:r>
    </w:p>
    <w:p w14:paraId="2EDDC019">
      <w:pPr>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联系电话</w:t>
      </w:r>
      <w:r>
        <w:rPr>
          <w:rFonts w:hint="eastAsia" w:ascii="宋体" w:hAnsi="宋体" w:cs="宋体"/>
          <w:snapToGrid w:val="0"/>
          <w:color w:val="auto"/>
          <w:kern w:val="0"/>
          <w:szCs w:val="21"/>
          <w:highlight w:val="none"/>
        </w:rPr>
        <w:t>：</w:t>
      </w:r>
    </w:p>
    <w:p w14:paraId="0C1F42AC">
      <w:pPr>
        <w:spacing w:line="360" w:lineRule="auto"/>
        <w:ind w:firstLine="3780" w:firstLineChars="1800"/>
        <w:rPr>
          <w:rFonts w:hint="eastAsia" w:ascii="宋体" w:hAnsi="宋体" w:cs="宋体"/>
          <w:color w:val="auto"/>
          <w:kern w:val="0"/>
          <w:szCs w:val="21"/>
          <w:highlight w:val="none"/>
        </w:rPr>
      </w:pPr>
      <w:r>
        <w:rPr>
          <w:rFonts w:hint="eastAsia" w:ascii="宋体" w:hAnsi="宋体" w:cs="宋体"/>
          <w:color w:val="auto"/>
          <w:kern w:val="0"/>
          <w:szCs w:val="21"/>
          <w:highlight w:val="none"/>
        </w:rPr>
        <w:t>签发日期</w:t>
      </w:r>
      <w:r>
        <w:rPr>
          <w:rFonts w:hint="eastAsia" w:ascii="宋体" w:hAnsi="宋体" w:cs="宋体"/>
          <w:snapToGrid w:val="0"/>
          <w:color w:val="auto"/>
          <w:kern w:val="0"/>
          <w:szCs w:val="21"/>
          <w:highlight w:val="none"/>
        </w:rPr>
        <w:t>：</w:t>
      </w:r>
      <w:r>
        <w:rPr>
          <w:rFonts w:hint="eastAsia" w:ascii="宋体" w:hAnsi="宋体" w:cs="宋体"/>
          <w:color w:val="auto"/>
          <w:kern w:val="0"/>
          <w:szCs w:val="21"/>
          <w:highlight w:val="none"/>
        </w:rPr>
        <w:t>年月日</w:t>
      </w:r>
    </w:p>
    <w:p w14:paraId="264D6DD1">
      <w:pPr>
        <w:spacing w:line="360" w:lineRule="auto"/>
        <w:ind w:firstLine="883"/>
        <w:jc w:val="center"/>
        <w:rPr>
          <w:rFonts w:hint="eastAsia" w:ascii="宋体" w:hAnsi="宋体" w:cs="宋体"/>
          <w:color w:val="auto"/>
          <w:kern w:val="1"/>
          <w:highlight w:val="none"/>
        </w:rPr>
      </w:pPr>
      <w:bookmarkStart w:id="615" w:name="_Toc21320"/>
      <w:bookmarkStart w:id="616" w:name="_Toc29866"/>
    </w:p>
    <w:p w14:paraId="037AC0A6">
      <w:pPr>
        <w:spacing w:line="360" w:lineRule="auto"/>
        <w:ind w:firstLine="883"/>
        <w:jc w:val="center"/>
        <w:rPr>
          <w:rFonts w:hint="eastAsia" w:ascii="宋体" w:hAnsi="宋体" w:cs="宋体"/>
          <w:color w:val="auto"/>
          <w:kern w:val="1"/>
          <w:highlight w:val="none"/>
        </w:rPr>
      </w:pPr>
    </w:p>
    <w:p w14:paraId="173D4BFE">
      <w:pPr>
        <w:rPr>
          <w:rFonts w:hint="eastAsia" w:ascii="宋体" w:hAnsi="宋体" w:cs="宋体"/>
          <w:color w:val="auto"/>
          <w:kern w:val="1"/>
          <w:highlight w:val="none"/>
        </w:rPr>
      </w:pPr>
    </w:p>
    <w:p w14:paraId="2598FEC8">
      <w:pPr>
        <w:spacing w:line="360" w:lineRule="auto"/>
        <w:jc w:val="center"/>
        <w:rPr>
          <w:rFonts w:hint="eastAsia" w:ascii="宋体" w:hAnsi="宋体" w:cs="宋体"/>
          <w:color w:val="auto"/>
          <w:kern w:val="1"/>
          <w:highlight w:val="none"/>
        </w:rPr>
      </w:pPr>
    </w:p>
    <w:p w14:paraId="7972F846">
      <w:pPr>
        <w:rPr>
          <w:rFonts w:hint="eastAsia" w:ascii="宋体" w:hAnsi="宋体"/>
          <w:color w:val="auto"/>
          <w:highlight w:val="none"/>
        </w:rPr>
      </w:pPr>
    </w:p>
    <w:p w14:paraId="4AAB896B">
      <w:pPr>
        <w:rPr>
          <w:rFonts w:hint="eastAsia" w:ascii="宋体" w:hAnsi="宋体" w:cs="宋体"/>
          <w:color w:val="auto"/>
          <w:kern w:val="1"/>
          <w:highlight w:val="none"/>
        </w:rPr>
      </w:pPr>
    </w:p>
    <w:p w14:paraId="31C3AE9B">
      <w:pPr>
        <w:pStyle w:val="8"/>
        <w:rPr>
          <w:rFonts w:hint="eastAsia" w:ascii="宋体" w:hAnsi="宋体" w:cs="宋体"/>
          <w:color w:val="auto"/>
          <w:kern w:val="1"/>
          <w:highlight w:val="none"/>
        </w:rPr>
      </w:pPr>
    </w:p>
    <w:p w14:paraId="3B0E36E4">
      <w:pPr>
        <w:rPr>
          <w:rFonts w:hint="eastAsia" w:ascii="宋体" w:hAnsi="宋体"/>
          <w:color w:val="auto"/>
          <w:highlight w:val="none"/>
        </w:rPr>
      </w:pPr>
    </w:p>
    <w:p w14:paraId="2B5CA6B7">
      <w:pPr>
        <w:spacing w:line="360" w:lineRule="auto"/>
        <w:jc w:val="center"/>
        <w:rPr>
          <w:rFonts w:hint="eastAsia" w:ascii="宋体" w:hAnsi="宋体" w:cs="宋体"/>
          <w:color w:val="auto"/>
          <w:kern w:val="1"/>
          <w:highlight w:val="none"/>
        </w:rPr>
      </w:pPr>
    </w:p>
    <w:p w14:paraId="1C7484D0">
      <w:pPr>
        <w:pStyle w:val="8"/>
        <w:rPr>
          <w:rFonts w:hint="eastAsia" w:ascii="宋体" w:hAnsi="宋体" w:cs="宋体"/>
          <w:color w:val="auto"/>
          <w:kern w:val="1"/>
          <w:highlight w:val="none"/>
        </w:rPr>
      </w:pPr>
    </w:p>
    <w:p w14:paraId="3D17DA3B">
      <w:pPr>
        <w:rPr>
          <w:rFonts w:hint="eastAsia" w:ascii="宋体" w:hAnsi="宋体" w:cs="宋体"/>
          <w:color w:val="auto"/>
          <w:kern w:val="1"/>
          <w:highlight w:val="none"/>
        </w:rPr>
      </w:pPr>
      <w:r>
        <w:rPr>
          <w:rFonts w:hint="eastAsia" w:ascii="宋体" w:hAnsi="宋体" w:cs="宋体"/>
          <w:color w:val="auto"/>
          <w:kern w:val="1"/>
          <w:highlight w:val="none"/>
        </w:rPr>
        <w:br w:type="page"/>
      </w:r>
    </w:p>
    <w:p w14:paraId="571BEBE3">
      <w:pPr>
        <w:pStyle w:val="2"/>
        <w:spacing w:line="360" w:lineRule="auto"/>
        <w:jc w:val="center"/>
        <w:rPr>
          <w:rFonts w:hint="eastAsia" w:ascii="宋体" w:hAnsi="宋体" w:cs="宋体"/>
          <w:color w:val="auto"/>
          <w:kern w:val="1"/>
          <w:highlight w:val="none"/>
        </w:rPr>
      </w:pPr>
      <w:r>
        <w:rPr>
          <w:rFonts w:hint="eastAsia" w:ascii="宋体" w:hAnsi="宋体" w:cs="宋体"/>
          <w:color w:val="auto"/>
          <w:kern w:val="1"/>
          <w:highlight w:val="none"/>
        </w:rPr>
        <w:t>第三章  评选办法（综合评估法）</w:t>
      </w:r>
      <w:bookmarkEnd w:id="615"/>
      <w:bookmarkEnd w:id="616"/>
    </w:p>
    <w:p w14:paraId="6535573A">
      <w:pPr>
        <w:pStyle w:val="3"/>
        <w:spacing w:before="100" w:after="100"/>
        <w:rPr>
          <w:rFonts w:hint="eastAsia" w:ascii="宋体" w:hAnsi="宋体"/>
          <w:color w:val="auto"/>
          <w:highlight w:val="none"/>
        </w:rPr>
      </w:pPr>
      <w:bookmarkStart w:id="617" w:name="_Toc122515229"/>
      <w:bookmarkStart w:id="618" w:name="_Toc509218775"/>
      <w:bookmarkStart w:id="619" w:name="_Toc721"/>
      <w:bookmarkStart w:id="620" w:name="_Toc32462"/>
      <w:bookmarkStart w:id="621" w:name="_Toc29600"/>
      <w:r>
        <w:rPr>
          <w:rFonts w:hint="eastAsia" w:ascii="宋体" w:hAnsi="宋体"/>
          <w:color w:val="auto"/>
          <w:highlight w:val="none"/>
        </w:rPr>
        <w:t>评标办法前附表</w:t>
      </w:r>
      <w:bookmarkEnd w:id="617"/>
      <w:bookmarkEnd w:id="618"/>
      <w:bookmarkEnd w:id="619"/>
    </w:p>
    <w:p w14:paraId="4A603E43">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评标办法中的评审内容必须和竞选人须知中的对应内容一致，若竞选人须知中未作要求的内容，不得列入评标办法作为评定依据。</w:t>
      </w:r>
    </w:p>
    <w:tbl>
      <w:tblPr>
        <w:tblStyle w:val="29"/>
        <w:tblW w:w="988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492"/>
        <w:gridCol w:w="5728"/>
      </w:tblGrid>
      <w:tr w14:paraId="7BE56B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60" w:type="dxa"/>
            <w:gridSpan w:val="2"/>
            <w:vAlign w:val="center"/>
          </w:tcPr>
          <w:p w14:paraId="69416349">
            <w:pPr>
              <w:spacing w:line="400" w:lineRule="exact"/>
              <w:jc w:val="center"/>
              <w:rPr>
                <w:rFonts w:hint="eastAsia" w:ascii="宋体" w:hAnsi="宋体"/>
                <w:b/>
                <w:color w:val="auto"/>
                <w:kern w:val="0"/>
                <w:highlight w:val="none"/>
              </w:rPr>
            </w:pPr>
            <w:r>
              <w:rPr>
                <w:rFonts w:ascii="宋体" w:hAnsi="宋体"/>
                <w:b/>
                <w:color w:val="auto"/>
                <w:kern w:val="0"/>
                <w:highlight w:val="none"/>
              </w:rPr>
              <w:t>条款号</w:t>
            </w:r>
          </w:p>
        </w:tc>
        <w:tc>
          <w:tcPr>
            <w:tcW w:w="2492" w:type="dxa"/>
            <w:vAlign w:val="center"/>
          </w:tcPr>
          <w:p w14:paraId="0C8AC449">
            <w:pPr>
              <w:spacing w:line="400" w:lineRule="exact"/>
              <w:jc w:val="center"/>
              <w:rPr>
                <w:rFonts w:hint="eastAsia" w:ascii="宋体" w:hAnsi="宋体"/>
                <w:b/>
                <w:color w:val="auto"/>
                <w:kern w:val="0"/>
                <w:highlight w:val="none"/>
              </w:rPr>
            </w:pPr>
            <w:r>
              <w:rPr>
                <w:rFonts w:ascii="宋体" w:hAnsi="宋体"/>
                <w:b/>
                <w:color w:val="auto"/>
                <w:kern w:val="0"/>
                <w:highlight w:val="none"/>
              </w:rPr>
              <w:t>评审因素</w:t>
            </w:r>
          </w:p>
        </w:tc>
        <w:tc>
          <w:tcPr>
            <w:tcW w:w="5728" w:type="dxa"/>
            <w:vAlign w:val="center"/>
          </w:tcPr>
          <w:p w14:paraId="4298D30D">
            <w:pPr>
              <w:spacing w:line="400" w:lineRule="exact"/>
              <w:jc w:val="center"/>
              <w:rPr>
                <w:rFonts w:hint="eastAsia" w:ascii="宋体" w:hAnsi="宋体"/>
                <w:b/>
                <w:color w:val="auto"/>
                <w:kern w:val="0"/>
                <w:highlight w:val="none"/>
              </w:rPr>
            </w:pPr>
            <w:r>
              <w:rPr>
                <w:rFonts w:ascii="宋体" w:hAnsi="宋体"/>
                <w:b/>
                <w:color w:val="auto"/>
                <w:kern w:val="0"/>
                <w:highlight w:val="none"/>
              </w:rPr>
              <w:t>评审标准</w:t>
            </w:r>
          </w:p>
        </w:tc>
      </w:tr>
      <w:tr w14:paraId="0FAD16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28" w:hRule="atLeast"/>
          <w:jc w:val="center"/>
        </w:trPr>
        <w:tc>
          <w:tcPr>
            <w:tcW w:w="808" w:type="dxa"/>
            <w:tcBorders>
              <w:right w:val="single" w:color="auto" w:sz="4" w:space="0"/>
            </w:tcBorders>
            <w:vAlign w:val="center"/>
          </w:tcPr>
          <w:p w14:paraId="2B671A4E">
            <w:pPr>
              <w:spacing w:line="400" w:lineRule="exact"/>
              <w:jc w:val="center"/>
              <w:rPr>
                <w:rFonts w:hint="eastAsia" w:ascii="宋体" w:hAnsi="宋体"/>
                <w:color w:val="auto"/>
                <w:kern w:val="0"/>
                <w:highlight w:val="none"/>
              </w:rPr>
            </w:pPr>
            <w:r>
              <w:rPr>
                <w:rFonts w:hint="eastAsia" w:ascii="宋体" w:hAnsi="宋体"/>
                <w:color w:val="auto"/>
                <w:kern w:val="0"/>
                <w:highlight w:val="none"/>
              </w:rPr>
              <w:t>1</w:t>
            </w:r>
          </w:p>
        </w:tc>
        <w:tc>
          <w:tcPr>
            <w:tcW w:w="852" w:type="dxa"/>
            <w:tcBorders>
              <w:left w:val="single" w:color="auto" w:sz="4" w:space="0"/>
            </w:tcBorders>
            <w:vAlign w:val="center"/>
          </w:tcPr>
          <w:p w14:paraId="2D68FE46">
            <w:pPr>
              <w:spacing w:line="400" w:lineRule="exact"/>
              <w:jc w:val="center"/>
              <w:rPr>
                <w:rFonts w:hint="eastAsia" w:ascii="宋体" w:hAnsi="宋体"/>
                <w:color w:val="auto"/>
                <w:kern w:val="0"/>
                <w:highlight w:val="none"/>
              </w:rPr>
            </w:pPr>
            <w:r>
              <w:rPr>
                <w:rFonts w:hint="eastAsia" w:ascii="宋体" w:hAnsi="宋体"/>
                <w:color w:val="auto"/>
                <w:kern w:val="0"/>
                <w:highlight w:val="none"/>
              </w:rPr>
              <w:t>评标办法</w:t>
            </w:r>
          </w:p>
        </w:tc>
        <w:tc>
          <w:tcPr>
            <w:tcW w:w="2492" w:type="dxa"/>
            <w:vAlign w:val="center"/>
          </w:tcPr>
          <w:p w14:paraId="2FEF9866">
            <w:pPr>
              <w:spacing w:line="400" w:lineRule="exact"/>
              <w:jc w:val="center"/>
              <w:rPr>
                <w:rFonts w:hint="eastAsia" w:ascii="宋体" w:hAnsi="宋体"/>
                <w:color w:val="auto"/>
                <w:kern w:val="0"/>
                <w:highlight w:val="none"/>
              </w:rPr>
            </w:pPr>
            <w:r>
              <w:rPr>
                <w:rFonts w:hint="eastAsia" w:ascii="宋体" w:hAnsi="宋体"/>
                <w:color w:val="auto"/>
                <w:kern w:val="0"/>
                <w:highlight w:val="none"/>
              </w:rPr>
              <w:t>中标候选人排序方法</w:t>
            </w:r>
          </w:p>
        </w:tc>
        <w:tc>
          <w:tcPr>
            <w:tcW w:w="5728" w:type="dxa"/>
            <w:vAlign w:val="center"/>
          </w:tcPr>
          <w:p w14:paraId="15B65A26">
            <w:pPr>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本次评标采用综合评估法，评标委员会按照本章第 2.2 款规定的评分标准进行评分，按得分由高到低顺序推荐中标候选人，或根据招标人授权直接确定中选人。综合评分相等时，以报价低的优先；报价相等时以技术部分得分高的优先；技术部分得分相等的，，由评标委员会按照</w:t>
            </w:r>
            <w:r>
              <w:rPr>
                <w:rFonts w:hint="eastAsia" w:ascii="宋体" w:hAnsi="宋体"/>
                <w:color w:val="auto"/>
                <w:kern w:val="0"/>
                <w:highlight w:val="none"/>
                <w:u w:val="single"/>
              </w:rPr>
              <w:t>资格审查资料中业绩金额较大的优先</w:t>
            </w:r>
            <w:r>
              <w:rPr>
                <w:rFonts w:hint="eastAsia" w:ascii="宋体" w:hAnsi="宋体"/>
                <w:color w:val="auto"/>
                <w:kern w:val="0"/>
                <w:highlight w:val="none"/>
              </w:rPr>
              <w:t>原则排序。</w:t>
            </w:r>
          </w:p>
        </w:tc>
      </w:tr>
      <w:tr w14:paraId="37324A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808" w:type="dxa"/>
            <w:vMerge w:val="restart"/>
            <w:tcBorders>
              <w:right w:val="single" w:color="auto" w:sz="4" w:space="0"/>
            </w:tcBorders>
            <w:vAlign w:val="center"/>
          </w:tcPr>
          <w:p w14:paraId="7E37D8C4">
            <w:pPr>
              <w:spacing w:line="400" w:lineRule="exact"/>
              <w:jc w:val="center"/>
              <w:rPr>
                <w:rFonts w:hint="eastAsia"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1</w:t>
            </w:r>
          </w:p>
        </w:tc>
        <w:tc>
          <w:tcPr>
            <w:tcW w:w="852" w:type="dxa"/>
            <w:vMerge w:val="restart"/>
            <w:tcBorders>
              <w:right w:val="single" w:color="auto" w:sz="4" w:space="0"/>
            </w:tcBorders>
            <w:vAlign w:val="center"/>
          </w:tcPr>
          <w:p w14:paraId="3F83C80C">
            <w:pPr>
              <w:spacing w:line="400" w:lineRule="exact"/>
              <w:jc w:val="center"/>
              <w:rPr>
                <w:rFonts w:hint="eastAsia" w:ascii="宋体" w:hAnsi="宋体"/>
                <w:color w:val="auto"/>
                <w:kern w:val="0"/>
                <w:highlight w:val="none"/>
              </w:rPr>
            </w:pPr>
            <w:r>
              <w:rPr>
                <w:rFonts w:ascii="宋体" w:hAnsi="宋体"/>
                <w:color w:val="auto"/>
                <w:kern w:val="0"/>
                <w:highlight w:val="none"/>
              </w:rPr>
              <w:t>资格评审标准</w:t>
            </w:r>
          </w:p>
        </w:tc>
        <w:tc>
          <w:tcPr>
            <w:tcW w:w="2492" w:type="dxa"/>
            <w:tcBorders>
              <w:left w:val="single" w:color="auto" w:sz="4" w:space="0"/>
            </w:tcBorders>
            <w:vAlign w:val="center"/>
          </w:tcPr>
          <w:p w14:paraId="3D9E3D1D">
            <w:pPr>
              <w:spacing w:line="400" w:lineRule="exact"/>
              <w:jc w:val="left"/>
              <w:rPr>
                <w:rFonts w:hint="eastAsia" w:ascii="宋体" w:hAnsi="宋体"/>
                <w:color w:val="auto"/>
                <w:kern w:val="0"/>
                <w:highlight w:val="none"/>
              </w:rPr>
            </w:pPr>
            <w:r>
              <w:rPr>
                <w:rFonts w:hint="eastAsia" w:ascii="宋体" w:hAnsi="宋体"/>
                <w:color w:val="auto"/>
                <w:kern w:val="0"/>
                <w:highlight w:val="none"/>
              </w:rPr>
              <w:t>营业执照</w:t>
            </w:r>
          </w:p>
        </w:tc>
        <w:tc>
          <w:tcPr>
            <w:tcW w:w="5728" w:type="dxa"/>
            <w:vAlign w:val="center"/>
          </w:tcPr>
          <w:p w14:paraId="7A9B69AF">
            <w:pPr>
              <w:spacing w:line="400" w:lineRule="exact"/>
              <w:ind w:firstLine="420" w:firstLineChars="200"/>
              <w:jc w:val="left"/>
              <w:rPr>
                <w:rFonts w:hint="eastAsia" w:ascii="宋体" w:hAnsi="宋体"/>
                <w:color w:val="auto"/>
                <w:kern w:val="0"/>
                <w:highlight w:val="none"/>
              </w:rPr>
            </w:pPr>
            <w:r>
              <w:rPr>
                <w:rFonts w:ascii="宋体" w:hAnsi="宋体"/>
                <w:color w:val="auto"/>
                <w:kern w:val="0"/>
                <w:highlight w:val="none"/>
              </w:rPr>
              <w:t>符合第二章“竞选人须知”第1.4.1项规定</w:t>
            </w:r>
          </w:p>
        </w:tc>
      </w:tr>
      <w:tr w14:paraId="333929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1F6E2C71">
            <w:pPr>
              <w:spacing w:line="400" w:lineRule="exact"/>
              <w:jc w:val="center"/>
              <w:rPr>
                <w:rFonts w:hint="eastAsia" w:ascii="宋体" w:hAnsi="宋体"/>
                <w:color w:val="auto"/>
                <w:kern w:val="0"/>
                <w:highlight w:val="none"/>
              </w:rPr>
            </w:pPr>
          </w:p>
        </w:tc>
        <w:tc>
          <w:tcPr>
            <w:tcW w:w="852" w:type="dxa"/>
            <w:vMerge w:val="continue"/>
            <w:tcBorders>
              <w:right w:val="single" w:color="auto" w:sz="4" w:space="0"/>
            </w:tcBorders>
          </w:tcPr>
          <w:p w14:paraId="60ABBB13">
            <w:pPr>
              <w:spacing w:line="400" w:lineRule="exact"/>
              <w:jc w:val="center"/>
              <w:rPr>
                <w:rFonts w:hint="eastAsia" w:ascii="宋体" w:hAnsi="宋体"/>
                <w:color w:val="auto"/>
                <w:kern w:val="0"/>
                <w:highlight w:val="none"/>
              </w:rPr>
            </w:pPr>
          </w:p>
        </w:tc>
        <w:tc>
          <w:tcPr>
            <w:tcW w:w="2492" w:type="dxa"/>
            <w:tcBorders>
              <w:left w:val="single" w:color="auto" w:sz="4" w:space="0"/>
            </w:tcBorders>
            <w:vAlign w:val="center"/>
          </w:tcPr>
          <w:p w14:paraId="3734A171">
            <w:pPr>
              <w:spacing w:line="400" w:lineRule="exact"/>
              <w:jc w:val="left"/>
              <w:rPr>
                <w:rFonts w:hint="eastAsia" w:ascii="宋体" w:hAnsi="宋体"/>
                <w:color w:val="auto"/>
                <w:kern w:val="0"/>
                <w:highlight w:val="none"/>
              </w:rPr>
            </w:pPr>
            <w:r>
              <w:rPr>
                <w:rFonts w:ascii="宋体" w:hAnsi="宋体"/>
                <w:color w:val="auto"/>
                <w:kern w:val="0"/>
                <w:highlight w:val="none"/>
              </w:rPr>
              <w:t>财务</w:t>
            </w:r>
            <w:r>
              <w:rPr>
                <w:rFonts w:hint="eastAsia" w:ascii="宋体" w:hAnsi="宋体"/>
                <w:color w:val="auto"/>
                <w:kern w:val="0"/>
                <w:highlight w:val="none"/>
              </w:rPr>
              <w:t>要求</w:t>
            </w:r>
          </w:p>
        </w:tc>
        <w:tc>
          <w:tcPr>
            <w:tcW w:w="5728" w:type="dxa"/>
            <w:vAlign w:val="center"/>
          </w:tcPr>
          <w:p w14:paraId="79224836">
            <w:pPr>
              <w:spacing w:line="400" w:lineRule="exact"/>
              <w:ind w:firstLine="420" w:firstLineChars="200"/>
              <w:jc w:val="left"/>
              <w:rPr>
                <w:rFonts w:hint="eastAsia" w:ascii="宋体" w:hAnsi="宋体"/>
                <w:color w:val="auto"/>
                <w:kern w:val="0"/>
                <w:highlight w:val="none"/>
              </w:rPr>
            </w:pPr>
            <w:r>
              <w:rPr>
                <w:rFonts w:ascii="宋体" w:hAnsi="宋体"/>
                <w:color w:val="auto"/>
                <w:kern w:val="0"/>
                <w:highlight w:val="none"/>
              </w:rPr>
              <w:t>符合第二章“竞选人须知”第1.4.1项规定</w:t>
            </w:r>
          </w:p>
        </w:tc>
      </w:tr>
      <w:tr w14:paraId="468D37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32F99393">
            <w:pPr>
              <w:spacing w:line="400" w:lineRule="exact"/>
              <w:jc w:val="center"/>
              <w:rPr>
                <w:rFonts w:hint="eastAsia" w:ascii="宋体" w:hAnsi="宋体"/>
                <w:color w:val="auto"/>
                <w:kern w:val="0"/>
                <w:highlight w:val="none"/>
              </w:rPr>
            </w:pPr>
          </w:p>
        </w:tc>
        <w:tc>
          <w:tcPr>
            <w:tcW w:w="852" w:type="dxa"/>
            <w:vMerge w:val="continue"/>
            <w:tcBorders>
              <w:right w:val="single" w:color="auto" w:sz="4" w:space="0"/>
            </w:tcBorders>
          </w:tcPr>
          <w:p w14:paraId="2B9F4F36">
            <w:pPr>
              <w:spacing w:line="400" w:lineRule="exact"/>
              <w:jc w:val="center"/>
              <w:rPr>
                <w:rFonts w:hint="eastAsia" w:ascii="宋体" w:hAnsi="宋体"/>
                <w:color w:val="auto"/>
                <w:kern w:val="0"/>
                <w:highlight w:val="none"/>
              </w:rPr>
            </w:pPr>
          </w:p>
        </w:tc>
        <w:tc>
          <w:tcPr>
            <w:tcW w:w="2492" w:type="dxa"/>
            <w:tcBorders>
              <w:left w:val="single" w:color="auto" w:sz="4" w:space="0"/>
            </w:tcBorders>
            <w:vAlign w:val="center"/>
          </w:tcPr>
          <w:p w14:paraId="19AE982C">
            <w:pPr>
              <w:spacing w:line="400" w:lineRule="exact"/>
              <w:jc w:val="left"/>
              <w:rPr>
                <w:rFonts w:hint="eastAsia" w:ascii="宋体" w:hAnsi="宋体"/>
                <w:color w:val="auto"/>
                <w:kern w:val="0"/>
                <w:highlight w:val="none"/>
              </w:rPr>
            </w:pPr>
            <w:r>
              <w:rPr>
                <w:rFonts w:hint="eastAsia" w:ascii="宋体" w:hAnsi="宋体"/>
                <w:color w:val="auto"/>
                <w:kern w:val="0"/>
                <w:highlight w:val="none"/>
              </w:rPr>
              <w:t>业绩要求</w:t>
            </w:r>
          </w:p>
        </w:tc>
        <w:tc>
          <w:tcPr>
            <w:tcW w:w="5728" w:type="dxa"/>
            <w:vAlign w:val="center"/>
          </w:tcPr>
          <w:p w14:paraId="5A108362">
            <w:pPr>
              <w:spacing w:line="400" w:lineRule="exact"/>
              <w:ind w:firstLine="420" w:firstLineChars="200"/>
              <w:jc w:val="left"/>
              <w:rPr>
                <w:rFonts w:hint="eastAsia" w:ascii="宋体" w:hAnsi="宋体"/>
                <w:color w:val="auto"/>
                <w:kern w:val="0"/>
                <w:highlight w:val="none"/>
              </w:rPr>
            </w:pPr>
            <w:r>
              <w:rPr>
                <w:rFonts w:ascii="宋体" w:hAnsi="宋体"/>
                <w:color w:val="auto"/>
                <w:kern w:val="0"/>
                <w:highlight w:val="none"/>
              </w:rPr>
              <w:t>符合第二章“竞选人须知”第1.4.1项规定</w:t>
            </w:r>
          </w:p>
        </w:tc>
      </w:tr>
      <w:tr w14:paraId="3B78FE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329D78A2">
            <w:pPr>
              <w:spacing w:line="400" w:lineRule="exact"/>
              <w:jc w:val="center"/>
              <w:rPr>
                <w:rFonts w:hint="eastAsia" w:ascii="宋体" w:hAnsi="宋体"/>
                <w:color w:val="auto"/>
                <w:kern w:val="0"/>
                <w:highlight w:val="none"/>
              </w:rPr>
            </w:pPr>
          </w:p>
        </w:tc>
        <w:tc>
          <w:tcPr>
            <w:tcW w:w="852" w:type="dxa"/>
            <w:vMerge w:val="continue"/>
            <w:tcBorders>
              <w:right w:val="single" w:color="auto" w:sz="4" w:space="0"/>
            </w:tcBorders>
          </w:tcPr>
          <w:p w14:paraId="5E29ACB3">
            <w:pPr>
              <w:spacing w:line="400" w:lineRule="exact"/>
              <w:jc w:val="center"/>
              <w:rPr>
                <w:rFonts w:hint="eastAsia" w:ascii="宋体" w:hAnsi="宋体"/>
                <w:color w:val="auto"/>
                <w:kern w:val="0"/>
                <w:highlight w:val="none"/>
              </w:rPr>
            </w:pPr>
          </w:p>
        </w:tc>
        <w:tc>
          <w:tcPr>
            <w:tcW w:w="2492" w:type="dxa"/>
            <w:tcBorders>
              <w:left w:val="single" w:color="auto" w:sz="4" w:space="0"/>
            </w:tcBorders>
          </w:tcPr>
          <w:p w14:paraId="7FD344A9">
            <w:pPr>
              <w:spacing w:line="400" w:lineRule="exact"/>
              <w:jc w:val="left"/>
              <w:rPr>
                <w:rFonts w:hint="eastAsia" w:ascii="宋体" w:hAnsi="宋体"/>
                <w:color w:val="auto"/>
                <w:kern w:val="0"/>
                <w:highlight w:val="none"/>
              </w:rPr>
            </w:pPr>
            <w:r>
              <w:rPr>
                <w:rFonts w:hint="eastAsia" w:ascii="宋体" w:hAnsi="宋体"/>
                <w:color w:val="auto"/>
                <w:kern w:val="0"/>
                <w:highlight w:val="none"/>
              </w:rPr>
              <w:t>比选截止日比选资格情况</w:t>
            </w:r>
          </w:p>
        </w:tc>
        <w:tc>
          <w:tcPr>
            <w:tcW w:w="5728" w:type="dxa"/>
            <w:vAlign w:val="center"/>
          </w:tcPr>
          <w:p w14:paraId="66FE0E57">
            <w:pPr>
              <w:spacing w:line="400" w:lineRule="exact"/>
              <w:ind w:firstLine="420" w:firstLineChars="200"/>
              <w:jc w:val="left"/>
              <w:rPr>
                <w:rFonts w:hint="eastAsia" w:ascii="宋体" w:hAnsi="宋体"/>
                <w:color w:val="auto"/>
                <w:kern w:val="0"/>
                <w:highlight w:val="none"/>
              </w:rPr>
            </w:pPr>
            <w:r>
              <w:rPr>
                <w:rFonts w:ascii="宋体" w:hAnsi="宋体"/>
                <w:color w:val="auto"/>
                <w:kern w:val="0"/>
                <w:highlight w:val="none"/>
              </w:rPr>
              <w:t>符合第二章“竞选人须知”第1.4.1项规定</w:t>
            </w:r>
          </w:p>
        </w:tc>
      </w:tr>
      <w:tr w14:paraId="0CFCE6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2BCF9309">
            <w:pPr>
              <w:spacing w:line="400" w:lineRule="exact"/>
              <w:jc w:val="center"/>
              <w:rPr>
                <w:rFonts w:hint="eastAsia" w:ascii="宋体" w:hAnsi="宋体"/>
                <w:color w:val="auto"/>
                <w:kern w:val="0"/>
                <w:highlight w:val="none"/>
              </w:rPr>
            </w:pPr>
          </w:p>
        </w:tc>
        <w:tc>
          <w:tcPr>
            <w:tcW w:w="852" w:type="dxa"/>
            <w:vMerge w:val="continue"/>
            <w:tcBorders>
              <w:right w:val="single" w:color="auto" w:sz="4" w:space="0"/>
            </w:tcBorders>
          </w:tcPr>
          <w:p w14:paraId="554885BA">
            <w:pPr>
              <w:spacing w:line="400" w:lineRule="exact"/>
              <w:jc w:val="center"/>
              <w:rPr>
                <w:rFonts w:hint="eastAsia" w:ascii="宋体" w:hAnsi="宋体"/>
                <w:color w:val="auto"/>
                <w:kern w:val="0"/>
                <w:highlight w:val="none"/>
              </w:rPr>
            </w:pPr>
          </w:p>
        </w:tc>
        <w:tc>
          <w:tcPr>
            <w:tcW w:w="2492" w:type="dxa"/>
            <w:tcBorders>
              <w:left w:val="single" w:color="auto" w:sz="4" w:space="0"/>
            </w:tcBorders>
          </w:tcPr>
          <w:p w14:paraId="5A3F1905">
            <w:pPr>
              <w:spacing w:line="400" w:lineRule="exact"/>
              <w:jc w:val="left"/>
              <w:rPr>
                <w:rFonts w:hint="eastAsia" w:ascii="宋体" w:hAnsi="宋体"/>
                <w:color w:val="auto"/>
                <w:kern w:val="0"/>
                <w:highlight w:val="none"/>
              </w:rPr>
            </w:pPr>
            <w:r>
              <w:rPr>
                <w:rFonts w:ascii="宋体" w:hAnsi="宋体"/>
                <w:color w:val="auto"/>
                <w:kern w:val="0"/>
                <w:highlight w:val="none"/>
              </w:rPr>
              <w:t>拟派项目人员</w:t>
            </w:r>
          </w:p>
        </w:tc>
        <w:tc>
          <w:tcPr>
            <w:tcW w:w="5728" w:type="dxa"/>
            <w:vAlign w:val="center"/>
          </w:tcPr>
          <w:p w14:paraId="41AFB699">
            <w:pPr>
              <w:spacing w:line="400" w:lineRule="exact"/>
              <w:ind w:firstLine="420" w:firstLineChars="200"/>
              <w:jc w:val="left"/>
              <w:rPr>
                <w:rFonts w:hint="eastAsia" w:ascii="宋体" w:hAnsi="宋体"/>
                <w:color w:val="auto"/>
                <w:kern w:val="0"/>
                <w:highlight w:val="none"/>
              </w:rPr>
            </w:pPr>
            <w:r>
              <w:rPr>
                <w:rFonts w:ascii="宋体" w:hAnsi="宋体"/>
                <w:color w:val="auto"/>
                <w:kern w:val="0"/>
                <w:highlight w:val="none"/>
              </w:rPr>
              <w:t>符合第二章“竞选人须知”第1.4.1项规定</w:t>
            </w:r>
          </w:p>
        </w:tc>
      </w:tr>
      <w:tr w14:paraId="67C327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14:paraId="5D368F30">
            <w:pPr>
              <w:spacing w:line="400" w:lineRule="exact"/>
              <w:jc w:val="center"/>
              <w:rPr>
                <w:rFonts w:hint="eastAsia"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2</w:t>
            </w:r>
          </w:p>
        </w:tc>
        <w:tc>
          <w:tcPr>
            <w:tcW w:w="852" w:type="dxa"/>
            <w:vMerge w:val="restart"/>
            <w:tcBorders>
              <w:right w:val="single" w:color="auto" w:sz="4" w:space="0"/>
            </w:tcBorders>
            <w:vAlign w:val="center"/>
          </w:tcPr>
          <w:p w14:paraId="11201A61">
            <w:pPr>
              <w:spacing w:line="400" w:lineRule="exact"/>
              <w:jc w:val="center"/>
              <w:rPr>
                <w:rFonts w:hint="eastAsia" w:ascii="宋体" w:hAnsi="宋体"/>
                <w:color w:val="auto"/>
                <w:kern w:val="0"/>
                <w:highlight w:val="none"/>
              </w:rPr>
            </w:pPr>
            <w:r>
              <w:rPr>
                <w:rFonts w:ascii="宋体" w:hAnsi="宋体"/>
                <w:color w:val="auto"/>
                <w:kern w:val="0"/>
                <w:highlight w:val="none"/>
              </w:rPr>
              <w:t>形式评审标准</w:t>
            </w:r>
          </w:p>
        </w:tc>
        <w:tc>
          <w:tcPr>
            <w:tcW w:w="2492" w:type="dxa"/>
            <w:tcBorders>
              <w:left w:val="single" w:color="auto" w:sz="4" w:space="0"/>
            </w:tcBorders>
            <w:vAlign w:val="center"/>
          </w:tcPr>
          <w:p w14:paraId="17A0AAF8">
            <w:pPr>
              <w:spacing w:line="400" w:lineRule="exact"/>
              <w:jc w:val="left"/>
              <w:rPr>
                <w:rFonts w:hint="eastAsia" w:ascii="宋体" w:hAnsi="宋体"/>
                <w:color w:val="auto"/>
                <w:kern w:val="0"/>
                <w:highlight w:val="none"/>
              </w:rPr>
            </w:pPr>
            <w:r>
              <w:rPr>
                <w:rFonts w:ascii="宋体" w:hAnsi="宋体"/>
                <w:color w:val="auto"/>
                <w:kern w:val="0"/>
                <w:highlight w:val="none"/>
              </w:rPr>
              <w:t>竞选人名称</w:t>
            </w:r>
          </w:p>
        </w:tc>
        <w:tc>
          <w:tcPr>
            <w:tcW w:w="5728" w:type="dxa"/>
            <w:vAlign w:val="center"/>
          </w:tcPr>
          <w:p w14:paraId="09CBBA9F">
            <w:pPr>
              <w:spacing w:line="400" w:lineRule="exact"/>
              <w:ind w:firstLine="420" w:firstLineChars="200"/>
              <w:rPr>
                <w:rFonts w:hint="eastAsia" w:ascii="宋体" w:hAnsi="宋体"/>
                <w:color w:val="auto"/>
                <w:kern w:val="0"/>
                <w:highlight w:val="none"/>
              </w:rPr>
            </w:pPr>
            <w:r>
              <w:rPr>
                <w:rFonts w:ascii="宋体" w:hAnsi="宋体"/>
                <w:color w:val="auto"/>
                <w:kern w:val="0"/>
                <w:highlight w:val="none"/>
              </w:rPr>
              <w:t>与营业执照、资质证书一致</w:t>
            </w:r>
            <w:r>
              <w:rPr>
                <w:rFonts w:hint="eastAsia" w:ascii="宋体" w:hAnsi="宋体"/>
                <w:color w:val="auto"/>
                <w:kern w:val="0"/>
                <w:highlight w:val="none"/>
              </w:rPr>
              <w:t>，依法变更名称的应提交相应证明材料</w:t>
            </w:r>
            <w:r>
              <w:rPr>
                <w:rFonts w:ascii="宋体" w:hAnsi="宋体"/>
                <w:color w:val="auto"/>
                <w:kern w:val="0"/>
                <w:highlight w:val="none"/>
              </w:rPr>
              <w:t>。</w:t>
            </w:r>
          </w:p>
        </w:tc>
      </w:tr>
      <w:tr w14:paraId="617935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44BCF309">
            <w:pPr>
              <w:spacing w:line="400" w:lineRule="exact"/>
              <w:jc w:val="center"/>
              <w:rPr>
                <w:rFonts w:hint="eastAsia" w:ascii="宋体" w:hAnsi="宋体"/>
                <w:color w:val="auto"/>
                <w:kern w:val="0"/>
                <w:highlight w:val="none"/>
              </w:rPr>
            </w:pPr>
          </w:p>
        </w:tc>
        <w:tc>
          <w:tcPr>
            <w:tcW w:w="852" w:type="dxa"/>
            <w:vMerge w:val="continue"/>
            <w:tcBorders>
              <w:right w:val="single" w:color="auto" w:sz="4" w:space="0"/>
            </w:tcBorders>
          </w:tcPr>
          <w:p w14:paraId="1FC482A7">
            <w:pPr>
              <w:spacing w:line="400" w:lineRule="exact"/>
              <w:jc w:val="center"/>
              <w:rPr>
                <w:rFonts w:hint="eastAsia" w:ascii="宋体" w:hAnsi="宋体"/>
                <w:color w:val="auto"/>
                <w:kern w:val="0"/>
                <w:highlight w:val="none"/>
              </w:rPr>
            </w:pPr>
          </w:p>
        </w:tc>
        <w:tc>
          <w:tcPr>
            <w:tcW w:w="2492" w:type="dxa"/>
            <w:tcBorders>
              <w:left w:val="single" w:color="auto" w:sz="4" w:space="0"/>
            </w:tcBorders>
            <w:vAlign w:val="center"/>
          </w:tcPr>
          <w:p w14:paraId="50D5071A">
            <w:pPr>
              <w:spacing w:line="400" w:lineRule="exact"/>
              <w:jc w:val="left"/>
              <w:rPr>
                <w:rFonts w:hint="eastAsia" w:ascii="宋体" w:hAnsi="宋体"/>
                <w:color w:val="auto"/>
                <w:kern w:val="0"/>
                <w:highlight w:val="none"/>
              </w:rPr>
            </w:pPr>
            <w:r>
              <w:rPr>
                <w:rFonts w:ascii="宋体" w:hAnsi="宋体"/>
                <w:color w:val="auto"/>
                <w:kern w:val="0"/>
                <w:highlight w:val="none"/>
              </w:rPr>
              <w:t>竞选文件格式</w:t>
            </w:r>
          </w:p>
        </w:tc>
        <w:tc>
          <w:tcPr>
            <w:tcW w:w="5728" w:type="dxa"/>
            <w:vAlign w:val="center"/>
          </w:tcPr>
          <w:p w14:paraId="177E4066">
            <w:pPr>
              <w:spacing w:line="400" w:lineRule="exact"/>
              <w:ind w:firstLine="420" w:firstLineChars="200"/>
              <w:rPr>
                <w:rFonts w:hint="eastAsia" w:ascii="宋体" w:hAnsi="宋体"/>
                <w:color w:val="auto"/>
                <w:kern w:val="0"/>
                <w:highlight w:val="none"/>
              </w:rPr>
            </w:pPr>
            <w:r>
              <w:rPr>
                <w:rFonts w:ascii="宋体" w:hAnsi="宋体"/>
                <w:color w:val="auto"/>
                <w:kern w:val="0"/>
                <w:highlight w:val="none"/>
              </w:rPr>
              <w:t>符合第</w:t>
            </w:r>
            <w:r>
              <w:rPr>
                <w:rFonts w:hint="eastAsia" w:ascii="宋体" w:hAnsi="宋体"/>
                <w:color w:val="auto"/>
                <w:kern w:val="0"/>
                <w:highlight w:val="none"/>
              </w:rPr>
              <w:t>二</w:t>
            </w:r>
            <w:r>
              <w:rPr>
                <w:rFonts w:ascii="宋体" w:hAnsi="宋体"/>
                <w:color w:val="auto"/>
                <w:kern w:val="0"/>
                <w:highlight w:val="none"/>
              </w:rPr>
              <w:t>章“竞选人</w:t>
            </w:r>
            <w:r>
              <w:rPr>
                <w:rFonts w:hint="eastAsia" w:ascii="宋体" w:hAnsi="宋体"/>
                <w:color w:val="auto"/>
                <w:kern w:val="0"/>
                <w:highlight w:val="none"/>
              </w:rPr>
              <w:t>须知</w:t>
            </w:r>
            <w:r>
              <w:rPr>
                <w:rFonts w:ascii="宋体" w:hAnsi="宋体"/>
                <w:color w:val="auto"/>
                <w:kern w:val="0"/>
                <w:highlight w:val="none"/>
              </w:rPr>
              <w:t>”</w:t>
            </w:r>
            <w:r>
              <w:rPr>
                <w:rFonts w:hint="eastAsia" w:ascii="宋体" w:hAnsi="宋体"/>
                <w:color w:val="auto"/>
                <w:kern w:val="0"/>
                <w:highlight w:val="none"/>
              </w:rPr>
              <w:t>第3.7款</w:t>
            </w:r>
            <w:r>
              <w:rPr>
                <w:rFonts w:ascii="宋体" w:hAnsi="宋体"/>
                <w:color w:val="auto"/>
                <w:kern w:val="0"/>
                <w:highlight w:val="none"/>
              </w:rPr>
              <w:t>的要求</w:t>
            </w:r>
            <w:r>
              <w:rPr>
                <w:rFonts w:hint="eastAsia" w:ascii="宋体" w:hAnsi="宋体"/>
                <w:color w:val="auto"/>
                <w:kern w:val="0"/>
                <w:highlight w:val="none"/>
              </w:rPr>
              <w:t>（不含竞选函部分）</w:t>
            </w:r>
            <w:r>
              <w:rPr>
                <w:rFonts w:ascii="宋体" w:hAnsi="宋体"/>
                <w:color w:val="auto"/>
                <w:kern w:val="0"/>
                <w:highlight w:val="none"/>
              </w:rPr>
              <w:t>。</w:t>
            </w:r>
          </w:p>
        </w:tc>
      </w:tr>
      <w:tr w14:paraId="642FFD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71" w:hRule="atLeast"/>
          <w:jc w:val="center"/>
        </w:trPr>
        <w:tc>
          <w:tcPr>
            <w:tcW w:w="808" w:type="dxa"/>
            <w:vMerge w:val="continue"/>
            <w:tcBorders>
              <w:right w:val="single" w:color="auto" w:sz="4" w:space="0"/>
            </w:tcBorders>
          </w:tcPr>
          <w:p w14:paraId="01FD2BA0">
            <w:pPr>
              <w:spacing w:line="400" w:lineRule="exact"/>
              <w:jc w:val="center"/>
              <w:rPr>
                <w:rFonts w:hint="eastAsia" w:ascii="宋体" w:hAnsi="宋体"/>
                <w:color w:val="auto"/>
                <w:kern w:val="0"/>
                <w:highlight w:val="none"/>
              </w:rPr>
            </w:pPr>
          </w:p>
        </w:tc>
        <w:tc>
          <w:tcPr>
            <w:tcW w:w="852" w:type="dxa"/>
            <w:vMerge w:val="continue"/>
            <w:tcBorders>
              <w:right w:val="single" w:color="auto" w:sz="4" w:space="0"/>
            </w:tcBorders>
          </w:tcPr>
          <w:p w14:paraId="687F5C42">
            <w:pPr>
              <w:spacing w:line="400" w:lineRule="exact"/>
              <w:jc w:val="center"/>
              <w:rPr>
                <w:rFonts w:hint="eastAsia" w:ascii="宋体" w:hAnsi="宋体"/>
                <w:color w:val="auto"/>
                <w:kern w:val="0"/>
                <w:highlight w:val="none"/>
              </w:rPr>
            </w:pPr>
          </w:p>
        </w:tc>
        <w:tc>
          <w:tcPr>
            <w:tcW w:w="2492" w:type="dxa"/>
            <w:tcBorders>
              <w:left w:val="single" w:color="auto" w:sz="4" w:space="0"/>
            </w:tcBorders>
            <w:vAlign w:val="center"/>
          </w:tcPr>
          <w:p w14:paraId="79034696">
            <w:pPr>
              <w:spacing w:line="400" w:lineRule="exact"/>
              <w:jc w:val="left"/>
              <w:rPr>
                <w:rFonts w:hint="eastAsia" w:ascii="宋体" w:hAnsi="宋体"/>
                <w:color w:val="auto"/>
                <w:kern w:val="0"/>
                <w:highlight w:val="none"/>
              </w:rPr>
            </w:pPr>
            <w:r>
              <w:rPr>
                <w:rFonts w:ascii="宋体" w:hAnsi="宋体"/>
                <w:color w:val="auto"/>
                <w:kern w:val="0"/>
                <w:highlight w:val="none"/>
              </w:rPr>
              <w:t>竞选文件的签署</w:t>
            </w:r>
          </w:p>
        </w:tc>
        <w:tc>
          <w:tcPr>
            <w:tcW w:w="5728" w:type="dxa"/>
            <w:vAlign w:val="center"/>
          </w:tcPr>
          <w:p w14:paraId="0DB7EDF1">
            <w:pPr>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 xml:space="preserve">第六章 </w:t>
            </w:r>
            <w:r>
              <w:rPr>
                <w:rFonts w:ascii="宋体" w:hAnsi="宋体"/>
                <w:color w:val="auto"/>
                <w:kern w:val="0"/>
                <w:highlight w:val="none"/>
              </w:rPr>
              <w:t>竞选文件</w:t>
            </w:r>
            <w:r>
              <w:rPr>
                <w:rFonts w:hint="eastAsia" w:ascii="宋体" w:hAnsi="宋体"/>
                <w:color w:val="auto"/>
                <w:kern w:val="0"/>
                <w:highlight w:val="none"/>
              </w:rPr>
              <w:t>格式（不含竞选函部分）要求</w:t>
            </w:r>
            <w:r>
              <w:rPr>
                <w:rFonts w:ascii="宋体" w:hAnsi="宋体"/>
                <w:color w:val="auto"/>
                <w:kern w:val="0"/>
                <w:highlight w:val="none"/>
              </w:rPr>
              <w:t>法定代表人或其委托代理人</w:t>
            </w:r>
            <w:r>
              <w:rPr>
                <w:rFonts w:hint="eastAsia" w:ascii="宋体" w:hAnsi="宋体"/>
                <w:color w:val="auto"/>
                <w:kern w:val="0"/>
                <w:highlight w:val="none"/>
              </w:rPr>
              <w:t>签名</w:t>
            </w:r>
            <w:r>
              <w:rPr>
                <w:rFonts w:ascii="宋体" w:hAnsi="宋体"/>
                <w:color w:val="auto"/>
                <w:kern w:val="0"/>
                <w:highlight w:val="none"/>
              </w:rPr>
              <w:t>（或盖章）</w:t>
            </w:r>
            <w:r>
              <w:rPr>
                <w:rFonts w:hint="eastAsia" w:ascii="宋体" w:hAnsi="宋体"/>
                <w:color w:val="auto"/>
                <w:kern w:val="0"/>
                <w:highlight w:val="none"/>
              </w:rPr>
              <w:t>的须</w:t>
            </w:r>
            <w:r>
              <w:rPr>
                <w:rFonts w:ascii="宋体" w:hAnsi="宋体"/>
                <w:color w:val="auto"/>
                <w:kern w:val="0"/>
                <w:highlight w:val="none"/>
              </w:rPr>
              <w:t>齐全。</w:t>
            </w:r>
            <w:r>
              <w:rPr>
                <w:rFonts w:hint="eastAsia" w:ascii="宋体" w:hAnsi="宋体"/>
                <w:color w:val="auto"/>
                <w:szCs w:val="21"/>
                <w:highlight w:val="none"/>
              </w:rPr>
              <w:t>要求签名的，</w:t>
            </w:r>
            <w:r>
              <w:rPr>
                <w:rFonts w:hint="eastAsia" w:ascii="宋体" w:hAnsi="宋体"/>
                <w:color w:val="auto"/>
                <w:kern w:val="0"/>
                <w:highlight w:val="none"/>
              </w:rPr>
              <w:t>签名采用手写签名</w:t>
            </w:r>
            <w:r>
              <w:rPr>
                <w:rFonts w:hint="eastAsia" w:ascii="宋体" w:hAnsi="宋体"/>
                <w:color w:val="auto"/>
                <w:szCs w:val="21"/>
                <w:highlight w:val="none"/>
              </w:rPr>
              <w:t>或签章</w:t>
            </w:r>
            <w:r>
              <w:rPr>
                <w:rFonts w:hint="eastAsia" w:ascii="宋体" w:hAnsi="宋体"/>
                <w:color w:val="auto"/>
                <w:kern w:val="0"/>
                <w:highlight w:val="none"/>
              </w:rPr>
              <w:t>均可。</w:t>
            </w:r>
          </w:p>
        </w:tc>
      </w:tr>
      <w:tr w14:paraId="1C662F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20177EDA">
            <w:pPr>
              <w:spacing w:line="400" w:lineRule="exact"/>
              <w:jc w:val="center"/>
              <w:rPr>
                <w:rFonts w:hint="eastAsia" w:ascii="宋体" w:hAnsi="宋体"/>
                <w:color w:val="auto"/>
                <w:kern w:val="0"/>
                <w:highlight w:val="none"/>
              </w:rPr>
            </w:pPr>
          </w:p>
        </w:tc>
        <w:tc>
          <w:tcPr>
            <w:tcW w:w="852" w:type="dxa"/>
            <w:vMerge w:val="continue"/>
            <w:tcBorders>
              <w:right w:val="single" w:color="auto" w:sz="4" w:space="0"/>
            </w:tcBorders>
          </w:tcPr>
          <w:p w14:paraId="406A2F29">
            <w:pPr>
              <w:spacing w:line="400" w:lineRule="exact"/>
              <w:jc w:val="center"/>
              <w:rPr>
                <w:rFonts w:hint="eastAsia" w:ascii="宋体" w:hAnsi="宋体"/>
                <w:color w:val="auto"/>
                <w:kern w:val="0"/>
                <w:highlight w:val="none"/>
              </w:rPr>
            </w:pPr>
          </w:p>
        </w:tc>
        <w:tc>
          <w:tcPr>
            <w:tcW w:w="2492" w:type="dxa"/>
            <w:tcBorders>
              <w:left w:val="single" w:color="auto" w:sz="4" w:space="0"/>
            </w:tcBorders>
            <w:vAlign w:val="center"/>
          </w:tcPr>
          <w:p w14:paraId="44A01A0D">
            <w:pPr>
              <w:spacing w:line="400" w:lineRule="exact"/>
              <w:jc w:val="left"/>
              <w:rPr>
                <w:rFonts w:hint="eastAsia" w:ascii="宋体" w:hAnsi="宋体"/>
                <w:color w:val="auto"/>
                <w:kern w:val="0"/>
                <w:highlight w:val="none"/>
              </w:rPr>
            </w:pPr>
            <w:r>
              <w:rPr>
                <w:rFonts w:ascii="宋体" w:hAnsi="宋体"/>
                <w:color w:val="auto"/>
                <w:kern w:val="0"/>
                <w:highlight w:val="none"/>
              </w:rPr>
              <w:t>委托代理人</w:t>
            </w:r>
          </w:p>
        </w:tc>
        <w:tc>
          <w:tcPr>
            <w:tcW w:w="5728" w:type="dxa"/>
            <w:vAlign w:val="center"/>
          </w:tcPr>
          <w:p w14:paraId="4D143C9D">
            <w:pPr>
              <w:spacing w:line="400" w:lineRule="exact"/>
              <w:ind w:firstLine="420" w:firstLineChars="200"/>
              <w:rPr>
                <w:rFonts w:hint="eastAsia" w:ascii="宋体" w:hAnsi="宋体"/>
                <w:color w:val="auto"/>
                <w:kern w:val="0"/>
                <w:highlight w:val="none"/>
              </w:rPr>
            </w:pPr>
            <w:r>
              <w:rPr>
                <w:rFonts w:ascii="宋体" w:hAnsi="宋体"/>
                <w:color w:val="auto"/>
                <w:kern w:val="0"/>
                <w:highlight w:val="none"/>
              </w:rPr>
              <w:t>竞选人法定代表人的委托代理人有法定代表人签署的授权委托书</w:t>
            </w:r>
            <w:r>
              <w:rPr>
                <w:rFonts w:hint="eastAsia" w:ascii="宋体" w:hAnsi="宋体"/>
                <w:color w:val="auto"/>
                <w:kern w:val="0"/>
                <w:highlight w:val="none"/>
              </w:rPr>
              <w:t>。</w:t>
            </w:r>
          </w:p>
        </w:tc>
      </w:tr>
      <w:tr w14:paraId="6656A0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17333AC8">
            <w:pPr>
              <w:spacing w:line="400" w:lineRule="exact"/>
              <w:jc w:val="center"/>
              <w:rPr>
                <w:rFonts w:hint="eastAsia" w:ascii="宋体" w:hAnsi="宋体"/>
                <w:color w:val="auto"/>
                <w:kern w:val="0"/>
                <w:highlight w:val="none"/>
              </w:rPr>
            </w:pPr>
          </w:p>
        </w:tc>
        <w:tc>
          <w:tcPr>
            <w:tcW w:w="852" w:type="dxa"/>
            <w:vMerge w:val="continue"/>
            <w:tcBorders>
              <w:right w:val="single" w:color="auto" w:sz="4" w:space="0"/>
            </w:tcBorders>
          </w:tcPr>
          <w:p w14:paraId="2362CF25">
            <w:pPr>
              <w:spacing w:line="400" w:lineRule="exact"/>
              <w:jc w:val="center"/>
              <w:rPr>
                <w:rFonts w:hint="eastAsia" w:ascii="宋体" w:hAnsi="宋体"/>
                <w:color w:val="auto"/>
                <w:kern w:val="0"/>
                <w:highlight w:val="none"/>
              </w:rPr>
            </w:pPr>
          </w:p>
        </w:tc>
        <w:tc>
          <w:tcPr>
            <w:tcW w:w="2492" w:type="dxa"/>
            <w:tcBorders>
              <w:left w:val="single" w:color="auto" w:sz="4" w:space="0"/>
            </w:tcBorders>
            <w:vAlign w:val="center"/>
          </w:tcPr>
          <w:p w14:paraId="20B172AB">
            <w:pPr>
              <w:spacing w:line="400" w:lineRule="exact"/>
              <w:jc w:val="left"/>
              <w:rPr>
                <w:rFonts w:hint="eastAsia" w:ascii="宋体" w:hAnsi="宋体"/>
                <w:color w:val="auto"/>
                <w:kern w:val="0"/>
                <w:highlight w:val="none"/>
              </w:rPr>
            </w:pPr>
            <w:r>
              <w:rPr>
                <w:rFonts w:ascii="宋体" w:hAnsi="宋体"/>
                <w:color w:val="auto"/>
                <w:highlight w:val="none"/>
              </w:rPr>
              <w:t>备选投标方案</w:t>
            </w:r>
          </w:p>
        </w:tc>
        <w:tc>
          <w:tcPr>
            <w:tcW w:w="5728" w:type="dxa"/>
            <w:vAlign w:val="center"/>
          </w:tcPr>
          <w:p w14:paraId="5288D4C0">
            <w:pPr>
              <w:spacing w:line="400" w:lineRule="exact"/>
              <w:ind w:firstLine="420" w:firstLineChars="200"/>
              <w:rPr>
                <w:rFonts w:hint="eastAsia" w:ascii="宋体" w:hAnsi="宋体"/>
                <w:color w:val="auto"/>
                <w:kern w:val="0"/>
                <w:highlight w:val="none"/>
              </w:rPr>
            </w:pPr>
            <w:r>
              <w:rPr>
                <w:rFonts w:ascii="宋体" w:hAnsi="宋体"/>
                <w:color w:val="auto"/>
                <w:kern w:val="0"/>
                <w:highlight w:val="none"/>
              </w:rPr>
              <w:t>除竞争性比选明确允许提交备选投标方案外，竞选人不得提交备选投标方案</w:t>
            </w:r>
          </w:p>
        </w:tc>
      </w:tr>
      <w:tr w14:paraId="51C2CB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restart"/>
            <w:vAlign w:val="center"/>
          </w:tcPr>
          <w:p w14:paraId="24502F38">
            <w:pPr>
              <w:spacing w:line="400" w:lineRule="exact"/>
              <w:jc w:val="center"/>
              <w:rPr>
                <w:rFonts w:hint="eastAsia"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3</w:t>
            </w:r>
          </w:p>
        </w:tc>
        <w:tc>
          <w:tcPr>
            <w:tcW w:w="852" w:type="dxa"/>
            <w:vMerge w:val="restart"/>
            <w:vAlign w:val="center"/>
          </w:tcPr>
          <w:p w14:paraId="3330463F">
            <w:pPr>
              <w:spacing w:line="400" w:lineRule="exact"/>
              <w:jc w:val="center"/>
              <w:rPr>
                <w:rFonts w:hint="eastAsia" w:ascii="宋体" w:hAnsi="宋体"/>
                <w:color w:val="auto"/>
                <w:kern w:val="0"/>
                <w:highlight w:val="none"/>
              </w:rPr>
            </w:pPr>
            <w:r>
              <w:rPr>
                <w:rFonts w:hint="eastAsia" w:ascii="宋体" w:hAnsi="宋体"/>
                <w:color w:val="auto"/>
                <w:kern w:val="0"/>
                <w:highlight w:val="none"/>
              </w:rPr>
              <w:t>响应性</w:t>
            </w:r>
            <w:r>
              <w:rPr>
                <w:rFonts w:ascii="宋体" w:hAnsi="宋体"/>
                <w:color w:val="auto"/>
                <w:kern w:val="0"/>
                <w:highlight w:val="none"/>
              </w:rPr>
              <w:t>评审标准</w:t>
            </w:r>
          </w:p>
        </w:tc>
        <w:tc>
          <w:tcPr>
            <w:tcW w:w="2492" w:type="dxa"/>
            <w:vAlign w:val="center"/>
          </w:tcPr>
          <w:p w14:paraId="5E039CA0">
            <w:pPr>
              <w:spacing w:line="400" w:lineRule="exact"/>
              <w:jc w:val="left"/>
              <w:rPr>
                <w:rFonts w:hint="eastAsia" w:ascii="宋体" w:hAnsi="宋体"/>
                <w:color w:val="auto"/>
                <w:kern w:val="0"/>
                <w:highlight w:val="none"/>
              </w:rPr>
            </w:pPr>
            <w:r>
              <w:rPr>
                <w:rFonts w:ascii="宋体" w:hAnsi="宋体"/>
                <w:color w:val="auto"/>
                <w:kern w:val="0"/>
                <w:highlight w:val="none"/>
              </w:rPr>
              <w:t>投标内容</w:t>
            </w:r>
          </w:p>
        </w:tc>
        <w:tc>
          <w:tcPr>
            <w:tcW w:w="5728" w:type="dxa"/>
            <w:vAlign w:val="center"/>
          </w:tcPr>
          <w:p w14:paraId="4B9C99BD">
            <w:pPr>
              <w:spacing w:line="400" w:lineRule="exact"/>
              <w:ind w:firstLine="420" w:firstLineChars="200"/>
              <w:jc w:val="left"/>
              <w:rPr>
                <w:rFonts w:hint="eastAsia" w:ascii="宋体" w:hAnsi="宋体"/>
                <w:color w:val="auto"/>
                <w:kern w:val="0"/>
                <w:highlight w:val="none"/>
              </w:rPr>
            </w:pPr>
            <w:r>
              <w:rPr>
                <w:rFonts w:ascii="宋体" w:hAnsi="宋体"/>
                <w:color w:val="auto"/>
                <w:kern w:val="0"/>
                <w:highlight w:val="none"/>
              </w:rPr>
              <w:t>符合第二章“竞选人须知”第1.3.1项规定</w:t>
            </w:r>
          </w:p>
        </w:tc>
      </w:tr>
      <w:tr w14:paraId="69496C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continue"/>
            <w:vAlign w:val="center"/>
          </w:tcPr>
          <w:p w14:paraId="3915AB32">
            <w:pPr>
              <w:spacing w:line="400" w:lineRule="exact"/>
              <w:jc w:val="center"/>
              <w:rPr>
                <w:rFonts w:hint="eastAsia" w:ascii="宋体" w:hAnsi="宋体"/>
                <w:color w:val="auto"/>
                <w:kern w:val="0"/>
                <w:highlight w:val="none"/>
              </w:rPr>
            </w:pPr>
          </w:p>
        </w:tc>
        <w:tc>
          <w:tcPr>
            <w:tcW w:w="852" w:type="dxa"/>
            <w:vMerge w:val="continue"/>
            <w:textDirection w:val="tbRlV"/>
            <w:vAlign w:val="center"/>
          </w:tcPr>
          <w:p w14:paraId="0F55792E">
            <w:pPr>
              <w:spacing w:line="400" w:lineRule="exact"/>
              <w:jc w:val="center"/>
              <w:rPr>
                <w:rFonts w:hint="eastAsia" w:ascii="宋体" w:hAnsi="宋体"/>
                <w:color w:val="auto"/>
                <w:kern w:val="0"/>
                <w:highlight w:val="none"/>
              </w:rPr>
            </w:pPr>
          </w:p>
        </w:tc>
        <w:tc>
          <w:tcPr>
            <w:tcW w:w="2492" w:type="dxa"/>
            <w:tcBorders>
              <w:top w:val="single" w:color="auto" w:sz="4" w:space="0"/>
            </w:tcBorders>
            <w:vAlign w:val="center"/>
          </w:tcPr>
          <w:p w14:paraId="5D168F49">
            <w:pPr>
              <w:spacing w:line="400" w:lineRule="exact"/>
              <w:jc w:val="left"/>
              <w:rPr>
                <w:rFonts w:hint="eastAsia" w:ascii="宋体" w:hAnsi="宋体"/>
                <w:color w:val="auto"/>
                <w:kern w:val="0"/>
                <w:highlight w:val="none"/>
              </w:rPr>
            </w:pPr>
            <w:r>
              <w:rPr>
                <w:rFonts w:ascii="宋体" w:hAnsi="宋体"/>
                <w:color w:val="auto"/>
                <w:kern w:val="0"/>
                <w:highlight w:val="none"/>
              </w:rPr>
              <w:t>投标保证金</w:t>
            </w:r>
          </w:p>
        </w:tc>
        <w:tc>
          <w:tcPr>
            <w:tcW w:w="5728" w:type="dxa"/>
            <w:vAlign w:val="center"/>
          </w:tcPr>
          <w:p w14:paraId="4583B87D">
            <w:pPr>
              <w:tabs>
                <w:tab w:val="left" w:pos="601"/>
                <w:tab w:val="left" w:pos="669"/>
              </w:tabs>
              <w:snapToGrid w:val="0"/>
              <w:spacing w:line="400" w:lineRule="exact"/>
              <w:ind w:firstLine="420" w:firstLineChars="200"/>
              <w:rPr>
                <w:rFonts w:hint="eastAsia" w:ascii="宋体" w:hAnsi="宋体"/>
                <w:color w:val="auto"/>
                <w:kern w:val="0"/>
                <w:highlight w:val="none"/>
              </w:rPr>
            </w:pPr>
            <w:r>
              <w:rPr>
                <w:rFonts w:ascii="宋体" w:hAnsi="宋体"/>
                <w:color w:val="auto"/>
                <w:kern w:val="0"/>
                <w:highlight w:val="none"/>
              </w:rPr>
              <w:t>符合第二章“竞选人须知”</w:t>
            </w:r>
            <w:r>
              <w:rPr>
                <w:rFonts w:ascii="宋体" w:hAnsi="宋体"/>
                <w:color w:val="auto"/>
                <w:kern w:val="0"/>
                <w:szCs w:val="21"/>
                <w:highlight w:val="none"/>
              </w:rPr>
              <w:t>第3.4</w:t>
            </w:r>
            <w:r>
              <w:rPr>
                <w:rFonts w:hint="eastAsia" w:ascii="宋体" w:hAnsi="宋体"/>
                <w:color w:val="auto"/>
                <w:kern w:val="0"/>
                <w:szCs w:val="21"/>
                <w:highlight w:val="none"/>
              </w:rPr>
              <w:t>.1项</w:t>
            </w:r>
            <w:r>
              <w:rPr>
                <w:rFonts w:ascii="宋体" w:hAnsi="宋体"/>
                <w:color w:val="auto"/>
                <w:kern w:val="0"/>
                <w:highlight w:val="none"/>
              </w:rPr>
              <w:t>规定</w:t>
            </w:r>
          </w:p>
        </w:tc>
      </w:tr>
      <w:tr w14:paraId="70127C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453" w:hRule="atLeast"/>
          <w:jc w:val="center"/>
        </w:trPr>
        <w:tc>
          <w:tcPr>
            <w:tcW w:w="808" w:type="dxa"/>
            <w:vMerge w:val="continue"/>
          </w:tcPr>
          <w:p w14:paraId="40D44337">
            <w:pPr>
              <w:spacing w:line="400" w:lineRule="exact"/>
              <w:jc w:val="center"/>
              <w:rPr>
                <w:rFonts w:hint="eastAsia" w:ascii="宋体" w:hAnsi="宋体"/>
                <w:color w:val="auto"/>
                <w:highlight w:val="none"/>
              </w:rPr>
            </w:pPr>
          </w:p>
        </w:tc>
        <w:tc>
          <w:tcPr>
            <w:tcW w:w="852" w:type="dxa"/>
            <w:vMerge w:val="continue"/>
          </w:tcPr>
          <w:p w14:paraId="2A237138">
            <w:pPr>
              <w:spacing w:line="400" w:lineRule="exact"/>
              <w:jc w:val="center"/>
              <w:rPr>
                <w:rFonts w:hint="eastAsia" w:ascii="宋体" w:hAnsi="宋体"/>
                <w:color w:val="auto"/>
                <w:highlight w:val="none"/>
              </w:rPr>
            </w:pPr>
          </w:p>
        </w:tc>
        <w:tc>
          <w:tcPr>
            <w:tcW w:w="2492" w:type="dxa"/>
            <w:vAlign w:val="center"/>
          </w:tcPr>
          <w:p w14:paraId="2CBB3BD3">
            <w:pPr>
              <w:spacing w:line="400" w:lineRule="exact"/>
              <w:jc w:val="left"/>
              <w:rPr>
                <w:rFonts w:hint="eastAsia" w:ascii="宋体" w:hAnsi="宋体"/>
                <w:color w:val="auto"/>
                <w:kern w:val="0"/>
                <w:highlight w:val="none"/>
              </w:rPr>
            </w:pPr>
            <w:r>
              <w:rPr>
                <w:rFonts w:ascii="宋体" w:hAnsi="宋体"/>
                <w:color w:val="auto"/>
                <w:kern w:val="0"/>
                <w:highlight w:val="none"/>
              </w:rPr>
              <w:t>权利义务</w:t>
            </w:r>
          </w:p>
        </w:tc>
        <w:tc>
          <w:tcPr>
            <w:tcW w:w="5728" w:type="dxa"/>
            <w:vAlign w:val="center"/>
          </w:tcPr>
          <w:p w14:paraId="25F2D643">
            <w:pPr>
              <w:spacing w:after="62" w:afterLines="20" w:line="400" w:lineRule="exact"/>
              <w:ind w:firstLine="420" w:firstLineChars="200"/>
              <w:rPr>
                <w:rFonts w:hint="eastAsia" w:ascii="宋体" w:hAnsi="宋体"/>
                <w:color w:val="auto"/>
                <w:kern w:val="0"/>
                <w:highlight w:val="none"/>
              </w:rPr>
            </w:pPr>
            <w:r>
              <w:rPr>
                <w:rFonts w:ascii="宋体" w:hAnsi="宋体"/>
                <w:color w:val="auto"/>
                <w:kern w:val="0"/>
                <w:highlight w:val="none"/>
              </w:rPr>
              <w:t>符合第四章“合同条款及格式”规定，</w:t>
            </w:r>
            <w:r>
              <w:rPr>
                <w:rFonts w:hint="eastAsia" w:ascii="宋体" w:hAnsi="宋体"/>
                <w:color w:val="auto"/>
                <w:kern w:val="0"/>
                <w:highlight w:val="none"/>
              </w:rPr>
              <w:t>竞选文件</w:t>
            </w:r>
            <w:r>
              <w:rPr>
                <w:rFonts w:ascii="宋体" w:hAnsi="宋体"/>
                <w:color w:val="auto"/>
                <w:kern w:val="0"/>
                <w:highlight w:val="none"/>
              </w:rPr>
              <w:t>不应附有</w:t>
            </w:r>
            <w:r>
              <w:rPr>
                <w:rFonts w:hint="eastAsia" w:ascii="宋体" w:hAnsi="宋体"/>
                <w:color w:val="auto"/>
                <w:kern w:val="0"/>
                <w:highlight w:val="none"/>
              </w:rPr>
              <w:t>比选人</w:t>
            </w:r>
            <w:r>
              <w:rPr>
                <w:rFonts w:ascii="宋体" w:hAnsi="宋体"/>
                <w:color w:val="auto"/>
                <w:kern w:val="0"/>
                <w:highlight w:val="none"/>
              </w:rPr>
              <w:t>不能接受的条件。</w:t>
            </w:r>
            <w:r>
              <w:rPr>
                <w:rFonts w:hint="eastAsia" w:ascii="宋体" w:hAnsi="宋体" w:cs="宋体"/>
                <w:color w:val="auto"/>
                <w:kern w:val="0"/>
                <w:highlight w:val="none"/>
              </w:rPr>
              <w:t>（由竞选人承诺，承诺书格式详见第六章竞选文件格式。）</w:t>
            </w:r>
          </w:p>
        </w:tc>
      </w:tr>
      <w:tr w14:paraId="60DE78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544" w:hRule="atLeast"/>
          <w:jc w:val="center"/>
        </w:trPr>
        <w:tc>
          <w:tcPr>
            <w:tcW w:w="808" w:type="dxa"/>
            <w:vMerge w:val="continue"/>
          </w:tcPr>
          <w:p w14:paraId="103331F4">
            <w:pPr>
              <w:spacing w:line="400" w:lineRule="exact"/>
              <w:rPr>
                <w:rFonts w:hint="eastAsia" w:ascii="宋体" w:hAnsi="宋体"/>
                <w:color w:val="auto"/>
                <w:highlight w:val="none"/>
              </w:rPr>
            </w:pPr>
          </w:p>
        </w:tc>
        <w:tc>
          <w:tcPr>
            <w:tcW w:w="852" w:type="dxa"/>
            <w:vMerge w:val="continue"/>
          </w:tcPr>
          <w:p w14:paraId="17102281">
            <w:pPr>
              <w:spacing w:line="400" w:lineRule="exact"/>
              <w:rPr>
                <w:rFonts w:hint="eastAsia" w:ascii="宋体" w:hAnsi="宋体"/>
                <w:color w:val="auto"/>
                <w:highlight w:val="none"/>
              </w:rPr>
            </w:pPr>
          </w:p>
        </w:tc>
        <w:tc>
          <w:tcPr>
            <w:tcW w:w="2492" w:type="dxa"/>
            <w:vAlign w:val="center"/>
          </w:tcPr>
          <w:p w14:paraId="61085F91">
            <w:pPr>
              <w:spacing w:line="400" w:lineRule="exact"/>
              <w:jc w:val="left"/>
              <w:rPr>
                <w:rFonts w:hint="eastAsia" w:ascii="宋体" w:hAnsi="宋体"/>
                <w:color w:val="auto"/>
                <w:kern w:val="0"/>
                <w:highlight w:val="none"/>
              </w:rPr>
            </w:pPr>
            <w:r>
              <w:rPr>
                <w:rFonts w:ascii="宋体" w:hAnsi="宋体"/>
                <w:color w:val="auto"/>
                <w:kern w:val="0"/>
                <w:highlight w:val="none"/>
              </w:rPr>
              <w:t>实质性要求</w:t>
            </w:r>
          </w:p>
        </w:tc>
        <w:tc>
          <w:tcPr>
            <w:tcW w:w="5728" w:type="dxa"/>
            <w:vAlign w:val="center"/>
          </w:tcPr>
          <w:p w14:paraId="19471A11">
            <w:pPr>
              <w:spacing w:after="62" w:afterLines="20"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符合第二章“竞选人须知”第1.4.3项规定。</w:t>
            </w:r>
          </w:p>
          <w:p w14:paraId="57BFB03A">
            <w:pPr>
              <w:spacing w:after="62" w:afterLines="20"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本次投标不得有串通投标</w:t>
            </w:r>
            <w:r>
              <w:rPr>
                <w:rFonts w:ascii="宋体" w:hAnsi="宋体"/>
                <w:color w:val="auto"/>
                <w:kern w:val="0"/>
                <w:highlight w:val="none"/>
              </w:rPr>
              <w:t>、弄虚作假等其他违反招投标相关法律、法规行为。</w:t>
            </w:r>
          </w:p>
          <w:p w14:paraId="6FD887CB">
            <w:pPr>
              <w:spacing w:after="62" w:afterLines="20" w:line="400" w:lineRule="exact"/>
              <w:ind w:firstLine="420" w:firstLineChars="200"/>
              <w:rPr>
                <w:rFonts w:hint="eastAsia" w:ascii="宋体" w:hAnsi="宋体"/>
                <w:color w:val="auto"/>
                <w:kern w:val="0"/>
                <w:highlight w:val="none"/>
              </w:rPr>
            </w:pPr>
            <w:r>
              <w:rPr>
                <w:rFonts w:hint="eastAsia" w:ascii="宋体" w:hAnsi="宋体" w:cs="宋体"/>
                <w:color w:val="auto"/>
                <w:kern w:val="0"/>
                <w:highlight w:val="none"/>
              </w:rPr>
              <w:t>按评标委员会要求澄清、说明或补正。</w:t>
            </w:r>
          </w:p>
        </w:tc>
      </w:tr>
      <w:tr w14:paraId="41B46F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1660" w:type="dxa"/>
            <w:gridSpan w:val="2"/>
            <w:vAlign w:val="center"/>
          </w:tcPr>
          <w:p w14:paraId="51B13829">
            <w:pPr>
              <w:spacing w:line="400" w:lineRule="exact"/>
              <w:jc w:val="center"/>
              <w:rPr>
                <w:rFonts w:hint="eastAsia" w:ascii="宋体" w:hAnsi="宋体"/>
                <w:b/>
                <w:color w:val="auto"/>
                <w:kern w:val="0"/>
                <w:highlight w:val="none"/>
              </w:rPr>
            </w:pPr>
            <w:r>
              <w:rPr>
                <w:rFonts w:ascii="宋体" w:hAnsi="宋体"/>
                <w:b/>
                <w:color w:val="auto"/>
                <w:kern w:val="0"/>
                <w:highlight w:val="none"/>
              </w:rPr>
              <w:t>条款号</w:t>
            </w:r>
          </w:p>
        </w:tc>
        <w:tc>
          <w:tcPr>
            <w:tcW w:w="2492" w:type="dxa"/>
            <w:vAlign w:val="center"/>
          </w:tcPr>
          <w:p w14:paraId="16C44CC5">
            <w:pPr>
              <w:spacing w:line="400" w:lineRule="exact"/>
              <w:jc w:val="center"/>
              <w:rPr>
                <w:rFonts w:hint="eastAsia" w:ascii="宋体" w:hAnsi="宋体"/>
                <w:b/>
                <w:color w:val="auto"/>
                <w:kern w:val="0"/>
                <w:highlight w:val="none"/>
              </w:rPr>
            </w:pPr>
            <w:r>
              <w:rPr>
                <w:rFonts w:hint="eastAsia" w:ascii="宋体" w:hAnsi="宋体"/>
                <w:b/>
                <w:color w:val="auto"/>
                <w:kern w:val="0"/>
                <w:highlight w:val="none"/>
              </w:rPr>
              <w:t>条款内容</w:t>
            </w:r>
          </w:p>
        </w:tc>
        <w:tc>
          <w:tcPr>
            <w:tcW w:w="5728" w:type="dxa"/>
            <w:vAlign w:val="center"/>
          </w:tcPr>
          <w:p w14:paraId="03C1ED2C">
            <w:pPr>
              <w:spacing w:line="400" w:lineRule="exact"/>
              <w:jc w:val="center"/>
              <w:rPr>
                <w:rFonts w:hint="eastAsia" w:ascii="宋体" w:hAnsi="宋体"/>
                <w:b/>
                <w:color w:val="auto"/>
                <w:kern w:val="0"/>
                <w:highlight w:val="none"/>
              </w:rPr>
            </w:pPr>
            <w:r>
              <w:rPr>
                <w:rFonts w:hint="eastAsia" w:ascii="宋体" w:hAnsi="宋体"/>
                <w:b/>
                <w:color w:val="auto"/>
                <w:kern w:val="0"/>
                <w:highlight w:val="none"/>
              </w:rPr>
              <w:t>编列内容</w:t>
            </w:r>
          </w:p>
        </w:tc>
      </w:tr>
      <w:tr w14:paraId="2BCC8D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1660" w:type="dxa"/>
            <w:gridSpan w:val="2"/>
            <w:vAlign w:val="center"/>
          </w:tcPr>
          <w:p w14:paraId="4214224E">
            <w:pPr>
              <w:spacing w:line="400" w:lineRule="exact"/>
              <w:ind w:firstLine="210" w:firstLineChars="100"/>
              <w:jc w:val="center"/>
              <w:rPr>
                <w:rFonts w:hint="eastAsia" w:ascii="宋体" w:hAnsi="宋体"/>
                <w:color w:val="auto"/>
                <w:kern w:val="0"/>
                <w:highlight w:val="none"/>
              </w:rPr>
            </w:pPr>
            <w:r>
              <w:rPr>
                <w:rFonts w:ascii="宋体" w:hAnsi="宋体"/>
                <w:color w:val="auto"/>
                <w:kern w:val="0"/>
                <w:highlight w:val="none"/>
              </w:rPr>
              <w:t>2.2.1</w:t>
            </w:r>
          </w:p>
        </w:tc>
        <w:tc>
          <w:tcPr>
            <w:tcW w:w="2492" w:type="dxa"/>
            <w:vAlign w:val="center"/>
          </w:tcPr>
          <w:p w14:paraId="1974DE1C">
            <w:pPr>
              <w:tabs>
                <w:tab w:val="left" w:pos="1875"/>
              </w:tabs>
              <w:spacing w:line="400" w:lineRule="exact"/>
              <w:jc w:val="center"/>
              <w:rPr>
                <w:rFonts w:hint="eastAsia" w:ascii="宋体" w:hAnsi="宋体"/>
                <w:color w:val="auto"/>
                <w:kern w:val="0"/>
                <w:highlight w:val="none"/>
              </w:rPr>
            </w:pPr>
            <w:r>
              <w:rPr>
                <w:rFonts w:ascii="宋体" w:hAnsi="宋体"/>
                <w:color w:val="auto"/>
                <w:kern w:val="0"/>
                <w:highlight w:val="none"/>
              </w:rPr>
              <w:t>分值构成</w:t>
            </w:r>
          </w:p>
          <w:p w14:paraId="33798E7F">
            <w:pPr>
              <w:tabs>
                <w:tab w:val="left" w:pos="1875"/>
              </w:tabs>
              <w:spacing w:line="400" w:lineRule="exact"/>
              <w:jc w:val="center"/>
              <w:rPr>
                <w:rFonts w:hint="eastAsia" w:ascii="宋体" w:hAnsi="宋体"/>
                <w:color w:val="auto"/>
                <w:kern w:val="0"/>
                <w:highlight w:val="none"/>
              </w:rPr>
            </w:pPr>
            <w:r>
              <w:rPr>
                <w:rFonts w:ascii="宋体" w:hAnsi="宋体"/>
                <w:color w:val="auto"/>
                <w:kern w:val="0"/>
                <w:highlight w:val="none"/>
              </w:rPr>
              <w:t xml:space="preserve"> （总分1</w:t>
            </w:r>
            <w:r>
              <w:rPr>
                <w:rFonts w:hint="eastAsia" w:ascii="宋体" w:hAnsi="宋体"/>
                <w:color w:val="auto"/>
                <w:kern w:val="0"/>
                <w:highlight w:val="none"/>
              </w:rPr>
              <w:t>00</w:t>
            </w:r>
            <w:r>
              <w:rPr>
                <w:rFonts w:ascii="宋体" w:hAnsi="宋体"/>
                <w:color w:val="auto"/>
                <w:kern w:val="0"/>
                <w:highlight w:val="none"/>
              </w:rPr>
              <w:t>分）</w:t>
            </w:r>
          </w:p>
        </w:tc>
        <w:tc>
          <w:tcPr>
            <w:tcW w:w="5728" w:type="dxa"/>
            <w:vAlign w:val="center"/>
          </w:tcPr>
          <w:p w14:paraId="595C6C10">
            <w:pPr>
              <w:snapToGrid w:val="0"/>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技术部分</w:t>
            </w:r>
            <w:r>
              <w:rPr>
                <w:rFonts w:hint="eastAsia" w:ascii="宋体" w:hAnsi="宋体"/>
                <w:color w:val="auto"/>
                <w:kern w:val="0"/>
                <w:highlight w:val="none"/>
                <w:u w:val="single"/>
                <w:lang w:val="en-US" w:eastAsia="zh-CN"/>
              </w:rPr>
              <w:t>7</w:t>
            </w:r>
            <w:r>
              <w:rPr>
                <w:rFonts w:hint="eastAsia" w:ascii="宋体" w:hAnsi="宋体"/>
                <w:color w:val="auto"/>
                <w:kern w:val="0"/>
                <w:highlight w:val="none"/>
                <w:u w:val="single"/>
              </w:rPr>
              <w:t>0</w:t>
            </w:r>
            <w:r>
              <w:rPr>
                <w:rFonts w:ascii="宋体" w:hAnsi="宋体"/>
                <w:color w:val="auto"/>
                <w:kern w:val="0"/>
                <w:highlight w:val="none"/>
              </w:rPr>
              <w:t>分</w:t>
            </w:r>
            <w:r>
              <w:rPr>
                <w:rFonts w:hint="eastAsia" w:ascii="宋体" w:hAnsi="宋体"/>
                <w:color w:val="auto"/>
                <w:kern w:val="0"/>
                <w:highlight w:val="none"/>
              </w:rPr>
              <w:t>；（服务方案）</w:t>
            </w:r>
          </w:p>
          <w:p w14:paraId="49AA780E">
            <w:pPr>
              <w:snapToGrid w:val="0"/>
              <w:spacing w:line="400" w:lineRule="exact"/>
              <w:ind w:firstLine="420" w:firstLineChars="200"/>
              <w:rPr>
                <w:rFonts w:hint="eastAsia" w:ascii="宋体" w:hAnsi="宋体"/>
                <w:i/>
                <w:color w:val="auto"/>
                <w:kern w:val="0"/>
                <w:highlight w:val="none"/>
              </w:rPr>
            </w:pPr>
            <w:r>
              <w:rPr>
                <w:rFonts w:ascii="宋体" w:hAnsi="宋体"/>
                <w:color w:val="auto"/>
                <w:kern w:val="0"/>
                <w:highlight w:val="none"/>
              </w:rPr>
              <w:t>2</w:t>
            </w:r>
            <w:r>
              <w:rPr>
                <w:rFonts w:hint="eastAsia" w:ascii="宋体" w:hAnsi="宋体"/>
                <w:color w:val="auto"/>
                <w:kern w:val="0"/>
                <w:highlight w:val="none"/>
              </w:rPr>
              <w:t>.投标报价</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3</w:t>
            </w:r>
            <w:r>
              <w:rPr>
                <w:rFonts w:hint="eastAsia" w:ascii="宋体" w:hAnsi="宋体"/>
                <w:color w:val="auto"/>
                <w:kern w:val="0"/>
                <w:highlight w:val="none"/>
                <w:u w:val="single"/>
              </w:rPr>
              <w:t xml:space="preserve">0 </w:t>
            </w:r>
            <w:r>
              <w:rPr>
                <w:rFonts w:hint="eastAsia" w:ascii="宋体" w:hAnsi="宋体"/>
                <w:color w:val="auto"/>
                <w:kern w:val="0"/>
                <w:highlight w:val="none"/>
              </w:rPr>
              <w:t>分。</w:t>
            </w:r>
          </w:p>
        </w:tc>
      </w:tr>
      <w:tr w14:paraId="1FCFC4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660" w:type="dxa"/>
            <w:gridSpan w:val="2"/>
            <w:vAlign w:val="center"/>
          </w:tcPr>
          <w:p w14:paraId="615F133E">
            <w:pPr>
              <w:spacing w:line="400" w:lineRule="exact"/>
              <w:ind w:firstLine="210" w:firstLineChars="100"/>
              <w:jc w:val="center"/>
              <w:rPr>
                <w:rFonts w:hint="eastAsia"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2</w:t>
            </w:r>
          </w:p>
        </w:tc>
        <w:tc>
          <w:tcPr>
            <w:tcW w:w="2492" w:type="dxa"/>
            <w:vAlign w:val="center"/>
          </w:tcPr>
          <w:p w14:paraId="17721422">
            <w:pPr>
              <w:tabs>
                <w:tab w:val="left" w:pos="1875"/>
              </w:tabs>
              <w:spacing w:line="400" w:lineRule="exact"/>
              <w:jc w:val="center"/>
              <w:rPr>
                <w:rFonts w:hint="eastAsia" w:ascii="宋体" w:hAnsi="宋体"/>
                <w:color w:val="auto"/>
                <w:kern w:val="0"/>
                <w:highlight w:val="none"/>
              </w:rPr>
            </w:pPr>
            <w:r>
              <w:rPr>
                <w:rFonts w:ascii="宋体" w:hAnsi="宋体"/>
                <w:color w:val="auto"/>
                <w:highlight w:val="none"/>
              </w:rPr>
              <w:t>评标基准价计算方法</w:t>
            </w:r>
          </w:p>
        </w:tc>
        <w:tc>
          <w:tcPr>
            <w:tcW w:w="5728" w:type="dxa"/>
            <w:vAlign w:val="center"/>
          </w:tcPr>
          <w:p w14:paraId="29BFB116">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所有通过初步评审合格的</w:t>
            </w:r>
            <w:r>
              <w:rPr>
                <w:rFonts w:hint="eastAsia" w:ascii="宋体" w:hAnsi="宋体"/>
                <w:color w:val="auto"/>
                <w:kern w:val="0"/>
                <w:szCs w:val="21"/>
                <w:highlight w:val="none"/>
              </w:rPr>
              <w:t>竞选人</w:t>
            </w:r>
            <w:r>
              <w:rPr>
                <w:rFonts w:ascii="宋体" w:hAnsi="宋体"/>
                <w:color w:val="auto"/>
                <w:szCs w:val="21"/>
                <w:highlight w:val="none"/>
              </w:rPr>
              <w:t>的</w:t>
            </w:r>
            <w:r>
              <w:rPr>
                <w:rFonts w:hint="eastAsia" w:ascii="宋体" w:hAnsi="宋体"/>
                <w:color w:val="auto"/>
                <w:szCs w:val="21"/>
                <w:highlight w:val="none"/>
              </w:rPr>
              <w:t>竞选总报价</w:t>
            </w:r>
            <w:r>
              <w:rPr>
                <w:rFonts w:ascii="宋体" w:hAnsi="宋体"/>
                <w:color w:val="auto"/>
                <w:kern w:val="0"/>
                <w:szCs w:val="21"/>
                <w:highlight w:val="none"/>
              </w:rPr>
              <w:t>中去掉六分之一（不能整除的按小数点前整数取整，不足六家报价则不去掉）的</w:t>
            </w:r>
            <w:r>
              <w:rPr>
                <w:rFonts w:hint="eastAsia" w:ascii="宋体" w:hAnsi="宋体"/>
                <w:color w:val="auto"/>
                <w:kern w:val="0"/>
                <w:szCs w:val="21"/>
                <w:highlight w:val="none"/>
              </w:rPr>
              <w:t>最低价和相同家数的最高价后的算术平均值与本项目最高限价再取平均值，即为本项目的竞选总报价的评标基准价。</w:t>
            </w:r>
          </w:p>
          <w:p w14:paraId="6B7A607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评标基准价计算的最终</w:t>
            </w:r>
            <w:r>
              <w:rPr>
                <w:rFonts w:ascii="宋体" w:hAnsi="宋体"/>
                <w:color w:val="auto"/>
                <w:kern w:val="0"/>
                <w:szCs w:val="21"/>
                <w:highlight w:val="none"/>
              </w:rPr>
              <w:t>结果取小数点后两位，第三位四舍五入。</w:t>
            </w:r>
          </w:p>
          <w:p w14:paraId="68194150">
            <w:pPr>
              <w:snapToGrid w:val="0"/>
              <w:spacing w:line="400" w:lineRule="exact"/>
              <w:ind w:firstLine="420" w:firstLineChars="200"/>
              <w:jc w:val="left"/>
              <w:rPr>
                <w:rFonts w:hint="eastAsia" w:ascii="宋体" w:hAnsi="宋体"/>
                <w:color w:val="auto"/>
                <w:highlight w:val="none"/>
              </w:rPr>
            </w:pPr>
            <w:r>
              <w:rPr>
                <w:rFonts w:ascii="宋体" w:hAnsi="宋体"/>
                <w:color w:val="auto"/>
                <w:kern w:val="0"/>
                <w:szCs w:val="21"/>
                <w:highlight w:val="none"/>
              </w:rPr>
              <w:t>在评标基准价计算完成后（除计算错误外），在后续的评审中不得再对其做出调整。</w:t>
            </w:r>
          </w:p>
        </w:tc>
      </w:tr>
      <w:tr w14:paraId="40DC34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93" w:hRule="atLeast"/>
          <w:jc w:val="center"/>
        </w:trPr>
        <w:tc>
          <w:tcPr>
            <w:tcW w:w="1660" w:type="dxa"/>
            <w:gridSpan w:val="2"/>
            <w:vAlign w:val="center"/>
          </w:tcPr>
          <w:p w14:paraId="00A46ECD">
            <w:pPr>
              <w:spacing w:line="400" w:lineRule="exact"/>
              <w:ind w:firstLine="210" w:firstLineChars="100"/>
              <w:jc w:val="center"/>
              <w:rPr>
                <w:rFonts w:hint="eastAsia"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3</w:t>
            </w:r>
          </w:p>
        </w:tc>
        <w:tc>
          <w:tcPr>
            <w:tcW w:w="2492" w:type="dxa"/>
            <w:vAlign w:val="center"/>
          </w:tcPr>
          <w:p w14:paraId="3F3B5A28">
            <w:pPr>
              <w:tabs>
                <w:tab w:val="left" w:pos="1875"/>
              </w:tabs>
              <w:spacing w:line="400" w:lineRule="exact"/>
              <w:jc w:val="center"/>
              <w:rPr>
                <w:rFonts w:hint="eastAsia" w:ascii="宋体" w:hAnsi="宋体"/>
                <w:color w:val="auto"/>
                <w:highlight w:val="none"/>
              </w:rPr>
            </w:pPr>
            <w:r>
              <w:rPr>
                <w:rFonts w:ascii="宋体" w:hAnsi="宋体"/>
                <w:color w:val="auto"/>
                <w:highlight w:val="none"/>
              </w:rPr>
              <w:t>投标报价的偏差率计算公式</w:t>
            </w:r>
          </w:p>
        </w:tc>
        <w:tc>
          <w:tcPr>
            <w:tcW w:w="5728" w:type="dxa"/>
            <w:vAlign w:val="center"/>
          </w:tcPr>
          <w:p w14:paraId="62FE8666">
            <w:pPr>
              <w:spacing w:line="400" w:lineRule="exact"/>
              <w:ind w:firstLine="420" w:firstLineChars="200"/>
              <w:jc w:val="left"/>
              <w:rPr>
                <w:rFonts w:hint="eastAsia" w:ascii="宋体" w:hAnsi="宋体"/>
                <w:color w:val="auto"/>
                <w:kern w:val="0"/>
                <w:highlight w:val="none"/>
              </w:rPr>
            </w:pPr>
            <w:r>
              <w:rPr>
                <w:rFonts w:ascii="宋体" w:hAnsi="宋体"/>
                <w:color w:val="auto"/>
                <w:kern w:val="0"/>
                <w:highlight w:val="none"/>
              </w:rPr>
              <w:t>偏差率</w:t>
            </w:r>
            <w:r>
              <w:rPr>
                <w:rFonts w:ascii="宋体" w:hAnsi="宋体"/>
                <w:color w:val="auto"/>
                <w:kern w:val="0"/>
                <w:sz w:val="28"/>
                <w:szCs w:val="28"/>
                <w:highlight w:val="none"/>
              </w:rPr>
              <w:t>=</w:t>
            </w:r>
            <w:r>
              <w:rPr>
                <w:rFonts w:ascii="宋体" w:hAnsi="宋体"/>
                <w:color w:val="auto"/>
                <w:kern w:val="0"/>
                <w:highlight w:val="none"/>
              </w:rPr>
              <w:t>100％×（竞选人报价</w:t>
            </w:r>
            <w:r>
              <w:rPr>
                <w:rFonts w:hint="eastAsia" w:ascii="宋体" w:hAnsi="宋体"/>
                <w:color w:val="auto"/>
                <w:kern w:val="0"/>
                <w:highlight w:val="none"/>
              </w:rPr>
              <w:t>-</w:t>
            </w:r>
            <w:r>
              <w:rPr>
                <w:rFonts w:ascii="宋体" w:hAnsi="宋体"/>
                <w:color w:val="auto"/>
                <w:kern w:val="0"/>
                <w:highlight w:val="none"/>
              </w:rPr>
              <w:t>评标基准价）／评标基准价</w:t>
            </w:r>
          </w:p>
          <w:p w14:paraId="5976E280">
            <w:pPr>
              <w:snapToGrid w:val="0"/>
              <w:spacing w:line="400" w:lineRule="exact"/>
              <w:ind w:firstLine="420" w:firstLineChars="200"/>
              <w:rPr>
                <w:rFonts w:hint="eastAsia" w:ascii="宋体" w:hAnsi="宋体"/>
                <w:color w:val="auto"/>
                <w:kern w:val="0"/>
                <w:highlight w:val="none"/>
              </w:rPr>
            </w:pPr>
            <w:r>
              <w:rPr>
                <w:rFonts w:ascii="宋体" w:hAnsi="宋体"/>
                <w:color w:val="auto"/>
                <w:kern w:val="0"/>
                <w:highlight w:val="none"/>
              </w:rPr>
              <w:t>偏差率</w:t>
            </w:r>
            <w:r>
              <w:rPr>
                <w:rFonts w:ascii="宋体" w:hAnsi="宋体"/>
                <w:color w:val="auto"/>
                <w:kern w:val="0"/>
                <w:szCs w:val="21"/>
                <w:highlight w:val="none"/>
              </w:rPr>
              <w:t>计算的最终结果</w:t>
            </w:r>
            <w:r>
              <w:rPr>
                <w:rFonts w:hint="eastAsia" w:ascii="宋体" w:hAnsi="宋体"/>
                <w:color w:val="auto"/>
                <w:kern w:val="0"/>
                <w:szCs w:val="21"/>
                <w:highlight w:val="none"/>
              </w:rPr>
              <w:t>取</w:t>
            </w:r>
            <w:r>
              <w:rPr>
                <w:rFonts w:ascii="宋体" w:hAnsi="宋体"/>
                <w:color w:val="auto"/>
                <w:kern w:val="0"/>
                <w:szCs w:val="21"/>
                <w:highlight w:val="none"/>
              </w:rPr>
              <w:t>小数点后两位，小数点后第三位“四舍五入”。</w:t>
            </w:r>
          </w:p>
        </w:tc>
      </w:tr>
      <w:tr w14:paraId="0848F0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60" w:type="dxa"/>
            <w:gridSpan w:val="2"/>
            <w:vAlign w:val="center"/>
          </w:tcPr>
          <w:p w14:paraId="5AD5D5FB">
            <w:pPr>
              <w:spacing w:line="400" w:lineRule="exact"/>
              <w:jc w:val="center"/>
              <w:rPr>
                <w:rFonts w:hint="eastAsia" w:ascii="宋体" w:hAnsi="宋体"/>
                <w:b/>
                <w:color w:val="auto"/>
                <w:kern w:val="0"/>
                <w:highlight w:val="none"/>
              </w:rPr>
            </w:pPr>
            <w:r>
              <w:rPr>
                <w:rFonts w:ascii="宋体" w:hAnsi="宋体"/>
                <w:b/>
                <w:color w:val="auto"/>
                <w:kern w:val="0"/>
                <w:highlight w:val="none"/>
              </w:rPr>
              <w:t>条款号</w:t>
            </w:r>
          </w:p>
        </w:tc>
        <w:tc>
          <w:tcPr>
            <w:tcW w:w="2492" w:type="dxa"/>
            <w:vAlign w:val="center"/>
          </w:tcPr>
          <w:p w14:paraId="587ED7B9">
            <w:pPr>
              <w:spacing w:line="400" w:lineRule="exact"/>
              <w:jc w:val="center"/>
              <w:rPr>
                <w:rFonts w:hint="eastAsia" w:ascii="宋体" w:hAnsi="宋体"/>
                <w:b/>
                <w:color w:val="auto"/>
                <w:kern w:val="0"/>
                <w:highlight w:val="none"/>
              </w:rPr>
            </w:pPr>
            <w:r>
              <w:rPr>
                <w:rFonts w:hint="eastAsia" w:ascii="宋体" w:hAnsi="宋体"/>
                <w:b/>
                <w:color w:val="auto"/>
                <w:kern w:val="0"/>
                <w:highlight w:val="none"/>
              </w:rPr>
              <w:t>评分因素</w:t>
            </w:r>
          </w:p>
        </w:tc>
        <w:tc>
          <w:tcPr>
            <w:tcW w:w="5728" w:type="dxa"/>
            <w:vAlign w:val="center"/>
          </w:tcPr>
          <w:p w14:paraId="1526B05F">
            <w:pPr>
              <w:spacing w:line="400" w:lineRule="exact"/>
              <w:jc w:val="center"/>
              <w:rPr>
                <w:rFonts w:hint="eastAsia" w:ascii="宋体" w:hAnsi="宋体"/>
                <w:b/>
                <w:color w:val="auto"/>
                <w:kern w:val="0"/>
                <w:highlight w:val="none"/>
              </w:rPr>
            </w:pPr>
            <w:r>
              <w:rPr>
                <w:rFonts w:hint="eastAsia" w:ascii="宋体" w:hAnsi="宋体"/>
                <w:b/>
                <w:color w:val="auto"/>
                <w:kern w:val="0"/>
                <w:highlight w:val="none"/>
              </w:rPr>
              <w:t>评分标准</w:t>
            </w:r>
          </w:p>
        </w:tc>
      </w:tr>
    </w:tbl>
    <w:p w14:paraId="712CE2E7">
      <w:pPr>
        <w:rPr>
          <w:rFonts w:hint="eastAsia" w:ascii="宋体" w:hAnsi="宋体"/>
          <w:color w:val="auto"/>
          <w:highlight w:val="none"/>
        </w:rPr>
      </w:pPr>
    </w:p>
    <w:tbl>
      <w:tblPr>
        <w:tblStyle w:val="29"/>
        <w:tblW w:w="998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587"/>
        <w:gridCol w:w="5738"/>
      </w:tblGrid>
      <w:tr w14:paraId="4E47E5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14:paraId="6209B81E">
            <w:pPr>
              <w:spacing w:line="400" w:lineRule="exact"/>
              <w:jc w:val="center"/>
              <w:rPr>
                <w:rFonts w:hint="eastAsia"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4</w:t>
            </w:r>
            <w:r>
              <w:rPr>
                <w:rFonts w:hint="eastAsia" w:ascii="宋体" w:hAnsi="宋体"/>
                <w:color w:val="auto"/>
                <w:kern w:val="0"/>
                <w:highlight w:val="none"/>
              </w:rPr>
              <w:t>（1）</w:t>
            </w:r>
          </w:p>
        </w:tc>
        <w:tc>
          <w:tcPr>
            <w:tcW w:w="852" w:type="dxa"/>
            <w:vMerge w:val="restart"/>
            <w:tcBorders>
              <w:left w:val="single" w:color="auto" w:sz="4" w:space="0"/>
            </w:tcBorders>
            <w:vAlign w:val="center"/>
          </w:tcPr>
          <w:p w14:paraId="29E94F03">
            <w:pPr>
              <w:pStyle w:val="8"/>
              <w:jc w:val="center"/>
              <w:rPr>
                <w:rFonts w:hint="eastAsia" w:ascii="宋体" w:hAnsi="宋体"/>
                <w:color w:val="auto"/>
                <w:kern w:val="0"/>
                <w:highlight w:val="none"/>
              </w:rPr>
            </w:pPr>
            <w:r>
              <w:rPr>
                <w:rFonts w:hint="eastAsia" w:ascii="宋体" w:hAnsi="宋体"/>
                <w:color w:val="auto"/>
                <w:kern w:val="0"/>
                <w:highlight w:val="none"/>
              </w:rPr>
              <w:t>技术部分评分（</w:t>
            </w:r>
            <w:r>
              <w:rPr>
                <w:rFonts w:ascii="宋体" w:hAnsi="宋体"/>
                <w:color w:val="auto"/>
                <w:kern w:val="0"/>
                <w:highlight w:val="none"/>
              </w:rPr>
              <w:t>A</w:t>
            </w:r>
            <w:r>
              <w:rPr>
                <w:rFonts w:hint="eastAsia" w:ascii="宋体" w:hAnsi="宋体"/>
                <w:color w:val="auto"/>
                <w:kern w:val="0"/>
                <w:highlight w:val="none"/>
              </w:rPr>
              <w:t>）标准</w:t>
            </w:r>
          </w:p>
        </w:tc>
        <w:tc>
          <w:tcPr>
            <w:tcW w:w="2587" w:type="dxa"/>
            <w:tcBorders>
              <w:bottom w:val="single" w:color="auto" w:sz="4" w:space="0"/>
            </w:tcBorders>
            <w:vAlign w:val="center"/>
          </w:tcPr>
          <w:p w14:paraId="7688E015">
            <w:pPr>
              <w:tabs>
                <w:tab w:val="left" w:pos="1875"/>
              </w:tabs>
              <w:spacing w:line="400" w:lineRule="exact"/>
              <w:jc w:val="center"/>
              <w:rPr>
                <w:rFonts w:hint="eastAsia" w:ascii="宋体" w:hAnsi="宋体"/>
                <w:color w:val="auto"/>
                <w:kern w:val="0"/>
                <w:highlight w:val="none"/>
              </w:rPr>
            </w:pPr>
            <w:r>
              <w:rPr>
                <w:rFonts w:hint="eastAsia" w:ascii="宋体" w:hAnsi="宋体"/>
                <w:color w:val="auto"/>
                <w:kern w:val="0"/>
                <w:highlight w:val="none"/>
              </w:rPr>
              <w:t>服务方案总体评审标准</w:t>
            </w:r>
          </w:p>
        </w:tc>
        <w:tc>
          <w:tcPr>
            <w:tcW w:w="5738" w:type="dxa"/>
            <w:vAlign w:val="center"/>
          </w:tcPr>
          <w:p w14:paraId="7C097618">
            <w:pPr>
              <w:spacing w:line="400" w:lineRule="exact"/>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评委</w:t>
            </w:r>
            <w:r>
              <w:rPr>
                <w:rFonts w:hint="eastAsia" w:ascii="宋体" w:hAnsi="宋体"/>
                <w:snapToGrid w:val="0"/>
                <w:color w:val="auto"/>
                <w:kern w:val="0"/>
                <w:szCs w:val="21"/>
                <w:highlight w:val="none"/>
              </w:rPr>
              <w:t>评分</w:t>
            </w:r>
            <w:r>
              <w:rPr>
                <w:rFonts w:ascii="宋体" w:hAnsi="宋体"/>
                <w:snapToGrid w:val="0"/>
                <w:color w:val="auto"/>
                <w:kern w:val="0"/>
                <w:szCs w:val="21"/>
                <w:highlight w:val="none"/>
              </w:rPr>
              <w:t>取算术平均值为该竞选人</w:t>
            </w:r>
            <w:r>
              <w:rPr>
                <w:rFonts w:hint="eastAsia" w:ascii="宋体" w:hAnsi="宋体"/>
                <w:snapToGrid w:val="0"/>
                <w:color w:val="auto"/>
                <w:kern w:val="0"/>
                <w:szCs w:val="21"/>
                <w:highlight w:val="none"/>
              </w:rPr>
              <w:t>服务方案</w:t>
            </w:r>
            <w:r>
              <w:rPr>
                <w:rFonts w:ascii="宋体" w:hAnsi="宋体"/>
                <w:snapToGrid w:val="0"/>
                <w:color w:val="auto"/>
                <w:kern w:val="0"/>
                <w:szCs w:val="21"/>
                <w:highlight w:val="none"/>
              </w:rPr>
              <w:t>得分。</w:t>
            </w:r>
          </w:p>
          <w:p w14:paraId="1204694A">
            <w:pPr>
              <w:snapToGrid w:val="0"/>
              <w:spacing w:line="400" w:lineRule="exact"/>
              <w:ind w:firstLine="420" w:firstLineChars="200"/>
              <w:rPr>
                <w:rFonts w:hint="eastAsia" w:ascii="宋体" w:hAnsi="宋体"/>
                <w:color w:val="auto"/>
                <w:highlight w:val="none"/>
                <w:u w:val="single"/>
              </w:rPr>
            </w:pPr>
            <w:r>
              <w:rPr>
                <w:rFonts w:hint="eastAsia" w:ascii="宋体" w:hAnsi="宋体"/>
                <w:color w:val="auto"/>
                <w:kern w:val="0"/>
                <w:szCs w:val="21"/>
                <w:highlight w:val="none"/>
              </w:rPr>
              <w:t>服务</w:t>
            </w:r>
            <w:r>
              <w:rPr>
                <w:rFonts w:ascii="宋体" w:hAnsi="宋体"/>
                <w:color w:val="auto"/>
                <w:kern w:val="0"/>
                <w:szCs w:val="21"/>
                <w:highlight w:val="none"/>
              </w:rPr>
              <w:t>方案得分的最终结果取小数点后两位，第三位四舍五入。</w:t>
            </w:r>
          </w:p>
        </w:tc>
      </w:tr>
      <w:tr w14:paraId="2F240C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808" w:type="dxa"/>
            <w:vMerge w:val="continue"/>
            <w:tcBorders>
              <w:right w:val="single" w:color="auto" w:sz="4" w:space="0"/>
            </w:tcBorders>
            <w:vAlign w:val="center"/>
          </w:tcPr>
          <w:p w14:paraId="3729BFF1">
            <w:pPr>
              <w:spacing w:line="400" w:lineRule="exact"/>
              <w:ind w:firstLine="210" w:firstLineChars="100"/>
              <w:jc w:val="center"/>
              <w:rPr>
                <w:rFonts w:hint="eastAsia" w:ascii="宋体" w:hAnsi="宋体"/>
                <w:color w:val="auto"/>
                <w:kern w:val="0"/>
                <w:highlight w:val="none"/>
              </w:rPr>
            </w:pPr>
          </w:p>
        </w:tc>
        <w:tc>
          <w:tcPr>
            <w:tcW w:w="852" w:type="dxa"/>
            <w:vMerge w:val="continue"/>
            <w:tcBorders>
              <w:left w:val="single" w:color="auto" w:sz="4" w:space="0"/>
            </w:tcBorders>
            <w:vAlign w:val="center"/>
          </w:tcPr>
          <w:p w14:paraId="57B55332">
            <w:pPr>
              <w:spacing w:line="400" w:lineRule="exact"/>
              <w:ind w:firstLine="210" w:firstLineChars="100"/>
              <w:jc w:val="center"/>
              <w:rPr>
                <w:rFonts w:hint="eastAsia" w:ascii="宋体" w:hAnsi="宋体"/>
                <w:color w:val="auto"/>
                <w:kern w:val="0"/>
                <w:highlight w:val="none"/>
              </w:rPr>
            </w:pPr>
          </w:p>
        </w:tc>
        <w:tc>
          <w:tcPr>
            <w:tcW w:w="2587" w:type="dxa"/>
            <w:vAlign w:val="center"/>
          </w:tcPr>
          <w:p w14:paraId="62458C6A">
            <w:pPr>
              <w:tabs>
                <w:tab w:val="left" w:pos="1875"/>
              </w:tabs>
              <w:spacing w:line="400" w:lineRule="exact"/>
              <w:jc w:val="center"/>
              <w:rPr>
                <w:rFonts w:hint="eastAsia" w:ascii="宋体" w:hAnsi="宋体" w:cs="宋体"/>
                <w:color w:val="auto"/>
                <w:kern w:val="0"/>
                <w:highlight w:val="none"/>
              </w:rPr>
            </w:pPr>
            <w:r>
              <w:rPr>
                <w:rStyle w:val="56"/>
                <w:rFonts w:ascii="宋体" w:hAnsi="宋体"/>
                <w:color w:val="auto"/>
                <w:szCs w:val="21"/>
                <w:highlight w:val="none"/>
              </w:rPr>
              <w:t>全过程造价控制咨询工作大纲</w:t>
            </w:r>
          </w:p>
        </w:tc>
        <w:tc>
          <w:tcPr>
            <w:tcW w:w="5738" w:type="dxa"/>
            <w:vAlign w:val="center"/>
          </w:tcPr>
          <w:p w14:paraId="2128A3E3">
            <w:pPr>
              <w:snapToGrid w:val="0"/>
              <w:spacing w:line="400" w:lineRule="exact"/>
              <w:ind w:firstLine="420" w:firstLineChars="200"/>
              <w:rPr>
                <w:rFonts w:hint="eastAsia" w:ascii="宋体" w:hAnsi="宋体"/>
                <w:color w:val="auto"/>
                <w:highlight w:val="none"/>
              </w:rPr>
            </w:pPr>
            <w:r>
              <w:rPr>
                <w:rFonts w:hint="eastAsia" w:ascii="宋体" w:hAnsi="宋体" w:cs="宋体"/>
                <w:color w:val="auto"/>
                <w:kern w:val="0"/>
                <w:highlight w:val="none"/>
                <w:u w:val="single"/>
              </w:rPr>
              <w:t xml:space="preserve">15 </w:t>
            </w:r>
            <w:r>
              <w:rPr>
                <w:rFonts w:hint="eastAsia" w:ascii="宋体" w:hAnsi="宋体" w:cs="宋体"/>
                <w:color w:val="auto"/>
                <w:kern w:val="0"/>
                <w:highlight w:val="none"/>
              </w:rPr>
              <w:t xml:space="preserve">分  </w:t>
            </w:r>
            <w:r>
              <w:rPr>
                <w:rStyle w:val="56"/>
                <w:rFonts w:hint="eastAsia" w:ascii="宋体" w:hAnsi="宋体"/>
                <w:color w:val="auto"/>
                <w:szCs w:val="21"/>
                <w:highlight w:val="none"/>
              </w:rPr>
              <w:t>编制要点：各有效竞选人针对本项目全过程造价服务大纲编制内容的总体思路、内容是否完善等；</w:t>
            </w:r>
          </w:p>
        </w:tc>
      </w:tr>
      <w:tr w14:paraId="014DB0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08" w:type="dxa"/>
            <w:vMerge w:val="continue"/>
            <w:tcBorders>
              <w:right w:val="single" w:color="auto" w:sz="4" w:space="0"/>
            </w:tcBorders>
            <w:vAlign w:val="center"/>
          </w:tcPr>
          <w:p w14:paraId="14F092EB">
            <w:pPr>
              <w:spacing w:line="400" w:lineRule="exact"/>
              <w:ind w:firstLine="210" w:firstLineChars="100"/>
              <w:jc w:val="center"/>
              <w:rPr>
                <w:rFonts w:hint="eastAsia" w:ascii="宋体" w:hAnsi="宋体"/>
                <w:color w:val="auto"/>
                <w:kern w:val="0"/>
                <w:highlight w:val="none"/>
              </w:rPr>
            </w:pPr>
          </w:p>
        </w:tc>
        <w:tc>
          <w:tcPr>
            <w:tcW w:w="852" w:type="dxa"/>
            <w:vMerge w:val="continue"/>
            <w:tcBorders>
              <w:left w:val="single" w:color="auto" w:sz="4" w:space="0"/>
            </w:tcBorders>
            <w:vAlign w:val="center"/>
          </w:tcPr>
          <w:p w14:paraId="6C40FC90">
            <w:pPr>
              <w:spacing w:line="400" w:lineRule="exact"/>
              <w:ind w:firstLine="210" w:firstLineChars="100"/>
              <w:jc w:val="center"/>
              <w:rPr>
                <w:rFonts w:hint="eastAsia" w:ascii="宋体" w:hAnsi="宋体"/>
                <w:color w:val="auto"/>
                <w:kern w:val="0"/>
                <w:highlight w:val="none"/>
              </w:rPr>
            </w:pPr>
          </w:p>
        </w:tc>
        <w:tc>
          <w:tcPr>
            <w:tcW w:w="2587" w:type="dxa"/>
            <w:tcBorders>
              <w:top w:val="single" w:color="auto" w:sz="4" w:space="0"/>
              <w:bottom w:val="single" w:color="auto" w:sz="4" w:space="0"/>
            </w:tcBorders>
            <w:vAlign w:val="center"/>
          </w:tcPr>
          <w:p w14:paraId="14260D30">
            <w:pPr>
              <w:tabs>
                <w:tab w:val="left" w:pos="1875"/>
              </w:tabs>
              <w:spacing w:line="400" w:lineRule="exact"/>
              <w:jc w:val="center"/>
              <w:rPr>
                <w:rFonts w:hint="eastAsia" w:ascii="宋体" w:hAnsi="宋体" w:cs="宋体"/>
                <w:color w:val="auto"/>
                <w:kern w:val="0"/>
                <w:highlight w:val="none"/>
              </w:rPr>
            </w:pPr>
            <w:r>
              <w:rPr>
                <w:rStyle w:val="56"/>
                <w:rFonts w:ascii="宋体" w:hAnsi="宋体"/>
                <w:color w:val="auto"/>
                <w:szCs w:val="21"/>
                <w:highlight w:val="none"/>
              </w:rPr>
              <w:t>全过程造价控制岗位职责和职业守则</w:t>
            </w:r>
          </w:p>
        </w:tc>
        <w:tc>
          <w:tcPr>
            <w:tcW w:w="5738" w:type="dxa"/>
            <w:vAlign w:val="center"/>
          </w:tcPr>
          <w:p w14:paraId="12D49B12">
            <w:pPr>
              <w:snapToGrid w:val="0"/>
              <w:spacing w:line="400" w:lineRule="exact"/>
              <w:ind w:firstLine="420" w:firstLineChars="200"/>
              <w:rPr>
                <w:rFonts w:hint="eastAsia" w:ascii="宋体" w:hAnsi="宋体"/>
                <w:color w:val="auto"/>
                <w:highlight w:val="none"/>
              </w:rPr>
            </w:pPr>
            <w:r>
              <w:rPr>
                <w:rFonts w:hint="eastAsia" w:ascii="宋体" w:hAnsi="宋体" w:cs="宋体"/>
                <w:color w:val="auto"/>
                <w:kern w:val="0"/>
                <w:highlight w:val="none"/>
                <w:u w:val="single"/>
              </w:rPr>
              <w:t>1</w:t>
            </w:r>
            <w:r>
              <w:rPr>
                <w:rFonts w:hint="eastAsia" w:ascii="宋体" w:hAnsi="宋体" w:cs="宋体"/>
                <w:color w:val="auto"/>
                <w:kern w:val="0"/>
                <w:highlight w:val="none"/>
                <w:u w:val="single"/>
                <w:lang w:val="en-US" w:eastAsia="zh-CN"/>
              </w:rPr>
              <w:t>0</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分  </w:t>
            </w:r>
            <w:r>
              <w:rPr>
                <w:rStyle w:val="56"/>
                <w:rFonts w:hint="eastAsia" w:ascii="宋体" w:hAnsi="宋体"/>
                <w:color w:val="auto"/>
                <w:szCs w:val="21"/>
                <w:highlight w:val="none"/>
              </w:rPr>
              <w:t>编制要点：各有效竞选人针对全过程造价控制咨询机构配置是否完整且合理，分工明确，全过程造价控制人员岗位职责及制度是否健全，专业人员是否配置合理。</w:t>
            </w:r>
          </w:p>
        </w:tc>
      </w:tr>
      <w:tr w14:paraId="1F9EDC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67" w:hRule="atLeast"/>
          <w:jc w:val="center"/>
        </w:trPr>
        <w:tc>
          <w:tcPr>
            <w:tcW w:w="808" w:type="dxa"/>
            <w:vMerge w:val="continue"/>
            <w:tcBorders>
              <w:right w:val="single" w:color="auto" w:sz="4" w:space="0"/>
            </w:tcBorders>
            <w:vAlign w:val="center"/>
          </w:tcPr>
          <w:p w14:paraId="1C7C93C2">
            <w:pPr>
              <w:spacing w:line="400" w:lineRule="exact"/>
              <w:ind w:firstLine="210" w:firstLineChars="100"/>
              <w:jc w:val="center"/>
              <w:rPr>
                <w:rFonts w:hint="eastAsia" w:ascii="宋体" w:hAnsi="宋体"/>
                <w:color w:val="auto"/>
                <w:kern w:val="0"/>
                <w:highlight w:val="none"/>
              </w:rPr>
            </w:pPr>
          </w:p>
        </w:tc>
        <w:tc>
          <w:tcPr>
            <w:tcW w:w="852" w:type="dxa"/>
            <w:vMerge w:val="continue"/>
            <w:tcBorders>
              <w:left w:val="single" w:color="auto" w:sz="4" w:space="0"/>
            </w:tcBorders>
            <w:vAlign w:val="center"/>
          </w:tcPr>
          <w:p w14:paraId="723D3977">
            <w:pPr>
              <w:spacing w:line="400" w:lineRule="exact"/>
              <w:ind w:firstLine="210" w:firstLineChars="100"/>
              <w:jc w:val="center"/>
              <w:rPr>
                <w:rFonts w:hint="eastAsia" w:ascii="宋体" w:hAnsi="宋体"/>
                <w:color w:val="auto"/>
                <w:kern w:val="0"/>
                <w:highlight w:val="none"/>
              </w:rPr>
            </w:pPr>
          </w:p>
        </w:tc>
        <w:tc>
          <w:tcPr>
            <w:tcW w:w="2587" w:type="dxa"/>
            <w:tcBorders>
              <w:top w:val="single" w:color="auto" w:sz="4" w:space="0"/>
              <w:bottom w:val="single" w:color="auto" w:sz="4" w:space="0"/>
            </w:tcBorders>
            <w:vAlign w:val="center"/>
          </w:tcPr>
          <w:p w14:paraId="31D27438">
            <w:pPr>
              <w:tabs>
                <w:tab w:val="left" w:pos="1875"/>
              </w:tabs>
              <w:spacing w:line="400" w:lineRule="exact"/>
              <w:jc w:val="center"/>
              <w:rPr>
                <w:rFonts w:hint="eastAsia" w:ascii="宋体" w:hAnsi="宋体" w:cs="宋体"/>
                <w:color w:val="auto"/>
                <w:kern w:val="0"/>
                <w:highlight w:val="none"/>
              </w:rPr>
            </w:pPr>
            <w:r>
              <w:rPr>
                <w:rStyle w:val="56"/>
                <w:rFonts w:ascii="宋体" w:hAnsi="宋体"/>
                <w:color w:val="auto"/>
                <w:szCs w:val="21"/>
                <w:highlight w:val="none"/>
              </w:rPr>
              <w:t>全过程造价控制措施（含企业内部组织管理体系、对本工程全过程造价控制的重难点分析）</w:t>
            </w:r>
          </w:p>
        </w:tc>
        <w:tc>
          <w:tcPr>
            <w:tcW w:w="5738" w:type="dxa"/>
            <w:vAlign w:val="center"/>
          </w:tcPr>
          <w:p w14:paraId="71C14C73">
            <w:pPr>
              <w:snapToGrid w:val="0"/>
              <w:spacing w:line="400" w:lineRule="exact"/>
              <w:ind w:firstLine="420" w:firstLineChars="200"/>
              <w:rPr>
                <w:rFonts w:hint="eastAsia" w:ascii="宋体" w:hAnsi="宋体"/>
                <w:color w:val="auto"/>
                <w:highlight w:val="none"/>
                <w:u w:val="single"/>
              </w:rPr>
            </w:pPr>
            <w:r>
              <w:rPr>
                <w:rFonts w:hint="eastAsia" w:ascii="宋体" w:hAnsi="宋体" w:cs="宋体"/>
                <w:color w:val="auto"/>
                <w:kern w:val="0"/>
                <w:highlight w:val="none"/>
                <w:u w:val="single"/>
              </w:rPr>
              <w:t xml:space="preserve">15 </w:t>
            </w:r>
            <w:r>
              <w:rPr>
                <w:rFonts w:hint="eastAsia" w:ascii="宋体" w:hAnsi="宋体" w:cs="宋体"/>
                <w:color w:val="auto"/>
                <w:kern w:val="0"/>
                <w:highlight w:val="none"/>
              </w:rPr>
              <w:t xml:space="preserve">分  </w:t>
            </w:r>
            <w:r>
              <w:rPr>
                <w:rStyle w:val="56"/>
                <w:rFonts w:hint="eastAsia" w:ascii="宋体" w:hAnsi="宋体"/>
                <w:color w:val="auto"/>
                <w:szCs w:val="21"/>
                <w:highlight w:val="none"/>
              </w:rPr>
              <w:t>编制要点：各有效竞选人针对本工程全过程造价控制难点提出可行的措施，同时针对本工程分析重难点及合理化建议，提出问题的解决方法，以及企业内部组织管理体系等；</w:t>
            </w:r>
          </w:p>
        </w:tc>
      </w:tr>
      <w:tr w14:paraId="706522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808" w:type="dxa"/>
            <w:vMerge w:val="continue"/>
            <w:tcBorders>
              <w:right w:val="single" w:color="auto" w:sz="4" w:space="0"/>
            </w:tcBorders>
            <w:vAlign w:val="center"/>
          </w:tcPr>
          <w:p w14:paraId="2C74627C">
            <w:pPr>
              <w:spacing w:line="400" w:lineRule="exact"/>
              <w:ind w:firstLine="210" w:firstLineChars="100"/>
              <w:jc w:val="center"/>
              <w:rPr>
                <w:rFonts w:hint="eastAsia" w:ascii="宋体" w:hAnsi="宋体"/>
                <w:color w:val="auto"/>
                <w:kern w:val="0"/>
                <w:highlight w:val="none"/>
              </w:rPr>
            </w:pPr>
          </w:p>
        </w:tc>
        <w:tc>
          <w:tcPr>
            <w:tcW w:w="852" w:type="dxa"/>
            <w:vMerge w:val="continue"/>
            <w:tcBorders>
              <w:left w:val="single" w:color="auto" w:sz="4" w:space="0"/>
            </w:tcBorders>
            <w:vAlign w:val="center"/>
          </w:tcPr>
          <w:p w14:paraId="07F303B8">
            <w:pPr>
              <w:spacing w:line="400" w:lineRule="exact"/>
              <w:ind w:firstLine="210" w:firstLineChars="100"/>
              <w:jc w:val="center"/>
              <w:rPr>
                <w:rFonts w:hint="eastAsia" w:ascii="宋体" w:hAnsi="宋体"/>
                <w:color w:val="auto"/>
                <w:kern w:val="0"/>
                <w:highlight w:val="none"/>
              </w:rPr>
            </w:pPr>
          </w:p>
        </w:tc>
        <w:tc>
          <w:tcPr>
            <w:tcW w:w="2587" w:type="dxa"/>
            <w:tcBorders>
              <w:top w:val="single" w:color="auto" w:sz="4" w:space="0"/>
              <w:bottom w:val="single" w:color="auto" w:sz="4" w:space="0"/>
            </w:tcBorders>
            <w:vAlign w:val="center"/>
          </w:tcPr>
          <w:p w14:paraId="10E26710">
            <w:pPr>
              <w:tabs>
                <w:tab w:val="left" w:pos="1875"/>
              </w:tabs>
              <w:spacing w:line="400" w:lineRule="exact"/>
              <w:jc w:val="center"/>
              <w:rPr>
                <w:rFonts w:hint="eastAsia" w:ascii="宋体" w:hAnsi="宋体" w:cs="宋体"/>
                <w:color w:val="auto"/>
                <w:kern w:val="0"/>
                <w:highlight w:val="none"/>
              </w:rPr>
            </w:pPr>
            <w:r>
              <w:rPr>
                <w:rStyle w:val="56"/>
                <w:rFonts w:ascii="宋体" w:hAnsi="宋体"/>
                <w:color w:val="auto"/>
                <w:szCs w:val="21"/>
                <w:highlight w:val="none"/>
              </w:rPr>
              <w:t>工程投资的控制措施</w:t>
            </w:r>
          </w:p>
        </w:tc>
        <w:tc>
          <w:tcPr>
            <w:tcW w:w="5738" w:type="dxa"/>
            <w:vAlign w:val="center"/>
          </w:tcPr>
          <w:p w14:paraId="589893A6">
            <w:pPr>
              <w:snapToGrid w:val="0"/>
              <w:spacing w:line="400" w:lineRule="exact"/>
              <w:ind w:firstLine="420" w:firstLineChars="200"/>
              <w:rPr>
                <w:rFonts w:hint="eastAsia" w:ascii="宋体" w:hAnsi="宋体"/>
                <w:color w:val="auto"/>
                <w:highlight w:val="none"/>
              </w:rPr>
            </w:pPr>
            <w:r>
              <w:rPr>
                <w:rFonts w:hint="eastAsia" w:ascii="宋体" w:hAnsi="宋体" w:cs="宋体"/>
                <w:color w:val="auto"/>
                <w:kern w:val="0"/>
                <w:highlight w:val="none"/>
                <w:u w:val="single"/>
              </w:rPr>
              <w:t>1</w:t>
            </w:r>
            <w:r>
              <w:rPr>
                <w:rFonts w:hint="eastAsia" w:ascii="宋体" w:hAnsi="宋体" w:cs="宋体"/>
                <w:color w:val="auto"/>
                <w:kern w:val="0"/>
                <w:highlight w:val="none"/>
                <w:u w:val="single"/>
                <w:lang w:val="en-US" w:eastAsia="zh-CN"/>
              </w:rPr>
              <w:t>0</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分  </w:t>
            </w:r>
            <w:r>
              <w:rPr>
                <w:rStyle w:val="56"/>
                <w:rFonts w:hint="eastAsia" w:ascii="宋体" w:hAnsi="宋体"/>
                <w:color w:val="auto"/>
                <w:szCs w:val="21"/>
                <w:highlight w:val="none"/>
              </w:rPr>
              <w:t>编制要点：各有效竞选人针对本工程全过程造价</w:t>
            </w:r>
            <w:r>
              <w:rPr>
                <w:rStyle w:val="56"/>
                <w:rFonts w:ascii="宋体" w:hAnsi="宋体"/>
                <w:color w:val="auto"/>
                <w:szCs w:val="21"/>
                <w:highlight w:val="none"/>
              </w:rPr>
              <w:t>控制措施</w:t>
            </w:r>
            <w:r>
              <w:rPr>
                <w:rStyle w:val="56"/>
                <w:rFonts w:hint="eastAsia" w:ascii="宋体" w:hAnsi="宋体"/>
                <w:color w:val="auto"/>
                <w:szCs w:val="21"/>
                <w:highlight w:val="none"/>
              </w:rPr>
              <w:t>，合理管理、控制在施工过程中的投资，分析本项目的重要节点投资控制 、控制方法路线切实可行、理念思路清晰；</w:t>
            </w:r>
          </w:p>
        </w:tc>
      </w:tr>
      <w:tr w14:paraId="7522FD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808" w:type="dxa"/>
            <w:vMerge w:val="continue"/>
            <w:tcBorders>
              <w:right w:val="single" w:color="auto" w:sz="4" w:space="0"/>
            </w:tcBorders>
            <w:vAlign w:val="center"/>
          </w:tcPr>
          <w:p w14:paraId="72D7D88F">
            <w:pPr>
              <w:spacing w:line="400" w:lineRule="exact"/>
              <w:ind w:firstLine="210" w:firstLineChars="100"/>
              <w:jc w:val="center"/>
              <w:rPr>
                <w:rFonts w:hint="eastAsia" w:ascii="宋体" w:hAnsi="宋体"/>
                <w:color w:val="auto"/>
                <w:kern w:val="0"/>
                <w:highlight w:val="none"/>
              </w:rPr>
            </w:pPr>
          </w:p>
        </w:tc>
        <w:tc>
          <w:tcPr>
            <w:tcW w:w="852" w:type="dxa"/>
            <w:vMerge w:val="continue"/>
            <w:tcBorders>
              <w:left w:val="single" w:color="auto" w:sz="4" w:space="0"/>
            </w:tcBorders>
            <w:vAlign w:val="center"/>
          </w:tcPr>
          <w:p w14:paraId="5D9BDAC3">
            <w:pPr>
              <w:spacing w:line="400" w:lineRule="exact"/>
              <w:ind w:firstLine="210" w:firstLineChars="100"/>
              <w:jc w:val="center"/>
              <w:rPr>
                <w:rFonts w:hint="eastAsia" w:ascii="宋体" w:hAnsi="宋体"/>
                <w:color w:val="auto"/>
                <w:kern w:val="0"/>
                <w:highlight w:val="none"/>
              </w:rPr>
            </w:pPr>
          </w:p>
        </w:tc>
        <w:tc>
          <w:tcPr>
            <w:tcW w:w="2587" w:type="dxa"/>
            <w:tcBorders>
              <w:top w:val="single" w:color="auto" w:sz="4" w:space="0"/>
              <w:bottom w:val="single" w:color="auto" w:sz="4" w:space="0"/>
            </w:tcBorders>
            <w:vAlign w:val="center"/>
          </w:tcPr>
          <w:p w14:paraId="3F244B93">
            <w:pPr>
              <w:tabs>
                <w:tab w:val="left" w:pos="1875"/>
              </w:tabs>
              <w:spacing w:line="400" w:lineRule="exact"/>
              <w:jc w:val="center"/>
              <w:rPr>
                <w:rFonts w:hint="eastAsia" w:ascii="宋体" w:hAnsi="宋体"/>
                <w:color w:val="auto"/>
                <w:highlight w:val="none"/>
              </w:rPr>
            </w:pPr>
            <w:r>
              <w:rPr>
                <w:rStyle w:val="56"/>
                <w:rFonts w:ascii="宋体" w:hAnsi="宋体"/>
                <w:color w:val="auto"/>
                <w:szCs w:val="21"/>
                <w:highlight w:val="none"/>
              </w:rPr>
              <w:t>全过程造价控制进度控制的措施</w:t>
            </w:r>
          </w:p>
        </w:tc>
        <w:tc>
          <w:tcPr>
            <w:tcW w:w="5738" w:type="dxa"/>
            <w:vAlign w:val="center"/>
          </w:tcPr>
          <w:p w14:paraId="6E740CFB">
            <w:pPr>
              <w:snapToGrid w:val="0"/>
              <w:spacing w:line="400" w:lineRule="exact"/>
              <w:ind w:firstLine="420" w:firstLineChars="200"/>
              <w:rPr>
                <w:rFonts w:hint="eastAsia" w:ascii="宋体" w:hAnsi="宋体" w:eastAsia="宋体"/>
                <w:color w:val="auto"/>
                <w:highlight w:val="none"/>
                <w:u w:val="single"/>
                <w:lang w:eastAsia="zh-CN"/>
              </w:rPr>
            </w:pPr>
            <w:r>
              <w:rPr>
                <w:rFonts w:hint="eastAsia" w:ascii="宋体" w:hAnsi="宋体" w:cs="宋体"/>
                <w:color w:val="auto"/>
                <w:kern w:val="0"/>
                <w:highlight w:val="none"/>
                <w:u w:val="single"/>
              </w:rPr>
              <w:t>1</w:t>
            </w:r>
            <w:r>
              <w:rPr>
                <w:rFonts w:hint="eastAsia" w:ascii="宋体" w:hAnsi="宋体" w:cs="宋体"/>
                <w:color w:val="auto"/>
                <w:kern w:val="0"/>
                <w:highlight w:val="none"/>
                <w:u w:val="single"/>
                <w:lang w:val="en-US" w:eastAsia="zh-CN"/>
              </w:rPr>
              <w:t>0</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分  </w:t>
            </w:r>
            <w:r>
              <w:rPr>
                <w:rStyle w:val="56"/>
                <w:rFonts w:hint="eastAsia" w:ascii="宋体" w:hAnsi="宋体"/>
                <w:color w:val="auto"/>
                <w:szCs w:val="21"/>
                <w:highlight w:val="none"/>
              </w:rPr>
              <w:t>编制要点：各有效竞选人针对本工程全过程造价</w:t>
            </w:r>
            <w:r>
              <w:rPr>
                <w:rStyle w:val="56"/>
                <w:rFonts w:ascii="宋体" w:hAnsi="宋体"/>
                <w:color w:val="auto"/>
                <w:szCs w:val="21"/>
                <w:highlight w:val="none"/>
              </w:rPr>
              <w:t>控制</w:t>
            </w:r>
            <w:r>
              <w:rPr>
                <w:rStyle w:val="56"/>
                <w:rFonts w:hint="eastAsia" w:ascii="宋体" w:hAnsi="宋体"/>
                <w:color w:val="auto"/>
                <w:szCs w:val="21"/>
                <w:highlight w:val="none"/>
              </w:rPr>
              <w:t>进度，合理管理造价在施工过程中的进度控制，拟定整个方案和计划安排合理可行</w:t>
            </w:r>
            <w:r>
              <w:rPr>
                <w:rStyle w:val="56"/>
                <w:rFonts w:hint="eastAsia" w:ascii="宋体" w:hAnsi="宋体"/>
                <w:color w:val="auto"/>
                <w:szCs w:val="21"/>
                <w:highlight w:val="none"/>
                <w:lang w:eastAsia="zh-CN"/>
              </w:rPr>
              <w:t>。</w:t>
            </w:r>
          </w:p>
        </w:tc>
      </w:tr>
      <w:tr w14:paraId="71AACE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5A6155BA">
            <w:pPr>
              <w:spacing w:line="400" w:lineRule="exact"/>
              <w:ind w:firstLine="210" w:firstLineChars="100"/>
              <w:jc w:val="center"/>
              <w:rPr>
                <w:rFonts w:hint="eastAsia" w:ascii="宋体" w:hAnsi="宋体"/>
                <w:color w:val="auto"/>
                <w:kern w:val="0"/>
                <w:highlight w:val="none"/>
              </w:rPr>
            </w:pPr>
          </w:p>
        </w:tc>
        <w:tc>
          <w:tcPr>
            <w:tcW w:w="852" w:type="dxa"/>
            <w:vMerge w:val="continue"/>
            <w:tcBorders>
              <w:left w:val="single" w:color="auto" w:sz="4" w:space="0"/>
            </w:tcBorders>
            <w:vAlign w:val="center"/>
          </w:tcPr>
          <w:p w14:paraId="6322A8A5">
            <w:pPr>
              <w:spacing w:line="400" w:lineRule="exact"/>
              <w:ind w:firstLine="210" w:firstLineChars="100"/>
              <w:jc w:val="center"/>
              <w:rPr>
                <w:rFonts w:hint="eastAsia" w:ascii="宋体" w:hAnsi="宋体"/>
                <w:color w:val="auto"/>
                <w:kern w:val="0"/>
                <w:highlight w:val="none"/>
              </w:rPr>
            </w:pPr>
          </w:p>
        </w:tc>
        <w:tc>
          <w:tcPr>
            <w:tcW w:w="2587" w:type="dxa"/>
            <w:tcBorders>
              <w:top w:val="single" w:color="auto" w:sz="4" w:space="0"/>
            </w:tcBorders>
            <w:vAlign w:val="center"/>
          </w:tcPr>
          <w:p w14:paraId="43ACA73F">
            <w:pPr>
              <w:tabs>
                <w:tab w:val="left" w:pos="1875"/>
              </w:tabs>
              <w:spacing w:line="400" w:lineRule="exact"/>
              <w:jc w:val="center"/>
              <w:rPr>
                <w:rFonts w:hint="eastAsia" w:ascii="宋体" w:hAnsi="宋体"/>
                <w:color w:val="auto"/>
                <w:szCs w:val="21"/>
                <w:highlight w:val="none"/>
              </w:rPr>
            </w:pPr>
            <w:r>
              <w:rPr>
                <w:rStyle w:val="56"/>
                <w:rFonts w:ascii="宋体" w:hAnsi="宋体"/>
                <w:color w:val="auto"/>
                <w:szCs w:val="21"/>
                <w:highlight w:val="none"/>
              </w:rPr>
              <w:t>成本管控方案</w:t>
            </w:r>
          </w:p>
        </w:tc>
        <w:tc>
          <w:tcPr>
            <w:tcW w:w="5738" w:type="dxa"/>
            <w:vAlign w:val="center"/>
          </w:tcPr>
          <w:p w14:paraId="5198E58A">
            <w:pPr>
              <w:snapToGrid w:val="0"/>
              <w:spacing w:line="380" w:lineRule="exact"/>
              <w:ind w:firstLine="420" w:firstLineChars="200"/>
              <w:jc w:val="left"/>
              <w:rPr>
                <w:rFonts w:hint="eastAsia" w:ascii="宋体" w:hAnsi="宋体"/>
                <w:color w:val="auto"/>
                <w:highlight w:val="none"/>
                <w:u w:val="single"/>
              </w:rPr>
            </w:pPr>
            <w:r>
              <w:rPr>
                <w:rFonts w:hint="eastAsia" w:ascii="宋体" w:hAnsi="宋体" w:cs="宋体"/>
                <w:color w:val="auto"/>
                <w:kern w:val="0"/>
                <w:highlight w:val="none"/>
                <w:u w:val="single"/>
              </w:rPr>
              <w:t>1</w:t>
            </w:r>
            <w:r>
              <w:rPr>
                <w:rFonts w:hint="eastAsia" w:ascii="宋体" w:hAnsi="宋体" w:cs="宋体"/>
                <w:color w:val="auto"/>
                <w:kern w:val="0"/>
                <w:highlight w:val="none"/>
                <w:u w:val="single"/>
                <w:lang w:val="en-US" w:eastAsia="zh-CN"/>
              </w:rPr>
              <w:t>0</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分  </w:t>
            </w:r>
            <w:r>
              <w:rPr>
                <w:rStyle w:val="56"/>
                <w:rFonts w:hint="eastAsia" w:ascii="宋体" w:hAnsi="宋体"/>
                <w:color w:val="auto"/>
                <w:szCs w:val="21"/>
                <w:highlight w:val="none"/>
              </w:rPr>
              <w:t>编制要点：各有效竞选人针对本工程全过程造价</w:t>
            </w:r>
            <w:r>
              <w:rPr>
                <w:rStyle w:val="56"/>
                <w:rFonts w:ascii="宋体" w:hAnsi="宋体"/>
                <w:color w:val="auto"/>
                <w:szCs w:val="21"/>
                <w:highlight w:val="none"/>
              </w:rPr>
              <w:t>成本管控方案</w:t>
            </w:r>
            <w:r>
              <w:rPr>
                <w:rStyle w:val="56"/>
                <w:rFonts w:hint="eastAsia" w:ascii="宋体" w:hAnsi="宋体"/>
                <w:color w:val="auto"/>
                <w:szCs w:val="21"/>
                <w:highlight w:val="none"/>
              </w:rPr>
              <w:t>，提出合理化建议、拟定</w:t>
            </w:r>
            <w:r>
              <w:rPr>
                <w:rStyle w:val="56"/>
                <w:rFonts w:ascii="宋体" w:hAnsi="宋体"/>
                <w:color w:val="auto"/>
                <w:szCs w:val="21"/>
                <w:highlight w:val="none"/>
              </w:rPr>
              <w:t>成本管控</w:t>
            </w:r>
            <w:r>
              <w:rPr>
                <w:rStyle w:val="56"/>
                <w:rFonts w:hint="eastAsia" w:ascii="宋体" w:hAnsi="宋体"/>
                <w:color w:val="auto"/>
                <w:szCs w:val="21"/>
                <w:highlight w:val="none"/>
              </w:rPr>
              <w:t>的方案和切实可行的。</w:t>
            </w:r>
          </w:p>
        </w:tc>
      </w:tr>
      <w:tr w14:paraId="55D5D9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08" w:type="dxa"/>
            <w:vAlign w:val="center"/>
          </w:tcPr>
          <w:p w14:paraId="40B47588">
            <w:pPr>
              <w:spacing w:line="400" w:lineRule="exact"/>
              <w:jc w:val="center"/>
              <w:rPr>
                <w:rFonts w:hint="eastAsia" w:ascii="宋体" w:hAnsi="宋体"/>
                <w:color w:val="auto"/>
                <w:highlight w:val="none"/>
              </w:rPr>
            </w:pPr>
            <w:r>
              <w:rPr>
                <w:rFonts w:hint="eastAsia" w:ascii="宋体" w:hAnsi="宋体"/>
                <w:color w:val="auto"/>
                <w:highlight w:val="none"/>
              </w:rPr>
              <w:t>2</w:t>
            </w:r>
            <w:r>
              <w:rPr>
                <w:rFonts w:ascii="宋体" w:hAnsi="宋体"/>
                <w:color w:val="auto"/>
                <w:highlight w:val="none"/>
              </w:rPr>
              <w:t>.2.4（2）</w:t>
            </w:r>
          </w:p>
        </w:tc>
        <w:tc>
          <w:tcPr>
            <w:tcW w:w="852" w:type="dxa"/>
            <w:vAlign w:val="center"/>
          </w:tcPr>
          <w:p w14:paraId="660DAC82">
            <w:pPr>
              <w:spacing w:line="400" w:lineRule="exact"/>
              <w:jc w:val="center"/>
              <w:rPr>
                <w:rFonts w:hint="eastAsia" w:ascii="宋体" w:hAnsi="宋体"/>
                <w:color w:val="auto"/>
                <w:highlight w:val="none"/>
              </w:rPr>
            </w:pPr>
            <w:r>
              <w:rPr>
                <w:rFonts w:ascii="宋体" w:hAnsi="宋体"/>
                <w:color w:val="auto"/>
                <w:highlight w:val="none"/>
              </w:rPr>
              <w:t>投标报价</w:t>
            </w:r>
            <w:r>
              <w:rPr>
                <w:rFonts w:hint="eastAsia" w:ascii="宋体" w:hAnsi="宋体"/>
                <w:color w:val="auto"/>
                <w:highlight w:val="none"/>
              </w:rPr>
              <w:t>评分（</w:t>
            </w:r>
            <w:r>
              <w:rPr>
                <w:rFonts w:ascii="宋体" w:hAnsi="宋体"/>
                <w:color w:val="auto"/>
                <w:highlight w:val="none"/>
              </w:rPr>
              <w:t>B</w:t>
            </w:r>
            <w:r>
              <w:rPr>
                <w:rFonts w:hint="eastAsia" w:ascii="宋体" w:hAnsi="宋体"/>
                <w:color w:val="auto"/>
                <w:highlight w:val="none"/>
              </w:rPr>
              <w:t>）标准</w:t>
            </w:r>
          </w:p>
        </w:tc>
        <w:tc>
          <w:tcPr>
            <w:tcW w:w="2587" w:type="dxa"/>
            <w:tcBorders>
              <w:top w:val="single" w:color="auto" w:sz="4" w:space="0"/>
              <w:bottom w:val="single" w:color="auto" w:sz="4" w:space="0"/>
            </w:tcBorders>
            <w:vAlign w:val="center"/>
          </w:tcPr>
          <w:p w14:paraId="359FE9B8">
            <w:pPr>
              <w:spacing w:line="400" w:lineRule="exact"/>
              <w:jc w:val="center"/>
              <w:rPr>
                <w:rFonts w:hint="eastAsia" w:ascii="宋体" w:hAnsi="宋体"/>
                <w:color w:val="auto"/>
                <w:highlight w:val="none"/>
              </w:rPr>
            </w:pPr>
            <w:r>
              <w:rPr>
                <w:rFonts w:ascii="宋体" w:hAnsi="宋体"/>
                <w:color w:val="auto"/>
                <w:highlight w:val="none"/>
              </w:rPr>
              <w:t>投标报价</w:t>
            </w:r>
          </w:p>
        </w:tc>
        <w:tc>
          <w:tcPr>
            <w:tcW w:w="5738" w:type="dxa"/>
            <w:vAlign w:val="center"/>
          </w:tcPr>
          <w:p w14:paraId="52D6004C">
            <w:pPr>
              <w:spacing w:line="400" w:lineRule="exact"/>
              <w:ind w:firstLine="420" w:firstLineChars="200"/>
              <w:rPr>
                <w:rFonts w:hint="eastAsia" w:ascii="宋体" w:hAnsi="宋体"/>
                <w:color w:val="auto"/>
                <w:highlight w:val="none"/>
              </w:rPr>
            </w:pPr>
            <w:r>
              <w:rPr>
                <w:rFonts w:hint="eastAsia" w:ascii="宋体" w:hAnsi="宋体"/>
                <w:color w:val="auto"/>
                <w:highlight w:val="none"/>
              </w:rPr>
              <w:t>所有通过初步评审合格的竞选人，投标总报价得本附表第2.2.1项规定分值的满分</w:t>
            </w:r>
            <w:r>
              <w:rPr>
                <w:rFonts w:hint="eastAsia" w:ascii="宋体" w:hAnsi="宋体"/>
                <w:color w:val="auto"/>
                <w:highlight w:val="none"/>
                <w:lang w:val="en-US" w:eastAsia="zh-CN"/>
              </w:rPr>
              <w:t>30分</w:t>
            </w:r>
            <w:r>
              <w:rPr>
                <w:rFonts w:hint="eastAsia" w:ascii="宋体" w:hAnsi="宋体"/>
                <w:color w:val="auto"/>
                <w:highlight w:val="none"/>
              </w:rPr>
              <w:t>。</w:t>
            </w:r>
            <w:r>
              <w:rPr>
                <w:rFonts w:ascii="宋体" w:hAnsi="宋体"/>
                <w:color w:val="auto"/>
                <w:highlight w:val="none"/>
              </w:rPr>
              <w:t>在此基础上，投标总报价与评标基准价相比，每增加1%扣</w:t>
            </w:r>
            <w:r>
              <w:rPr>
                <w:rFonts w:ascii="宋体" w:hAnsi="宋体"/>
                <w:color w:val="auto"/>
                <w:highlight w:val="none"/>
                <w:u w:val="single"/>
              </w:rPr>
              <w:t>　</w:t>
            </w:r>
            <w:r>
              <w:rPr>
                <w:rFonts w:hint="eastAsia" w:ascii="宋体" w:hAnsi="宋体"/>
                <w:color w:val="auto"/>
                <w:highlight w:val="none"/>
                <w:u w:val="single"/>
              </w:rPr>
              <w:t>0.</w:t>
            </w:r>
            <w:r>
              <w:rPr>
                <w:rFonts w:hint="eastAsia" w:ascii="宋体" w:hAnsi="宋体"/>
                <w:color w:val="auto"/>
                <w:highlight w:val="none"/>
                <w:u w:val="single"/>
                <w:lang w:val="en-US" w:eastAsia="zh-CN"/>
              </w:rPr>
              <w:t>5</w:t>
            </w:r>
            <w:r>
              <w:rPr>
                <w:rFonts w:ascii="宋体" w:hAnsi="宋体"/>
                <w:color w:val="auto"/>
                <w:highlight w:val="none"/>
                <w:u w:val="single"/>
              </w:rPr>
              <w:t>　</w:t>
            </w:r>
            <w:r>
              <w:rPr>
                <w:rFonts w:ascii="宋体" w:hAnsi="宋体"/>
                <w:color w:val="auto"/>
                <w:highlight w:val="none"/>
              </w:rPr>
              <w:t>分，每减少1%扣</w:t>
            </w:r>
            <w:r>
              <w:rPr>
                <w:rFonts w:ascii="宋体" w:hAnsi="宋体"/>
                <w:color w:val="auto"/>
                <w:highlight w:val="none"/>
                <w:u w:val="single"/>
              </w:rPr>
              <w:t>　</w:t>
            </w:r>
            <w:r>
              <w:rPr>
                <w:rFonts w:hint="eastAsia" w:ascii="宋体" w:hAnsi="宋体"/>
                <w:color w:val="auto"/>
                <w:highlight w:val="none"/>
                <w:u w:val="single"/>
              </w:rPr>
              <w:t>0.</w:t>
            </w:r>
            <w:r>
              <w:rPr>
                <w:rFonts w:hint="eastAsia" w:ascii="宋体" w:hAnsi="宋体"/>
                <w:color w:val="auto"/>
                <w:highlight w:val="none"/>
                <w:u w:val="single"/>
                <w:lang w:val="en-US" w:eastAsia="zh-CN"/>
              </w:rPr>
              <w:t>25</w:t>
            </w:r>
            <w:r>
              <w:rPr>
                <w:rFonts w:ascii="宋体" w:hAnsi="宋体"/>
                <w:color w:val="auto"/>
                <w:highlight w:val="none"/>
                <w:u w:val="single"/>
              </w:rPr>
              <w:t>　</w:t>
            </w:r>
            <w:r>
              <w:rPr>
                <w:rFonts w:ascii="宋体" w:hAnsi="宋体"/>
                <w:color w:val="auto"/>
                <w:highlight w:val="none"/>
              </w:rPr>
              <w:t>分</w:t>
            </w:r>
            <w:r>
              <w:rPr>
                <w:rFonts w:hint="eastAsia" w:ascii="宋体" w:hAnsi="宋体"/>
                <w:color w:val="auto"/>
                <w:highlight w:val="none"/>
                <w:lang w:eastAsia="zh-CN"/>
              </w:rPr>
              <w:t>，最多扣 5 分。</w:t>
            </w:r>
          </w:p>
          <w:p w14:paraId="76D6563F">
            <w:pPr>
              <w:spacing w:line="400" w:lineRule="exact"/>
              <w:ind w:firstLine="420" w:firstLineChars="200"/>
              <w:rPr>
                <w:rFonts w:hint="eastAsia" w:ascii="宋体" w:hAnsi="宋体"/>
                <w:color w:val="auto"/>
                <w:highlight w:val="none"/>
              </w:rPr>
            </w:pPr>
            <w:r>
              <w:rPr>
                <w:rFonts w:ascii="宋体" w:hAnsi="宋体"/>
                <w:color w:val="auto"/>
                <w:highlight w:val="none"/>
              </w:rPr>
              <w:t>按插入法计算得分。</w:t>
            </w:r>
          </w:p>
          <w:p w14:paraId="17B7ABA5">
            <w:pPr>
              <w:spacing w:line="400" w:lineRule="exact"/>
              <w:ind w:firstLine="420" w:firstLineChars="200"/>
              <w:rPr>
                <w:rFonts w:hint="eastAsia" w:ascii="宋体" w:hAnsi="宋体"/>
                <w:color w:val="auto"/>
                <w:highlight w:val="none"/>
              </w:rPr>
            </w:pPr>
            <w:r>
              <w:rPr>
                <w:rFonts w:ascii="宋体" w:hAnsi="宋体"/>
                <w:color w:val="auto"/>
                <w:highlight w:val="none"/>
              </w:rPr>
              <w:t>未参与评标基准价计算的投标</w:t>
            </w:r>
            <w:r>
              <w:rPr>
                <w:rFonts w:hint="eastAsia" w:ascii="宋体" w:hAnsi="宋体"/>
                <w:color w:val="auto"/>
                <w:highlight w:val="none"/>
              </w:rPr>
              <w:t>总</w:t>
            </w:r>
            <w:r>
              <w:rPr>
                <w:rFonts w:ascii="宋体" w:hAnsi="宋体"/>
                <w:color w:val="auto"/>
                <w:highlight w:val="none"/>
              </w:rPr>
              <w:t>报价，仍应参加计算相应分值。</w:t>
            </w:r>
          </w:p>
          <w:p w14:paraId="7C409D0C">
            <w:pPr>
              <w:spacing w:line="400" w:lineRule="exact"/>
              <w:ind w:firstLine="420" w:firstLineChars="200"/>
              <w:rPr>
                <w:rFonts w:hint="eastAsia" w:ascii="宋体" w:hAnsi="宋体"/>
                <w:color w:val="auto"/>
                <w:highlight w:val="none"/>
              </w:rPr>
            </w:pPr>
            <w:r>
              <w:rPr>
                <w:rFonts w:hint="eastAsia" w:ascii="宋体" w:hAnsi="宋体"/>
                <w:color w:val="auto"/>
                <w:highlight w:val="none"/>
              </w:rPr>
              <w:t>投标总报价得分最终结果</w:t>
            </w:r>
            <w:r>
              <w:rPr>
                <w:rFonts w:ascii="宋体" w:hAnsi="宋体"/>
                <w:color w:val="auto"/>
                <w:highlight w:val="none"/>
              </w:rPr>
              <w:t>取小数点后两位，第三位四舍五入。</w:t>
            </w:r>
          </w:p>
        </w:tc>
      </w:tr>
      <w:tr w14:paraId="7176BE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08129F9E">
            <w:pPr>
              <w:spacing w:line="400" w:lineRule="exact"/>
              <w:jc w:val="center"/>
              <w:rPr>
                <w:rFonts w:hint="eastAsia" w:ascii="宋体" w:hAnsi="宋体"/>
                <w:color w:val="auto"/>
                <w:highlight w:val="none"/>
              </w:rPr>
            </w:pPr>
            <w:r>
              <w:rPr>
                <w:rFonts w:hint="eastAsia" w:ascii="宋体" w:hAnsi="宋体"/>
                <w:color w:val="auto"/>
                <w:highlight w:val="none"/>
              </w:rPr>
              <w:t>3</w:t>
            </w:r>
          </w:p>
        </w:tc>
        <w:tc>
          <w:tcPr>
            <w:tcW w:w="2587" w:type="dxa"/>
            <w:tcBorders>
              <w:top w:val="single" w:color="auto" w:sz="4" w:space="0"/>
              <w:bottom w:val="single" w:color="auto" w:sz="4" w:space="0"/>
            </w:tcBorders>
            <w:vAlign w:val="center"/>
          </w:tcPr>
          <w:p w14:paraId="4D821EB4">
            <w:pPr>
              <w:spacing w:line="400" w:lineRule="exact"/>
              <w:jc w:val="center"/>
              <w:rPr>
                <w:rFonts w:hint="eastAsia" w:ascii="宋体" w:hAnsi="宋体"/>
                <w:color w:val="auto"/>
                <w:highlight w:val="none"/>
              </w:rPr>
            </w:pPr>
            <w:r>
              <w:rPr>
                <w:rFonts w:hint="eastAsia" w:ascii="宋体" w:hAnsi="宋体"/>
                <w:color w:val="auto"/>
                <w:highlight w:val="none"/>
              </w:rPr>
              <w:t>评标程序</w:t>
            </w:r>
          </w:p>
        </w:tc>
        <w:tc>
          <w:tcPr>
            <w:tcW w:w="5738" w:type="dxa"/>
            <w:vAlign w:val="center"/>
          </w:tcPr>
          <w:p w14:paraId="13E0C2F9">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1.按本章评标办法第3.1款进行初步评审。未通过初步评审或评标委员会认定为无效的竞选文件的不再进行后续评审。</w:t>
            </w:r>
          </w:p>
          <w:p w14:paraId="30A48D4B">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2.按本章评标办法前附表第2.2.</w:t>
            </w:r>
            <w:r>
              <w:rPr>
                <w:rFonts w:ascii="宋体" w:hAnsi="宋体"/>
                <w:color w:val="auto"/>
                <w:kern w:val="0"/>
                <w:szCs w:val="21"/>
                <w:highlight w:val="none"/>
              </w:rPr>
              <w:t>4</w:t>
            </w:r>
            <w:r>
              <w:rPr>
                <w:rFonts w:hint="eastAsia" w:ascii="宋体" w:hAnsi="宋体"/>
                <w:color w:val="auto"/>
                <w:kern w:val="0"/>
                <w:szCs w:val="21"/>
                <w:highlight w:val="none"/>
              </w:rPr>
              <w:t>（1）目的规定对技术部分进行评审。</w:t>
            </w:r>
          </w:p>
          <w:p w14:paraId="33CD50FC">
            <w:pPr>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因评标委员会作否决投标处理导致有效竞选人不足三个的，评标委员会应当否决所有投标。但是有效竞选人的经济、技术等指标仍然具有市场竞争力，能够满足竞争性比选要求的，评标委员会可以继续评标并确定中标候选人。</w:t>
            </w:r>
          </w:p>
          <w:p w14:paraId="66A8AC1C">
            <w:pPr>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rPr>
              <w:t>.经评审合格的竞选人按照本章第2.2.</w:t>
            </w:r>
            <w:r>
              <w:rPr>
                <w:rFonts w:ascii="宋体" w:hAnsi="宋体"/>
                <w:color w:val="auto"/>
                <w:kern w:val="0"/>
                <w:szCs w:val="21"/>
                <w:highlight w:val="none"/>
              </w:rPr>
              <w:t>2</w:t>
            </w:r>
            <w:r>
              <w:rPr>
                <w:rFonts w:hint="eastAsia" w:ascii="宋体" w:hAnsi="宋体"/>
                <w:color w:val="auto"/>
                <w:kern w:val="0"/>
                <w:szCs w:val="21"/>
                <w:highlight w:val="none"/>
              </w:rPr>
              <w:t>项计算方法计算评标基准价，并按本附表第2.2.</w:t>
            </w:r>
            <w:r>
              <w:rPr>
                <w:rFonts w:ascii="宋体" w:hAnsi="宋体"/>
                <w:color w:val="auto"/>
                <w:kern w:val="0"/>
                <w:szCs w:val="21"/>
                <w:highlight w:val="none"/>
              </w:rPr>
              <w:t>4</w:t>
            </w:r>
            <w:r>
              <w:rPr>
                <w:rFonts w:hint="eastAsia" w:ascii="宋体" w:hAnsi="宋体"/>
                <w:color w:val="auto"/>
                <w:kern w:val="0"/>
                <w:szCs w:val="21"/>
                <w:highlight w:val="none"/>
              </w:rPr>
              <w:t>（</w:t>
            </w:r>
            <w:r>
              <w:rPr>
                <w:rFonts w:ascii="宋体" w:hAnsi="宋体"/>
                <w:color w:val="auto"/>
                <w:kern w:val="0"/>
                <w:szCs w:val="21"/>
                <w:highlight w:val="none"/>
              </w:rPr>
              <w:t>2</w:t>
            </w:r>
            <w:r>
              <w:rPr>
                <w:rFonts w:hint="eastAsia" w:ascii="宋体" w:hAnsi="宋体"/>
                <w:color w:val="auto"/>
                <w:kern w:val="0"/>
                <w:szCs w:val="21"/>
                <w:highlight w:val="none"/>
              </w:rPr>
              <w:t>）目规定的评分方法对投标报价进行评分。</w:t>
            </w:r>
          </w:p>
          <w:p w14:paraId="6FDFA2D5">
            <w:pPr>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5</w:t>
            </w:r>
            <w:r>
              <w:rPr>
                <w:rFonts w:hint="eastAsia" w:ascii="宋体" w:hAnsi="宋体"/>
                <w:color w:val="auto"/>
                <w:kern w:val="0"/>
                <w:szCs w:val="21"/>
                <w:highlight w:val="none"/>
              </w:rPr>
              <w:t>.对技术部分、投标报价得分进行汇总，确定得分由高至低前三名竞选人为中标候选人。</w:t>
            </w:r>
          </w:p>
        </w:tc>
      </w:tr>
      <w:tr w14:paraId="7983EE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7375A315">
            <w:pPr>
              <w:spacing w:line="400" w:lineRule="exact"/>
              <w:jc w:val="center"/>
              <w:rPr>
                <w:rFonts w:hint="eastAsia" w:ascii="宋体" w:hAnsi="宋体"/>
                <w:color w:val="auto"/>
                <w:highlight w:val="none"/>
              </w:rPr>
            </w:pPr>
            <w:r>
              <w:rPr>
                <w:rFonts w:hint="eastAsia" w:ascii="宋体" w:hAnsi="宋体"/>
                <w:color w:val="auto"/>
                <w:highlight w:val="none"/>
              </w:rPr>
              <w:t>3.2.3</w:t>
            </w:r>
          </w:p>
        </w:tc>
        <w:tc>
          <w:tcPr>
            <w:tcW w:w="2587" w:type="dxa"/>
            <w:tcBorders>
              <w:top w:val="single" w:color="auto" w:sz="4" w:space="0"/>
              <w:bottom w:val="single" w:color="auto" w:sz="4" w:space="0"/>
            </w:tcBorders>
            <w:vAlign w:val="center"/>
          </w:tcPr>
          <w:p w14:paraId="02FE6454">
            <w:pPr>
              <w:spacing w:line="400" w:lineRule="exact"/>
              <w:jc w:val="center"/>
              <w:rPr>
                <w:rFonts w:hint="eastAsia" w:ascii="宋体" w:hAnsi="宋体"/>
                <w:color w:val="auto"/>
                <w:highlight w:val="none"/>
              </w:rPr>
            </w:pPr>
            <w:r>
              <w:rPr>
                <w:rFonts w:hint="eastAsia" w:ascii="宋体" w:hAnsi="宋体"/>
                <w:color w:val="auto"/>
                <w:highlight w:val="none"/>
              </w:rPr>
              <w:t>竞选人得分</w:t>
            </w:r>
          </w:p>
        </w:tc>
        <w:tc>
          <w:tcPr>
            <w:tcW w:w="5738" w:type="dxa"/>
            <w:vAlign w:val="center"/>
          </w:tcPr>
          <w:p w14:paraId="745B9C31">
            <w:pPr>
              <w:spacing w:line="400" w:lineRule="exact"/>
              <w:ind w:firstLine="420" w:firstLineChars="200"/>
              <w:rPr>
                <w:rFonts w:hint="eastAsia" w:ascii="宋体" w:hAnsi="宋体"/>
                <w:color w:val="auto"/>
                <w:kern w:val="0"/>
                <w:szCs w:val="21"/>
                <w:highlight w:val="none"/>
              </w:rPr>
            </w:pPr>
            <w:r>
              <w:rPr>
                <w:rFonts w:hint="eastAsia" w:ascii="宋体" w:hAnsi="宋体"/>
                <w:color w:val="auto"/>
                <w:highlight w:val="none"/>
              </w:rPr>
              <w:t>竞选人得分=</w:t>
            </w:r>
            <w:r>
              <w:rPr>
                <w:rFonts w:hint="eastAsia" w:ascii="宋体" w:hAnsi="宋体"/>
                <w:color w:val="auto"/>
                <w:kern w:val="0"/>
                <w:szCs w:val="21"/>
                <w:highlight w:val="none"/>
              </w:rPr>
              <w:t>A+</w:t>
            </w:r>
            <w:r>
              <w:rPr>
                <w:rFonts w:ascii="宋体" w:hAnsi="宋体"/>
                <w:color w:val="auto"/>
                <w:kern w:val="0"/>
                <w:szCs w:val="21"/>
                <w:highlight w:val="none"/>
              </w:rPr>
              <w:t>B</w:t>
            </w:r>
          </w:p>
        </w:tc>
      </w:tr>
      <w:tr w14:paraId="68F740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55504901">
            <w:pPr>
              <w:spacing w:line="400" w:lineRule="exact"/>
              <w:jc w:val="center"/>
              <w:rPr>
                <w:rFonts w:hint="eastAsia" w:ascii="宋体" w:hAnsi="宋体"/>
                <w:color w:val="auto"/>
                <w:highlight w:val="none"/>
              </w:rPr>
            </w:pPr>
            <w:r>
              <w:rPr>
                <w:rFonts w:hint="eastAsia" w:ascii="宋体" w:hAnsi="宋体"/>
                <w:color w:val="auto"/>
                <w:highlight w:val="none"/>
              </w:rPr>
              <w:t>3.4</w:t>
            </w:r>
          </w:p>
        </w:tc>
        <w:tc>
          <w:tcPr>
            <w:tcW w:w="2587" w:type="dxa"/>
            <w:tcBorders>
              <w:top w:val="single" w:color="auto" w:sz="4" w:space="0"/>
            </w:tcBorders>
            <w:vAlign w:val="center"/>
          </w:tcPr>
          <w:p w14:paraId="040D94F1">
            <w:pPr>
              <w:spacing w:line="400" w:lineRule="exact"/>
              <w:jc w:val="center"/>
              <w:rPr>
                <w:rFonts w:hint="eastAsia" w:ascii="宋体" w:hAnsi="宋体"/>
                <w:color w:val="auto"/>
                <w:highlight w:val="none"/>
              </w:rPr>
            </w:pPr>
            <w:r>
              <w:rPr>
                <w:rFonts w:hint="eastAsia" w:ascii="宋体" w:hAnsi="宋体"/>
                <w:color w:val="auto"/>
                <w:highlight w:val="none"/>
              </w:rPr>
              <w:t>评标结果</w:t>
            </w:r>
          </w:p>
        </w:tc>
        <w:tc>
          <w:tcPr>
            <w:tcW w:w="5738" w:type="dxa"/>
            <w:vAlign w:val="center"/>
          </w:tcPr>
          <w:p w14:paraId="18179268">
            <w:pPr>
              <w:spacing w:line="400" w:lineRule="exact"/>
              <w:ind w:firstLine="420" w:firstLineChars="200"/>
              <w:rPr>
                <w:rFonts w:hint="eastAsia" w:ascii="宋体" w:hAnsi="宋体"/>
                <w:color w:val="auto"/>
                <w:highlight w:val="none"/>
              </w:rPr>
            </w:pPr>
            <w:r>
              <w:rPr>
                <w:rFonts w:hint="eastAsia" w:ascii="宋体" w:hAnsi="宋体"/>
                <w:color w:val="auto"/>
                <w:highlight w:val="none"/>
              </w:rPr>
              <w:t>3.4.1</w:t>
            </w:r>
            <w:r>
              <w:rPr>
                <w:rFonts w:ascii="宋体" w:hAnsi="宋体"/>
                <w:color w:val="auto"/>
                <w:highlight w:val="none"/>
              </w:rPr>
              <w:t>除第二章“竞选人须知”前附表授权直接确定中选人外，评标委员会按照得分由高到低的顺序推荐中标候选人，并标明排序。</w:t>
            </w:r>
          </w:p>
          <w:p w14:paraId="5B5863BD">
            <w:pPr>
              <w:spacing w:line="400" w:lineRule="exact"/>
              <w:ind w:firstLine="420" w:firstLineChars="200"/>
              <w:rPr>
                <w:rFonts w:hint="eastAsia" w:ascii="宋体" w:hAnsi="宋体"/>
                <w:color w:val="auto"/>
                <w:highlight w:val="none"/>
              </w:rPr>
            </w:pPr>
            <w:r>
              <w:rPr>
                <w:rFonts w:ascii="宋体" w:hAnsi="宋体"/>
                <w:color w:val="auto"/>
                <w:highlight w:val="none"/>
              </w:rPr>
              <w:t>3.4.2 评标委员会完成评标后，应当向招标人提交书面评标报告和中标候选人名单。</w:t>
            </w:r>
          </w:p>
        </w:tc>
      </w:tr>
    </w:tbl>
    <w:p w14:paraId="7066A5A3">
      <w:pPr>
        <w:pStyle w:val="3"/>
        <w:rPr>
          <w:rFonts w:hint="eastAsia" w:ascii="宋体" w:hAnsi="宋体"/>
          <w:b w:val="0"/>
          <w:snapToGrid w:val="0"/>
          <w:color w:val="auto"/>
          <w:highlight w:val="none"/>
        </w:rPr>
      </w:pPr>
      <w:bookmarkStart w:id="622" w:name="_Toc509218776"/>
      <w:r>
        <w:rPr>
          <w:rFonts w:ascii="宋体" w:hAnsi="宋体"/>
          <w:b w:val="0"/>
          <w:snapToGrid w:val="0"/>
          <w:color w:val="auto"/>
          <w:highlight w:val="none"/>
        </w:rPr>
        <w:br w:type="page"/>
      </w:r>
      <w:bookmarkStart w:id="623" w:name="_Toc2468"/>
      <w:bookmarkStart w:id="624" w:name="_Toc122515230"/>
      <w:r>
        <w:rPr>
          <w:rFonts w:ascii="宋体" w:hAnsi="宋体"/>
          <w:b w:val="0"/>
          <w:snapToGrid w:val="0"/>
          <w:color w:val="auto"/>
          <w:highlight w:val="none"/>
        </w:rPr>
        <w:t>1.  评标方法</w:t>
      </w:r>
      <w:bookmarkEnd w:id="622"/>
      <w:bookmarkEnd w:id="623"/>
      <w:bookmarkEnd w:id="624"/>
    </w:p>
    <w:p w14:paraId="2CED5880">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评标委员会对满足竞争性比选实质性要求的竞选文件，按照本章第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rPr>
        <w:t>评分</w:t>
      </w:r>
      <w:r>
        <w:rPr>
          <w:rFonts w:ascii="宋体" w:hAnsi="宋体"/>
          <w:color w:val="auto"/>
          <w:kern w:val="0"/>
          <w:szCs w:val="21"/>
          <w:highlight w:val="none"/>
        </w:rPr>
        <w:t>，</w:t>
      </w:r>
      <w:r>
        <w:rPr>
          <w:rFonts w:hint="eastAsia" w:ascii="宋体" w:hAnsi="宋体"/>
          <w:color w:val="auto"/>
          <w:kern w:val="0"/>
          <w:szCs w:val="21"/>
          <w:highlight w:val="none"/>
        </w:rPr>
        <w:t>并</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或根据招标人授权直接确定中选人。综合评分相等时，</w:t>
      </w:r>
      <w:r>
        <w:rPr>
          <w:rFonts w:hint="eastAsia" w:ascii="宋体" w:hAnsi="宋体"/>
          <w:color w:val="auto"/>
          <w:kern w:val="0"/>
          <w:szCs w:val="21"/>
          <w:highlight w:val="none"/>
        </w:rPr>
        <w:t>以评标办法前附表约定的原则确定</w:t>
      </w:r>
      <w:r>
        <w:rPr>
          <w:rFonts w:ascii="宋体" w:hAnsi="宋体"/>
          <w:color w:val="auto"/>
          <w:highlight w:val="none"/>
        </w:rPr>
        <w:t>中标候选人顺序</w:t>
      </w:r>
      <w:r>
        <w:rPr>
          <w:rFonts w:ascii="宋体" w:hAnsi="宋体"/>
          <w:color w:val="auto"/>
          <w:spacing w:val="-31"/>
          <w:kern w:val="0"/>
          <w:szCs w:val="21"/>
          <w:highlight w:val="none"/>
        </w:rPr>
        <w:t>。</w:t>
      </w:r>
    </w:p>
    <w:p w14:paraId="2868EAC3">
      <w:pPr>
        <w:pStyle w:val="3"/>
        <w:rPr>
          <w:rFonts w:hint="eastAsia" w:ascii="宋体" w:hAnsi="宋体"/>
          <w:b w:val="0"/>
          <w:snapToGrid w:val="0"/>
          <w:color w:val="auto"/>
          <w:highlight w:val="none"/>
        </w:rPr>
      </w:pPr>
      <w:bookmarkStart w:id="625" w:name="_Toc122515231"/>
      <w:bookmarkStart w:id="626" w:name="_Toc509218777"/>
      <w:bookmarkStart w:id="627" w:name="_Toc8451"/>
      <w:r>
        <w:rPr>
          <w:rFonts w:ascii="宋体" w:hAnsi="宋体"/>
          <w:b w:val="0"/>
          <w:snapToGrid w:val="0"/>
          <w:color w:val="auto"/>
          <w:highlight w:val="none"/>
        </w:rPr>
        <w:t>2.  评审标准</w:t>
      </w:r>
      <w:bookmarkEnd w:id="625"/>
      <w:bookmarkEnd w:id="626"/>
      <w:bookmarkEnd w:id="627"/>
    </w:p>
    <w:p w14:paraId="5C030086">
      <w:pPr>
        <w:pStyle w:val="4"/>
        <w:snapToGrid w:val="0"/>
        <w:spacing w:before="0" w:line="360" w:lineRule="auto"/>
        <w:rPr>
          <w:rFonts w:hint="eastAsia" w:ascii="宋体" w:hAnsi="宋体"/>
          <w:b w:val="0"/>
          <w:snapToGrid w:val="0"/>
          <w:color w:val="auto"/>
          <w:szCs w:val="24"/>
          <w:highlight w:val="none"/>
        </w:rPr>
      </w:pPr>
      <w:bookmarkStart w:id="628" w:name="_Toc509218778"/>
      <w:bookmarkStart w:id="629" w:name="_Toc122515232"/>
      <w:bookmarkStart w:id="630" w:name="_Toc11473"/>
      <w:r>
        <w:rPr>
          <w:rFonts w:ascii="宋体" w:hAnsi="宋体"/>
          <w:b w:val="0"/>
          <w:snapToGrid w:val="0"/>
          <w:color w:val="auto"/>
          <w:szCs w:val="24"/>
          <w:highlight w:val="none"/>
        </w:rPr>
        <w:t>2.1  初步评审标准</w:t>
      </w:r>
      <w:bookmarkEnd w:id="628"/>
      <w:bookmarkEnd w:id="629"/>
      <w:bookmarkEnd w:id="630"/>
    </w:p>
    <w:p w14:paraId="7A37EBAB">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w:t>
      </w:r>
      <w:r>
        <w:rPr>
          <w:rFonts w:ascii="宋体" w:hAnsi="宋体"/>
          <w:color w:val="auto"/>
          <w:kern w:val="0"/>
          <w:szCs w:val="21"/>
          <w:highlight w:val="none"/>
        </w:rPr>
        <w:t xml:space="preserve">  资格评审标准：见评标办法前附表。</w:t>
      </w:r>
    </w:p>
    <w:p w14:paraId="4E58FAE7">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2</w:t>
      </w:r>
      <w:r>
        <w:rPr>
          <w:rFonts w:ascii="宋体" w:hAnsi="宋体"/>
          <w:color w:val="auto"/>
          <w:kern w:val="0"/>
          <w:szCs w:val="21"/>
          <w:highlight w:val="none"/>
        </w:rPr>
        <w:t xml:space="preserve">  形式评审标准：见评标办法前附表。</w:t>
      </w:r>
    </w:p>
    <w:p w14:paraId="469E4C74">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2.1.3  响应性评审标准：见评标办法前附表。</w:t>
      </w:r>
    </w:p>
    <w:p w14:paraId="41E7E47E">
      <w:pPr>
        <w:pStyle w:val="4"/>
        <w:snapToGrid w:val="0"/>
        <w:spacing w:before="0" w:line="360" w:lineRule="auto"/>
        <w:rPr>
          <w:rFonts w:hint="eastAsia" w:ascii="宋体" w:hAnsi="宋体"/>
          <w:b w:val="0"/>
          <w:snapToGrid w:val="0"/>
          <w:color w:val="auto"/>
          <w:szCs w:val="24"/>
          <w:highlight w:val="none"/>
        </w:rPr>
      </w:pPr>
      <w:bookmarkStart w:id="631" w:name="_Toc122515233"/>
      <w:bookmarkStart w:id="632" w:name="_Toc21330"/>
      <w:bookmarkStart w:id="633" w:name="_Toc509218779"/>
      <w:r>
        <w:rPr>
          <w:rFonts w:ascii="宋体" w:hAnsi="宋体"/>
          <w:b w:val="0"/>
          <w:snapToGrid w:val="0"/>
          <w:color w:val="auto"/>
          <w:szCs w:val="24"/>
          <w:highlight w:val="none"/>
        </w:rPr>
        <w:t>2.2  分值构成与</w:t>
      </w:r>
      <w:r>
        <w:rPr>
          <w:rFonts w:hint="eastAsia" w:ascii="宋体" w:hAnsi="宋体"/>
          <w:b w:val="0"/>
          <w:snapToGrid w:val="0"/>
          <w:color w:val="auto"/>
          <w:szCs w:val="24"/>
          <w:highlight w:val="none"/>
        </w:rPr>
        <w:t>评审</w:t>
      </w:r>
      <w:r>
        <w:rPr>
          <w:rFonts w:ascii="宋体" w:hAnsi="宋体"/>
          <w:b w:val="0"/>
          <w:snapToGrid w:val="0"/>
          <w:color w:val="auto"/>
          <w:szCs w:val="24"/>
          <w:highlight w:val="none"/>
        </w:rPr>
        <w:t>标准</w:t>
      </w:r>
      <w:bookmarkEnd w:id="631"/>
      <w:bookmarkEnd w:id="632"/>
      <w:bookmarkEnd w:id="633"/>
    </w:p>
    <w:p w14:paraId="78359441">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2.2.1  分值构成</w:t>
      </w:r>
    </w:p>
    <w:p w14:paraId="3A8583B0">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2F19DD5E">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2</w:t>
      </w:r>
      <w:r>
        <w:rPr>
          <w:rFonts w:ascii="宋体" w:hAnsi="宋体"/>
          <w:color w:val="auto"/>
          <w:kern w:val="0"/>
          <w:szCs w:val="21"/>
          <w:highlight w:val="none"/>
        </w:rPr>
        <w:t>）投标</w:t>
      </w:r>
      <w:r>
        <w:rPr>
          <w:rFonts w:ascii="宋体" w:hAnsi="宋体"/>
          <w:color w:val="auto"/>
          <w:spacing w:val="-1"/>
          <w:kern w:val="0"/>
          <w:szCs w:val="21"/>
          <w:highlight w:val="none"/>
        </w:rPr>
        <w:t>报</w:t>
      </w:r>
      <w:r>
        <w:rPr>
          <w:rFonts w:ascii="宋体" w:hAnsi="宋体"/>
          <w:color w:val="auto"/>
          <w:kern w:val="0"/>
          <w:szCs w:val="21"/>
          <w:highlight w:val="none"/>
        </w:rPr>
        <w:t>价：见评标办法前附表</w:t>
      </w:r>
      <w:r>
        <w:rPr>
          <w:rFonts w:hint="eastAsia" w:ascii="宋体" w:hAnsi="宋体"/>
          <w:color w:val="auto"/>
          <w:kern w:val="0"/>
          <w:szCs w:val="21"/>
          <w:highlight w:val="none"/>
        </w:rPr>
        <w:t>。</w:t>
      </w:r>
    </w:p>
    <w:p w14:paraId="0E4E1E3E">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 xml:space="preserve">2  </w:t>
      </w:r>
      <w:r>
        <w:rPr>
          <w:rFonts w:ascii="宋体" w:hAnsi="宋体"/>
          <w:color w:val="auto"/>
          <w:kern w:val="0"/>
          <w:szCs w:val="21"/>
          <w:highlight w:val="none"/>
        </w:rPr>
        <w:t>评标基准价计算</w:t>
      </w:r>
    </w:p>
    <w:p w14:paraId="65EAE1C0">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评标基准价计算方法：见评标办法前附表。</w:t>
      </w:r>
    </w:p>
    <w:p w14:paraId="7EE3698C">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2.2.3 投标报价的偏差率计算</w:t>
      </w:r>
    </w:p>
    <w:p w14:paraId="75552827">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投标报价的偏差率计算公式：见评标办法前附表</w:t>
      </w:r>
      <w:r>
        <w:rPr>
          <w:rFonts w:hint="eastAsia" w:ascii="宋体" w:hAnsi="宋体"/>
          <w:color w:val="auto"/>
          <w:kern w:val="0"/>
          <w:szCs w:val="21"/>
          <w:highlight w:val="none"/>
        </w:rPr>
        <w:t>；</w:t>
      </w:r>
    </w:p>
    <w:p w14:paraId="5EF24997">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.2.4  评</w:t>
      </w:r>
      <w:r>
        <w:rPr>
          <w:rFonts w:hint="eastAsia" w:ascii="宋体" w:hAnsi="宋体"/>
          <w:color w:val="auto"/>
          <w:kern w:val="0"/>
          <w:szCs w:val="21"/>
          <w:highlight w:val="none"/>
        </w:rPr>
        <w:t>审</w:t>
      </w:r>
      <w:r>
        <w:rPr>
          <w:rFonts w:ascii="宋体" w:hAnsi="宋体"/>
          <w:color w:val="auto"/>
          <w:kern w:val="0"/>
          <w:szCs w:val="21"/>
          <w:highlight w:val="none"/>
        </w:rPr>
        <w:t>标准</w:t>
      </w:r>
    </w:p>
    <w:p w14:paraId="0FFE1594">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技术部分</w:t>
      </w:r>
      <w:r>
        <w:rPr>
          <w:rFonts w:ascii="宋体" w:hAnsi="宋体"/>
          <w:color w:val="auto"/>
          <w:kern w:val="0"/>
          <w:szCs w:val="21"/>
          <w:highlight w:val="none"/>
        </w:rPr>
        <w:t>评分标准：见评标办法前附表；</w:t>
      </w:r>
    </w:p>
    <w:p w14:paraId="218E7B93">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投标报价</w:t>
      </w:r>
      <w:r>
        <w:rPr>
          <w:rFonts w:ascii="宋体" w:hAnsi="宋体"/>
          <w:color w:val="auto"/>
          <w:kern w:val="0"/>
          <w:szCs w:val="21"/>
          <w:highlight w:val="none"/>
        </w:rPr>
        <w:t>评分标准：见评标办法前附表。</w:t>
      </w:r>
    </w:p>
    <w:p w14:paraId="722781B4">
      <w:pPr>
        <w:pStyle w:val="3"/>
        <w:rPr>
          <w:rFonts w:hint="eastAsia" w:ascii="宋体" w:hAnsi="宋体"/>
          <w:b w:val="0"/>
          <w:snapToGrid w:val="0"/>
          <w:color w:val="auto"/>
          <w:highlight w:val="none"/>
        </w:rPr>
      </w:pPr>
      <w:bookmarkStart w:id="634" w:name="_Toc765"/>
      <w:bookmarkStart w:id="635" w:name="_Toc509218780"/>
      <w:bookmarkStart w:id="636" w:name="_Toc122515234"/>
      <w:r>
        <w:rPr>
          <w:rFonts w:ascii="宋体" w:hAnsi="宋体"/>
          <w:b w:val="0"/>
          <w:snapToGrid w:val="0"/>
          <w:color w:val="auto"/>
          <w:highlight w:val="none"/>
        </w:rPr>
        <w:t>3.  评标程序</w:t>
      </w:r>
      <w:bookmarkEnd w:id="634"/>
      <w:bookmarkEnd w:id="635"/>
      <w:bookmarkEnd w:id="636"/>
    </w:p>
    <w:p w14:paraId="70A7C548">
      <w:pPr>
        <w:pStyle w:val="4"/>
        <w:snapToGrid w:val="0"/>
        <w:spacing w:before="0" w:line="360" w:lineRule="auto"/>
        <w:rPr>
          <w:rFonts w:hint="eastAsia" w:ascii="宋体" w:hAnsi="宋体"/>
          <w:b w:val="0"/>
          <w:snapToGrid w:val="0"/>
          <w:color w:val="auto"/>
          <w:szCs w:val="24"/>
          <w:highlight w:val="none"/>
        </w:rPr>
      </w:pPr>
      <w:bookmarkStart w:id="637" w:name="_Toc509218781"/>
      <w:bookmarkStart w:id="638" w:name="_Toc18340"/>
      <w:bookmarkStart w:id="639" w:name="_Toc122515235"/>
      <w:r>
        <w:rPr>
          <w:rFonts w:ascii="宋体" w:hAnsi="宋体"/>
          <w:b w:val="0"/>
          <w:snapToGrid w:val="0"/>
          <w:color w:val="auto"/>
          <w:szCs w:val="24"/>
          <w:highlight w:val="none"/>
        </w:rPr>
        <w:t>3.1  初步评审</w:t>
      </w:r>
      <w:bookmarkEnd w:id="637"/>
      <w:bookmarkEnd w:id="638"/>
      <w:bookmarkEnd w:id="639"/>
    </w:p>
    <w:p w14:paraId="6F4854C3">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3.1.1  评标委员会依据本章第 2.1 款规定的标准对竞选文件进行初步评审。有一项不符合评审标准的，作否决投标处理。（适用于未进行资格预审的）</w:t>
      </w:r>
    </w:p>
    <w:p w14:paraId="44E8B58D">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3.1.1  评标委员会依据本章第2.1.2项</w:t>
      </w:r>
      <w:r>
        <w:rPr>
          <w:rFonts w:hint="eastAsia" w:ascii="宋体" w:hAnsi="宋体"/>
          <w:color w:val="auto"/>
          <w:kern w:val="0"/>
          <w:szCs w:val="21"/>
          <w:highlight w:val="none"/>
        </w:rPr>
        <w:t>、</w:t>
      </w:r>
      <w:r>
        <w:rPr>
          <w:rFonts w:ascii="宋体" w:hAnsi="宋体"/>
          <w:color w:val="auto"/>
          <w:kern w:val="0"/>
          <w:szCs w:val="21"/>
          <w:highlight w:val="none"/>
        </w:rPr>
        <w:t>第2.1.3项规定的评审标准对竞选文件进行初步评审。有一项不符合评审标准的，作否决投标处理。当竞选人资格预审申请文件的内容发生重大变化时，评标委员会依据本章第2.1.1项规定的标准对其更新资料进行评审。（适用于已进行资格预审的）</w:t>
      </w:r>
    </w:p>
    <w:p w14:paraId="2E89ADAD">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3.1.2  竞选人有以下情形之一的，其投标作否决投标处理：</w:t>
      </w:r>
    </w:p>
    <w:p w14:paraId="72D89C50">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w:t>
      </w:r>
      <w:r>
        <w:rPr>
          <w:rFonts w:hint="eastAsia" w:ascii="宋体" w:hAnsi="宋体" w:cs="宋体"/>
          <w:color w:val="auto"/>
          <w:szCs w:val="21"/>
          <w:highlight w:val="none"/>
        </w:rPr>
        <w:t>有串通投标、弄虚作假等其他违反招投标相关法律、法规行为的</w:t>
      </w:r>
      <w:r>
        <w:rPr>
          <w:rFonts w:ascii="宋体" w:hAnsi="宋体"/>
          <w:color w:val="auto"/>
          <w:kern w:val="0"/>
          <w:szCs w:val="21"/>
          <w:highlight w:val="none"/>
        </w:rPr>
        <w:t>；</w:t>
      </w:r>
    </w:p>
    <w:p w14:paraId="7AF19A6D">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14:paraId="21BE410F">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3.1.3  投标报价有算术错误及其他错误的，评标委员会按以下原则要求竞选人对投标报价进行修正，并要求竞选人书面澄清确认。竞选人拒不澄清确认的，评标委员会应当否决其投标：</w:t>
      </w:r>
    </w:p>
    <w:p w14:paraId="1AD2A0DD">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（1）竞选文件中的大写金额与小写金额不一致的，以大写金额为准；</w:t>
      </w:r>
    </w:p>
    <w:p w14:paraId="1D71EB8B">
      <w:pPr>
        <w:spacing w:line="400" w:lineRule="exact"/>
        <w:ind w:firstLine="420" w:firstLineChars="200"/>
        <w:rPr>
          <w:rFonts w:hint="eastAsia" w:ascii="宋体" w:hAnsi="宋体"/>
          <w:color w:val="auto"/>
          <w:szCs w:val="21"/>
          <w:highlight w:val="none"/>
        </w:rPr>
      </w:pPr>
      <w:bookmarkStart w:id="640" w:name="_Toc1832"/>
      <w:bookmarkStart w:id="641" w:name="_Toc509218782"/>
      <w:r>
        <w:rPr>
          <w:rFonts w:hint="eastAsia" w:ascii="宋体" w:hAnsi="宋体"/>
          <w:color w:val="auto"/>
          <w:szCs w:val="21"/>
          <w:highlight w:val="none"/>
        </w:rPr>
        <w:t>（2）竞选文件中用数字表示的数额与用文字表示的数额不一致时，以文字数额为准；</w:t>
      </w:r>
    </w:p>
    <w:p w14:paraId="3666023F">
      <w:pPr>
        <w:pStyle w:val="4"/>
        <w:snapToGrid w:val="0"/>
        <w:spacing w:before="0" w:line="360" w:lineRule="auto"/>
        <w:rPr>
          <w:rFonts w:hint="eastAsia" w:ascii="宋体" w:hAnsi="宋体"/>
          <w:b w:val="0"/>
          <w:snapToGrid w:val="0"/>
          <w:color w:val="auto"/>
          <w:szCs w:val="24"/>
          <w:highlight w:val="none"/>
        </w:rPr>
      </w:pPr>
      <w:bookmarkStart w:id="642" w:name="_Toc122515236"/>
      <w:r>
        <w:rPr>
          <w:rFonts w:ascii="宋体" w:hAnsi="宋体"/>
          <w:b w:val="0"/>
          <w:snapToGrid w:val="0"/>
          <w:color w:val="auto"/>
          <w:szCs w:val="24"/>
          <w:highlight w:val="none"/>
        </w:rPr>
        <w:t>3.2  详细评审</w:t>
      </w:r>
      <w:bookmarkEnd w:id="640"/>
      <w:bookmarkEnd w:id="641"/>
      <w:bookmarkEnd w:id="642"/>
    </w:p>
    <w:p w14:paraId="0271010F">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3.2.1  评标委员会按本章第2.2款规定的量化因素和分值进行</w:t>
      </w:r>
      <w:r>
        <w:rPr>
          <w:rFonts w:hint="eastAsia" w:ascii="宋体" w:hAnsi="宋体"/>
          <w:color w:val="auto"/>
          <w:kern w:val="0"/>
          <w:szCs w:val="21"/>
          <w:highlight w:val="none"/>
        </w:rPr>
        <w:t>评分</w:t>
      </w:r>
      <w:r>
        <w:rPr>
          <w:rFonts w:ascii="宋体" w:hAnsi="宋体"/>
          <w:color w:val="auto"/>
          <w:kern w:val="0"/>
          <w:szCs w:val="21"/>
          <w:highlight w:val="none"/>
        </w:rPr>
        <w:t>，并计算出综合评估得分。</w:t>
      </w:r>
    </w:p>
    <w:p w14:paraId="44424B94">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（1）按本章第 2.2.4（1）目规定的评审因素和分值对</w:t>
      </w:r>
      <w:r>
        <w:rPr>
          <w:rFonts w:hint="eastAsia" w:ascii="宋体" w:hAnsi="宋体"/>
          <w:color w:val="auto"/>
          <w:kern w:val="0"/>
          <w:szCs w:val="21"/>
          <w:highlight w:val="none"/>
        </w:rPr>
        <w:t>技术</w:t>
      </w:r>
      <w:r>
        <w:rPr>
          <w:rFonts w:ascii="宋体" w:hAnsi="宋体"/>
          <w:color w:val="auto"/>
          <w:kern w:val="0"/>
          <w:szCs w:val="21"/>
          <w:highlight w:val="none"/>
        </w:rPr>
        <w:t>部分计算出得分 A；</w:t>
      </w:r>
    </w:p>
    <w:p w14:paraId="3E5A5046">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）按本章第 2.2.4（2）目规定的评审因素和分值对投标报价计算出得分 B；</w:t>
      </w:r>
    </w:p>
    <w:p w14:paraId="29C6604D">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3.2.2  各类评分分值的最终计算结果保留小数点后两位，小数点后第三位“四舍五入”。</w:t>
      </w:r>
    </w:p>
    <w:p w14:paraId="3A693FC4">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3.2.3  竞选人得分=A</w:t>
      </w:r>
      <w:r>
        <w:rPr>
          <w:rFonts w:hint="eastAsia" w:ascii="宋体" w:hAnsi="宋体"/>
          <w:color w:val="auto"/>
          <w:kern w:val="0"/>
          <w:szCs w:val="21"/>
          <w:highlight w:val="none"/>
        </w:rPr>
        <w:t>+</w:t>
      </w:r>
      <w:r>
        <w:rPr>
          <w:rFonts w:ascii="宋体" w:hAnsi="宋体"/>
          <w:color w:val="auto"/>
          <w:kern w:val="0"/>
          <w:szCs w:val="21"/>
          <w:highlight w:val="none"/>
        </w:rPr>
        <w:t>B</w:t>
      </w:r>
      <w:r>
        <w:rPr>
          <w:rFonts w:hint="eastAsia" w:ascii="宋体" w:hAnsi="宋体"/>
          <w:color w:val="auto"/>
          <w:kern w:val="0"/>
          <w:szCs w:val="21"/>
          <w:highlight w:val="none"/>
        </w:rPr>
        <w:t>。</w:t>
      </w:r>
    </w:p>
    <w:p w14:paraId="72C01B37">
      <w:pPr>
        <w:pStyle w:val="4"/>
        <w:snapToGrid w:val="0"/>
        <w:spacing w:before="0" w:line="360" w:lineRule="auto"/>
        <w:rPr>
          <w:rFonts w:hint="eastAsia" w:ascii="宋体" w:hAnsi="宋体"/>
          <w:b w:val="0"/>
          <w:snapToGrid w:val="0"/>
          <w:color w:val="auto"/>
          <w:szCs w:val="24"/>
          <w:highlight w:val="none"/>
        </w:rPr>
      </w:pPr>
      <w:bookmarkStart w:id="643" w:name="_Toc122515237"/>
      <w:bookmarkStart w:id="644" w:name="_Toc18143"/>
      <w:bookmarkStart w:id="645" w:name="_Toc509218783"/>
      <w:r>
        <w:rPr>
          <w:rFonts w:ascii="宋体" w:hAnsi="宋体"/>
          <w:b w:val="0"/>
          <w:snapToGrid w:val="0"/>
          <w:color w:val="auto"/>
          <w:szCs w:val="24"/>
          <w:highlight w:val="none"/>
        </w:rPr>
        <w:t>3.3  竞选文件的澄清</w:t>
      </w:r>
      <w:bookmarkEnd w:id="643"/>
      <w:bookmarkEnd w:id="644"/>
      <w:bookmarkEnd w:id="645"/>
    </w:p>
    <w:p w14:paraId="4EE10517">
      <w:pPr>
        <w:autoSpaceDE w:val="0"/>
        <w:autoSpaceDN w:val="0"/>
        <w:adjustRightInd w:val="0"/>
        <w:snapToGrid w:val="0"/>
        <w:spacing w:line="360" w:lineRule="auto"/>
        <w:ind w:firstLine="420" w:firstLineChars="200"/>
        <w:rPr>
          <w:rFonts w:hint="eastAsia" w:ascii="宋体" w:hAnsi="宋体"/>
          <w:color w:val="auto"/>
          <w:kern w:val="0"/>
          <w:szCs w:val="21"/>
          <w:highlight w:val="none"/>
        </w:rPr>
      </w:pPr>
      <w:bookmarkStart w:id="646" w:name="_Hlk71569932"/>
      <w:r>
        <w:rPr>
          <w:rFonts w:ascii="宋体" w:hAnsi="宋体"/>
          <w:color w:val="auto"/>
          <w:kern w:val="0"/>
          <w:szCs w:val="21"/>
          <w:highlight w:val="none"/>
        </w:rPr>
        <w:t>3.3.1  在评标过程中，评标委员会可以书面形式要求竞选人对所提交竞选文件中</w:t>
      </w:r>
      <w:r>
        <w:rPr>
          <w:rFonts w:hint="eastAsia" w:ascii="宋体" w:hAnsi="宋体"/>
          <w:color w:val="auto"/>
          <w:kern w:val="0"/>
          <w:szCs w:val="21"/>
          <w:highlight w:val="none"/>
        </w:rPr>
        <w:t>含义不明确、对同类问题表述不一致或者有明显文字和计算错误的内容作必要的澄清、说明或补正。澄清、说明或补正应以书面方式进行。评标委员会不接受竞选人主动提出的澄清、说明或补正。</w:t>
      </w:r>
    </w:p>
    <w:p w14:paraId="298D23CA">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3.3.2  澄清、说明或补正不得超出竞选文件的范围且不得改变竞选文件的实质性内容，并构成竞选文件的组成部分。</w:t>
      </w:r>
    </w:p>
    <w:p w14:paraId="26A2CD75">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3.3.3  评标委员会对竞选人提交的澄清、说明或补正有疑问的，可以要求竞选人进一步澄清、说明或补正，直至满足评标委员会的要求。</w:t>
      </w:r>
      <w:bookmarkEnd w:id="646"/>
    </w:p>
    <w:p w14:paraId="4EB0C982">
      <w:pPr>
        <w:pStyle w:val="4"/>
        <w:snapToGrid w:val="0"/>
        <w:spacing w:before="0" w:line="360" w:lineRule="auto"/>
        <w:rPr>
          <w:rFonts w:hint="eastAsia" w:ascii="宋体" w:hAnsi="宋体"/>
          <w:b w:val="0"/>
          <w:snapToGrid w:val="0"/>
          <w:color w:val="auto"/>
          <w:szCs w:val="24"/>
          <w:highlight w:val="none"/>
        </w:rPr>
      </w:pPr>
      <w:bookmarkStart w:id="647" w:name="_Toc509218784"/>
      <w:bookmarkStart w:id="648" w:name="_Toc22756"/>
      <w:bookmarkStart w:id="649" w:name="_Toc122515238"/>
      <w:r>
        <w:rPr>
          <w:rFonts w:ascii="宋体" w:hAnsi="宋体"/>
          <w:b w:val="0"/>
          <w:snapToGrid w:val="0"/>
          <w:color w:val="auto"/>
          <w:szCs w:val="24"/>
          <w:highlight w:val="none"/>
        </w:rPr>
        <w:t>3.4  评标结果</w:t>
      </w:r>
      <w:bookmarkEnd w:id="647"/>
      <w:bookmarkEnd w:id="648"/>
      <w:bookmarkEnd w:id="649"/>
    </w:p>
    <w:p w14:paraId="6F2F6F6B">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 除第二章“竞选人须知”前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确定中选人外，评标</w:t>
      </w:r>
      <w:r>
        <w:rPr>
          <w:rFonts w:ascii="宋体" w:hAnsi="宋体"/>
          <w:color w:val="auto"/>
          <w:spacing w:val="1"/>
          <w:kern w:val="0"/>
          <w:szCs w:val="21"/>
          <w:highlight w:val="none"/>
        </w:rPr>
        <w:t>委</w:t>
      </w:r>
      <w:r>
        <w:rPr>
          <w:rFonts w:ascii="宋体" w:hAnsi="宋体"/>
          <w:color w:val="auto"/>
          <w:kern w:val="0"/>
          <w:szCs w:val="21"/>
          <w:highlight w:val="none"/>
        </w:rPr>
        <w:t>员会按照</w:t>
      </w:r>
      <w:r>
        <w:rPr>
          <w:rFonts w:ascii="宋体" w:hAnsi="宋体"/>
          <w:color w:val="auto"/>
          <w:spacing w:val="1"/>
          <w:kern w:val="0"/>
          <w:szCs w:val="21"/>
          <w:highlight w:val="none"/>
        </w:rPr>
        <w:t>得分</w:t>
      </w:r>
      <w:r>
        <w:rPr>
          <w:rFonts w:ascii="宋体" w:hAnsi="宋体"/>
          <w:color w:val="auto"/>
          <w:kern w:val="0"/>
          <w:szCs w:val="21"/>
          <w:highlight w:val="none"/>
        </w:rPr>
        <w:t>由高到低的顺序推荐中标候选人，并标明排序。</w:t>
      </w:r>
    </w:p>
    <w:p w14:paraId="09D24AFE">
      <w:pPr>
        <w:autoSpaceDE w:val="0"/>
        <w:autoSpaceDN w:val="0"/>
        <w:adjustRightInd w:val="0"/>
        <w:snapToGrid w:val="0"/>
        <w:spacing w:line="360" w:lineRule="auto"/>
        <w:ind w:firstLine="424" w:firstLineChars="200"/>
        <w:rPr>
          <w:rFonts w:hint="eastAsia" w:ascii="宋体" w:hAnsi="宋体"/>
          <w:color w:val="auto"/>
          <w:kern w:val="0"/>
          <w:sz w:val="20"/>
          <w:szCs w:val="20"/>
          <w:highlight w:val="none"/>
        </w:rPr>
      </w:pPr>
      <w:r>
        <w:rPr>
          <w:rFonts w:ascii="宋体" w:hAnsi="宋体"/>
          <w:color w:val="auto"/>
          <w:spacing w:val="1"/>
          <w:kern w:val="0"/>
          <w:szCs w:val="21"/>
          <w:highlight w:val="none"/>
        </w:rPr>
        <w:t>3</w:t>
      </w:r>
      <w:r>
        <w:rPr>
          <w:rFonts w:ascii="宋体" w:hAnsi="宋体"/>
          <w:color w:val="auto"/>
          <w:kern w:val="0"/>
          <w:szCs w:val="21"/>
          <w:highlight w:val="none"/>
        </w:rPr>
        <w:t>.4.2  评标委员会完成评标后，应当向招标人提交书面评标报告和中标候选人名单。</w:t>
      </w:r>
    </w:p>
    <w:p w14:paraId="6393B422">
      <w:pPr>
        <w:pStyle w:val="8"/>
        <w:rPr>
          <w:rFonts w:hint="eastAsia" w:ascii="宋体" w:hAnsi="宋体"/>
          <w:color w:val="auto"/>
          <w:highlight w:val="none"/>
        </w:rPr>
      </w:pPr>
    </w:p>
    <w:p w14:paraId="34726F98">
      <w:pPr>
        <w:spacing w:line="400" w:lineRule="atLeast"/>
        <w:rPr>
          <w:rFonts w:hint="eastAsia" w:ascii="宋体" w:hAnsi="宋体"/>
          <w:color w:val="auto"/>
          <w:szCs w:val="20"/>
          <w:highlight w:val="none"/>
        </w:rPr>
      </w:pPr>
      <w:r>
        <w:rPr>
          <w:rFonts w:hint="eastAsia" w:ascii="宋体" w:hAnsi="宋体"/>
          <w:color w:val="auto"/>
          <w:kern w:val="0"/>
          <w:sz w:val="20"/>
          <w:szCs w:val="20"/>
          <w:highlight w:val="none"/>
        </w:rPr>
        <w:br w:type="page"/>
      </w:r>
      <w:r>
        <w:rPr>
          <w:rFonts w:hint="eastAsia" w:ascii="宋体" w:hAnsi="宋体"/>
          <w:color w:val="auto"/>
          <w:szCs w:val="20"/>
          <w:highlight w:val="none"/>
        </w:rPr>
        <w:t>附件A：否决竞选条件</w:t>
      </w:r>
    </w:p>
    <w:p w14:paraId="252FDBA2">
      <w:pPr>
        <w:pStyle w:val="21"/>
        <w:spacing w:line="360" w:lineRule="auto"/>
        <w:rPr>
          <w:rFonts w:hint="eastAsia" w:ascii="宋体" w:hAnsi="宋体"/>
          <w:color w:val="auto"/>
          <w:sz w:val="28"/>
          <w:szCs w:val="28"/>
          <w:highlight w:val="none"/>
          <w:lang w:eastAsia="zh-CN"/>
        </w:rPr>
      </w:pPr>
      <w:bookmarkStart w:id="650" w:name="招标文件03章02评标办法综合评估法02附件02"/>
      <w:bookmarkEnd w:id="650"/>
      <w:bookmarkStart w:id="651" w:name="招标文件04章合同条款及格式"/>
      <w:bookmarkEnd w:id="651"/>
      <w:bookmarkStart w:id="652" w:name="_Toc230410480"/>
      <w:bookmarkStart w:id="653" w:name="_Toc277082627"/>
      <w:r>
        <w:rPr>
          <w:rFonts w:hint="eastAsia" w:ascii="宋体" w:hAnsi="宋体"/>
          <w:color w:val="auto"/>
          <w:sz w:val="28"/>
          <w:szCs w:val="28"/>
          <w:highlight w:val="none"/>
          <w:lang w:eastAsia="zh-CN"/>
        </w:rPr>
        <w:t>附件A：综合评估法否决竞选情况一览表</w:t>
      </w:r>
      <w:bookmarkEnd w:id="652"/>
    </w:p>
    <w:p w14:paraId="38099F48">
      <w:pPr>
        <w:pStyle w:val="21"/>
        <w:spacing w:line="360" w:lineRule="auto"/>
        <w:jc w:val="both"/>
        <w:rPr>
          <w:rFonts w:hint="eastAsia" w:ascii="宋体" w:hAnsi="宋体"/>
          <w:b/>
          <w:color w:val="auto"/>
          <w:sz w:val="24"/>
          <w:highlight w:val="none"/>
          <w:lang w:eastAsia="zh-CN"/>
        </w:rPr>
      </w:pPr>
      <w:r>
        <w:rPr>
          <w:rFonts w:hint="eastAsia" w:ascii="宋体" w:hAnsi="宋体"/>
          <w:b/>
          <w:color w:val="auto"/>
          <w:sz w:val="24"/>
          <w:highlight w:val="none"/>
          <w:lang w:eastAsia="zh-CN"/>
        </w:rPr>
        <w:t>一览表否决竞选条件之外的评选委员会不得判为重大偏差。</w:t>
      </w:r>
    </w:p>
    <w:tbl>
      <w:tblPr>
        <w:tblStyle w:val="29"/>
        <w:tblW w:w="90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559"/>
        <w:gridCol w:w="6376"/>
      </w:tblGrid>
      <w:tr w14:paraId="00F4B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tcPr>
          <w:p w14:paraId="6430674B">
            <w:pPr>
              <w:spacing w:line="360" w:lineRule="auto"/>
              <w:rPr>
                <w:rFonts w:hint="eastAsia" w:ascii="宋体" w:hAnsi="宋体"/>
                <w:b/>
                <w:color w:val="auto"/>
                <w:szCs w:val="21"/>
                <w:highlight w:val="none"/>
              </w:rPr>
            </w:pPr>
            <w:r>
              <w:rPr>
                <w:rFonts w:hint="eastAsia" w:ascii="宋体" w:hAnsi="宋体"/>
                <w:b/>
                <w:color w:val="auto"/>
                <w:szCs w:val="21"/>
                <w:highlight w:val="none"/>
              </w:rPr>
              <w:t>比选文件章节号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2FF795CB">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条款名称</w:t>
            </w:r>
          </w:p>
        </w:tc>
        <w:tc>
          <w:tcPr>
            <w:tcW w:w="6376" w:type="dxa"/>
            <w:tcBorders>
              <w:top w:val="single" w:color="000000" w:sz="4" w:space="0"/>
              <w:left w:val="single" w:color="000000" w:sz="4" w:space="0"/>
              <w:bottom w:val="single" w:color="000000" w:sz="4" w:space="0"/>
              <w:right w:val="single" w:color="000000" w:sz="4" w:space="0"/>
            </w:tcBorders>
            <w:vAlign w:val="center"/>
          </w:tcPr>
          <w:p w14:paraId="483A55A7">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否决竞选条件</w:t>
            </w:r>
          </w:p>
        </w:tc>
      </w:tr>
      <w:tr w14:paraId="0627D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472C5B5B">
            <w:pPr>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0BB99EB6">
            <w:pPr>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竞选人资质条件、能力和信誉</w:t>
            </w:r>
          </w:p>
        </w:tc>
        <w:tc>
          <w:tcPr>
            <w:tcW w:w="6376" w:type="dxa"/>
            <w:tcBorders>
              <w:top w:val="single" w:color="000000" w:sz="4" w:space="0"/>
              <w:left w:val="single" w:color="000000" w:sz="4" w:space="0"/>
              <w:bottom w:val="single" w:color="000000" w:sz="4" w:space="0"/>
              <w:right w:val="single" w:color="000000" w:sz="4" w:space="0"/>
            </w:tcBorders>
            <w:vAlign w:val="center"/>
          </w:tcPr>
          <w:p w14:paraId="6B0A533A">
            <w:pPr>
              <w:autoSpaceDE w:val="0"/>
              <w:autoSpaceDN w:val="0"/>
              <w:adjustRightInd w:val="0"/>
              <w:spacing w:line="360" w:lineRule="auto"/>
              <w:ind w:firstLine="415" w:firstLineChars="198"/>
              <w:rPr>
                <w:rFonts w:hint="eastAsia" w:ascii="宋体" w:hAnsi="宋体"/>
                <w:color w:val="auto"/>
                <w:szCs w:val="21"/>
                <w:highlight w:val="none"/>
              </w:rPr>
            </w:pPr>
            <w:r>
              <w:rPr>
                <w:rFonts w:hint="eastAsia" w:ascii="宋体" w:hAnsi="宋体" w:cs="宋体"/>
                <w:color w:val="auto"/>
                <w:szCs w:val="21"/>
                <w:highlight w:val="none"/>
              </w:rPr>
              <w:t>只要有一条不满足比选文件第二章竞选人须知前附表要求即为否决竞选。</w:t>
            </w:r>
          </w:p>
        </w:tc>
      </w:tr>
      <w:tr w14:paraId="7EDD4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40929355">
            <w:pPr>
              <w:spacing w:line="360" w:lineRule="auto"/>
              <w:jc w:val="center"/>
              <w:rPr>
                <w:rFonts w:hint="eastAsia" w:ascii="宋体" w:hAnsi="宋体"/>
                <w:color w:val="auto"/>
                <w:szCs w:val="21"/>
                <w:highlight w:val="none"/>
              </w:rPr>
            </w:pPr>
            <w:r>
              <w:rPr>
                <w:rFonts w:hint="eastAsia" w:ascii="宋体" w:hAnsi="宋体"/>
                <w:color w:val="auto"/>
                <w:szCs w:val="21"/>
                <w:highlight w:val="none"/>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522B07FB">
            <w:pPr>
              <w:spacing w:line="360" w:lineRule="auto"/>
              <w:jc w:val="center"/>
              <w:rPr>
                <w:rFonts w:hint="eastAsia" w:ascii="宋体" w:hAnsi="宋体"/>
                <w:color w:val="auto"/>
                <w:szCs w:val="21"/>
                <w:highlight w:val="none"/>
              </w:rPr>
            </w:pPr>
            <w:r>
              <w:rPr>
                <w:rFonts w:hint="eastAsia" w:ascii="宋体" w:hAnsi="宋体"/>
                <w:color w:val="auto"/>
                <w:szCs w:val="21"/>
                <w:highlight w:val="none"/>
              </w:rPr>
              <w:t>竞选报价</w:t>
            </w:r>
          </w:p>
        </w:tc>
        <w:tc>
          <w:tcPr>
            <w:tcW w:w="6376" w:type="dxa"/>
            <w:tcBorders>
              <w:top w:val="single" w:color="auto" w:sz="4" w:space="0"/>
              <w:left w:val="single" w:color="000000" w:sz="4" w:space="0"/>
              <w:bottom w:val="single" w:color="000000" w:sz="4" w:space="0"/>
              <w:right w:val="single" w:color="000000" w:sz="4" w:space="0"/>
            </w:tcBorders>
            <w:vAlign w:val="center"/>
          </w:tcPr>
          <w:p w14:paraId="57DE1BCC">
            <w:pPr>
              <w:spacing w:line="360" w:lineRule="auto"/>
              <w:ind w:firstLine="420" w:firstLineChars="200"/>
              <w:rPr>
                <w:rFonts w:hint="eastAsia" w:ascii="宋体" w:hAnsi="宋体"/>
                <w:color w:val="auto"/>
                <w:szCs w:val="21"/>
                <w:highlight w:val="none"/>
              </w:rPr>
            </w:pPr>
            <w:r>
              <w:rPr>
                <w:rFonts w:hint="eastAsia" w:ascii="宋体" w:hAnsi="宋体"/>
                <w:color w:val="auto"/>
                <w:kern w:val="0"/>
                <w:szCs w:val="21"/>
                <w:highlight w:val="none"/>
              </w:rPr>
              <w:t>各竞选人所填报的竞选报价不得超过最高限价，否则将作否决竞选处理。</w:t>
            </w:r>
          </w:p>
        </w:tc>
      </w:tr>
      <w:tr w14:paraId="5D248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09BADBFA">
            <w:pPr>
              <w:spacing w:line="360" w:lineRule="auto"/>
              <w:jc w:val="center"/>
              <w:rPr>
                <w:rFonts w:hint="eastAsia" w:ascii="宋体" w:hAnsi="宋体"/>
                <w:color w:val="auto"/>
                <w:szCs w:val="21"/>
                <w:highlight w:val="none"/>
              </w:rPr>
            </w:pPr>
            <w:r>
              <w:rPr>
                <w:rFonts w:hint="eastAsia" w:ascii="宋体" w:hAnsi="宋体"/>
                <w:color w:val="auto"/>
                <w:szCs w:val="21"/>
                <w:highlight w:val="none"/>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6095BB8B">
            <w:pPr>
              <w:spacing w:line="360" w:lineRule="auto"/>
              <w:jc w:val="center"/>
              <w:rPr>
                <w:rFonts w:hint="eastAsia" w:ascii="宋体" w:hAnsi="宋体"/>
                <w:color w:val="auto"/>
                <w:szCs w:val="21"/>
                <w:highlight w:val="none"/>
              </w:rPr>
            </w:pPr>
            <w:r>
              <w:rPr>
                <w:rFonts w:hint="eastAsia" w:ascii="宋体" w:hAnsi="宋体" w:cs="宋体"/>
                <w:color w:val="auto"/>
                <w:kern w:val="0"/>
                <w:szCs w:val="21"/>
                <w:highlight w:val="none"/>
              </w:rPr>
              <w:t>签字盖章要求</w:t>
            </w:r>
          </w:p>
        </w:tc>
        <w:tc>
          <w:tcPr>
            <w:tcW w:w="6376" w:type="dxa"/>
            <w:tcBorders>
              <w:top w:val="single" w:color="000000" w:sz="4" w:space="0"/>
              <w:left w:val="single" w:color="000000" w:sz="4" w:space="0"/>
              <w:bottom w:val="single" w:color="000000" w:sz="4" w:space="0"/>
              <w:right w:val="single" w:color="000000" w:sz="4" w:space="0"/>
            </w:tcBorders>
            <w:vAlign w:val="center"/>
          </w:tcPr>
          <w:p w14:paraId="6B48A666">
            <w:pPr>
              <w:autoSpaceDE w:val="0"/>
              <w:autoSpaceDN w:val="0"/>
              <w:adjustRightInd w:val="0"/>
              <w:spacing w:line="360" w:lineRule="auto"/>
              <w:ind w:firstLine="415" w:firstLineChars="198"/>
              <w:rPr>
                <w:rFonts w:hint="eastAsia" w:ascii="宋体" w:hAnsi="宋体"/>
                <w:color w:val="auto"/>
                <w:szCs w:val="21"/>
                <w:highlight w:val="none"/>
              </w:rPr>
            </w:pPr>
            <w:r>
              <w:rPr>
                <w:rFonts w:hint="eastAsia" w:ascii="宋体" w:hAnsi="宋体" w:cs="宋体"/>
                <w:color w:val="auto"/>
                <w:szCs w:val="21"/>
                <w:highlight w:val="none"/>
              </w:rPr>
              <w:t>按本章竞选人须知前附表执行</w:t>
            </w:r>
            <w:r>
              <w:rPr>
                <w:rFonts w:hint="eastAsia" w:ascii="宋体" w:hAnsi="宋体"/>
                <w:color w:val="auto"/>
                <w:kern w:val="0"/>
                <w:szCs w:val="21"/>
                <w:highlight w:val="none"/>
              </w:rPr>
              <w:t>，否则，按</w:t>
            </w:r>
            <w:r>
              <w:rPr>
                <w:rFonts w:hint="eastAsia" w:ascii="宋体" w:hAnsi="宋体"/>
                <w:b/>
                <w:color w:val="auto"/>
                <w:kern w:val="0"/>
                <w:szCs w:val="21"/>
                <w:highlight w:val="none"/>
              </w:rPr>
              <w:t>否决竞选</w:t>
            </w:r>
            <w:r>
              <w:rPr>
                <w:rFonts w:hint="eastAsia" w:ascii="宋体" w:hAnsi="宋体"/>
                <w:color w:val="auto"/>
                <w:kern w:val="0"/>
                <w:szCs w:val="21"/>
                <w:highlight w:val="none"/>
              </w:rPr>
              <w:t>处理。</w:t>
            </w:r>
          </w:p>
        </w:tc>
      </w:tr>
      <w:tr w14:paraId="0536B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5E72A03E">
            <w:pPr>
              <w:spacing w:line="360" w:lineRule="auto"/>
              <w:jc w:val="center"/>
              <w:rPr>
                <w:rFonts w:hint="eastAsia" w:ascii="宋体" w:hAnsi="宋体"/>
                <w:color w:val="auto"/>
                <w:szCs w:val="21"/>
                <w:highlight w:val="none"/>
              </w:rPr>
            </w:pPr>
            <w:r>
              <w:rPr>
                <w:rFonts w:hint="eastAsia" w:ascii="宋体" w:hAnsi="宋体"/>
                <w:color w:val="auto"/>
                <w:szCs w:val="21"/>
                <w:highlight w:val="none"/>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6E7A46AF">
            <w:pPr>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竞选保证金</w:t>
            </w:r>
          </w:p>
        </w:tc>
        <w:tc>
          <w:tcPr>
            <w:tcW w:w="6376" w:type="dxa"/>
            <w:tcBorders>
              <w:top w:val="single" w:color="000000" w:sz="4" w:space="0"/>
              <w:left w:val="single" w:color="000000" w:sz="4" w:space="0"/>
              <w:bottom w:val="single" w:color="000000" w:sz="4" w:space="0"/>
              <w:right w:val="single" w:color="000000" w:sz="4" w:space="0"/>
            </w:tcBorders>
            <w:vAlign w:val="center"/>
          </w:tcPr>
          <w:p w14:paraId="63F69172">
            <w:pPr>
              <w:autoSpaceDE w:val="0"/>
              <w:autoSpaceDN w:val="0"/>
              <w:adjustRightInd w:val="0"/>
              <w:spacing w:line="360" w:lineRule="auto"/>
              <w:ind w:firstLine="415" w:firstLineChars="198"/>
              <w:rPr>
                <w:rFonts w:hint="eastAsia" w:ascii="宋体" w:hAnsi="宋体" w:cs="宋体"/>
                <w:color w:val="auto"/>
                <w:szCs w:val="21"/>
                <w:highlight w:val="none"/>
              </w:rPr>
            </w:pPr>
            <w:r>
              <w:rPr>
                <w:rFonts w:hint="eastAsia" w:ascii="宋体" w:hAnsi="宋体" w:cs="宋体"/>
                <w:color w:val="auto"/>
                <w:szCs w:val="21"/>
                <w:highlight w:val="none"/>
              </w:rPr>
              <w:t>按本章竞选人须知前附表执行</w:t>
            </w:r>
            <w:r>
              <w:rPr>
                <w:rFonts w:hint="eastAsia" w:ascii="宋体" w:hAnsi="宋体"/>
                <w:color w:val="auto"/>
                <w:kern w:val="0"/>
                <w:szCs w:val="21"/>
                <w:highlight w:val="none"/>
              </w:rPr>
              <w:t>，否则，按</w:t>
            </w:r>
            <w:r>
              <w:rPr>
                <w:rFonts w:hint="eastAsia" w:ascii="宋体" w:hAnsi="宋体"/>
                <w:b/>
                <w:color w:val="auto"/>
                <w:kern w:val="0"/>
                <w:szCs w:val="21"/>
                <w:highlight w:val="none"/>
              </w:rPr>
              <w:t>否决竞选</w:t>
            </w:r>
            <w:r>
              <w:rPr>
                <w:rFonts w:hint="eastAsia" w:ascii="宋体" w:hAnsi="宋体"/>
                <w:color w:val="auto"/>
                <w:kern w:val="0"/>
                <w:szCs w:val="21"/>
                <w:highlight w:val="none"/>
              </w:rPr>
              <w:t>处理。</w:t>
            </w:r>
          </w:p>
        </w:tc>
      </w:tr>
      <w:tr w14:paraId="17DCA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tcBorders>
              <w:top w:val="single" w:color="000000" w:sz="4" w:space="0"/>
              <w:left w:val="single" w:color="000000" w:sz="4" w:space="0"/>
              <w:bottom w:val="single" w:color="000000" w:sz="4" w:space="0"/>
              <w:right w:val="single" w:color="000000" w:sz="4" w:space="0"/>
            </w:tcBorders>
            <w:vAlign w:val="center"/>
          </w:tcPr>
          <w:p w14:paraId="1EE0CF93">
            <w:pPr>
              <w:spacing w:line="360" w:lineRule="auto"/>
              <w:jc w:val="center"/>
              <w:rPr>
                <w:rFonts w:hint="eastAsia" w:ascii="宋体" w:hAnsi="宋体"/>
                <w:color w:val="auto"/>
                <w:szCs w:val="21"/>
                <w:highlight w:val="none"/>
              </w:rPr>
            </w:pPr>
            <w:r>
              <w:rPr>
                <w:rFonts w:hint="eastAsia" w:ascii="宋体" w:hAnsi="宋体"/>
                <w:color w:val="auto"/>
                <w:szCs w:val="21"/>
                <w:highlight w:val="none"/>
              </w:rPr>
              <w:t>第三章</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14:paraId="318807F4">
            <w:pPr>
              <w:spacing w:line="360" w:lineRule="auto"/>
              <w:jc w:val="center"/>
              <w:rPr>
                <w:rFonts w:hint="eastAsia" w:ascii="宋体" w:hAnsi="宋体"/>
                <w:color w:val="auto"/>
                <w:szCs w:val="21"/>
                <w:highlight w:val="none"/>
              </w:rPr>
            </w:pPr>
            <w:r>
              <w:rPr>
                <w:rFonts w:hint="eastAsia" w:ascii="宋体" w:hAnsi="宋体"/>
                <w:color w:val="auto"/>
                <w:szCs w:val="21"/>
                <w:highlight w:val="none"/>
              </w:rPr>
              <w:t>初步评审</w:t>
            </w:r>
          </w:p>
        </w:tc>
        <w:tc>
          <w:tcPr>
            <w:tcW w:w="6376" w:type="dxa"/>
            <w:tcBorders>
              <w:top w:val="single" w:color="000000" w:sz="4" w:space="0"/>
              <w:left w:val="single" w:color="000000" w:sz="4" w:space="0"/>
              <w:bottom w:val="single" w:color="000000" w:sz="4" w:space="0"/>
              <w:right w:val="single" w:color="000000" w:sz="4" w:space="0"/>
            </w:tcBorders>
          </w:tcPr>
          <w:p w14:paraId="4AA5F568">
            <w:pPr>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竞选人有以下情形之一的，</w:t>
            </w:r>
            <w:r>
              <w:rPr>
                <w:rFonts w:hint="eastAsia" w:ascii="宋体" w:hAnsi="宋体"/>
                <w:color w:val="auto"/>
                <w:kern w:val="0"/>
                <w:szCs w:val="21"/>
                <w:highlight w:val="none"/>
              </w:rPr>
              <w:t>评选</w:t>
            </w:r>
            <w:r>
              <w:rPr>
                <w:rFonts w:ascii="宋体" w:hAnsi="宋体"/>
                <w:color w:val="auto"/>
                <w:kern w:val="0"/>
                <w:szCs w:val="21"/>
                <w:highlight w:val="none"/>
              </w:rPr>
              <w:t>委员会应当否决其竞选：</w:t>
            </w:r>
          </w:p>
          <w:p w14:paraId="5BC4617C">
            <w:pPr>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竞选文件没有对比选文件的实质性要求和条件作出响应，或者对比选文件的偏差超出比选文件规定的偏差范围；</w:t>
            </w:r>
          </w:p>
        </w:tc>
      </w:tr>
      <w:tr w14:paraId="5F4E3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vAlign w:val="center"/>
          </w:tcPr>
          <w:p w14:paraId="0847CECE">
            <w:pPr>
              <w:widowControl/>
              <w:jc w:val="left"/>
              <w:rPr>
                <w:rFonts w:hint="eastAsia" w:ascii="宋体" w:hAnsi="宋体"/>
                <w:color w:val="auto"/>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14:paraId="45D55DBF">
            <w:pPr>
              <w:widowControl/>
              <w:jc w:val="left"/>
              <w:rPr>
                <w:rFonts w:hint="eastAsia" w:ascii="宋体" w:hAnsi="宋体"/>
                <w:color w:val="auto"/>
                <w:szCs w:val="21"/>
                <w:highlight w:val="none"/>
              </w:rPr>
            </w:pPr>
          </w:p>
        </w:tc>
        <w:tc>
          <w:tcPr>
            <w:tcW w:w="6376" w:type="dxa"/>
            <w:tcBorders>
              <w:top w:val="single" w:color="000000" w:sz="4" w:space="0"/>
              <w:left w:val="single" w:color="000000" w:sz="4" w:space="0"/>
              <w:bottom w:val="single" w:color="000000" w:sz="4" w:space="0"/>
              <w:right w:val="single" w:color="000000" w:sz="4" w:space="0"/>
            </w:tcBorders>
          </w:tcPr>
          <w:p w14:paraId="257A48F9">
            <w:pPr>
              <w:spacing w:line="360" w:lineRule="auto"/>
              <w:ind w:firstLine="420" w:firstLineChars="200"/>
              <w:rPr>
                <w:rFonts w:hint="eastAsia" w:ascii="宋体" w:hAnsi="宋体"/>
                <w:color w:val="auto"/>
                <w:szCs w:val="21"/>
                <w:highlight w:val="none"/>
              </w:rPr>
            </w:pPr>
            <w:r>
              <w:rPr>
                <w:rFonts w:hint="eastAsia" w:ascii="宋体" w:hAnsi="宋体"/>
                <w:color w:val="auto"/>
                <w:kern w:val="0"/>
                <w:szCs w:val="21"/>
                <w:highlight w:val="none"/>
              </w:rPr>
              <w:t>竞选报价有算术错误的，评选委员会按以下原则对竞选报价进行修正，修正的价格经竞选人书面确认后具有约束力。竞选人不接受修正价格的，其竞选作无效竞选处理。</w:t>
            </w:r>
          </w:p>
        </w:tc>
      </w:tr>
      <w:tr w14:paraId="5925A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vAlign w:val="center"/>
          </w:tcPr>
          <w:p w14:paraId="55BE9892">
            <w:pPr>
              <w:widowControl/>
              <w:jc w:val="left"/>
              <w:rPr>
                <w:rFonts w:hint="eastAsia" w:ascii="宋体" w:hAnsi="宋体"/>
                <w:color w:val="auto"/>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14:paraId="0BF008FC">
            <w:pPr>
              <w:widowControl/>
              <w:jc w:val="left"/>
              <w:rPr>
                <w:rFonts w:hint="eastAsia" w:ascii="宋体" w:hAnsi="宋体"/>
                <w:color w:val="auto"/>
                <w:szCs w:val="21"/>
                <w:highlight w:val="none"/>
              </w:rPr>
            </w:pPr>
          </w:p>
        </w:tc>
        <w:tc>
          <w:tcPr>
            <w:tcW w:w="6376" w:type="dxa"/>
            <w:tcBorders>
              <w:top w:val="single" w:color="000000" w:sz="4" w:space="0"/>
              <w:left w:val="single" w:color="000000" w:sz="4" w:space="0"/>
              <w:bottom w:val="single" w:color="000000" w:sz="4" w:space="0"/>
              <w:right w:val="single" w:color="000000" w:sz="4" w:space="0"/>
            </w:tcBorders>
          </w:tcPr>
          <w:p w14:paraId="12956D43">
            <w:pPr>
              <w:autoSpaceDE w:val="0"/>
              <w:autoSpaceDN w:val="0"/>
              <w:adjustRightInd w:val="0"/>
              <w:snapToGrid w:val="0"/>
              <w:spacing w:line="360" w:lineRule="auto"/>
              <w:ind w:firstLine="420" w:firstLineChars="200"/>
              <w:jc w:val="left"/>
              <w:rPr>
                <w:rFonts w:hint="eastAsia" w:ascii="宋体" w:hAnsi="宋体" w:cs="MingLiU"/>
                <w:color w:val="auto"/>
                <w:kern w:val="0"/>
                <w:szCs w:val="21"/>
                <w:highlight w:val="none"/>
              </w:rPr>
            </w:pPr>
            <w:r>
              <w:rPr>
                <w:rFonts w:hint="eastAsia" w:ascii="宋体" w:hAnsi="宋体" w:cs="MingLiU"/>
                <w:color w:val="auto"/>
                <w:kern w:val="0"/>
                <w:szCs w:val="21"/>
                <w:highlight w:val="none"/>
              </w:rPr>
              <w:t>竞选人有以下情形之一的，其竞选作否决竞选处理：</w:t>
            </w:r>
          </w:p>
          <w:p w14:paraId="098D6249">
            <w:pPr>
              <w:autoSpaceDE w:val="0"/>
              <w:autoSpaceDN w:val="0"/>
              <w:adjustRightInd w:val="0"/>
              <w:snapToGrid w:val="0"/>
              <w:spacing w:line="360" w:lineRule="auto"/>
              <w:ind w:firstLine="315" w:firstLineChars="150"/>
              <w:jc w:val="left"/>
              <w:rPr>
                <w:rFonts w:hint="eastAsia" w:ascii="宋体" w:hAnsi="宋体" w:cs="MingLiU"/>
                <w:color w:val="auto"/>
                <w:kern w:val="0"/>
                <w:szCs w:val="21"/>
                <w:highlight w:val="none"/>
              </w:rPr>
            </w:pPr>
            <w:r>
              <w:rPr>
                <w:rFonts w:hint="eastAsia" w:ascii="宋体" w:hAnsi="宋体" w:cs="MingLiU"/>
                <w:color w:val="auto"/>
                <w:kern w:val="0"/>
                <w:szCs w:val="21"/>
                <w:highlight w:val="none"/>
              </w:rPr>
              <w:t>（</w:t>
            </w:r>
            <w:r>
              <w:rPr>
                <w:rFonts w:hint="eastAsia" w:ascii="宋体" w:hAnsi="宋体"/>
                <w:color w:val="auto"/>
                <w:spacing w:val="1"/>
                <w:kern w:val="0"/>
                <w:szCs w:val="21"/>
                <w:highlight w:val="none"/>
              </w:rPr>
              <w:t>1</w:t>
            </w:r>
            <w:r>
              <w:rPr>
                <w:rFonts w:hint="eastAsia" w:ascii="宋体" w:hAnsi="宋体" w:cs="MingLiU"/>
                <w:color w:val="auto"/>
                <w:kern w:val="0"/>
                <w:szCs w:val="21"/>
                <w:highlight w:val="none"/>
              </w:rPr>
              <w:t>）第二</w:t>
            </w:r>
            <w:r>
              <w:rPr>
                <w:rFonts w:hint="eastAsia" w:ascii="宋体" w:hAnsi="宋体" w:cs="MingLiU"/>
                <w:color w:val="auto"/>
                <w:spacing w:val="-1"/>
                <w:kern w:val="0"/>
                <w:szCs w:val="21"/>
                <w:highlight w:val="none"/>
              </w:rPr>
              <w:t>章</w:t>
            </w:r>
            <w:r>
              <w:rPr>
                <w:rFonts w:hint="eastAsia" w:ascii="宋体" w:hAnsi="宋体" w:cs="MingLiU"/>
                <w:color w:val="auto"/>
                <w:kern w:val="0"/>
                <w:szCs w:val="21"/>
                <w:highlight w:val="none"/>
              </w:rPr>
              <w:t>“竞选人须知前附表”规定的任何一种情形的；</w:t>
            </w:r>
          </w:p>
          <w:p w14:paraId="10002DD0">
            <w:pPr>
              <w:autoSpaceDE w:val="0"/>
              <w:autoSpaceDN w:val="0"/>
              <w:adjustRightInd w:val="0"/>
              <w:snapToGrid w:val="0"/>
              <w:spacing w:line="360" w:lineRule="auto"/>
              <w:ind w:firstLine="315" w:firstLineChars="150"/>
              <w:jc w:val="left"/>
              <w:rPr>
                <w:rFonts w:hint="eastAsia" w:ascii="宋体" w:hAnsi="宋体" w:cs="MingLiU"/>
                <w:color w:val="auto"/>
                <w:kern w:val="0"/>
                <w:szCs w:val="21"/>
                <w:highlight w:val="none"/>
              </w:rPr>
            </w:pPr>
            <w:r>
              <w:rPr>
                <w:rFonts w:hint="eastAsia" w:ascii="宋体" w:hAnsi="宋体" w:cs="MingLiU"/>
                <w:color w:val="auto"/>
                <w:kern w:val="0"/>
                <w:szCs w:val="21"/>
                <w:highlight w:val="none"/>
              </w:rPr>
              <w:t>（</w:t>
            </w:r>
            <w:r>
              <w:rPr>
                <w:rFonts w:hint="eastAsia" w:ascii="宋体" w:hAnsi="宋体"/>
                <w:color w:val="auto"/>
                <w:spacing w:val="1"/>
                <w:kern w:val="0"/>
                <w:szCs w:val="21"/>
                <w:highlight w:val="none"/>
              </w:rPr>
              <w:t>2</w:t>
            </w:r>
            <w:r>
              <w:rPr>
                <w:rFonts w:hint="eastAsia" w:ascii="宋体" w:hAnsi="宋体" w:cs="MingLiU"/>
                <w:color w:val="auto"/>
                <w:kern w:val="0"/>
                <w:szCs w:val="21"/>
                <w:highlight w:val="none"/>
              </w:rPr>
              <w:t>）串通</w:t>
            </w:r>
            <w:r>
              <w:rPr>
                <w:rFonts w:hint="eastAsia" w:ascii="宋体" w:hAnsi="宋体" w:cs="MingLiU"/>
                <w:color w:val="auto"/>
                <w:spacing w:val="-1"/>
                <w:kern w:val="0"/>
                <w:szCs w:val="21"/>
                <w:highlight w:val="none"/>
              </w:rPr>
              <w:t>竞选</w:t>
            </w:r>
            <w:r>
              <w:rPr>
                <w:rFonts w:hint="eastAsia" w:ascii="宋体" w:hAnsi="宋体" w:cs="MingLiU"/>
                <w:color w:val="auto"/>
                <w:kern w:val="0"/>
                <w:szCs w:val="21"/>
                <w:highlight w:val="none"/>
              </w:rPr>
              <w:t>或弄虚作假或有其他违法行为的；</w:t>
            </w:r>
          </w:p>
          <w:p w14:paraId="71EA4D3D">
            <w:pPr>
              <w:spacing w:line="360" w:lineRule="auto"/>
              <w:ind w:firstLine="315" w:firstLineChars="150"/>
              <w:rPr>
                <w:rFonts w:hint="eastAsia" w:ascii="宋体" w:hAnsi="宋体" w:cs="MingLiU"/>
                <w:color w:val="auto"/>
                <w:kern w:val="0"/>
                <w:szCs w:val="21"/>
                <w:highlight w:val="none"/>
              </w:rPr>
            </w:pPr>
            <w:r>
              <w:rPr>
                <w:rFonts w:hint="eastAsia" w:ascii="宋体" w:hAnsi="宋体" w:cs="MingLiU"/>
                <w:color w:val="auto"/>
                <w:kern w:val="0"/>
                <w:szCs w:val="21"/>
                <w:highlight w:val="none"/>
              </w:rPr>
              <w:t>（</w:t>
            </w:r>
            <w:r>
              <w:rPr>
                <w:rFonts w:hint="eastAsia" w:ascii="宋体" w:hAnsi="宋体"/>
                <w:color w:val="auto"/>
                <w:spacing w:val="1"/>
                <w:kern w:val="0"/>
                <w:szCs w:val="21"/>
                <w:highlight w:val="none"/>
              </w:rPr>
              <w:t>3</w:t>
            </w:r>
            <w:r>
              <w:rPr>
                <w:rFonts w:hint="eastAsia" w:ascii="宋体" w:hAnsi="宋体" w:cs="MingLiU"/>
                <w:color w:val="auto"/>
                <w:kern w:val="0"/>
                <w:szCs w:val="21"/>
                <w:highlight w:val="none"/>
              </w:rPr>
              <w:t>）不按</w:t>
            </w:r>
            <w:r>
              <w:rPr>
                <w:rFonts w:hint="eastAsia" w:ascii="宋体" w:hAnsi="宋体" w:cs="MingLiU"/>
                <w:color w:val="auto"/>
                <w:spacing w:val="-1"/>
                <w:kern w:val="0"/>
                <w:szCs w:val="21"/>
                <w:highlight w:val="none"/>
              </w:rPr>
              <w:t>评选</w:t>
            </w:r>
            <w:r>
              <w:rPr>
                <w:rFonts w:hint="eastAsia" w:ascii="宋体" w:hAnsi="宋体" w:cs="MingLiU"/>
                <w:color w:val="auto"/>
                <w:kern w:val="0"/>
                <w:szCs w:val="21"/>
                <w:highlight w:val="none"/>
              </w:rPr>
              <w:t>委员会要求澄清、说明或补正的。</w:t>
            </w:r>
          </w:p>
          <w:p w14:paraId="44A224B5">
            <w:pPr>
              <w:spacing w:line="360" w:lineRule="auto"/>
              <w:ind w:firstLine="315" w:firstLineChars="150"/>
              <w:rPr>
                <w:rFonts w:hint="eastAsia" w:ascii="宋体" w:hAnsi="宋体" w:cs="MingLiU"/>
                <w:color w:val="auto"/>
                <w:kern w:val="0"/>
                <w:szCs w:val="21"/>
                <w:highlight w:val="none"/>
              </w:rPr>
            </w:pPr>
            <w:r>
              <w:rPr>
                <w:rFonts w:hint="eastAsia" w:ascii="宋体" w:hAnsi="宋体" w:cs="MingLiU"/>
                <w:color w:val="auto"/>
                <w:kern w:val="0"/>
                <w:szCs w:val="21"/>
                <w:highlight w:val="none"/>
              </w:rPr>
              <w:t>（4）恶意低价竞选的</w:t>
            </w:r>
          </w:p>
          <w:p w14:paraId="1B66FDDC">
            <w:pPr>
              <w:spacing w:line="360" w:lineRule="auto"/>
              <w:ind w:firstLine="315" w:firstLineChars="150"/>
              <w:rPr>
                <w:rFonts w:hint="eastAsia" w:ascii="宋体" w:hAnsi="宋体"/>
                <w:color w:val="auto"/>
                <w:sz w:val="18"/>
                <w:szCs w:val="18"/>
                <w:highlight w:val="none"/>
              </w:rPr>
            </w:pPr>
            <w:r>
              <w:rPr>
                <w:rFonts w:hint="eastAsia" w:ascii="宋体" w:hAnsi="宋体" w:cs="MingLiU"/>
                <w:color w:val="auto"/>
                <w:kern w:val="0"/>
                <w:szCs w:val="21"/>
                <w:highlight w:val="none"/>
              </w:rPr>
              <w:t>评选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选委员会认定该竞选人以低于成本报价</w:t>
            </w:r>
            <w:r>
              <w:rPr>
                <w:rFonts w:hint="eastAsia" w:ascii="宋体" w:hAnsi="宋体"/>
                <w:color w:val="auto"/>
                <w:highlight w:val="none"/>
              </w:rPr>
              <w:t>竞选</w:t>
            </w:r>
            <w:r>
              <w:rPr>
                <w:rFonts w:hint="eastAsia" w:ascii="宋体" w:hAnsi="宋体" w:cs="MingLiU"/>
                <w:color w:val="auto"/>
                <w:kern w:val="0"/>
                <w:szCs w:val="21"/>
                <w:highlight w:val="none"/>
              </w:rPr>
              <w:t>，其竞选作否决竞选处理。</w:t>
            </w:r>
          </w:p>
        </w:tc>
      </w:tr>
      <w:tr w14:paraId="5B2C4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156C942E">
            <w:pPr>
              <w:spacing w:line="360" w:lineRule="auto"/>
              <w:jc w:val="center"/>
              <w:rPr>
                <w:rFonts w:hint="eastAsia" w:ascii="宋体" w:hAnsi="宋体"/>
                <w:color w:val="auto"/>
                <w:szCs w:val="21"/>
                <w:highlight w:val="none"/>
              </w:rPr>
            </w:pPr>
            <w:r>
              <w:rPr>
                <w:rFonts w:hint="eastAsia" w:ascii="宋体" w:hAnsi="宋体"/>
                <w:color w:val="auto"/>
                <w:szCs w:val="21"/>
                <w:highlight w:val="none"/>
              </w:rPr>
              <w:t>第三章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017D74FE">
            <w:pPr>
              <w:spacing w:line="360" w:lineRule="auto"/>
              <w:jc w:val="center"/>
              <w:rPr>
                <w:rFonts w:hint="eastAsia" w:ascii="宋体" w:hAnsi="宋体"/>
                <w:color w:val="auto"/>
                <w:szCs w:val="21"/>
                <w:highlight w:val="none"/>
              </w:rPr>
            </w:pPr>
            <w:r>
              <w:rPr>
                <w:rFonts w:hint="eastAsia" w:ascii="宋体" w:hAnsi="宋体"/>
                <w:color w:val="auto"/>
                <w:szCs w:val="21"/>
                <w:highlight w:val="none"/>
              </w:rPr>
              <w:t>详细评审</w:t>
            </w:r>
          </w:p>
        </w:tc>
        <w:tc>
          <w:tcPr>
            <w:tcW w:w="6376" w:type="dxa"/>
            <w:tcBorders>
              <w:top w:val="single" w:color="000000" w:sz="4" w:space="0"/>
              <w:left w:val="single" w:color="000000" w:sz="4" w:space="0"/>
              <w:bottom w:val="single" w:color="000000" w:sz="4" w:space="0"/>
              <w:right w:val="single" w:color="000000" w:sz="4" w:space="0"/>
            </w:tcBorders>
          </w:tcPr>
          <w:p w14:paraId="44FDE44D">
            <w:pPr>
              <w:autoSpaceDE w:val="0"/>
              <w:autoSpaceDN w:val="0"/>
              <w:adjustRightInd w:val="0"/>
              <w:snapToGrid w:val="0"/>
              <w:spacing w:line="360" w:lineRule="auto"/>
              <w:ind w:firstLine="420" w:firstLineChars="200"/>
              <w:jc w:val="left"/>
              <w:rPr>
                <w:rFonts w:hint="eastAsia" w:ascii="宋体" w:hAnsi="宋体" w:cs="MingLiU"/>
                <w:color w:val="auto"/>
                <w:kern w:val="0"/>
                <w:sz w:val="18"/>
                <w:szCs w:val="18"/>
                <w:highlight w:val="none"/>
              </w:rPr>
            </w:pPr>
            <w:r>
              <w:rPr>
                <w:rFonts w:hint="eastAsia" w:ascii="宋体" w:hAnsi="宋体"/>
                <w:color w:val="auto"/>
                <w:szCs w:val="21"/>
                <w:highlight w:val="none"/>
              </w:rPr>
              <w:t>评选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选委员会认定该竞选人以低于成本报价</w:t>
            </w:r>
            <w:r>
              <w:rPr>
                <w:rFonts w:hint="eastAsia" w:ascii="宋体" w:hAnsi="宋体"/>
                <w:color w:val="auto"/>
                <w:highlight w:val="none"/>
              </w:rPr>
              <w:t>竞选</w:t>
            </w:r>
            <w:r>
              <w:rPr>
                <w:rFonts w:hint="eastAsia" w:ascii="宋体" w:hAnsi="宋体"/>
                <w:color w:val="auto"/>
                <w:szCs w:val="21"/>
                <w:highlight w:val="none"/>
              </w:rPr>
              <w:t>，其竞选作否决竞选处理。</w:t>
            </w:r>
          </w:p>
        </w:tc>
      </w:tr>
      <w:bookmarkEnd w:id="653"/>
    </w:tbl>
    <w:p w14:paraId="4CE1471E">
      <w:pPr>
        <w:pStyle w:val="2"/>
        <w:jc w:val="center"/>
        <w:rPr>
          <w:rFonts w:hint="eastAsia" w:ascii="宋体" w:hAnsi="宋体"/>
          <w:color w:val="auto"/>
          <w:sz w:val="21"/>
          <w:szCs w:val="21"/>
          <w:highlight w:val="none"/>
        </w:rPr>
      </w:pPr>
    </w:p>
    <w:p w14:paraId="7972253C">
      <w:pPr>
        <w:pStyle w:val="2"/>
        <w:jc w:val="center"/>
        <w:rPr>
          <w:rFonts w:hint="eastAsia" w:ascii="宋体" w:hAnsi="宋体"/>
          <w:color w:val="auto"/>
          <w:sz w:val="21"/>
          <w:szCs w:val="21"/>
          <w:highlight w:val="none"/>
        </w:rPr>
      </w:pPr>
    </w:p>
    <w:p w14:paraId="2B0B58BF">
      <w:pPr>
        <w:pStyle w:val="2"/>
        <w:jc w:val="center"/>
        <w:rPr>
          <w:rFonts w:hint="eastAsia" w:ascii="宋体" w:hAnsi="宋体"/>
          <w:color w:val="auto"/>
          <w:sz w:val="21"/>
          <w:szCs w:val="21"/>
          <w:highlight w:val="none"/>
        </w:rPr>
      </w:pPr>
    </w:p>
    <w:p w14:paraId="6D586B3B">
      <w:pPr>
        <w:pStyle w:val="2"/>
        <w:jc w:val="center"/>
        <w:rPr>
          <w:rFonts w:hint="eastAsia" w:ascii="宋体" w:hAnsi="宋体"/>
          <w:color w:val="auto"/>
          <w:sz w:val="21"/>
          <w:szCs w:val="21"/>
          <w:highlight w:val="none"/>
        </w:rPr>
      </w:pPr>
    </w:p>
    <w:p w14:paraId="74169A16">
      <w:pPr>
        <w:pStyle w:val="2"/>
        <w:jc w:val="center"/>
        <w:rPr>
          <w:rFonts w:hint="eastAsia" w:ascii="宋体" w:hAnsi="宋体"/>
          <w:color w:val="auto"/>
          <w:sz w:val="21"/>
          <w:szCs w:val="21"/>
          <w:highlight w:val="none"/>
        </w:rPr>
      </w:pPr>
    </w:p>
    <w:p w14:paraId="22222E50">
      <w:pPr>
        <w:pStyle w:val="2"/>
        <w:jc w:val="center"/>
        <w:rPr>
          <w:rFonts w:hint="eastAsia" w:ascii="宋体" w:hAnsi="宋体"/>
          <w:color w:val="auto"/>
          <w:sz w:val="21"/>
          <w:szCs w:val="21"/>
          <w:highlight w:val="none"/>
        </w:rPr>
      </w:pPr>
    </w:p>
    <w:p w14:paraId="14577155">
      <w:pPr>
        <w:pStyle w:val="2"/>
        <w:jc w:val="center"/>
        <w:rPr>
          <w:rFonts w:hint="eastAsia" w:ascii="宋体" w:hAnsi="宋体"/>
          <w:color w:val="auto"/>
          <w:sz w:val="21"/>
          <w:szCs w:val="21"/>
          <w:highlight w:val="none"/>
        </w:rPr>
      </w:pPr>
    </w:p>
    <w:p w14:paraId="79A37B2E">
      <w:pPr>
        <w:rPr>
          <w:rFonts w:hint="eastAsia" w:ascii="宋体" w:hAnsi="宋体"/>
          <w:color w:val="auto"/>
          <w:highlight w:val="none"/>
        </w:rPr>
      </w:pPr>
    </w:p>
    <w:p w14:paraId="0FB9817C">
      <w:pPr>
        <w:pStyle w:val="2"/>
        <w:jc w:val="center"/>
        <w:rPr>
          <w:rFonts w:hint="eastAsia" w:ascii="宋体" w:hAnsi="宋体"/>
          <w:color w:val="auto"/>
          <w:sz w:val="21"/>
          <w:szCs w:val="21"/>
          <w:highlight w:val="none"/>
        </w:rPr>
      </w:pPr>
    </w:p>
    <w:p w14:paraId="5AA92991">
      <w:pPr>
        <w:rPr>
          <w:rFonts w:hint="eastAsia" w:ascii="宋体" w:hAnsi="宋体"/>
          <w:color w:val="auto"/>
          <w:szCs w:val="21"/>
          <w:highlight w:val="none"/>
        </w:rPr>
      </w:pPr>
    </w:p>
    <w:p w14:paraId="26AC905F">
      <w:pPr>
        <w:pStyle w:val="8"/>
        <w:rPr>
          <w:rFonts w:hint="eastAsia" w:ascii="宋体" w:hAnsi="宋体"/>
          <w:color w:val="auto"/>
          <w:szCs w:val="21"/>
          <w:highlight w:val="none"/>
        </w:rPr>
      </w:pPr>
    </w:p>
    <w:p w14:paraId="452B472E">
      <w:pPr>
        <w:rPr>
          <w:rFonts w:hint="eastAsia" w:ascii="宋体" w:hAnsi="宋体"/>
          <w:color w:val="auto"/>
          <w:highlight w:val="none"/>
        </w:rPr>
      </w:pPr>
    </w:p>
    <w:p w14:paraId="2856922B">
      <w:pPr>
        <w:pStyle w:val="2"/>
        <w:jc w:val="center"/>
        <w:rPr>
          <w:rFonts w:hint="eastAsia" w:ascii="宋体" w:hAnsi="宋体"/>
          <w:color w:val="auto"/>
          <w:sz w:val="21"/>
          <w:szCs w:val="21"/>
          <w:highlight w:val="none"/>
        </w:rPr>
      </w:pPr>
    </w:p>
    <w:p w14:paraId="1C324906">
      <w:pPr>
        <w:pStyle w:val="2"/>
        <w:jc w:val="center"/>
        <w:rPr>
          <w:rFonts w:hint="eastAsia" w:ascii="宋体" w:hAnsi="宋体"/>
          <w:color w:val="auto"/>
          <w:highlight w:val="none"/>
        </w:rPr>
      </w:pPr>
      <w:r>
        <w:rPr>
          <w:rFonts w:hint="eastAsia" w:ascii="宋体" w:hAnsi="宋体"/>
          <w:color w:val="auto"/>
          <w:highlight w:val="none"/>
        </w:rPr>
        <w:t>第四章  合同条款及格式</w:t>
      </w:r>
    </w:p>
    <w:p w14:paraId="120EA7A2">
      <w:pPr>
        <w:wordWrap w:val="0"/>
        <w:ind w:right="1440"/>
        <w:rPr>
          <w:rFonts w:hint="eastAsia"/>
          <w:color w:val="auto"/>
          <w:sz w:val="36"/>
          <w:szCs w:val="36"/>
          <w:highlight w:val="none"/>
        </w:rPr>
      </w:pPr>
    </w:p>
    <w:p w14:paraId="58C32D7A">
      <w:pPr>
        <w:wordWrap w:val="0"/>
        <w:ind w:right="1440"/>
        <w:rPr>
          <w:rFonts w:hint="eastAsia"/>
          <w:color w:val="auto"/>
          <w:sz w:val="36"/>
          <w:szCs w:val="36"/>
          <w:highlight w:val="none"/>
        </w:rPr>
      </w:pPr>
    </w:p>
    <w:p w14:paraId="11AF4CFC">
      <w:pPr>
        <w:wordWrap w:val="0"/>
        <w:ind w:right="1440"/>
        <w:rPr>
          <w:rFonts w:hint="eastAsia"/>
          <w:color w:val="auto"/>
          <w:sz w:val="36"/>
          <w:szCs w:val="36"/>
          <w:highlight w:val="none"/>
        </w:rPr>
      </w:pPr>
    </w:p>
    <w:p w14:paraId="0138EAB2">
      <w:pPr>
        <w:wordWrap w:val="0"/>
        <w:ind w:right="1440"/>
        <w:rPr>
          <w:rFonts w:hint="eastAsia"/>
          <w:color w:val="auto"/>
          <w:sz w:val="36"/>
          <w:szCs w:val="36"/>
          <w:highlight w:val="none"/>
        </w:rPr>
      </w:pPr>
    </w:p>
    <w:p w14:paraId="3663EAF3">
      <w:pPr>
        <w:wordWrap w:val="0"/>
        <w:ind w:right="1440"/>
        <w:rPr>
          <w:rFonts w:hint="eastAsia"/>
          <w:color w:val="auto"/>
          <w:sz w:val="36"/>
          <w:szCs w:val="36"/>
          <w:highlight w:val="none"/>
        </w:rPr>
      </w:pPr>
    </w:p>
    <w:p w14:paraId="2738CAA1">
      <w:pPr>
        <w:wordWrap w:val="0"/>
        <w:ind w:right="1440"/>
        <w:rPr>
          <w:rFonts w:hint="eastAsia"/>
          <w:color w:val="auto"/>
          <w:sz w:val="36"/>
          <w:szCs w:val="36"/>
          <w:highlight w:val="none"/>
        </w:rPr>
      </w:pPr>
    </w:p>
    <w:p w14:paraId="5C77642A">
      <w:pPr>
        <w:wordWrap w:val="0"/>
        <w:ind w:right="1440"/>
        <w:rPr>
          <w:rFonts w:hint="eastAsia"/>
          <w:color w:val="auto"/>
          <w:sz w:val="36"/>
          <w:szCs w:val="36"/>
          <w:highlight w:val="none"/>
        </w:rPr>
      </w:pPr>
    </w:p>
    <w:p w14:paraId="33BEC42A">
      <w:pPr>
        <w:wordWrap w:val="0"/>
        <w:ind w:right="1440"/>
        <w:rPr>
          <w:rFonts w:hint="eastAsia"/>
          <w:color w:val="auto"/>
          <w:sz w:val="36"/>
          <w:szCs w:val="36"/>
          <w:highlight w:val="none"/>
        </w:rPr>
      </w:pPr>
    </w:p>
    <w:p w14:paraId="079A09DB">
      <w:pPr>
        <w:wordWrap w:val="0"/>
        <w:ind w:right="1440"/>
        <w:rPr>
          <w:rFonts w:hint="eastAsia"/>
          <w:color w:val="auto"/>
          <w:sz w:val="36"/>
          <w:szCs w:val="36"/>
          <w:highlight w:val="none"/>
        </w:rPr>
      </w:pPr>
    </w:p>
    <w:p w14:paraId="7213ABA6">
      <w:pPr>
        <w:wordWrap w:val="0"/>
        <w:ind w:right="1440"/>
        <w:rPr>
          <w:rFonts w:hint="eastAsia"/>
          <w:color w:val="auto"/>
          <w:sz w:val="36"/>
          <w:szCs w:val="36"/>
          <w:highlight w:val="none"/>
        </w:rPr>
      </w:pPr>
    </w:p>
    <w:p w14:paraId="74DE4DDC">
      <w:pPr>
        <w:wordWrap w:val="0"/>
        <w:ind w:right="1440"/>
        <w:rPr>
          <w:rFonts w:hint="eastAsia"/>
          <w:color w:val="auto"/>
          <w:sz w:val="36"/>
          <w:szCs w:val="36"/>
          <w:highlight w:val="none"/>
        </w:rPr>
      </w:pPr>
    </w:p>
    <w:p w14:paraId="3E04B27A">
      <w:pPr>
        <w:wordWrap w:val="0"/>
        <w:ind w:right="1440"/>
        <w:rPr>
          <w:rFonts w:hint="eastAsia"/>
          <w:color w:val="auto"/>
          <w:sz w:val="36"/>
          <w:szCs w:val="36"/>
          <w:highlight w:val="none"/>
        </w:rPr>
      </w:pPr>
    </w:p>
    <w:p w14:paraId="71C70E85">
      <w:pPr>
        <w:wordWrap w:val="0"/>
        <w:ind w:right="1440"/>
        <w:rPr>
          <w:rFonts w:hint="eastAsia"/>
          <w:color w:val="auto"/>
          <w:sz w:val="36"/>
          <w:szCs w:val="36"/>
          <w:highlight w:val="none"/>
        </w:rPr>
      </w:pPr>
    </w:p>
    <w:p w14:paraId="00CC0655">
      <w:pPr>
        <w:wordWrap w:val="0"/>
        <w:ind w:right="1440"/>
        <w:rPr>
          <w:rFonts w:hint="eastAsia"/>
          <w:color w:val="auto"/>
          <w:sz w:val="36"/>
          <w:szCs w:val="36"/>
          <w:highlight w:val="none"/>
        </w:rPr>
      </w:pPr>
    </w:p>
    <w:p w14:paraId="64D5942B">
      <w:pPr>
        <w:wordWrap w:val="0"/>
        <w:ind w:right="1440"/>
        <w:rPr>
          <w:rFonts w:hint="eastAsia"/>
          <w:color w:val="auto"/>
          <w:sz w:val="36"/>
          <w:szCs w:val="36"/>
          <w:highlight w:val="none"/>
        </w:rPr>
      </w:pPr>
    </w:p>
    <w:p w14:paraId="1A5819F0">
      <w:pPr>
        <w:wordWrap w:val="0"/>
        <w:ind w:right="1440"/>
        <w:rPr>
          <w:rFonts w:hint="eastAsia"/>
          <w:color w:val="auto"/>
          <w:sz w:val="36"/>
          <w:szCs w:val="36"/>
          <w:highlight w:val="none"/>
        </w:rPr>
      </w:pPr>
    </w:p>
    <w:p w14:paraId="40966698">
      <w:pPr>
        <w:wordWrap w:val="0"/>
        <w:ind w:right="1440"/>
        <w:rPr>
          <w:rFonts w:hint="eastAsia"/>
          <w:color w:val="auto"/>
          <w:sz w:val="36"/>
          <w:szCs w:val="36"/>
          <w:highlight w:val="none"/>
        </w:rPr>
      </w:pPr>
    </w:p>
    <w:p w14:paraId="4F8369E7">
      <w:pPr>
        <w:wordWrap w:val="0"/>
        <w:ind w:right="1440"/>
        <w:rPr>
          <w:rFonts w:hint="eastAsia"/>
          <w:color w:val="auto"/>
          <w:sz w:val="36"/>
          <w:szCs w:val="36"/>
          <w:highlight w:val="none"/>
        </w:rPr>
      </w:pPr>
    </w:p>
    <w:p w14:paraId="750FA891">
      <w:pPr>
        <w:wordWrap w:val="0"/>
        <w:ind w:right="1440"/>
        <w:rPr>
          <w:rFonts w:hint="eastAsia"/>
          <w:color w:val="auto"/>
          <w:sz w:val="36"/>
          <w:szCs w:val="36"/>
          <w:highlight w:val="none"/>
        </w:rPr>
      </w:pPr>
    </w:p>
    <w:p w14:paraId="62B87C7A">
      <w:pPr>
        <w:wordWrap w:val="0"/>
        <w:ind w:right="1440" w:firstLine="720"/>
        <w:rPr>
          <w:color w:val="auto"/>
          <w:sz w:val="36"/>
          <w:szCs w:val="36"/>
          <w:highlight w:val="none"/>
          <w:u w:val="single"/>
        </w:rPr>
      </w:pPr>
      <w:r>
        <w:rPr>
          <w:rFonts w:hint="eastAsia"/>
          <w:color w:val="auto"/>
          <w:sz w:val="36"/>
          <w:szCs w:val="36"/>
          <w:highlight w:val="none"/>
        </w:rPr>
        <w:t>合同编号：</w:t>
      </w:r>
    </w:p>
    <w:p w14:paraId="46338D47">
      <w:pPr>
        <w:ind w:firstLine="720"/>
        <w:jc w:val="center"/>
        <w:rPr>
          <w:color w:val="auto"/>
          <w:sz w:val="36"/>
          <w:szCs w:val="36"/>
          <w:highlight w:val="none"/>
        </w:rPr>
      </w:pPr>
    </w:p>
    <w:p w14:paraId="54516CE0">
      <w:pPr>
        <w:ind w:firstLine="1440"/>
        <w:jc w:val="center"/>
        <w:rPr>
          <w:color w:val="auto"/>
          <w:sz w:val="72"/>
          <w:szCs w:val="72"/>
          <w:highlight w:val="none"/>
        </w:rPr>
      </w:pPr>
    </w:p>
    <w:p w14:paraId="4614CE99">
      <w:pPr>
        <w:ind w:firstLine="1440"/>
        <w:jc w:val="center"/>
        <w:rPr>
          <w:color w:val="auto"/>
          <w:sz w:val="72"/>
          <w:szCs w:val="72"/>
          <w:highlight w:val="none"/>
        </w:rPr>
      </w:pPr>
    </w:p>
    <w:p w14:paraId="11E8263D">
      <w:pPr>
        <w:ind w:firstLine="1440"/>
        <w:jc w:val="center"/>
        <w:rPr>
          <w:color w:val="auto"/>
          <w:sz w:val="72"/>
          <w:szCs w:val="72"/>
          <w:highlight w:val="none"/>
        </w:rPr>
      </w:pPr>
      <w:r>
        <w:rPr>
          <w:rFonts w:hint="eastAsia"/>
          <w:color w:val="auto"/>
          <w:sz w:val="72"/>
          <w:szCs w:val="72"/>
          <w:highlight w:val="none"/>
        </w:rPr>
        <w:t>建设工程造价咨询合同</w:t>
      </w:r>
    </w:p>
    <w:p w14:paraId="1B2A1283">
      <w:pPr>
        <w:ind w:firstLine="880"/>
        <w:jc w:val="center"/>
        <w:rPr>
          <w:color w:val="auto"/>
          <w:sz w:val="44"/>
          <w:szCs w:val="44"/>
          <w:highlight w:val="none"/>
        </w:rPr>
      </w:pPr>
    </w:p>
    <w:p w14:paraId="72BCDD77">
      <w:pPr>
        <w:ind w:firstLine="880"/>
        <w:jc w:val="center"/>
        <w:rPr>
          <w:color w:val="auto"/>
          <w:sz w:val="44"/>
          <w:szCs w:val="44"/>
          <w:highlight w:val="none"/>
        </w:rPr>
      </w:pPr>
    </w:p>
    <w:p w14:paraId="2C6A7B2E">
      <w:pPr>
        <w:ind w:firstLine="880"/>
        <w:jc w:val="center"/>
        <w:rPr>
          <w:color w:val="auto"/>
          <w:sz w:val="44"/>
          <w:szCs w:val="44"/>
          <w:highlight w:val="none"/>
        </w:rPr>
      </w:pPr>
    </w:p>
    <w:p w14:paraId="0C97F9E5">
      <w:pPr>
        <w:ind w:firstLine="880"/>
        <w:jc w:val="center"/>
        <w:rPr>
          <w:color w:val="auto"/>
          <w:sz w:val="44"/>
          <w:szCs w:val="44"/>
          <w:highlight w:val="none"/>
        </w:rPr>
      </w:pPr>
    </w:p>
    <w:p w14:paraId="2AB1DB9C">
      <w:pPr>
        <w:ind w:firstLine="880"/>
        <w:jc w:val="center"/>
        <w:rPr>
          <w:color w:val="auto"/>
          <w:sz w:val="44"/>
          <w:szCs w:val="44"/>
          <w:highlight w:val="none"/>
        </w:rPr>
      </w:pPr>
    </w:p>
    <w:p w14:paraId="699FD5B6">
      <w:pPr>
        <w:ind w:firstLine="880"/>
        <w:jc w:val="center"/>
        <w:rPr>
          <w:color w:val="auto"/>
          <w:sz w:val="44"/>
          <w:szCs w:val="44"/>
          <w:highlight w:val="none"/>
        </w:rPr>
      </w:pPr>
    </w:p>
    <w:p w14:paraId="1DD308DB">
      <w:pPr>
        <w:pStyle w:val="13"/>
        <w:tabs>
          <w:tab w:val="left" w:pos="0"/>
          <w:tab w:val="left" w:pos="6300"/>
        </w:tabs>
        <w:spacing w:line="800" w:lineRule="exact"/>
        <w:ind w:right="-414" w:rightChars="-197" w:firstLine="255" w:firstLineChars="71"/>
        <w:rPr>
          <w:rFonts w:ascii="宋体" w:eastAsia="宋体" w:cs="宋体"/>
          <w:color w:val="auto"/>
          <w:sz w:val="36"/>
          <w:szCs w:val="36"/>
          <w:highlight w:val="none"/>
          <w:u w:val="single"/>
          <w:lang w:eastAsia="zh-CN"/>
        </w:rPr>
      </w:pPr>
      <w:r>
        <w:rPr>
          <w:rFonts w:hint="eastAsia" w:ascii="宋体" w:eastAsia="宋体" w:cs="宋体"/>
          <w:color w:val="auto"/>
          <w:sz w:val="36"/>
          <w:szCs w:val="36"/>
          <w:highlight w:val="none"/>
          <w:lang w:eastAsia="zh-CN"/>
        </w:rPr>
        <w:t>项目名称：</w:t>
      </w:r>
      <w:r>
        <w:rPr>
          <w:rFonts w:ascii="宋体" w:eastAsia="宋体" w:cs="宋体"/>
          <w:color w:val="auto"/>
          <w:sz w:val="36"/>
          <w:szCs w:val="36"/>
          <w:highlight w:val="none"/>
          <w:u w:val="single"/>
          <w:lang w:eastAsia="zh-CN"/>
        </w:rPr>
        <w:t xml:space="preserve">                            </w:t>
      </w:r>
    </w:p>
    <w:p w14:paraId="17A4D987">
      <w:pPr>
        <w:pStyle w:val="13"/>
        <w:tabs>
          <w:tab w:val="left" w:pos="1575"/>
        </w:tabs>
        <w:spacing w:line="800" w:lineRule="exact"/>
        <w:ind w:right="-414" w:rightChars="-197" w:firstLine="255" w:firstLineChars="71"/>
        <w:rPr>
          <w:rFonts w:ascii="宋体" w:eastAsia="宋体" w:cs="宋体"/>
          <w:color w:val="auto"/>
          <w:sz w:val="36"/>
          <w:szCs w:val="36"/>
          <w:highlight w:val="none"/>
          <w:u w:val="single"/>
          <w:lang w:eastAsia="zh-CN"/>
        </w:rPr>
      </w:pPr>
      <w:r>
        <w:rPr>
          <w:rFonts w:hint="eastAsia" w:ascii="宋体" w:eastAsia="宋体" w:cs="宋体"/>
          <w:color w:val="auto"/>
          <w:sz w:val="36"/>
          <w:szCs w:val="36"/>
          <w:highlight w:val="none"/>
          <w:lang w:eastAsia="zh-CN"/>
        </w:rPr>
        <w:t>委</w:t>
      </w:r>
      <w:r>
        <w:rPr>
          <w:rFonts w:ascii="宋体" w:eastAsia="宋体" w:cs="宋体"/>
          <w:color w:val="auto"/>
          <w:sz w:val="36"/>
          <w:szCs w:val="36"/>
          <w:highlight w:val="none"/>
          <w:lang w:eastAsia="zh-CN"/>
        </w:rPr>
        <w:t xml:space="preserve"> </w:t>
      </w:r>
      <w:r>
        <w:rPr>
          <w:rFonts w:hint="eastAsia" w:ascii="宋体" w:eastAsia="宋体" w:cs="宋体"/>
          <w:color w:val="auto"/>
          <w:sz w:val="36"/>
          <w:szCs w:val="36"/>
          <w:highlight w:val="none"/>
          <w:lang w:eastAsia="zh-CN"/>
        </w:rPr>
        <w:t>托</w:t>
      </w:r>
      <w:r>
        <w:rPr>
          <w:rFonts w:ascii="宋体" w:eastAsia="宋体" w:cs="宋体"/>
          <w:color w:val="auto"/>
          <w:sz w:val="36"/>
          <w:szCs w:val="36"/>
          <w:highlight w:val="none"/>
          <w:lang w:eastAsia="zh-CN"/>
        </w:rPr>
        <w:t xml:space="preserve"> </w:t>
      </w:r>
      <w:r>
        <w:rPr>
          <w:rFonts w:hint="eastAsia" w:ascii="宋体" w:eastAsia="宋体" w:cs="宋体"/>
          <w:color w:val="auto"/>
          <w:sz w:val="36"/>
          <w:szCs w:val="36"/>
          <w:highlight w:val="none"/>
          <w:lang w:eastAsia="zh-CN"/>
        </w:rPr>
        <w:t>人：</w:t>
      </w:r>
      <w:r>
        <w:rPr>
          <w:rFonts w:ascii="宋体" w:eastAsia="宋体" w:cs="宋体"/>
          <w:color w:val="auto"/>
          <w:sz w:val="36"/>
          <w:szCs w:val="36"/>
          <w:highlight w:val="none"/>
          <w:u w:val="single"/>
          <w:lang w:eastAsia="zh-CN"/>
        </w:rPr>
        <w:t xml:space="preserve">                            </w:t>
      </w:r>
    </w:p>
    <w:p w14:paraId="67DD41A4">
      <w:pPr>
        <w:pStyle w:val="13"/>
        <w:tabs>
          <w:tab w:val="left" w:pos="1470"/>
        </w:tabs>
        <w:spacing w:line="800" w:lineRule="exact"/>
        <w:ind w:right="-414" w:rightChars="-197" w:firstLine="255" w:firstLineChars="71"/>
        <w:rPr>
          <w:rFonts w:ascii="宋体" w:eastAsia="宋体" w:cs="宋体"/>
          <w:color w:val="auto"/>
          <w:sz w:val="36"/>
          <w:szCs w:val="36"/>
          <w:highlight w:val="none"/>
          <w:u w:val="single"/>
          <w:lang w:eastAsia="zh-CN"/>
        </w:rPr>
      </w:pPr>
      <w:r>
        <w:rPr>
          <w:rFonts w:hint="eastAsia" w:ascii="宋体" w:eastAsia="宋体" w:cs="宋体"/>
          <w:color w:val="auto"/>
          <w:sz w:val="36"/>
          <w:szCs w:val="36"/>
          <w:highlight w:val="none"/>
          <w:lang w:eastAsia="zh-CN"/>
        </w:rPr>
        <w:t>咨 询 人：</w:t>
      </w:r>
      <w:r>
        <w:rPr>
          <w:rFonts w:ascii="宋体" w:eastAsia="宋体" w:cs="宋体"/>
          <w:color w:val="auto"/>
          <w:sz w:val="36"/>
          <w:szCs w:val="36"/>
          <w:highlight w:val="none"/>
          <w:u w:val="single"/>
          <w:lang w:eastAsia="zh-CN"/>
        </w:rPr>
        <w:t xml:space="preserve">                            </w:t>
      </w:r>
    </w:p>
    <w:p w14:paraId="5FD8A648">
      <w:pPr>
        <w:pStyle w:val="13"/>
        <w:tabs>
          <w:tab w:val="left" w:pos="1575"/>
        </w:tabs>
        <w:spacing w:line="800" w:lineRule="exact"/>
        <w:ind w:right="-414" w:rightChars="-197" w:firstLine="255" w:firstLineChars="71"/>
        <w:rPr>
          <w:rFonts w:ascii="宋体" w:eastAsia="宋体" w:cs="宋体"/>
          <w:color w:val="auto"/>
          <w:sz w:val="36"/>
          <w:szCs w:val="36"/>
          <w:highlight w:val="none"/>
          <w:lang w:eastAsia="zh-CN"/>
        </w:rPr>
      </w:pPr>
      <w:r>
        <w:rPr>
          <w:rFonts w:hint="eastAsia" w:ascii="宋体" w:eastAsia="宋体" w:cs="宋体"/>
          <w:color w:val="auto"/>
          <w:sz w:val="36"/>
          <w:szCs w:val="36"/>
          <w:highlight w:val="none"/>
          <w:lang w:eastAsia="zh-CN"/>
        </w:rPr>
        <w:t>日</w:t>
      </w:r>
      <w:r>
        <w:rPr>
          <w:rFonts w:ascii="宋体" w:eastAsia="宋体" w:cs="宋体"/>
          <w:color w:val="auto"/>
          <w:sz w:val="36"/>
          <w:szCs w:val="36"/>
          <w:highlight w:val="none"/>
          <w:lang w:eastAsia="zh-CN"/>
        </w:rPr>
        <w:t xml:space="preserve">    </w:t>
      </w:r>
      <w:r>
        <w:rPr>
          <w:rFonts w:hint="eastAsia" w:ascii="宋体" w:eastAsia="宋体" w:cs="宋体"/>
          <w:color w:val="auto"/>
          <w:sz w:val="36"/>
          <w:szCs w:val="36"/>
          <w:highlight w:val="none"/>
          <w:lang w:eastAsia="zh-CN"/>
        </w:rPr>
        <w:t>期：</w:t>
      </w:r>
      <w:r>
        <w:rPr>
          <w:rFonts w:ascii="宋体" w:eastAsia="宋体" w:cs="宋体"/>
          <w:color w:val="auto"/>
          <w:sz w:val="36"/>
          <w:szCs w:val="36"/>
          <w:highlight w:val="none"/>
          <w:u w:val="single"/>
          <w:lang w:eastAsia="zh-CN"/>
        </w:rPr>
        <w:t xml:space="preserve">     </w:t>
      </w:r>
      <w:r>
        <w:rPr>
          <w:rFonts w:hint="eastAsia" w:ascii="宋体" w:eastAsia="宋体" w:cs="宋体"/>
          <w:color w:val="auto"/>
          <w:sz w:val="36"/>
          <w:szCs w:val="36"/>
          <w:highlight w:val="none"/>
          <w:lang w:eastAsia="zh-CN"/>
        </w:rPr>
        <w:t>年</w:t>
      </w:r>
      <w:r>
        <w:rPr>
          <w:rFonts w:ascii="宋体" w:eastAsia="宋体" w:cs="宋体"/>
          <w:color w:val="auto"/>
          <w:sz w:val="36"/>
          <w:szCs w:val="36"/>
          <w:highlight w:val="none"/>
          <w:u w:val="single"/>
          <w:lang w:eastAsia="zh-CN"/>
        </w:rPr>
        <w:t xml:space="preserve">    </w:t>
      </w:r>
      <w:r>
        <w:rPr>
          <w:rFonts w:hint="eastAsia" w:ascii="宋体" w:eastAsia="宋体" w:cs="宋体"/>
          <w:color w:val="auto"/>
          <w:sz w:val="36"/>
          <w:szCs w:val="36"/>
          <w:highlight w:val="none"/>
          <w:lang w:eastAsia="zh-CN"/>
        </w:rPr>
        <w:t>月</w:t>
      </w:r>
      <w:r>
        <w:rPr>
          <w:rFonts w:ascii="宋体" w:eastAsia="宋体" w:cs="宋体"/>
          <w:color w:val="auto"/>
          <w:sz w:val="36"/>
          <w:szCs w:val="36"/>
          <w:highlight w:val="none"/>
          <w:u w:val="single"/>
          <w:lang w:eastAsia="zh-CN"/>
        </w:rPr>
        <w:t xml:space="preserve">     </w:t>
      </w:r>
      <w:r>
        <w:rPr>
          <w:rFonts w:hint="eastAsia" w:ascii="宋体" w:eastAsia="宋体" w:cs="宋体"/>
          <w:color w:val="auto"/>
          <w:sz w:val="36"/>
          <w:szCs w:val="36"/>
          <w:highlight w:val="none"/>
          <w:lang w:eastAsia="zh-CN"/>
        </w:rPr>
        <w:t>日</w:t>
      </w:r>
    </w:p>
    <w:p w14:paraId="5A2061D5">
      <w:pPr>
        <w:rPr>
          <w:color w:val="auto"/>
          <w:highlight w:val="none"/>
        </w:rPr>
      </w:pPr>
    </w:p>
    <w:p w14:paraId="02EEEBB7">
      <w:pPr>
        <w:rPr>
          <w:color w:val="auto"/>
          <w:highlight w:val="none"/>
        </w:rPr>
      </w:pPr>
    </w:p>
    <w:p w14:paraId="05E911FD">
      <w:pPr>
        <w:rPr>
          <w:color w:val="auto"/>
          <w:highlight w:val="none"/>
        </w:rPr>
      </w:pPr>
    </w:p>
    <w:p w14:paraId="3BB7362A">
      <w:pPr>
        <w:rPr>
          <w:color w:val="auto"/>
          <w:highlight w:val="none"/>
        </w:rPr>
      </w:pPr>
    </w:p>
    <w:p w14:paraId="0B8C7855">
      <w:pPr>
        <w:rPr>
          <w:color w:val="auto"/>
          <w:highlight w:val="none"/>
        </w:rPr>
      </w:pPr>
    </w:p>
    <w:p w14:paraId="5833F6F2">
      <w:pPr>
        <w:rPr>
          <w:color w:val="auto"/>
          <w:highlight w:val="none"/>
        </w:rPr>
      </w:pPr>
    </w:p>
    <w:p w14:paraId="55C79292">
      <w:pPr>
        <w:ind w:firstLine="880"/>
        <w:jc w:val="center"/>
        <w:rPr>
          <w:rFonts w:asciiTheme="minorEastAsia" w:hAnsiTheme="minorEastAsia"/>
          <w:color w:val="auto"/>
          <w:sz w:val="44"/>
          <w:szCs w:val="44"/>
          <w:highlight w:val="none"/>
        </w:rPr>
        <w:sectPr>
          <w:footerReference r:id="rId3" w:type="default"/>
          <w:pgSz w:w="11906" w:h="16838"/>
          <w:pgMar w:top="1247" w:right="1588" w:bottom="1134" w:left="1588" w:header="851" w:footer="992" w:gutter="0"/>
          <w:cols w:space="425" w:num="1"/>
          <w:docGrid w:type="lines" w:linePitch="312" w:charSpace="0"/>
        </w:sectPr>
      </w:pPr>
    </w:p>
    <w:sdt>
      <w:sdtPr>
        <w:rPr>
          <w:rFonts w:ascii="宋体" w:hAnsi="宋体" w:eastAsia="宋体"/>
          <w:color w:val="auto"/>
          <w:highlight w:val="none"/>
        </w:rPr>
        <w:id w:val="147478978"/>
        <w:docPartObj>
          <w:docPartGallery w:val="Table of Contents"/>
          <w:docPartUnique/>
        </w:docPartObj>
      </w:sdtPr>
      <w:sdtEndPr>
        <w:rPr>
          <w:rFonts w:ascii="宋体" w:hAnsi="宋体" w:eastAsia="宋体"/>
          <w:color w:val="auto"/>
          <w:sz w:val="24"/>
          <w:szCs w:val="24"/>
          <w:highlight w:val="none"/>
        </w:rPr>
      </w:sdtEndPr>
      <w:sdtContent>
        <w:p w14:paraId="223B0B5B">
          <w:pPr>
            <w:jc w:val="center"/>
            <w:rPr>
              <w:color w:val="auto"/>
              <w:sz w:val="24"/>
              <w:szCs w:val="24"/>
              <w:highlight w:val="none"/>
            </w:rPr>
          </w:pPr>
          <w:r>
            <w:rPr>
              <w:rFonts w:ascii="宋体" w:hAnsi="宋体" w:eastAsia="宋体"/>
              <w:color w:val="auto"/>
              <w:sz w:val="24"/>
              <w:szCs w:val="24"/>
              <w:highlight w:val="none"/>
            </w:rPr>
            <w:t>目录</w:t>
          </w:r>
        </w:p>
        <w:p w14:paraId="187FA27B">
          <w:pPr>
            <w:pStyle w:val="19"/>
            <w:tabs>
              <w:tab w:val="right" w:leader="dot" w:pos="8720"/>
            </w:tabs>
            <w:rPr>
              <w:color w:val="auto"/>
              <w:highlight w:val="none"/>
            </w:rPr>
          </w:pPr>
          <w:r>
            <w:rPr>
              <w:color w:val="auto"/>
              <w:sz w:val="24"/>
              <w:szCs w:val="24"/>
              <w:highlight w:val="none"/>
            </w:rPr>
            <w:fldChar w:fldCharType="begin"/>
          </w:r>
          <w:r>
            <w:rPr>
              <w:color w:val="auto"/>
              <w:sz w:val="24"/>
              <w:szCs w:val="24"/>
              <w:highlight w:val="none"/>
            </w:rPr>
            <w:instrText xml:space="preserve">TOC \o "1-3" \h \u </w:instrText>
          </w:r>
          <w:r>
            <w:rPr>
              <w:color w:val="auto"/>
              <w:sz w:val="24"/>
              <w:szCs w:val="24"/>
              <w:highlight w:val="none"/>
            </w:rPr>
            <w:fldChar w:fldCharType="separate"/>
          </w:r>
          <w:r>
            <w:rPr>
              <w:color w:val="auto"/>
              <w:highlight w:val="none"/>
            </w:rPr>
            <w:fldChar w:fldCharType="begin"/>
          </w:r>
          <w:r>
            <w:rPr>
              <w:color w:val="auto"/>
              <w:highlight w:val="none"/>
            </w:rPr>
            <w:instrText xml:space="preserve"> HYPERLINK \l "_Toc76398630" </w:instrText>
          </w:r>
          <w:r>
            <w:rPr>
              <w:color w:val="auto"/>
              <w:highlight w:val="none"/>
            </w:rPr>
            <w:fldChar w:fldCharType="separate"/>
          </w:r>
          <w:r>
            <w:rPr>
              <w:rStyle w:val="39"/>
              <w:rFonts w:hint="eastAsia"/>
              <w:b/>
              <w:color w:val="auto"/>
              <w:highlight w:val="none"/>
            </w:rPr>
            <w:t>第一部分协议书</w:t>
          </w:r>
          <w:r>
            <w:rPr>
              <w:color w:val="auto"/>
              <w:highlight w:val="none"/>
            </w:rPr>
            <w:tab/>
          </w:r>
          <w:r>
            <w:rPr>
              <w:color w:val="auto"/>
              <w:highlight w:val="none"/>
            </w:rPr>
            <w:fldChar w:fldCharType="begin"/>
          </w:r>
          <w:r>
            <w:rPr>
              <w:color w:val="auto"/>
              <w:highlight w:val="none"/>
            </w:rPr>
            <w:instrText xml:space="preserve"> PAGEREF _Toc76398630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4690CA1B">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"_Toc76398631" </w:instrText>
          </w:r>
          <w:r>
            <w:rPr>
              <w:color w:val="auto"/>
              <w:highlight w:val="none"/>
            </w:rPr>
            <w:fldChar w:fldCharType="separate"/>
          </w:r>
          <w:r>
            <w:rPr>
              <w:rStyle w:val="39"/>
              <w:rFonts w:hint="eastAsia" w:asciiTheme="minorEastAsia" w:hAnsiTheme="minorEastAsia"/>
              <w:color w:val="auto"/>
              <w:highlight w:val="none"/>
            </w:rPr>
            <w:t>一、工程概况</w:t>
          </w:r>
          <w:r>
            <w:rPr>
              <w:color w:val="auto"/>
              <w:highlight w:val="none"/>
            </w:rPr>
            <w:tab/>
          </w:r>
          <w:r>
            <w:rPr>
              <w:color w:val="auto"/>
              <w:highlight w:val="none"/>
            </w:rPr>
            <w:fldChar w:fldCharType="begin"/>
          </w:r>
          <w:r>
            <w:rPr>
              <w:color w:val="auto"/>
              <w:highlight w:val="none"/>
            </w:rPr>
            <w:instrText xml:space="preserve"> PAGEREF _Toc76398631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1FCC671C">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"_Toc76398632" </w:instrText>
          </w:r>
          <w:r>
            <w:rPr>
              <w:color w:val="auto"/>
              <w:highlight w:val="none"/>
            </w:rPr>
            <w:fldChar w:fldCharType="separate"/>
          </w:r>
          <w:r>
            <w:rPr>
              <w:rStyle w:val="39"/>
              <w:rFonts w:hint="eastAsia" w:asciiTheme="minorEastAsia" w:hAnsiTheme="minorEastAsia"/>
              <w:color w:val="auto"/>
              <w:highlight w:val="none"/>
            </w:rPr>
            <w:t>二、服务范围及工作内容</w:t>
          </w:r>
          <w:r>
            <w:rPr>
              <w:color w:val="auto"/>
              <w:highlight w:val="none"/>
            </w:rPr>
            <w:tab/>
          </w:r>
          <w:r>
            <w:rPr>
              <w:color w:val="auto"/>
              <w:highlight w:val="none"/>
            </w:rPr>
            <w:fldChar w:fldCharType="begin"/>
          </w:r>
          <w:r>
            <w:rPr>
              <w:color w:val="auto"/>
              <w:highlight w:val="none"/>
            </w:rPr>
            <w:instrText xml:space="preserve"> PAGEREF _Toc76398632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7CA459DC">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"_Toc76398633" </w:instrText>
          </w:r>
          <w:r>
            <w:rPr>
              <w:color w:val="auto"/>
              <w:highlight w:val="none"/>
            </w:rPr>
            <w:fldChar w:fldCharType="separate"/>
          </w:r>
          <w:r>
            <w:rPr>
              <w:rStyle w:val="39"/>
              <w:rFonts w:hint="eastAsia" w:asciiTheme="minorEastAsia" w:hAnsiTheme="minorEastAsia"/>
              <w:color w:val="auto"/>
              <w:highlight w:val="none"/>
            </w:rPr>
            <w:t>三、服务期限</w:t>
          </w:r>
          <w:r>
            <w:rPr>
              <w:color w:val="auto"/>
              <w:highlight w:val="none"/>
            </w:rPr>
            <w:tab/>
          </w:r>
          <w:r>
            <w:rPr>
              <w:color w:val="auto"/>
              <w:highlight w:val="none"/>
            </w:rPr>
            <w:fldChar w:fldCharType="begin"/>
          </w:r>
          <w:r>
            <w:rPr>
              <w:color w:val="auto"/>
              <w:highlight w:val="none"/>
            </w:rPr>
            <w:instrText xml:space="preserve"> PAGEREF _Toc76398633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379CF0F8">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"_Toc76398634" </w:instrText>
          </w:r>
          <w:r>
            <w:rPr>
              <w:color w:val="auto"/>
              <w:highlight w:val="none"/>
            </w:rPr>
            <w:fldChar w:fldCharType="separate"/>
          </w:r>
          <w:r>
            <w:rPr>
              <w:rStyle w:val="39"/>
              <w:rFonts w:hint="eastAsia" w:asciiTheme="minorEastAsia" w:hAnsiTheme="minorEastAsia"/>
              <w:color w:val="auto"/>
              <w:highlight w:val="none"/>
            </w:rPr>
            <w:t>四、质量标准</w:t>
          </w:r>
          <w:r>
            <w:rPr>
              <w:color w:val="auto"/>
              <w:highlight w:val="none"/>
            </w:rPr>
            <w:tab/>
          </w:r>
          <w:r>
            <w:rPr>
              <w:color w:val="auto"/>
              <w:highlight w:val="none"/>
            </w:rPr>
            <w:fldChar w:fldCharType="begin"/>
          </w:r>
          <w:r>
            <w:rPr>
              <w:color w:val="auto"/>
              <w:highlight w:val="none"/>
            </w:rPr>
            <w:instrText xml:space="preserve"> PAGEREF _Toc76398634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6420C1EB">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"_Toc76398635" </w:instrText>
          </w:r>
          <w:r>
            <w:rPr>
              <w:color w:val="auto"/>
              <w:highlight w:val="none"/>
            </w:rPr>
            <w:fldChar w:fldCharType="separate"/>
          </w:r>
          <w:r>
            <w:rPr>
              <w:rStyle w:val="39"/>
              <w:rFonts w:hint="eastAsia" w:asciiTheme="minorEastAsia" w:hAnsiTheme="minorEastAsia"/>
              <w:color w:val="auto"/>
              <w:highlight w:val="none"/>
            </w:rPr>
            <w:t>五、酬金或计取方式</w:t>
          </w:r>
          <w:r>
            <w:rPr>
              <w:color w:val="auto"/>
              <w:highlight w:val="none"/>
            </w:rPr>
            <w:tab/>
          </w:r>
          <w:r>
            <w:rPr>
              <w:color w:val="auto"/>
              <w:highlight w:val="none"/>
            </w:rPr>
            <w:fldChar w:fldCharType="begin"/>
          </w:r>
          <w:r>
            <w:rPr>
              <w:color w:val="auto"/>
              <w:highlight w:val="none"/>
            </w:rPr>
            <w:instrText xml:space="preserve"> PAGEREF _Toc76398635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14D9DF9E">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"_Toc76398636" </w:instrText>
          </w:r>
          <w:r>
            <w:rPr>
              <w:color w:val="auto"/>
              <w:highlight w:val="none"/>
            </w:rPr>
            <w:fldChar w:fldCharType="separate"/>
          </w:r>
          <w:r>
            <w:rPr>
              <w:rStyle w:val="39"/>
              <w:rFonts w:hint="eastAsia" w:asciiTheme="minorEastAsia" w:hAnsiTheme="minorEastAsia"/>
              <w:color w:val="auto"/>
              <w:highlight w:val="none"/>
            </w:rPr>
            <w:t>六、合同文件的构成本协议书与下列文件一起构成合同文件</w:t>
          </w:r>
          <w:r>
            <w:rPr>
              <w:rStyle w:val="39"/>
              <w:rFonts w:asciiTheme="minorEastAsia" w:hAnsiTheme="minor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_Toc76398636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3C5B6E06">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"_Toc76398637" </w:instrText>
          </w:r>
          <w:r>
            <w:rPr>
              <w:color w:val="auto"/>
              <w:highlight w:val="none"/>
            </w:rPr>
            <w:fldChar w:fldCharType="separate"/>
          </w:r>
          <w:r>
            <w:rPr>
              <w:rStyle w:val="39"/>
              <w:rFonts w:hint="eastAsia" w:asciiTheme="minorEastAsia" w:hAnsiTheme="minorEastAsia"/>
              <w:color w:val="auto"/>
              <w:highlight w:val="none"/>
            </w:rPr>
            <w:t>七、词语定义</w:t>
          </w:r>
          <w:r>
            <w:rPr>
              <w:color w:val="auto"/>
              <w:highlight w:val="none"/>
            </w:rPr>
            <w:tab/>
          </w:r>
          <w:r>
            <w:rPr>
              <w:color w:val="auto"/>
              <w:highlight w:val="none"/>
            </w:rPr>
            <w:fldChar w:fldCharType="begin"/>
          </w:r>
          <w:r>
            <w:rPr>
              <w:color w:val="auto"/>
              <w:highlight w:val="none"/>
            </w:rPr>
            <w:instrText xml:space="preserve"> PAGEREF _Toc76398637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7547CA19">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"_Toc76398638" </w:instrText>
          </w:r>
          <w:r>
            <w:rPr>
              <w:color w:val="auto"/>
              <w:highlight w:val="none"/>
            </w:rPr>
            <w:fldChar w:fldCharType="separate"/>
          </w:r>
          <w:r>
            <w:rPr>
              <w:rStyle w:val="39"/>
              <w:rFonts w:hint="eastAsia" w:asciiTheme="minorEastAsia" w:hAnsiTheme="minorEastAsia"/>
              <w:color w:val="auto"/>
              <w:highlight w:val="none"/>
            </w:rPr>
            <w:t>八、合同订立</w:t>
          </w:r>
          <w:r>
            <w:rPr>
              <w:color w:val="auto"/>
              <w:highlight w:val="none"/>
            </w:rPr>
            <w:tab/>
          </w:r>
          <w:r>
            <w:rPr>
              <w:color w:val="auto"/>
              <w:highlight w:val="none"/>
            </w:rPr>
            <w:fldChar w:fldCharType="begin"/>
          </w:r>
          <w:r>
            <w:rPr>
              <w:color w:val="auto"/>
              <w:highlight w:val="none"/>
            </w:rPr>
            <w:instrText xml:space="preserve"> PAGEREF _Toc76398638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091BF6D8">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"_Toc76398639" </w:instrText>
          </w:r>
          <w:r>
            <w:rPr>
              <w:color w:val="auto"/>
              <w:highlight w:val="none"/>
            </w:rPr>
            <w:fldChar w:fldCharType="separate"/>
          </w:r>
          <w:r>
            <w:rPr>
              <w:rStyle w:val="39"/>
              <w:rFonts w:hint="eastAsia" w:asciiTheme="minorEastAsia" w:hAnsiTheme="minorEastAsia"/>
              <w:color w:val="auto"/>
              <w:highlight w:val="none"/>
            </w:rPr>
            <w:t>九、合同生效</w:t>
          </w:r>
          <w:r>
            <w:rPr>
              <w:color w:val="auto"/>
              <w:highlight w:val="none"/>
            </w:rPr>
            <w:tab/>
          </w:r>
          <w:r>
            <w:rPr>
              <w:color w:val="auto"/>
              <w:highlight w:val="none"/>
            </w:rPr>
            <w:fldChar w:fldCharType="begin"/>
          </w:r>
          <w:r>
            <w:rPr>
              <w:color w:val="auto"/>
              <w:highlight w:val="none"/>
            </w:rPr>
            <w:instrText xml:space="preserve"> PAGEREF _Toc76398639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7152F213">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"_Toc76398640" </w:instrText>
          </w:r>
          <w:r>
            <w:rPr>
              <w:color w:val="auto"/>
              <w:highlight w:val="none"/>
            </w:rPr>
            <w:fldChar w:fldCharType="separate"/>
          </w:r>
          <w:r>
            <w:rPr>
              <w:rStyle w:val="39"/>
              <w:rFonts w:hint="eastAsia" w:asciiTheme="minorEastAsia" w:hAnsiTheme="minorEastAsia"/>
              <w:color w:val="auto"/>
              <w:highlight w:val="none"/>
            </w:rPr>
            <w:t>十、合同份数</w:t>
          </w:r>
          <w:r>
            <w:rPr>
              <w:color w:val="auto"/>
              <w:highlight w:val="none"/>
            </w:rPr>
            <w:tab/>
          </w:r>
          <w:r>
            <w:rPr>
              <w:color w:val="auto"/>
              <w:highlight w:val="none"/>
            </w:rPr>
            <w:fldChar w:fldCharType="begin"/>
          </w:r>
          <w:r>
            <w:rPr>
              <w:color w:val="auto"/>
              <w:highlight w:val="none"/>
            </w:rPr>
            <w:instrText xml:space="preserve"> PAGEREF _Toc76398640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25559ED5">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"_Toc76398641" </w:instrText>
          </w:r>
          <w:r>
            <w:rPr>
              <w:color w:val="auto"/>
              <w:highlight w:val="none"/>
            </w:rPr>
            <w:fldChar w:fldCharType="separate"/>
          </w:r>
          <w:r>
            <w:rPr>
              <w:rStyle w:val="39"/>
              <w:rFonts w:hint="eastAsia" w:asciiTheme="minorEastAsia" w:hAnsiTheme="minorEastAsia"/>
              <w:b/>
              <w:color w:val="auto"/>
              <w:highlight w:val="none"/>
            </w:rPr>
            <w:t>第二部分通用条件</w:t>
          </w:r>
          <w:r>
            <w:rPr>
              <w:color w:val="auto"/>
              <w:highlight w:val="none"/>
            </w:rPr>
            <w:tab/>
          </w:r>
          <w:r>
            <w:rPr>
              <w:color w:val="auto"/>
              <w:highlight w:val="none"/>
            </w:rPr>
            <w:fldChar w:fldCharType="begin"/>
          </w:r>
          <w:r>
            <w:rPr>
              <w:color w:val="auto"/>
              <w:highlight w:val="none"/>
            </w:rPr>
            <w:instrText xml:space="preserve"> PAGEREF _Toc76398641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5D95026">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"_Toc76398642" </w:instrText>
          </w:r>
          <w:r>
            <w:rPr>
              <w:color w:val="auto"/>
              <w:highlight w:val="none"/>
            </w:rPr>
            <w:fldChar w:fldCharType="separate"/>
          </w:r>
          <w:r>
            <w:rPr>
              <w:rStyle w:val="39"/>
              <w:rFonts w:asciiTheme="minorEastAsia" w:hAnsiTheme="minorEastAsia"/>
              <w:color w:val="auto"/>
              <w:highlight w:val="none"/>
            </w:rPr>
            <w:t>1.</w:t>
          </w:r>
          <w:r>
            <w:rPr>
              <w:rStyle w:val="39"/>
              <w:rFonts w:hint="eastAsia" w:asciiTheme="minorEastAsia" w:hAnsiTheme="minorEastAsia"/>
              <w:color w:val="auto"/>
              <w:highlight w:val="none"/>
            </w:rPr>
            <w:t>词语定义、语言、解释顺序与适用法律</w:t>
          </w:r>
          <w:r>
            <w:rPr>
              <w:color w:val="auto"/>
              <w:highlight w:val="none"/>
            </w:rPr>
            <w:tab/>
          </w:r>
          <w:r>
            <w:rPr>
              <w:color w:val="auto"/>
              <w:highlight w:val="none"/>
            </w:rPr>
            <w:fldChar w:fldCharType="begin"/>
          </w:r>
          <w:r>
            <w:rPr>
              <w:color w:val="auto"/>
              <w:highlight w:val="none"/>
            </w:rPr>
            <w:instrText xml:space="preserve"> PAGEREF _Toc76398642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C1AFB0E">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"_Toc76398643" </w:instrText>
          </w:r>
          <w:r>
            <w:rPr>
              <w:color w:val="auto"/>
              <w:highlight w:val="none"/>
            </w:rPr>
            <w:fldChar w:fldCharType="separate"/>
          </w:r>
          <w:r>
            <w:rPr>
              <w:rStyle w:val="39"/>
              <w:rFonts w:asciiTheme="minorEastAsia" w:hAnsiTheme="minorEastAsia"/>
              <w:color w:val="auto"/>
              <w:highlight w:val="none"/>
            </w:rPr>
            <w:t xml:space="preserve">1.1 </w:t>
          </w:r>
          <w:r>
            <w:rPr>
              <w:rStyle w:val="39"/>
              <w:rFonts w:hint="eastAsia" w:asciiTheme="minorEastAsia" w:hAnsiTheme="minorEastAsia"/>
              <w:color w:val="auto"/>
              <w:highlight w:val="none"/>
            </w:rPr>
            <w:t>词语定义</w:t>
          </w:r>
          <w:r>
            <w:rPr>
              <w:color w:val="auto"/>
              <w:highlight w:val="none"/>
            </w:rPr>
            <w:tab/>
          </w:r>
          <w:r>
            <w:rPr>
              <w:color w:val="auto"/>
              <w:highlight w:val="none"/>
            </w:rPr>
            <w:fldChar w:fldCharType="begin"/>
          </w:r>
          <w:r>
            <w:rPr>
              <w:color w:val="auto"/>
              <w:highlight w:val="none"/>
            </w:rPr>
            <w:instrText xml:space="preserve"> PAGEREF _Toc76398643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0760C159">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"_Toc76398644" </w:instrText>
          </w:r>
          <w:r>
            <w:rPr>
              <w:color w:val="auto"/>
              <w:highlight w:val="none"/>
            </w:rPr>
            <w:fldChar w:fldCharType="separate"/>
          </w:r>
          <w:r>
            <w:rPr>
              <w:rStyle w:val="39"/>
              <w:rFonts w:asciiTheme="minorEastAsia" w:hAnsiTheme="minorEastAsia"/>
              <w:color w:val="auto"/>
              <w:highlight w:val="none"/>
            </w:rPr>
            <w:t xml:space="preserve">1.2 </w:t>
          </w:r>
          <w:r>
            <w:rPr>
              <w:rStyle w:val="39"/>
              <w:rFonts w:hint="eastAsia" w:asciiTheme="minorEastAsia" w:hAnsiTheme="minorEastAsia"/>
              <w:color w:val="auto"/>
              <w:highlight w:val="none"/>
            </w:rPr>
            <w:t>语言</w:t>
          </w:r>
          <w:r>
            <w:rPr>
              <w:color w:val="auto"/>
              <w:highlight w:val="none"/>
            </w:rPr>
            <w:tab/>
          </w:r>
          <w:r>
            <w:rPr>
              <w:color w:val="auto"/>
              <w:highlight w:val="none"/>
            </w:rPr>
            <w:fldChar w:fldCharType="begin"/>
          </w:r>
          <w:r>
            <w:rPr>
              <w:color w:val="auto"/>
              <w:highlight w:val="none"/>
            </w:rPr>
            <w:instrText xml:space="preserve"> PAGEREF _Toc76398644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4B1F9A8C">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"_Toc76398645" </w:instrText>
          </w:r>
          <w:r>
            <w:rPr>
              <w:color w:val="auto"/>
              <w:highlight w:val="none"/>
            </w:rPr>
            <w:fldChar w:fldCharType="separate"/>
          </w:r>
          <w:r>
            <w:rPr>
              <w:rStyle w:val="39"/>
              <w:rFonts w:asciiTheme="minorEastAsia" w:hAnsiTheme="minorEastAsia"/>
              <w:color w:val="auto"/>
              <w:highlight w:val="none"/>
            </w:rPr>
            <w:t xml:space="preserve">1.3 </w:t>
          </w:r>
          <w:r>
            <w:rPr>
              <w:rStyle w:val="39"/>
              <w:rFonts w:hint="eastAsia" w:asciiTheme="minorEastAsia" w:hAnsiTheme="minorEastAsia"/>
              <w:color w:val="auto"/>
              <w:highlight w:val="none"/>
            </w:rPr>
            <w:t>合同文件的优先顺序</w:t>
          </w:r>
          <w:r>
            <w:rPr>
              <w:color w:val="auto"/>
              <w:highlight w:val="none"/>
            </w:rPr>
            <w:tab/>
          </w:r>
          <w:r>
            <w:rPr>
              <w:color w:val="auto"/>
              <w:highlight w:val="none"/>
            </w:rPr>
            <w:fldChar w:fldCharType="begin"/>
          </w:r>
          <w:r>
            <w:rPr>
              <w:color w:val="auto"/>
              <w:highlight w:val="none"/>
            </w:rPr>
            <w:instrText xml:space="preserve"> PAGEREF _Toc76398645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0F11566E">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"_Toc76398646" </w:instrText>
          </w:r>
          <w:r>
            <w:rPr>
              <w:color w:val="auto"/>
              <w:highlight w:val="none"/>
            </w:rPr>
            <w:fldChar w:fldCharType="separate"/>
          </w:r>
          <w:r>
            <w:rPr>
              <w:rStyle w:val="39"/>
              <w:rFonts w:asciiTheme="minorEastAsia" w:hAnsiTheme="minorEastAsia"/>
              <w:color w:val="auto"/>
              <w:highlight w:val="none"/>
            </w:rPr>
            <w:t xml:space="preserve">1.4 </w:t>
          </w:r>
          <w:r>
            <w:rPr>
              <w:rStyle w:val="39"/>
              <w:rFonts w:hint="eastAsia" w:asciiTheme="minorEastAsia" w:hAnsiTheme="minorEastAsia"/>
              <w:color w:val="auto"/>
              <w:highlight w:val="none"/>
            </w:rPr>
            <w:t>适用法律</w:t>
          </w:r>
          <w:r>
            <w:rPr>
              <w:color w:val="auto"/>
              <w:highlight w:val="none"/>
            </w:rPr>
            <w:tab/>
          </w:r>
          <w:r>
            <w:rPr>
              <w:color w:val="auto"/>
              <w:highlight w:val="none"/>
            </w:rPr>
            <w:fldChar w:fldCharType="begin"/>
          </w:r>
          <w:r>
            <w:rPr>
              <w:color w:val="auto"/>
              <w:highlight w:val="none"/>
            </w:rPr>
            <w:instrText xml:space="preserve"> PAGEREF _Toc76398646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3822AFFD">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"_Toc76398647" </w:instrText>
          </w:r>
          <w:r>
            <w:rPr>
              <w:color w:val="auto"/>
              <w:highlight w:val="none"/>
            </w:rPr>
            <w:fldChar w:fldCharType="separate"/>
          </w:r>
          <w:r>
            <w:rPr>
              <w:rStyle w:val="39"/>
              <w:rFonts w:asciiTheme="minorEastAsia" w:hAnsiTheme="minorEastAsia"/>
              <w:color w:val="auto"/>
              <w:highlight w:val="none"/>
            </w:rPr>
            <w:t>2.</w:t>
          </w:r>
          <w:r>
            <w:rPr>
              <w:rStyle w:val="39"/>
              <w:rFonts w:hint="eastAsia" w:asciiTheme="minorEastAsia" w:hAnsiTheme="minorEastAsia"/>
              <w:color w:val="auto"/>
              <w:highlight w:val="none"/>
            </w:rPr>
            <w:t>委托人的义务</w:t>
          </w:r>
          <w:r>
            <w:rPr>
              <w:color w:val="auto"/>
              <w:highlight w:val="none"/>
            </w:rPr>
            <w:tab/>
          </w:r>
          <w:r>
            <w:rPr>
              <w:color w:val="auto"/>
              <w:highlight w:val="none"/>
            </w:rPr>
            <w:fldChar w:fldCharType="begin"/>
          </w:r>
          <w:r>
            <w:rPr>
              <w:color w:val="auto"/>
              <w:highlight w:val="none"/>
            </w:rPr>
            <w:instrText xml:space="preserve"> PAGEREF _Toc76398647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439F1613">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"_Toc76398648" </w:instrText>
          </w:r>
          <w:r>
            <w:rPr>
              <w:color w:val="auto"/>
              <w:highlight w:val="none"/>
            </w:rPr>
            <w:fldChar w:fldCharType="separate"/>
          </w:r>
          <w:r>
            <w:rPr>
              <w:rStyle w:val="39"/>
              <w:rFonts w:asciiTheme="minorEastAsia" w:hAnsiTheme="minorEastAsia"/>
              <w:color w:val="auto"/>
              <w:highlight w:val="none"/>
            </w:rPr>
            <w:t xml:space="preserve">2.1 </w:t>
          </w:r>
          <w:r>
            <w:rPr>
              <w:rStyle w:val="39"/>
              <w:rFonts w:hint="eastAsia" w:asciiTheme="minorEastAsia" w:hAnsiTheme="minorEastAsia"/>
              <w:color w:val="auto"/>
              <w:highlight w:val="none"/>
            </w:rPr>
            <w:t>提供资料</w:t>
          </w:r>
          <w:r>
            <w:rPr>
              <w:color w:val="auto"/>
              <w:highlight w:val="none"/>
            </w:rPr>
            <w:tab/>
          </w:r>
          <w:r>
            <w:rPr>
              <w:color w:val="auto"/>
              <w:highlight w:val="none"/>
            </w:rPr>
            <w:fldChar w:fldCharType="begin"/>
          </w:r>
          <w:r>
            <w:rPr>
              <w:color w:val="auto"/>
              <w:highlight w:val="none"/>
            </w:rPr>
            <w:instrText xml:space="preserve"> PAGEREF _Toc76398648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0CDDC4D">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"_Toc76398649" </w:instrText>
          </w:r>
          <w:r>
            <w:rPr>
              <w:color w:val="auto"/>
              <w:highlight w:val="none"/>
            </w:rPr>
            <w:fldChar w:fldCharType="separate"/>
          </w:r>
          <w:r>
            <w:rPr>
              <w:rStyle w:val="39"/>
              <w:rFonts w:asciiTheme="minorEastAsia" w:hAnsiTheme="minorEastAsia"/>
              <w:color w:val="auto"/>
              <w:highlight w:val="none"/>
            </w:rPr>
            <w:t xml:space="preserve">2.2 </w:t>
          </w:r>
          <w:r>
            <w:rPr>
              <w:rStyle w:val="39"/>
              <w:rFonts w:hint="eastAsia" w:asciiTheme="minorEastAsia" w:hAnsiTheme="minorEastAsia"/>
              <w:color w:val="auto"/>
              <w:highlight w:val="none"/>
            </w:rPr>
            <w:t>提供工作条件</w:t>
          </w:r>
          <w:r>
            <w:rPr>
              <w:color w:val="auto"/>
              <w:highlight w:val="none"/>
            </w:rPr>
            <w:tab/>
          </w:r>
          <w:r>
            <w:rPr>
              <w:color w:val="auto"/>
              <w:highlight w:val="none"/>
            </w:rPr>
            <w:fldChar w:fldCharType="begin"/>
          </w:r>
          <w:r>
            <w:rPr>
              <w:color w:val="auto"/>
              <w:highlight w:val="none"/>
            </w:rPr>
            <w:instrText xml:space="preserve"> PAGEREF _Toc76398649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7CD92FC">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"_Toc76398650" </w:instrText>
          </w:r>
          <w:r>
            <w:rPr>
              <w:color w:val="auto"/>
              <w:highlight w:val="none"/>
            </w:rPr>
            <w:fldChar w:fldCharType="separate"/>
          </w:r>
          <w:r>
            <w:rPr>
              <w:rStyle w:val="39"/>
              <w:rFonts w:asciiTheme="minorEastAsia" w:hAnsiTheme="minorEastAsia"/>
              <w:color w:val="auto"/>
              <w:highlight w:val="none"/>
            </w:rPr>
            <w:t xml:space="preserve">2.3 </w:t>
          </w:r>
          <w:r>
            <w:rPr>
              <w:rStyle w:val="39"/>
              <w:rFonts w:hint="eastAsia" w:asciiTheme="minorEastAsia" w:hAnsiTheme="minorEastAsia"/>
              <w:color w:val="auto"/>
              <w:highlight w:val="none"/>
            </w:rPr>
            <w:t>合理工作时限</w:t>
          </w:r>
          <w:r>
            <w:rPr>
              <w:color w:val="auto"/>
              <w:highlight w:val="none"/>
            </w:rPr>
            <w:tab/>
          </w:r>
          <w:r>
            <w:rPr>
              <w:color w:val="auto"/>
              <w:highlight w:val="none"/>
            </w:rPr>
            <w:fldChar w:fldCharType="begin"/>
          </w:r>
          <w:r>
            <w:rPr>
              <w:color w:val="auto"/>
              <w:highlight w:val="none"/>
            </w:rPr>
            <w:instrText xml:space="preserve"> PAGEREF _Toc76398650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0465F27A">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"_Toc76398651" </w:instrText>
          </w:r>
          <w:r>
            <w:rPr>
              <w:color w:val="auto"/>
              <w:highlight w:val="none"/>
            </w:rPr>
            <w:fldChar w:fldCharType="separate"/>
          </w:r>
          <w:r>
            <w:rPr>
              <w:rStyle w:val="39"/>
              <w:rFonts w:asciiTheme="minorEastAsia" w:hAnsiTheme="minorEastAsia"/>
              <w:color w:val="auto"/>
              <w:highlight w:val="none"/>
            </w:rPr>
            <w:t xml:space="preserve">2.4 </w:t>
          </w:r>
          <w:r>
            <w:rPr>
              <w:rStyle w:val="39"/>
              <w:rFonts w:hint="eastAsia" w:asciiTheme="minorEastAsia" w:hAnsiTheme="minorEastAsia"/>
              <w:color w:val="auto"/>
              <w:highlight w:val="none"/>
            </w:rPr>
            <w:t>委托人代表</w:t>
          </w:r>
          <w:r>
            <w:rPr>
              <w:color w:val="auto"/>
              <w:highlight w:val="none"/>
            </w:rPr>
            <w:tab/>
          </w:r>
          <w:r>
            <w:rPr>
              <w:color w:val="auto"/>
              <w:highlight w:val="none"/>
            </w:rPr>
            <w:fldChar w:fldCharType="begin"/>
          </w:r>
          <w:r>
            <w:rPr>
              <w:color w:val="auto"/>
              <w:highlight w:val="none"/>
            </w:rPr>
            <w:instrText xml:space="preserve"> PAGEREF _Toc76398651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12035EE4">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"_Toc76398652" </w:instrText>
          </w:r>
          <w:r>
            <w:rPr>
              <w:color w:val="auto"/>
              <w:highlight w:val="none"/>
            </w:rPr>
            <w:fldChar w:fldCharType="separate"/>
          </w:r>
          <w:r>
            <w:rPr>
              <w:rStyle w:val="39"/>
              <w:rFonts w:asciiTheme="minorEastAsia" w:hAnsiTheme="minorEastAsia"/>
              <w:color w:val="auto"/>
              <w:highlight w:val="none"/>
            </w:rPr>
            <w:t xml:space="preserve">2.5 </w:t>
          </w:r>
          <w:r>
            <w:rPr>
              <w:rStyle w:val="39"/>
              <w:rFonts w:hint="eastAsia" w:asciiTheme="minorEastAsia" w:hAnsiTheme="minorEastAsia"/>
              <w:color w:val="auto"/>
              <w:highlight w:val="none"/>
            </w:rPr>
            <w:t>答复</w:t>
          </w:r>
          <w:r>
            <w:rPr>
              <w:color w:val="auto"/>
              <w:highlight w:val="none"/>
            </w:rPr>
            <w:tab/>
          </w:r>
          <w:r>
            <w:rPr>
              <w:color w:val="auto"/>
              <w:highlight w:val="none"/>
            </w:rPr>
            <w:fldChar w:fldCharType="begin"/>
          </w:r>
          <w:r>
            <w:rPr>
              <w:color w:val="auto"/>
              <w:highlight w:val="none"/>
            </w:rPr>
            <w:instrText xml:space="preserve"> PAGEREF _Toc76398652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35A69804">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"_Toc76398653" </w:instrText>
          </w:r>
          <w:r>
            <w:rPr>
              <w:color w:val="auto"/>
              <w:highlight w:val="none"/>
            </w:rPr>
            <w:fldChar w:fldCharType="separate"/>
          </w:r>
          <w:r>
            <w:rPr>
              <w:rStyle w:val="39"/>
              <w:rFonts w:asciiTheme="minorEastAsia" w:hAnsiTheme="minorEastAsia"/>
              <w:color w:val="auto"/>
              <w:highlight w:val="none"/>
            </w:rPr>
            <w:t xml:space="preserve">2.6 </w:t>
          </w:r>
          <w:r>
            <w:rPr>
              <w:rStyle w:val="39"/>
              <w:rFonts w:hint="eastAsia" w:asciiTheme="minorEastAsia" w:hAnsiTheme="minorEastAsia"/>
              <w:color w:val="auto"/>
              <w:highlight w:val="none"/>
            </w:rPr>
            <w:t>支付</w:t>
          </w:r>
          <w:r>
            <w:rPr>
              <w:color w:val="auto"/>
              <w:highlight w:val="none"/>
            </w:rPr>
            <w:tab/>
          </w:r>
          <w:r>
            <w:rPr>
              <w:color w:val="auto"/>
              <w:highlight w:val="none"/>
            </w:rPr>
            <w:fldChar w:fldCharType="begin"/>
          </w:r>
          <w:r>
            <w:rPr>
              <w:color w:val="auto"/>
              <w:highlight w:val="none"/>
            </w:rPr>
            <w:instrText xml:space="preserve"> PAGEREF _Toc76398653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68AF9663">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"_Toc76398654" </w:instrText>
          </w:r>
          <w:r>
            <w:rPr>
              <w:color w:val="auto"/>
              <w:highlight w:val="none"/>
            </w:rPr>
            <w:fldChar w:fldCharType="separate"/>
          </w:r>
          <w:r>
            <w:rPr>
              <w:rStyle w:val="39"/>
              <w:rFonts w:asciiTheme="minorEastAsia" w:hAnsiTheme="minorEastAsia"/>
              <w:color w:val="auto"/>
              <w:highlight w:val="none"/>
            </w:rPr>
            <w:t>3.</w:t>
          </w:r>
          <w:r>
            <w:rPr>
              <w:rStyle w:val="39"/>
              <w:rFonts w:hint="eastAsia" w:asciiTheme="minorEastAsia" w:hAnsiTheme="minorEastAsia"/>
              <w:color w:val="auto"/>
              <w:highlight w:val="none"/>
            </w:rPr>
            <w:t>咨询人的义务</w:t>
          </w:r>
          <w:r>
            <w:rPr>
              <w:color w:val="auto"/>
              <w:highlight w:val="none"/>
            </w:rPr>
            <w:tab/>
          </w:r>
          <w:r>
            <w:rPr>
              <w:color w:val="auto"/>
              <w:highlight w:val="none"/>
            </w:rPr>
            <w:fldChar w:fldCharType="begin"/>
          </w:r>
          <w:r>
            <w:rPr>
              <w:color w:val="auto"/>
              <w:highlight w:val="none"/>
            </w:rPr>
            <w:instrText xml:space="preserve"> PAGEREF _Toc76398654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6A075608">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"_Toc76398655" </w:instrText>
          </w:r>
          <w:r>
            <w:rPr>
              <w:color w:val="auto"/>
              <w:highlight w:val="none"/>
            </w:rPr>
            <w:fldChar w:fldCharType="separate"/>
          </w:r>
          <w:r>
            <w:rPr>
              <w:rStyle w:val="39"/>
              <w:rFonts w:asciiTheme="minorEastAsia" w:hAnsiTheme="minorEastAsia"/>
              <w:color w:val="auto"/>
              <w:highlight w:val="none"/>
            </w:rPr>
            <w:t xml:space="preserve">3.1 </w:t>
          </w:r>
          <w:r>
            <w:rPr>
              <w:rStyle w:val="39"/>
              <w:rFonts w:hint="eastAsia" w:asciiTheme="minorEastAsia" w:hAnsiTheme="minorEastAsia"/>
              <w:color w:val="auto"/>
              <w:highlight w:val="none"/>
            </w:rPr>
            <w:t>项目咨询团队及人员</w:t>
          </w:r>
          <w:r>
            <w:rPr>
              <w:color w:val="auto"/>
              <w:highlight w:val="none"/>
            </w:rPr>
            <w:tab/>
          </w:r>
          <w:r>
            <w:rPr>
              <w:color w:val="auto"/>
              <w:highlight w:val="none"/>
            </w:rPr>
            <w:fldChar w:fldCharType="begin"/>
          </w:r>
          <w:r>
            <w:rPr>
              <w:color w:val="auto"/>
              <w:highlight w:val="none"/>
            </w:rPr>
            <w:instrText xml:space="preserve"> PAGEREF _Toc76398655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45CA7A37">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"_Toc76398656" </w:instrText>
          </w:r>
          <w:r>
            <w:rPr>
              <w:color w:val="auto"/>
              <w:highlight w:val="none"/>
            </w:rPr>
            <w:fldChar w:fldCharType="separate"/>
          </w:r>
          <w:r>
            <w:rPr>
              <w:rStyle w:val="39"/>
              <w:rFonts w:asciiTheme="minorEastAsia" w:hAnsiTheme="minorEastAsia"/>
              <w:color w:val="auto"/>
              <w:highlight w:val="none"/>
            </w:rPr>
            <w:t xml:space="preserve">3.2 </w:t>
          </w:r>
          <w:r>
            <w:rPr>
              <w:rStyle w:val="39"/>
              <w:rFonts w:hint="eastAsia" w:asciiTheme="minorEastAsia" w:hAnsiTheme="minorEastAsia"/>
              <w:color w:val="auto"/>
              <w:highlight w:val="none"/>
            </w:rPr>
            <w:t>咨询人的工作要求</w:t>
          </w:r>
          <w:r>
            <w:rPr>
              <w:color w:val="auto"/>
              <w:highlight w:val="none"/>
            </w:rPr>
            <w:tab/>
          </w:r>
          <w:r>
            <w:rPr>
              <w:color w:val="auto"/>
              <w:highlight w:val="none"/>
            </w:rPr>
            <w:fldChar w:fldCharType="begin"/>
          </w:r>
          <w:r>
            <w:rPr>
              <w:color w:val="auto"/>
              <w:highlight w:val="none"/>
            </w:rPr>
            <w:instrText xml:space="preserve"> PAGEREF _Toc76398656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6A98A4D4">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"_Toc76398657" </w:instrText>
          </w:r>
          <w:r>
            <w:rPr>
              <w:color w:val="auto"/>
              <w:highlight w:val="none"/>
            </w:rPr>
            <w:fldChar w:fldCharType="separate"/>
          </w:r>
          <w:r>
            <w:rPr>
              <w:rStyle w:val="39"/>
              <w:rFonts w:asciiTheme="minorEastAsia" w:hAnsiTheme="minorEastAsia"/>
              <w:color w:val="auto"/>
              <w:highlight w:val="none"/>
            </w:rPr>
            <w:t xml:space="preserve">3.3 </w:t>
          </w:r>
          <w:r>
            <w:rPr>
              <w:rStyle w:val="39"/>
              <w:rFonts w:hint="eastAsia" w:asciiTheme="minorEastAsia" w:hAnsiTheme="minorEastAsia"/>
              <w:color w:val="auto"/>
              <w:highlight w:val="none"/>
            </w:rPr>
            <w:t>咨询人的工作依据</w:t>
          </w:r>
          <w:r>
            <w:rPr>
              <w:color w:val="auto"/>
              <w:highlight w:val="none"/>
            </w:rPr>
            <w:tab/>
          </w:r>
          <w:r>
            <w:rPr>
              <w:color w:val="auto"/>
              <w:highlight w:val="none"/>
            </w:rPr>
            <w:fldChar w:fldCharType="begin"/>
          </w:r>
          <w:r>
            <w:rPr>
              <w:color w:val="auto"/>
              <w:highlight w:val="none"/>
            </w:rPr>
            <w:instrText xml:space="preserve"> PAGEREF _Toc76398657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7317AE2F">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"_Toc76398658" </w:instrText>
          </w:r>
          <w:r>
            <w:rPr>
              <w:color w:val="auto"/>
              <w:highlight w:val="none"/>
            </w:rPr>
            <w:fldChar w:fldCharType="separate"/>
          </w:r>
          <w:r>
            <w:rPr>
              <w:rStyle w:val="39"/>
              <w:rFonts w:asciiTheme="minorEastAsia" w:hAnsiTheme="minorEastAsia"/>
              <w:color w:val="auto"/>
              <w:highlight w:val="none"/>
            </w:rPr>
            <w:t xml:space="preserve">3.4 </w:t>
          </w:r>
          <w:r>
            <w:rPr>
              <w:rStyle w:val="39"/>
              <w:rFonts w:hint="eastAsia" w:asciiTheme="minorEastAsia" w:hAnsiTheme="minorEastAsia"/>
              <w:color w:val="auto"/>
              <w:highlight w:val="none"/>
            </w:rPr>
            <w:t>使用委托人房屋及设备的返还</w:t>
          </w:r>
          <w:r>
            <w:rPr>
              <w:color w:val="auto"/>
              <w:highlight w:val="none"/>
            </w:rPr>
            <w:tab/>
          </w:r>
          <w:r>
            <w:rPr>
              <w:color w:val="auto"/>
              <w:highlight w:val="none"/>
            </w:rPr>
            <w:fldChar w:fldCharType="begin"/>
          </w:r>
          <w:r>
            <w:rPr>
              <w:color w:val="auto"/>
              <w:highlight w:val="none"/>
            </w:rPr>
            <w:instrText xml:space="preserve"> PAGEREF _Toc76398658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731C70E8">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"_Toc76398659" </w:instrText>
          </w:r>
          <w:r>
            <w:rPr>
              <w:color w:val="auto"/>
              <w:highlight w:val="none"/>
            </w:rPr>
            <w:fldChar w:fldCharType="separate"/>
          </w:r>
          <w:r>
            <w:rPr>
              <w:rStyle w:val="39"/>
              <w:rFonts w:asciiTheme="minorEastAsia" w:hAnsiTheme="minorEastAsia"/>
              <w:color w:val="auto"/>
              <w:highlight w:val="none"/>
            </w:rPr>
            <w:t>4.</w:t>
          </w:r>
          <w:r>
            <w:rPr>
              <w:rStyle w:val="39"/>
              <w:rFonts w:hint="eastAsia" w:asciiTheme="minorEastAsia" w:hAnsiTheme="minorEastAsia"/>
              <w:color w:val="auto"/>
              <w:highlight w:val="none"/>
            </w:rPr>
            <w:t>违约责任</w:t>
          </w:r>
          <w:r>
            <w:rPr>
              <w:color w:val="auto"/>
              <w:highlight w:val="none"/>
            </w:rPr>
            <w:tab/>
          </w:r>
          <w:r>
            <w:rPr>
              <w:color w:val="auto"/>
              <w:highlight w:val="none"/>
            </w:rPr>
            <w:fldChar w:fldCharType="begin"/>
          </w:r>
          <w:r>
            <w:rPr>
              <w:color w:val="auto"/>
              <w:highlight w:val="none"/>
            </w:rPr>
            <w:instrText xml:space="preserve"> PAGEREF _Toc76398659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7364F4BC">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"_Toc76398660" </w:instrText>
          </w:r>
          <w:r>
            <w:rPr>
              <w:color w:val="auto"/>
              <w:highlight w:val="none"/>
            </w:rPr>
            <w:fldChar w:fldCharType="separate"/>
          </w:r>
          <w:r>
            <w:rPr>
              <w:rStyle w:val="39"/>
              <w:rFonts w:asciiTheme="minorEastAsia" w:hAnsiTheme="minorEastAsia"/>
              <w:color w:val="auto"/>
              <w:highlight w:val="none"/>
            </w:rPr>
            <w:t xml:space="preserve">4.1 </w:t>
          </w:r>
          <w:r>
            <w:rPr>
              <w:rStyle w:val="39"/>
              <w:rFonts w:hint="eastAsia" w:asciiTheme="minorEastAsia" w:hAnsiTheme="minorEastAsia"/>
              <w:color w:val="auto"/>
              <w:highlight w:val="none"/>
            </w:rPr>
            <w:t>委托人的违约责任</w:t>
          </w:r>
          <w:r>
            <w:rPr>
              <w:color w:val="auto"/>
              <w:highlight w:val="none"/>
            </w:rPr>
            <w:tab/>
          </w:r>
          <w:r>
            <w:rPr>
              <w:color w:val="auto"/>
              <w:highlight w:val="none"/>
            </w:rPr>
            <w:fldChar w:fldCharType="begin"/>
          </w:r>
          <w:r>
            <w:rPr>
              <w:color w:val="auto"/>
              <w:highlight w:val="none"/>
            </w:rPr>
            <w:instrText xml:space="preserve"> PAGEREF _Toc76398660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2D32EF24">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"_Toc76398661" </w:instrText>
          </w:r>
          <w:r>
            <w:rPr>
              <w:color w:val="auto"/>
              <w:highlight w:val="none"/>
            </w:rPr>
            <w:fldChar w:fldCharType="separate"/>
          </w:r>
          <w:r>
            <w:rPr>
              <w:rStyle w:val="39"/>
              <w:rFonts w:asciiTheme="minorEastAsia" w:hAnsiTheme="minorEastAsia"/>
              <w:color w:val="auto"/>
              <w:highlight w:val="none"/>
            </w:rPr>
            <w:t xml:space="preserve">4.2 </w:t>
          </w:r>
          <w:r>
            <w:rPr>
              <w:rStyle w:val="39"/>
              <w:rFonts w:hint="eastAsia" w:asciiTheme="minorEastAsia" w:hAnsiTheme="minorEastAsia"/>
              <w:color w:val="auto"/>
              <w:highlight w:val="none"/>
            </w:rPr>
            <w:t>咨询人的违约责任</w:t>
          </w:r>
          <w:r>
            <w:rPr>
              <w:color w:val="auto"/>
              <w:highlight w:val="none"/>
            </w:rPr>
            <w:tab/>
          </w:r>
          <w:r>
            <w:rPr>
              <w:color w:val="auto"/>
              <w:highlight w:val="none"/>
            </w:rPr>
            <w:fldChar w:fldCharType="begin"/>
          </w:r>
          <w:r>
            <w:rPr>
              <w:color w:val="auto"/>
              <w:highlight w:val="none"/>
            </w:rPr>
            <w:instrText xml:space="preserve"> PAGEREF _Toc76398661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787F814">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"_Toc76398662" </w:instrText>
          </w:r>
          <w:r>
            <w:rPr>
              <w:color w:val="auto"/>
              <w:highlight w:val="none"/>
            </w:rPr>
            <w:fldChar w:fldCharType="separate"/>
          </w:r>
          <w:r>
            <w:rPr>
              <w:rStyle w:val="39"/>
              <w:rFonts w:asciiTheme="minorEastAsia" w:hAnsiTheme="minorEastAsia"/>
              <w:color w:val="auto"/>
              <w:highlight w:val="none"/>
            </w:rPr>
            <w:t>5.</w:t>
          </w:r>
          <w:r>
            <w:rPr>
              <w:rStyle w:val="39"/>
              <w:rFonts w:hint="eastAsia" w:asciiTheme="minorEastAsia" w:hAnsiTheme="minorEastAsia"/>
              <w:color w:val="auto"/>
              <w:highlight w:val="none"/>
            </w:rPr>
            <w:t>支付</w:t>
          </w:r>
          <w:r>
            <w:rPr>
              <w:color w:val="auto"/>
              <w:highlight w:val="none"/>
            </w:rPr>
            <w:tab/>
          </w:r>
          <w:r>
            <w:rPr>
              <w:color w:val="auto"/>
              <w:highlight w:val="none"/>
            </w:rPr>
            <w:fldChar w:fldCharType="begin"/>
          </w:r>
          <w:r>
            <w:rPr>
              <w:color w:val="auto"/>
              <w:highlight w:val="none"/>
            </w:rPr>
            <w:instrText xml:space="preserve"> PAGEREF _Toc76398662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4D3A2D63">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"_Toc76398663" </w:instrText>
          </w:r>
          <w:r>
            <w:rPr>
              <w:color w:val="auto"/>
              <w:highlight w:val="none"/>
            </w:rPr>
            <w:fldChar w:fldCharType="separate"/>
          </w:r>
          <w:r>
            <w:rPr>
              <w:rStyle w:val="39"/>
              <w:rFonts w:asciiTheme="minorEastAsia" w:hAnsiTheme="minorEastAsia"/>
              <w:color w:val="auto"/>
              <w:highlight w:val="none"/>
            </w:rPr>
            <w:t xml:space="preserve">5.1 </w:t>
          </w:r>
          <w:r>
            <w:rPr>
              <w:rStyle w:val="39"/>
              <w:rFonts w:hint="eastAsia" w:asciiTheme="minorEastAsia" w:hAnsiTheme="minorEastAsia"/>
              <w:color w:val="auto"/>
              <w:highlight w:val="none"/>
            </w:rPr>
            <w:t>支付货币</w:t>
          </w:r>
          <w:r>
            <w:rPr>
              <w:color w:val="auto"/>
              <w:highlight w:val="none"/>
            </w:rPr>
            <w:tab/>
          </w:r>
          <w:r>
            <w:rPr>
              <w:color w:val="auto"/>
              <w:highlight w:val="none"/>
            </w:rPr>
            <w:fldChar w:fldCharType="begin"/>
          </w:r>
          <w:r>
            <w:rPr>
              <w:color w:val="auto"/>
              <w:highlight w:val="none"/>
            </w:rPr>
            <w:instrText xml:space="preserve"> PAGEREF _Toc76398663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47194D9F">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"_Toc76398664" </w:instrText>
          </w:r>
          <w:r>
            <w:rPr>
              <w:color w:val="auto"/>
              <w:highlight w:val="none"/>
            </w:rPr>
            <w:fldChar w:fldCharType="separate"/>
          </w:r>
          <w:r>
            <w:rPr>
              <w:rStyle w:val="39"/>
              <w:rFonts w:asciiTheme="minorEastAsia" w:hAnsiTheme="minorEastAsia"/>
              <w:color w:val="auto"/>
              <w:highlight w:val="none"/>
            </w:rPr>
            <w:t xml:space="preserve">5.2 </w:t>
          </w:r>
          <w:r>
            <w:rPr>
              <w:rStyle w:val="39"/>
              <w:rFonts w:hint="eastAsia" w:asciiTheme="minorEastAsia" w:hAnsiTheme="minorEastAsia"/>
              <w:color w:val="auto"/>
              <w:highlight w:val="none"/>
            </w:rPr>
            <w:t>支付申请</w:t>
          </w:r>
          <w:r>
            <w:rPr>
              <w:color w:val="auto"/>
              <w:highlight w:val="none"/>
            </w:rPr>
            <w:tab/>
          </w:r>
          <w:r>
            <w:rPr>
              <w:color w:val="auto"/>
              <w:highlight w:val="none"/>
            </w:rPr>
            <w:fldChar w:fldCharType="begin"/>
          </w:r>
          <w:r>
            <w:rPr>
              <w:color w:val="auto"/>
              <w:highlight w:val="none"/>
            </w:rPr>
            <w:instrText xml:space="preserve"> PAGEREF _Toc76398664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011E899D">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"_Toc76398665" </w:instrText>
          </w:r>
          <w:r>
            <w:rPr>
              <w:color w:val="auto"/>
              <w:highlight w:val="none"/>
            </w:rPr>
            <w:fldChar w:fldCharType="separate"/>
          </w:r>
          <w:r>
            <w:rPr>
              <w:rStyle w:val="39"/>
              <w:rFonts w:asciiTheme="minorEastAsia" w:hAnsiTheme="minorEastAsia"/>
              <w:color w:val="auto"/>
              <w:highlight w:val="none"/>
            </w:rPr>
            <w:t xml:space="preserve">5.3 </w:t>
          </w:r>
          <w:r>
            <w:rPr>
              <w:rStyle w:val="39"/>
              <w:rFonts w:hint="eastAsia" w:asciiTheme="minorEastAsia" w:hAnsiTheme="minorEastAsia"/>
              <w:color w:val="auto"/>
              <w:highlight w:val="none"/>
            </w:rPr>
            <w:t>支付酬金</w:t>
          </w:r>
          <w:r>
            <w:rPr>
              <w:color w:val="auto"/>
              <w:highlight w:val="none"/>
            </w:rPr>
            <w:tab/>
          </w:r>
          <w:r>
            <w:rPr>
              <w:color w:val="auto"/>
              <w:highlight w:val="none"/>
            </w:rPr>
            <w:fldChar w:fldCharType="begin"/>
          </w:r>
          <w:r>
            <w:rPr>
              <w:color w:val="auto"/>
              <w:highlight w:val="none"/>
            </w:rPr>
            <w:instrText xml:space="preserve"> PAGEREF _Toc76398665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1BB2C03">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"_Toc76398666" </w:instrText>
          </w:r>
          <w:r>
            <w:rPr>
              <w:color w:val="auto"/>
              <w:highlight w:val="none"/>
            </w:rPr>
            <w:fldChar w:fldCharType="separate"/>
          </w:r>
          <w:r>
            <w:rPr>
              <w:rStyle w:val="39"/>
              <w:rFonts w:asciiTheme="minorEastAsia" w:hAnsiTheme="minorEastAsia"/>
              <w:color w:val="auto"/>
              <w:highlight w:val="none"/>
            </w:rPr>
            <w:t xml:space="preserve">5.4 </w:t>
          </w:r>
          <w:r>
            <w:rPr>
              <w:rStyle w:val="39"/>
              <w:rFonts w:hint="eastAsia" w:asciiTheme="minorEastAsia" w:hAnsiTheme="minorEastAsia"/>
              <w:color w:val="auto"/>
              <w:highlight w:val="none"/>
            </w:rPr>
            <w:t>有异议部分的支付</w:t>
          </w:r>
          <w:r>
            <w:rPr>
              <w:color w:val="auto"/>
              <w:highlight w:val="none"/>
            </w:rPr>
            <w:tab/>
          </w:r>
          <w:r>
            <w:rPr>
              <w:color w:val="auto"/>
              <w:highlight w:val="none"/>
            </w:rPr>
            <w:fldChar w:fldCharType="begin"/>
          </w:r>
          <w:r>
            <w:rPr>
              <w:color w:val="auto"/>
              <w:highlight w:val="none"/>
            </w:rPr>
            <w:instrText xml:space="preserve"> PAGEREF _Toc76398666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4408B21E">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"_Toc76398667" </w:instrText>
          </w:r>
          <w:r>
            <w:rPr>
              <w:color w:val="auto"/>
              <w:highlight w:val="none"/>
            </w:rPr>
            <w:fldChar w:fldCharType="separate"/>
          </w:r>
          <w:r>
            <w:rPr>
              <w:rStyle w:val="39"/>
              <w:rFonts w:asciiTheme="minorEastAsia" w:hAnsiTheme="minorEastAsia"/>
              <w:color w:val="auto"/>
              <w:highlight w:val="none"/>
            </w:rPr>
            <w:t>6.</w:t>
          </w:r>
          <w:r>
            <w:rPr>
              <w:rStyle w:val="39"/>
              <w:rFonts w:hint="eastAsia" w:asciiTheme="minorEastAsia" w:hAnsiTheme="minorEastAsia"/>
              <w:color w:val="auto"/>
              <w:highlight w:val="none"/>
            </w:rPr>
            <w:t>合同变更、解除与终止</w:t>
          </w:r>
          <w:r>
            <w:rPr>
              <w:color w:val="auto"/>
              <w:highlight w:val="none"/>
            </w:rPr>
            <w:tab/>
          </w:r>
          <w:r>
            <w:rPr>
              <w:color w:val="auto"/>
              <w:highlight w:val="none"/>
            </w:rPr>
            <w:fldChar w:fldCharType="begin"/>
          </w:r>
          <w:r>
            <w:rPr>
              <w:color w:val="auto"/>
              <w:highlight w:val="none"/>
            </w:rPr>
            <w:instrText xml:space="preserve"> PAGEREF _Toc76398667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6A1A9B5C">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"_Toc76398668" </w:instrText>
          </w:r>
          <w:r>
            <w:rPr>
              <w:color w:val="auto"/>
              <w:highlight w:val="none"/>
            </w:rPr>
            <w:fldChar w:fldCharType="separate"/>
          </w:r>
          <w:r>
            <w:rPr>
              <w:rStyle w:val="39"/>
              <w:rFonts w:asciiTheme="minorEastAsia" w:hAnsiTheme="minorEastAsia"/>
              <w:color w:val="auto"/>
              <w:highlight w:val="none"/>
            </w:rPr>
            <w:t xml:space="preserve">6.1 </w:t>
          </w:r>
          <w:r>
            <w:rPr>
              <w:rStyle w:val="39"/>
              <w:rFonts w:hint="eastAsia" w:asciiTheme="minorEastAsia" w:hAnsiTheme="minorEastAsia"/>
              <w:color w:val="auto"/>
              <w:highlight w:val="none"/>
            </w:rPr>
            <w:t>合同变更</w:t>
          </w:r>
          <w:r>
            <w:rPr>
              <w:color w:val="auto"/>
              <w:highlight w:val="none"/>
            </w:rPr>
            <w:tab/>
          </w:r>
          <w:r>
            <w:rPr>
              <w:color w:val="auto"/>
              <w:highlight w:val="none"/>
            </w:rPr>
            <w:fldChar w:fldCharType="begin"/>
          </w:r>
          <w:r>
            <w:rPr>
              <w:color w:val="auto"/>
              <w:highlight w:val="none"/>
            </w:rPr>
            <w:instrText xml:space="preserve"> PAGEREF _Toc76398668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72229170">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"_Toc76398669" </w:instrText>
          </w:r>
          <w:r>
            <w:rPr>
              <w:color w:val="auto"/>
              <w:highlight w:val="none"/>
            </w:rPr>
            <w:fldChar w:fldCharType="separate"/>
          </w:r>
          <w:r>
            <w:rPr>
              <w:rStyle w:val="39"/>
              <w:rFonts w:asciiTheme="minorEastAsia" w:hAnsiTheme="minorEastAsia"/>
              <w:color w:val="auto"/>
              <w:highlight w:val="none"/>
            </w:rPr>
            <w:t xml:space="preserve">6.2 </w:t>
          </w:r>
          <w:r>
            <w:rPr>
              <w:rStyle w:val="39"/>
              <w:rFonts w:hint="eastAsia" w:asciiTheme="minorEastAsia" w:hAnsiTheme="minorEastAsia"/>
              <w:color w:val="auto"/>
              <w:highlight w:val="none"/>
            </w:rPr>
            <w:t>合同解除</w:t>
          </w:r>
          <w:r>
            <w:rPr>
              <w:color w:val="auto"/>
              <w:highlight w:val="none"/>
            </w:rPr>
            <w:tab/>
          </w:r>
          <w:r>
            <w:rPr>
              <w:color w:val="auto"/>
              <w:highlight w:val="none"/>
            </w:rPr>
            <w:fldChar w:fldCharType="begin"/>
          </w:r>
          <w:r>
            <w:rPr>
              <w:color w:val="auto"/>
              <w:highlight w:val="none"/>
            </w:rPr>
            <w:instrText xml:space="preserve"> PAGEREF _Toc76398669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1E95E0E4">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"_Toc76398670" </w:instrText>
          </w:r>
          <w:r>
            <w:rPr>
              <w:color w:val="auto"/>
              <w:highlight w:val="none"/>
            </w:rPr>
            <w:fldChar w:fldCharType="separate"/>
          </w:r>
          <w:r>
            <w:rPr>
              <w:rStyle w:val="39"/>
              <w:rFonts w:asciiTheme="minorEastAsia" w:hAnsiTheme="minorEastAsia"/>
              <w:color w:val="auto"/>
              <w:highlight w:val="none"/>
            </w:rPr>
            <w:t xml:space="preserve">6.3 </w:t>
          </w:r>
          <w:r>
            <w:rPr>
              <w:rStyle w:val="39"/>
              <w:rFonts w:hint="eastAsia" w:asciiTheme="minorEastAsia" w:hAnsiTheme="minorEastAsia"/>
              <w:color w:val="auto"/>
              <w:highlight w:val="none"/>
            </w:rPr>
            <w:t>合同终止</w:t>
          </w:r>
          <w:r>
            <w:rPr>
              <w:color w:val="auto"/>
              <w:highlight w:val="none"/>
            </w:rPr>
            <w:tab/>
          </w:r>
          <w:r>
            <w:rPr>
              <w:color w:val="auto"/>
              <w:highlight w:val="none"/>
            </w:rPr>
            <w:fldChar w:fldCharType="begin"/>
          </w:r>
          <w:r>
            <w:rPr>
              <w:color w:val="auto"/>
              <w:highlight w:val="none"/>
            </w:rPr>
            <w:instrText xml:space="preserve"> PAGEREF _Toc76398670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56FA02DD">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"_Toc76398671" </w:instrText>
          </w:r>
          <w:r>
            <w:rPr>
              <w:color w:val="auto"/>
              <w:highlight w:val="none"/>
            </w:rPr>
            <w:fldChar w:fldCharType="separate"/>
          </w:r>
          <w:r>
            <w:rPr>
              <w:rStyle w:val="39"/>
              <w:rFonts w:asciiTheme="minorEastAsia" w:hAnsiTheme="minorEastAsia"/>
              <w:color w:val="auto"/>
              <w:highlight w:val="none"/>
            </w:rPr>
            <w:t>7.</w:t>
          </w:r>
          <w:r>
            <w:rPr>
              <w:rStyle w:val="39"/>
              <w:rFonts w:hint="eastAsia" w:asciiTheme="minorEastAsia" w:hAnsiTheme="minorEastAsia"/>
              <w:color w:val="auto"/>
              <w:highlight w:val="none"/>
            </w:rPr>
            <w:t>争议解决</w:t>
          </w:r>
          <w:r>
            <w:rPr>
              <w:color w:val="auto"/>
              <w:highlight w:val="none"/>
            </w:rPr>
            <w:tab/>
          </w:r>
          <w:r>
            <w:rPr>
              <w:color w:val="auto"/>
              <w:highlight w:val="none"/>
            </w:rPr>
            <w:fldChar w:fldCharType="begin"/>
          </w:r>
          <w:r>
            <w:rPr>
              <w:color w:val="auto"/>
              <w:highlight w:val="none"/>
            </w:rPr>
            <w:instrText xml:space="preserve"> PAGEREF _Toc76398671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4FB601F7">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"_Toc76398672" </w:instrText>
          </w:r>
          <w:r>
            <w:rPr>
              <w:color w:val="auto"/>
              <w:highlight w:val="none"/>
            </w:rPr>
            <w:fldChar w:fldCharType="separate"/>
          </w:r>
          <w:r>
            <w:rPr>
              <w:rStyle w:val="39"/>
              <w:rFonts w:asciiTheme="minorEastAsia" w:hAnsiTheme="minorEastAsia"/>
              <w:color w:val="auto"/>
              <w:highlight w:val="none"/>
            </w:rPr>
            <w:t xml:space="preserve">7.1 </w:t>
          </w:r>
          <w:r>
            <w:rPr>
              <w:rStyle w:val="39"/>
              <w:rFonts w:hint="eastAsia" w:asciiTheme="minorEastAsia" w:hAnsiTheme="minorEastAsia"/>
              <w:color w:val="auto"/>
              <w:highlight w:val="none"/>
            </w:rPr>
            <w:t>协商</w:t>
          </w:r>
          <w:r>
            <w:rPr>
              <w:color w:val="auto"/>
              <w:highlight w:val="none"/>
            </w:rPr>
            <w:tab/>
          </w:r>
          <w:r>
            <w:rPr>
              <w:color w:val="auto"/>
              <w:highlight w:val="none"/>
            </w:rPr>
            <w:fldChar w:fldCharType="begin"/>
          </w:r>
          <w:r>
            <w:rPr>
              <w:color w:val="auto"/>
              <w:highlight w:val="none"/>
            </w:rPr>
            <w:instrText xml:space="preserve"> PAGEREF _Toc76398672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42F4197A">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"_Toc76398673" </w:instrText>
          </w:r>
          <w:r>
            <w:rPr>
              <w:color w:val="auto"/>
              <w:highlight w:val="none"/>
            </w:rPr>
            <w:fldChar w:fldCharType="separate"/>
          </w:r>
          <w:r>
            <w:rPr>
              <w:rStyle w:val="39"/>
              <w:rFonts w:asciiTheme="minorEastAsia" w:hAnsiTheme="minorEastAsia"/>
              <w:color w:val="auto"/>
              <w:highlight w:val="none"/>
            </w:rPr>
            <w:t xml:space="preserve">7.2 </w:t>
          </w:r>
          <w:r>
            <w:rPr>
              <w:rStyle w:val="39"/>
              <w:rFonts w:hint="eastAsia" w:asciiTheme="minorEastAsia" w:hAnsiTheme="minorEastAsia"/>
              <w:color w:val="auto"/>
              <w:highlight w:val="none"/>
            </w:rPr>
            <w:t>调解</w:t>
          </w:r>
          <w:r>
            <w:rPr>
              <w:color w:val="auto"/>
              <w:highlight w:val="none"/>
            </w:rPr>
            <w:tab/>
          </w:r>
          <w:r>
            <w:rPr>
              <w:color w:val="auto"/>
              <w:highlight w:val="none"/>
            </w:rPr>
            <w:fldChar w:fldCharType="begin"/>
          </w:r>
          <w:r>
            <w:rPr>
              <w:color w:val="auto"/>
              <w:highlight w:val="none"/>
            </w:rPr>
            <w:instrText xml:space="preserve"> PAGEREF _Toc76398673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2FC62A81">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"_Toc76398674" </w:instrText>
          </w:r>
          <w:r>
            <w:rPr>
              <w:color w:val="auto"/>
              <w:highlight w:val="none"/>
            </w:rPr>
            <w:fldChar w:fldCharType="separate"/>
          </w:r>
          <w:r>
            <w:rPr>
              <w:rStyle w:val="39"/>
              <w:rFonts w:asciiTheme="minorEastAsia" w:hAnsiTheme="minorEastAsia"/>
              <w:color w:val="auto"/>
              <w:highlight w:val="none"/>
            </w:rPr>
            <w:t xml:space="preserve">7.3 </w:t>
          </w:r>
          <w:r>
            <w:rPr>
              <w:rStyle w:val="39"/>
              <w:rFonts w:hint="eastAsia" w:asciiTheme="minorEastAsia" w:hAnsiTheme="minorEastAsia"/>
              <w:color w:val="auto"/>
              <w:highlight w:val="none"/>
            </w:rPr>
            <w:t>仲裁或诉讼</w:t>
          </w:r>
          <w:r>
            <w:rPr>
              <w:color w:val="auto"/>
              <w:highlight w:val="none"/>
            </w:rPr>
            <w:tab/>
          </w:r>
          <w:r>
            <w:rPr>
              <w:color w:val="auto"/>
              <w:highlight w:val="none"/>
            </w:rPr>
            <w:fldChar w:fldCharType="begin"/>
          </w:r>
          <w:r>
            <w:rPr>
              <w:color w:val="auto"/>
              <w:highlight w:val="none"/>
            </w:rPr>
            <w:instrText xml:space="preserve"> PAGEREF _Toc76398674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2C326C45">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"_Toc76398675" </w:instrText>
          </w:r>
          <w:r>
            <w:rPr>
              <w:color w:val="auto"/>
              <w:highlight w:val="none"/>
            </w:rPr>
            <w:fldChar w:fldCharType="separate"/>
          </w:r>
          <w:r>
            <w:rPr>
              <w:rStyle w:val="39"/>
              <w:rFonts w:asciiTheme="minorEastAsia" w:hAnsiTheme="minorEastAsia"/>
              <w:color w:val="auto"/>
              <w:highlight w:val="none"/>
            </w:rPr>
            <w:t>8.</w:t>
          </w:r>
          <w:r>
            <w:rPr>
              <w:rStyle w:val="39"/>
              <w:rFonts w:hint="eastAsia" w:asciiTheme="minorEastAsia" w:hAnsiTheme="minorEastAsia"/>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_Toc76398675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4CC26FB9">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"_Toc76398676" </w:instrText>
          </w:r>
          <w:r>
            <w:rPr>
              <w:color w:val="auto"/>
              <w:highlight w:val="none"/>
            </w:rPr>
            <w:fldChar w:fldCharType="separate"/>
          </w:r>
          <w:r>
            <w:rPr>
              <w:rStyle w:val="39"/>
              <w:rFonts w:asciiTheme="minorEastAsia" w:hAnsiTheme="minorEastAsia"/>
              <w:color w:val="auto"/>
              <w:highlight w:val="none"/>
            </w:rPr>
            <w:t xml:space="preserve">8.1 </w:t>
          </w:r>
          <w:r>
            <w:rPr>
              <w:rStyle w:val="39"/>
              <w:rFonts w:hint="eastAsia" w:asciiTheme="minorEastAsia" w:hAnsiTheme="minorEastAsia"/>
              <w:color w:val="auto"/>
              <w:highlight w:val="none"/>
            </w:rPr>
            <w:t>考察及相关费用</w:t>
          </w:r>
          <w:r>
            <w:rPr>
              <w:color w:val="auto"/>
              <w:highlight w:val="none"/>
            </w:rPr>
            <w:tab/>
          </w:r>
          <w:r>
            <w:rPr>
              <w:color w:val="auto"/>
              <w:highlight w:val="none"/>
            </w:rPr>
            <w:fldChar w:fldCharType="begin"/>
          </w:r>
          <w:r>
            <w:rPr>
              <w:color w:val="auto"/>
              <w:highlight w:val="none"/>
            </w:rPr>
            <w:instrText xml:space="preserve"> PAGEREF _Toc76398676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2B732BFA">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"_Toc76398677" </w:instrText>
          </w:r>
          <w:r>
            <w:rPr>
              <w:color w:val="auto"/>
              <w:highlight w:val="none"/>
            </w:rPr>
            <w:fldChar w:fldCharType="separate"/>
          </w:r>
          <w:r>
            <w:rPr>
              <w:rStyle w:val="39"/>
              <w:rFonts w:asciiTheme="minorEastAsia" w:hAnsiTheme="minorEastAsia"/>
              <w:color w:val="auto"/>
              <w:highlight w:val="none"/>
            </w:rPr>
            <w:t xml:space="preserve">8.2 </w:t>
          </w:r>
          <w:r>
            <w:rPr>
              <w:rStyle w:val="39"/>
              <w:rFonts w:hint="eastAsia" w:asciiTheme="minorEastAsia" w:hAnsiTheme="minorEastAsia"/>
              <w:color w:val="auto"/>
              <w:highlight w:val="none"/>
            </w:rPr>
            <w:t>奖励</w:t>
          </w:r>
          <w:r>
            <w:rPr>
              <w:color w:val="auto"/>
              <w:highlight w:val="none"/>
            </w:rPr>
            <w:tab/>
          </w:r>
          <w:r>
            <w:rPr>
              <w:color w:val="auto"/>
              <w:highlight w:val="none"/>
            </w:rPr>
            <w:fldChar w:fldCharType="begin"/>
          </w:r>
          <w:r>
            <w:rPr>
              <w:color w:val="auto"/>
              <w:highlight w:val="none"/>
            </w:rPr>
            <w:instrText xml:space="preserve"> PAGEREF _Toc76398677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7048B83A">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"_Toc76398678" </w:instrText>
          </w:r>
          <w:r>
            <w:rPr>
              <w:color w:val="auto"/>
              <w:highlight w:val="none"/>
            </w:rPr>
            <w:fldChar w:fldCharType="separate"/>
          </w:r>
          <w:r>
            <w:rPr>
              <w:rStyle w:val="39"/>
              <w:rFonts w:asciiTheme="minorEastAsia" w:hAnsiTheme="minorEastAsia"/>
              <w:color w:val="auto"/>
              <w:highlight w:val="none"/>
            </w:rPr>
            <w:t xml:space="preserve">8.3 </w:t>
          </w:r>
          <w:r>
            <w:rPr>
              <w:rStyle w:val="39"/>
              <w:rFonts w:hint="eastAsia" w:asciiTheme="minorEastAsia" w:hAnsiTheme="minorEastAsia"/>
              <w:color w:val="auto"/>
              <w:highlight w:val="none"/>
            </w:rPr>
            <w:t>保密</w:t>
          </w:r>
          <w:r>
            <w:rPr>
              <w:color w:val="auto"/>
              <w:highlight w:val="none"/>
            </w:rPr>
            <w:tab/>
          </w:r>
          <w:r>
            <w:rPr>
              <w:color w:val="auto"/>
              <w:highlight w:val="none"/>
            </w:rPr>
            <w:fldChar w:fldCharType="begin"/>
          </w:r>
          <w:r>
            <w:rPr>
              <w:color w:val="auto"/>
              <w:highlight w:val="none"/>
            </w:rPr>
            <w:instrText xml:space="preserve"> PAGEREF _Toc76398678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2AA699CA">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"_Toc76398679" </w:instrText>
          </w:r>
          <w:r>
            <w:rPr>
              <w:color w:val="auto"/>
              <w:highlight w:val="none"/>
            </w:rPr>
            <w:fldChar w:fldCharType="separate"/>
          </w:r>
          <w:r>
            <w:rPr>
              <w:rStyle w:val="39"/>
              <w:rFonts w:asciiTheme="minorEastAsia" w:hAnsiTheme="minorEastAsia"/>
              <w:color w:val="auto"/>
              <w:highlight w:val="none"/>
            </w:rPr>
            <w:t xml:space="preserve">8.4 </w:t>
          </w:r>
          <w:r>
            <w:rPr>
              <w:rStyle w:val="39"/>
              <w:rFonts w:hint="eastAsia" w:asciiTheme="minorEastAsia" w:hAnsiTheme="minorEastAsia"/>
              <w:color w:val="auto"/>
              <w:highlight w:val="none"/>
            </w:rPr>
            <w:t>联络</w:t>
          </w:r>
          <w:r>
            <w:rPr>
              <w:color w:val="auto"/>
              <w:highlight w:val="none"/>
            </w:rPr>
            <w:tab/>
          </w:r>
          <w:r>
            <w:rPr>
              <w:color w:val="auto"/>
              <w:highlight w:val="none"/>
            </w:rPr>
            <w:fldChar w:fldCharType="begin"/>
          </w:r>
          <w:r>
            <w:rPr>
              <w:color w:val="auto"/>
              <w:highlight w:val="none"/>
            </w:rPr>
            <w:instrText xml:space="preserve"> PAGEREF _Toc76398679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1D4A98B8">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"_Toc76398680" </w:instrText>
          </w:r>
          <w:r>
            <w:rPr>
              <w:color w:val="auto"/>
              <w:highlight w:val="none"/>
            </w:rPr>
            <w:fldChar w:fldCharType="separate"/>
          </w:r>
          <w:r>
            <w:rPr>
              <w:rStyle w:val="39"/>
              <w:rFonts w:asciiTheme="minorEastAsia" w:hAnsiTheme="minorEastAsia"/>
              <w:color w:val="auto"/>
              <w:highlight w:val="none"/>
            </w:rPr>
            <w:t xml:space="preserve">8.5 </w:t>
          </w:r>
          <w:r>
            <w:rPr>
              <w:rStyle w:val="39"/>
              <w:rFonts w:hint="eastAsia" w:asciiTheme="minorEastAsia" w:hAnsiTheme="minorEastAsia"/>
              <w:color w:val="auto"/>
              <w:highlight w:val="none"/>
            </w:rPr>
            <w:t>知识产权</w:t>
          </w:r>
          <w:r>
            <w:rPr>
              <w:color w:val="auto"/>
              <w:highlight w:val="none"/>
            </w:rPr>
            <w:tab/>
          </w:r>
          <w:r>
            <w:rPr>
              <w:color w:val="auto"/>
              <w:highlight w:val="none"/>
            </w:rPr>
            <w:fldChar w:fldCharType="begin"/>
          </w:r>
          <w:r>
            <w:rPr>
              <w:color w:val="auto"/>
              <w:highlight w:val="none"/>
            </w:rPr>
            <w:instrText xml:space="preserve"> PAGEREF _Toc76398680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54EAE076">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"_Toc76398681" </w:instrText>
          </w:r>
          <w:r>
            <w:rPr>
              <w:color w:val="auto"/>
              <w:highlight w:val="none"/>
            </w:rPr>
            <w:fldChar w:fldCharType="separate"/>
          </w:r>
          <w:r>
            <w:rPr>
              <w:rStyle w:val="39"/>
              <w:rFonts w:hint="eastAsia" w:asciiTheme="minorEastAsia" w:hAnsiTheme="minorEastAsia"/>
              <w:b/>
              <w:color w:val="auto"/>
              <w:highlight w:val="none"/>
            </w:rPr>
            <w:t>第三部分专用条件</w:t>
          </w:r>
          <w:r>
            <w:rPr>
              <w:color w:val="auto"/>
              <w:highlight w:val="none"/>
            </w:rPr>
            <w:tab/>
          </w:r>
          <w:r>
            <w:rPr>
              <w:color w:val="auto"/>
              <w:highlight w:val="none"/>
            </w:rPr>
            <w:fldChar w:fldCharType="begin"/>
          </w:r>
          <w:r>
            <w:rPr>
              <w:color w:val="auto"/>
              <w:highlight w:val="none"/>
            </w:rPr>
            <w:instrText xml:space="preserve"> PAGEREF _Toc76398681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51B6791">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"_Toc76398682" </w:instrText>
          </w:r>
          <w:r>
            <w:rPr>
              <w:color w:val="auto"/>
              <w:highlight w:val="none"/>
            </w:rPr>
            <w:fldChar w:fldCharType="separate"/>
          </w:r>
          <w:r>
            <w:rPr>
              <w:rStyle w:val="39"/>
              <w:rFonts w:asciiTheme="minorEastAsia" w:hAnsiTheme="minorEastAsia"/>
              <w:color w:val="auto"/>
              <w:highlight w:val="none"/>
            </w:rPr>
            <w:t>1.</w:t>
          </w:r>
          <w:r>
            <w:rPr>
              <w:rStyle w:val="39"/>
              <w:rFonts w:hint="eastAsia" w:asciiTheme="minorEastAsia" w:hAnsiTheme="minorEastAsia"/>
              <w:color w:val="auto"/>
              <w:highlight w:val="none"/>
            </w:rPr>
            <w:t>词语定义、语言、解释顺序与适用法律</w:t>
          </w:r>
          <w:r>
            <w:rPr>
              <w:color w:val="auto"/>
              <w:highlight w:val="none"/>
            </w:rPr>
            <w:tab/>
          </w:r>
          <w:r>
            <w:rPr>
              <w:color w:val="auto"/>
              <w:highlight w:val="none"/>
            </w:rPr>
            <w:fldChar w:fldCharType="begin"/>
          </w:r>
          <w:r>
            <w:rPr>
              <w:color w:val="auto"/>
              <w:highlight w:val="none"/>
            </w:rPr>
            <w:instrText xml:space="preserve"> PAGEREF _Toc76398682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4F10B380">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"_Toc76398683" </w:instrText>
          </w:r>
          <w:r>
            <w:rPr>
              <w:color w:val="auto"/>
              <w:highlight w:val="none"/>
            </w:rPr>
            <w:fldChar w:fldCharType="separate"/>
          </w:r>
          <w:r>
            <w:rPr>
              <w:rStyle w:val="39"/>
              <w:rFonts w:asciiTheme="minorEastAsia" w:hAnsiTheme="minorEastAsia"/>
              <w:color w:val="auto"/>
              <w:highlight w:val="none"/>
            </w:rPr>
            <w:t xml:space="preserve">1.2 </w:t>
          </w:r>
          <w:r>
            <w:rPr>
              <w:rStyle w:val="39"/>
              <w:rFonts w:hint="eastAsia" w:asciiTheme="minorEastAsia" w:hAnsiTheme="minorEastAsia"/>
              <w:color w:val="auto"/>
              <w:highlight w:val="none"/>
            </w:rPr>
            <w:t>语言</w:t>
          </w:r>
          <w:r>
            <w:rPr>
              <w:color w:val="auto"/>
              <w:highlight w:val="none"/>
            </w:rPr>
            <w:tab/>
          </w:r>
          <w:r>
            <w:rPr>
              <w:color w:val="auto"/>
              <w:highlight w:val="none"/>
            </w:rPr>
            <w:fldChar w:fldCharType="begin"/>
          </w:r>
          <w:r>
            <w:rPr>
              <w:color w:val="auto"/>
              <w:highlight w:val="none"/>
            </w:rPr>
            <w:instrText xml:space="preserve"> PAGEREF _Toc76398683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055AADD5">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"_Toc76398684" </w:instrText>
          </w:r>
          <w:r>
            <w:rPr>
              <w:color w:val="auto"/>
              <w:highlight w:val="none"/>
            </w:rPr>
            <w:fldChar w:fldCharType="separate"/>
          </w:r>
          <w:r>
            <w:rPr>
              <w:rStyle w:val="39"/>
              <w:rFonts w:asciiTheme="minorEastAsia" w:hAnsiTheme="minorEastAsia"/>
              <w:color w:val="auto"/>
              <w:highlight w:val="none"/>
            </w:rPr>
            <w:t xml:space="preserve">1.3 </w:t>
          </w:r>
          <w:r>
            <w:rPr>
              <w:rStyle w:val="39"/>
              <w:rFonts w:hint="eastAsia" w:asciiTheme="minorEastAsia" w:hAnsiTheme="minorEastAsia"/>
              <w:color w:val="auto"/>
              <w:highlight w:val="none"/>
            </w:rPr>
            <w:t>合同文件的优先顺序</w:t>
          </w:r>
          <w:r>
            <w:rPr>
              <w:color w:val="auto"/>
              <w:highlight w:val="none"/>
            </w:rPr>
            <w:tab/>
          </w:r>
          <w:r>
            <w:rPr>
              <w:color w:val="auto"/>
              <w:highlight w:val="none"/>
            </w:rPr>
            <w:fldChar w:fldCharType="begin"/>
          </w:r>
          <w:r>
            <w:rPr>
              <w:color w:val="auto"/>
              <w:highlight w:val="none"/>
            </w:rPr>
            <w:instrText xml:space="preserve"> PAGEREF _Toc76398684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6124A9BE">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"_Toc76398685" </w:instrText>
          </w:r>
          <w:r>
            <w:rPr>
              <w:color w:val="auto"/>
              <w:highlight w:val="none"/>
            </w:rPr>
            <w:fldChar w:fldCharType="separate"/>
          </w:r>
          <w:r>
            <w:rPr>
              <w:rStyle w:val="39"/>
              <w:rFonts w:asciiTheme="minorEastAsia" w:hAnsiTheme="minorEastAsia"/>
              <w:color w:val="auto"/>
              <w:highlight w:val="none"/>
            </w:rPr>
            <w:t xml:space="preserve">1.4 </w:t>
          </w:r>
          <w:r>
            <w:rPr>
              <w:rStyle w:val="39"/>
              <w:rFonts w:hint="eastAsia" w:asciiTheme="minorEastAsia" w:hAnsiTheme="minorEastAsia"/>
              <w:color w:val="auto"/>
              <w:highlight w:val="none"/>
            </w:rPr>
            <w:t>适用法律</w:t>
          </w:r>
          <w:r>
            <w:rPr>
              <w:color w:val="auto"/>
              <w:highlight w:val="none"/>
            </w:rPr>
            <w:tab/>
          </w:r>
          <w:r>
            <w:rPr>
              <w:color w:val="auto"/>
              <w:highlight w:val="none"/>
            </w:rPr>
            <w:fldChar w:fldCharType="begin"/>
          </w:r>
          <w:r>
            <w:rPr>
              <w:color w:val="auto"/>
              <w:highlight w:val="none"/>
            </w:rPr>
            <w:instrText xml:space="preserve"> PAGEREF _Toc76398685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038E02C0">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"_Toc76398686" </w:instrText>
          </w:r>
          <w:r>
            <w:rPr>
              <w:color w:val="auto"/>
              <w:highlight w:val="none"/>
            </w:rPr>
            <w:fldChar w:fldCharType="separate"/>
          </w:r>
          <w:r>
            <w:rPr>
              <w:rStyle w:val="39"/>
              <w:rFonts w:asciiTheme="minorEastAsia" w:hAnsiTheme="minorEastAsia"/>
              <w:color w:val="auto"/>
              <w:highlight w:val="none"/>
            </w:rPr>
            <w:t>2.</w:t>
          </w:r>
          <w:r>
            <w:rPr>
              <w:rStyle w:val="39"/>
              <w:rFonts w:hint="eastAsia" w:asciiTheme="minorEastAsia" w:hAnsiTheme="minorEastAsia"/>
              <w:color w:val="auto"/>
              <w:highlight w:val="none"/>
            </w:rPr>
            <w:t>委托人的义务</w:t>
          </w:r>
          <w:r>
            <w:rPr>
              <w:color w:val="auto"/>
              <w:highlight w:val="none"/>
            </w:rPr>
            <w:tab/>
          </w:r>
          <w:r>
            <w:rPr>
              <w:color w:val="auto"/>
              <w:highlight w:val="none"/>
            </w:rPr>
            <w:fldChar w:fldCharType="begin"/>
          </w:r>
          <w:r>
            <w:rPr>
              <w:color w:val="auto"/>
              <w:highlight w:val="none"/>
            </w:rPr>
            <w:instrText xml:space="preserve"> PAGEREF _Toc76398686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821FDC3">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"_Toc76398687" </w:instrText>
          </w:r>
          <w:r>
            <w:rPr>
              <w:color w:val="auto"/>
              <w:highlight w:val="none"/>
            </w:rPr>
            <w:fldChar w:fldCharType="separate"/>
          </w:r>
          <w:r>
            <w:rPr>
              <w:rStyle w:val="39"/>
              <w:rFonts w:asciiTheme="minorEastAsia" w:hAnsiTheme="minorEastAsia"/>
              <w:color w:val="auto"/>
              <w:highlight w:val="none"/>
            </w:rPr>
            <w:t xml:space="preserve">2.1 </w:t>
          </w:r>
          <w:r>
            <w:rPr>
              <w:rStyle w:val="39"/>
              <w:rFonts w:hint="eastAsia" w:asciiTheme="minorEastAsia" w:hAnsiTheme="minorEastAsia"/>
              <w:color w:val="auto"/>
              <w:highlight w:val="none"/>
            </w:rPr>
            <w:t>提供资料</w:t>
          </w:r>
          <w:r>
            <w:rPr>
              <w:color w:val="auto"/>
              <w:highlight w:val="none"/>
            </w:rPr>
            <w:tab/>
          </w:r>
          <w:r>
            <w:rPr>
              <w:color w:val="auto"/>
              <w:highlight w:val="none"/>
            </w:rPr>
            <w:fldChar w:fldCharType="begin"/>
          </w:r>
          <w:r>
            <w:rPr>
              <w:color w:val="auto"/>
              <w:highlight w:val="none"/>
            </w:rPr>
            <w:instrText xml:space="preserve"> PAGEREF _Toc76398687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126CE633">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"_Toc76398688" </w:instrText>
          </w:r>
          <w:r>
            <w:rPr>
              <w:color w:val="auto"/>
              <w:highlight w:val="none"/>
            </w:rPr>
            <w:fldChar w:fldCharType="separate"/>
          </w:r>
          <w:r>
            <w:rPr>
              <w:rStyle w:val="39"/>
              <w:rFonts w:asciiTheme="minorEastAsia" w:hAnsiTheme="minorEastAsia"/>
              <w:color w:val="auto"/>
              <w:highlight w:val="none"/>
            </w:rPr>
            <w:t xml:space="preserve">2.2 </w:t>
          </w:r>
          <w:r>
            <w:rPr>
              <w:rStyle w:val="39"/>
              <w:rFonts w:hint="eastAsia" w:asciiTheme="minorEastAsia" w:hAnsiTheme="minorEastAsia"/>
              <w:color w:val="auto"/>
              <w:highlight w:val="none"/>
            </w:rPr>
            <w:t>提供工作条件</w:t>
          </w:r>
          <w:r>
            <w:rPr>
              <w:color w:val="auto"/>
              <w:highlight w:val="none"/>
            </w:rPr>
            <w:tab/>
          </w:r>
          <w:r>
            <w:rPr>
              <w:color w:val="auto"/>
              <w:highlight w:val="none"/>
            </w:rPr>
            <w:fldChar w:fldCharType="begin"/>
          </w:r>
          <w:r>
            <w:rPr>
              <w:color w:val="auto"/>
              <w:highlight w:val="none"/>
            </w:rPr>
            <w:instrText xml:space="preserve"> PAGEREF _Toc76398688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54493340">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"_Toc76398689" </w:instrText>
          </w:r>
          <w:r>
            <w:rPr>
              <w:color w:val="auto"/>
              <w:highlight w:val="none"/>
            </w:rPr>
            <w:fldChar w:fldCharType="separate"/>
          </w:r>
          <w:r>
            <w:rPr>
              <w:rStyle w:val="39"/>
              <w:rFonts w:asciiTheme="minorEastAsia" w:hAnsiTheme="minorEastAsia"/>
              <w:color w:val="auto"/>
              <w:highlight w:val="none"/>
            </w:rPr>
            <w:t xml:space="preserve">2.4 </w:t>
          </w:r>
          <w:r>
            <w:rPr>
              <w:rStyle w:val="39"/>
              <w:rFonts w:hint="eastAsia" w:asciiTheme="minorEastAsia" w:hAnsiTheme="minorEastAsia"/>
              <w:color w:val="auto"/>
              <w:highlight w:val="none"/>
            </w:rPr>
            <w:t>委托人代表</w:t>
          </w:r>
          <w:r>
            <w:rPr>
              <w:color w:val="auto"/>
              <w:highlight w:val="none"/>
            </w:rPr>
            <w:tab/>
          </w:r>
          <w:r>
            <w:rPr>
              <w:color w:val="auto"/>
              <w:highlight w:val="none"/>
            </w:rPr>
            <w:fldChar w:fldCharType="begin"/>
          </w:r>
          <w:r>
            <w:rPr>
              <w:color w:val="auto"/>
              <w:highlight w:val="none"/>
            </w:rPr>
            <w:instrText xml:space="preserve"> PAGEREF _Toc76398689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6E7208EA">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"_Toc76398690" </w:instrText>
          </w:r>
          <w:r>
            <w:rPr>
              <w:color w:val="auto"/>
              <w:highlight w:val="none"/>
            </w:rPr>
            <w:fldChar w:fldCharType="separate"/>
          </w:r>
          <w:r>
            <w:rPr>
              <w:rStyle w:val="39"/>
              <w:rFonts w:asciiTheme="minorEastAsia" w:hAnsiTheme="minorEastAsia"/>
              <w:color w:val="auto"/>
              <w:highlight w:val="none"/>
            </w:rPr>
            <w:t xml:space="preserve">2.5 </w:t>
          </w:r>
          <w:r>
            <w:rPr>
              <w:rStyle w:val="39"/>
              <w:rFonts w:hint="eastAsia" w:asciiTheme="minorEastAsia" w:hAnsiTheme="minorEastAsia"/>
              <w:color w:val="auto"/>
              <w:highlight w:val="none"/>
            </w:rPr>
            <w:t>答复</w:t>
          </w:r>
          <w:r>
            <w:rPr>
              <w:color w:val="auto"/>
              <w:highlight w:val="none"/>
            </w:rPr>
            <w:tab/>
          </w:r>
          <w:r>
            <w:rPr>
              <w:color w:val="auto"/>
              <w:highlight w:val="none"/>
            </w:rPr>
            <w:fldChar w:fldCharType="begin"/>
          </w:r>
          <w:r>
            <w:rPr>
              <w:color w:val="auto"/>
              <w:highlight w:val="none"/>
            </w:rPr>
            <w:instrText xml:space="preserve"> PAGEREF _Toc76398690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45D4DE68">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"_Toc76398691" </w:instrText>
          </w:r>
          <w:r>
            <w:rPr>
              <w:color w:val="auto"/>
              <w:highlight w:val="none"/>
            </w:rPr>
            <w:fldChar w:fldCharType="separate"/>
          </w:r>
          <w:r>
            <w:rPr>
              <w:rStyle w:val="39"/>
              <w:rFonts w:asciiTheme="minorEastAsia" w:hAnsiTheme="minorEastAsia"/>
              <w:color w:val="auto"/>
              <w:highlight w:val="none"/>
            </w:rPr>
            <w:t>3.</w:t>
          </w:r>
          <w:r>
            <w:rPr>
              <w:rStyle w:val="39"/>
              <w:rFonts w:hint="eastAsia" w:asciiTheme="minorEastAsia" w:hAnsiTheme="minorEastAsia"/>
              <w:color w:val="auto"/>
              <w:highlight w:val="none"/>
            </w:rPr>
            <w:t>咨询人的义务</w:t>
          </w:r>
          <w:r>
            <w:rPr>
              <w:color w:val="auto"/>
              <w:highlight w:val="none"/>
            </w:rPr>
            <w:tab/>
          </w:r>
          <w:r>
            <w:rPr>
              <w:color w:val="auto"/>
              <w:highlight w:val="none"/>
            </w:rPr>
            <w:fldChar w:fldCharType="begin"/>
          </w:r>
          <w:r>
            <w:rPr>
              <w:color w:val="auto"/>
              <w:highlight w:val="none"/>
            </w:rPr>
            <w:instrText xml:space="preserve"> PAGEREF _Toc76398691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56CB0E6E">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"_Toc76398692" </w:instrText>
          </w:r>
          <w:r>
            <w:rPr>
              <w:color w:val="auto"/>
              <w:highlight w:val="none"/>
            </w:rPr>
            <w:fldChar w:fldCharType="separate"/>
          </w:r>
          <w:r>
            <w:rPr>
              <w:rStyle w:val="39"/>
              <w:rFonts w:asciiTheme="minorEastAsia" w:hAnsiTheme="minorEastAsia"/>
              <w:color w:val="auto"/>
              <w:highlight w:val="none"/>
            </w:rPr>
            <w:t xml:space="preserve">3.1 </w:t>
          </w:r>
          <w:r>
            <w:rPr>
              <w:rStyle w:val="39"/>
              <w:rFonts w:hint="eastAsia" w:asciiTheme="minorEastAsia" w:hAnsiTheme="minorEastAsia"/>
              <w:color w:val="auto"/>
              <w:highlight w:val="none"/>
            </w:rPr>
            <w:t>项目咨询团队及人员</w:t>
          </w:r>
          <w:r>
            <w:rPr>
              <w:color w:val="auto"/>
              <w:highlight w:val="none"/>
            </w:rPr>
            <w:tab/>
          </w:r>
          <w:r>
            <w:rPr>
              <w:color w:val="auto"/>
              <w:highlight w:val="none"/>
            </w:rPr>
            <w:fldChar w:fldCharType="begin"/>
          </w:r>
          <w:r>
            <w:rPr>
              <w:color w:val="auto"/>
              <w:highlight w:val="none"/>
            </w:rPr>
            <w:instrText xml:space="preserve"> PAGEREF _Toc76398692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71CD9AA6">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"_Toc76398693" </w:instrText>
          </w:r>
          <w:r>
            <w:rPr>
              <w:color w:val="auto"/>
              <w:highlight w:val="none"/>
            </w:rPr>
            <w:fldChar w:fldCharType="separate"/>
          </w:r>
          <w:r>
            <w:rPr>
              <w:rStyle w:val="39"/>
              <w:rFonts w:asciiTheme="minorEastAsia" w:hAnsiTheme="minorEastAsia"/>
              <w:color w:val="auto"/>
              <w:highlight w:val="none"/>
            </w:rPr>
            <w:t xml:space="preserve">3.2 </w:t>
          </w:r>
          <w:r>
            <w:rPr>
              <w:rStyle w:val="39"/>
              <w:rFonts w:hint="eastAsia" w:asciiTheme="minorEastAsia" w:hAnsiTheme="minorEastAsia"/>
              <w:color w:val="auto"/>
              <w:highlight w:val="none"/>
            </w:rPr>
            <w:t>咨询人的工作要求</w:t>
          </w:r>
          <w:r>
            <w:rPr>
              <w:color w:val="auto"/>
              <w:highlight w:val="none"/>
            </w:rPr>
            <w:tab/>
          </w:r>
          <w:r>
            <w:rPr>
              <w:color w:val="auto"/>
              <w:highlight w:val="none"/>
            </w:rPr>
            <w:fldChar w:fldCharType="begin"/>
          </w:r>
          <w:r>
            <w:rPr>
              <w:color w:val="auto"/>
              <w:highlight w:val="none"/>
            </w:rPr>
            <w:instrText xml:space="preserve"> PAGEREF _Toc76398693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0A237868">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"_Toc76398694" </w:instrText>
          </w:r>
          <w:r>
            <w:rPr>
              <w:color w:val="auto"/>
              <w:highlight w:val="none"/>
            </w:rPr>
            <w:fldChar w:fldCharType="separate"/>
          </w:r>
          <w:r>
            <w:rPr>
              <w:rStyle w:val="39"/>
              <w:rFonts w:asciiTheme="minorEastAsia" w:hAnsiTheme="minorEastAsia"/>
              <w:color w:val="auto"/>
              <w:highlight w:val="none"/>
            </w:rPr>
            <w:t xml:space="preserve">3.3 </w:t>
          </w:r>
          <w:r>
            <w:rPr>
              <w:rStyle w:val="39"/>
              <w:rFonts w:hint="eastAsia" w:asciiTheme="minorEastAsia" w:hAnsiTheme="minorEastAsia"/>
              <w:color w:val="auto"/>
              <w:highlight w:val="none"/>
            </w:rPr>
            <w:t>咨询人的工作依据</w:t>
          </w:r>
          <w:r>
            <w:rPr>
              <w:color w:val="auto"/>
              <w:highlight w:val="none"/>
            </w:rPr>
            <w:tab/>
          </w:r>
          <w:r>
            <w:rPr>
              <w:color w:val="auto"/>
              <w:highlight w:val="none"/>
            </w:rPr>
            <w:fldChar w:fldCharType="begin"/>
          </w:r>
          <w:r>
            <w:rPr>
              <w:color w:val="auto"/>
              <w:highlight w:val="none"/>
            </w:rPr>
            <w:instrText xml:space="preserve"> PAGEREF _Toc76398694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2F1C72A2">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"_Toc76398695" </w:instrText>
          </w:r>
          <w:r>
            <w:rPr>
              <w:color w:val="auto"/>
              <w:highlight w:val="none"/>
            </w:rPr>
            <w:fldChar w:fldCharType="separate"/>
          </w:r>
          <w:r>
            <w:rPr>
              <w:rStyle w:val="39"/>
              <w:rFonts w:asciiTheme="minorEastAsia" w:hAnsiTheme="minorEastAsia"/>
              <w:color w:val="auto"/>
              <w:highlight w:val="none"/>
            </w:rPr>
            <w:t xml:space="preserve">3.4 </w:t>
          </w:r>
          <w:r>
            <w:rPr>
              <w:rStyle w:val="39"/>
              <w:rFonts w:hint="eastAsia" w:asciiTheme="minorEastAsia" w:hAnsiTheme="minorEastAsia"/>
              <w:color w:val="auto"/>
              <w:highlight w:val="none"/>
            </w:rPr>
            <w:t>使用委托人房屋及设备的返还</w:t>
          </w:r>
          <w:r>
            <w:rPr>
              <w:color w:val="auto"/>
              <w:highlight w:val="none"/>
            </w:rPr>
            <w:tab/>
          </w:r>
          <w:r>
            <w:rPr>
              <w:color w:val="auto"/>
              <w:highlight w:val="none"/>
            </w:rPr>
            <w:fldChar w:fldCharType="begin"/>
          </w:r>
          <w:r>
            <w:rPr>
              <w:color w:val="auto"/>
              <w:highlight w:val="none"/>
            </w:rPr>
            <w:instrText xml:space="preserve"> PAGEREF _Toc76398695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0FA81F6A">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"_Toc76398696" </w:instrText>
          </w:r>
          <w:r>
            <w:rPr>
              <w:color w:val="auto"/>
              <w:highlight w:val="none"/>
            </w:rPr>
            <w:fldChar w:fldCharType="separate"/>
          </w:r>
          <w:r>
            <w:rPr>
              <w:rStyle w:val="39"/>
              <w:rFonts w:asciiTheme="minorEastAsia" w:hAnsiTheme="minorEastAsia"/>
              <w:color w:val="auto"/>
              <w:highlight w:val="none"/>
            </w:rPr>
            <w:t xml:space="preserve">4. </w:t>
          </w:r>
          <w:r>
            <w:rPr>
              <w:rStyle w:val="39"/>
              <w:rFonts w:hint="eastAsia" w:asciiTheme="minorEastAsia" w:hAnsiTheme="minorEastAsia"/>
              <w:color w:val="auto"/>
              <w:highlight w:val="none"/>
            </w:rPr>
            <w:t>违约责任</w:t>
          </w:r>
          <w:r>
            <w:rPr>
              <w:color w:val="auto"/>
              <w:highlight w:val="none"/>
            </w:rPr>
            <w:tab/>
          </w:r>
          <w:r>
            <w:rPr>
              <w:color w:val="auto"/>
              <w:highlight w:val="none"/>
            </w:rPr>
            <w:fldChar w:fldCharType="begin"/>
          </w:r>
          <w:r>
            <w:rPr>
              <w:color w:val="auto"/>
              <w:highlight w:val="none"/>
            </w:rPr>
            <w:instrText xml:space="preserve"> PAGEREF _Toc76398696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020E5051">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"_Toc76398697" </w:instrText>
          </w:r>
          <w:r>
            <w:rPr>
              <w:color w:val="auto"/>
              <w:highlight w:val="none"/>
            </w:rPr>
            <w:fldChar w:fldCharType="separate"/>
          </w:r>
          <w:r>
            <w:rPr>
              <w:rStyle w:val="39"/>
              <w:rFonts w:asciiTheme="minorEastAsia" w:hAnsiTheme="minorEastAsia"/>
              <w:color w:val="auto"/>
              <w:highlight w:val="none"/>
            </w:rPr>
            <w:t xml:space="preserve">4.1 </w:t>
          </w:r>
          <w:r>
            <w:rPr>
              <w:rStyle w:val="39"/>
              <w:rFonts w:hint="eastAsia" w:asciiTheme="minorEastAsia" w:hAnsiTheme="minorEastAsia"/>
              <w:color w:val="auto"/>
              <w:highlight w:val="none"/>
            </w:rPr>
            <w:t>委托人的违约责任</w:t>
          </w:r>
          <w:r>
            <w:rPr>
              <w:color w:val="auto"/>
              <w:highlight w:val="none"/>
            </w:rPr>
            <w:tab/>
          </w:r>
          <w:r>
            <w:rPr>
              <w:color w:val="auto"/>
              <w:highlight w:val="none"/>
            </w:rPr>
            <w:fldChar w:fldCharType="begin"/>
          </w:r>
          <w:r>
            <w:rPr>
              <w:color w:val="auto"/>
              <w:highlight w:val="none"/>
            </w:rPr>
            <w:instrText xml:space="preserve"> PAGEREF _Toc76398697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743BCB7B">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"_Toc76398698" </w:instrText>
          </w:r>
          <w:r>
            <w:rPr>
              <w:color w:val="auto"/>
              <w:highlight w:val="none"/>
            </w:rPr>
            <w:fldChar w:fldCharType="separate"/>
          </w:r>
          <w:r>
            <w:rPr>
              <w:rStyle w:val="39"/>
              <w:rFonts w:asciiTheme="minorEastAsia" w:hAnsiTheme="minorEastAsia"/>
              <w:color w:val="auto"/>
              <w:highlight w:val="none"/>
            </w:rPr>
            <w:t xml:space="preserve">4.2 </w:t>
          </w:r>
          <w:r>
            <w:rPr>
              <w:rStyle w:val="39"/>
              <w:rFonts w:hint="eastAsia" w:asciiTheme="minorEastAsia" w:hAnsiTheme="minorEastAsia"/>
              <w:color w:val="auto"/>
              <w:highlight w:val="none"/>
            </w:rPr>
            <w:t>咨询人的违约责任</w:t>
          </w:r>
          <w:r>
            <w:rPr>
              <w:color w:val="auto"/>
              <w:highlight w:val="none"/>
            </w:rPr>
            <w:tab/>
          </w:r>
          <w:r>
            <w:rPr>
              <w:color w:val="auto"/>
              <w:highlight w:val="none"/>
            </w:rPr>
            <w:fldChar w:fldCharType="begin"/>
          </w:r>
          <w:r>
            <w:rPr>
              <w:color w:val="auto"/>
              <w:highlight w:val="none"/>
            </w:rPr>
            <w:instrText xml:space="preserve"> PAGEREF _Toc76398698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6E30338F">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"_Toc76398699" </w:instrText>
          </w:r>
          <w:r>
            <w:rPr>
              <w:color w:val="auto"/>
              <w:highlight w:val="none"/>
            </w:rPr>
            <w:fldChar w:fldCharType="separate"/>
          </w:r>
          <w:r>
            <w:rPr>
              <w:rStyle w:val="39"/>
              <w:rFonts w:asciiTheme="minorEastAsia" w:hAnsiTheme="minorEastAsia"/>
              <w:color w:val="auto"/>
              <w:highlight w:val="none"/>
            </w:rPr>
            <w:t xml:space="preserve">5. </w:t>
          </w:r>
          <w:r>
            <w:rPr>
              <w:rStyle w:val="39"/>
              <w:rFonts w:hint="eastAsia" w:asciiTheme="minorEastAsia" w:hAnsiTheme="minorEastAsia"/>
              <w:color w:val="auto"/>
              <w:highlight w:val="none"/>
            </w:rPr>
            <w:t>支付</w:t>
          </w:r>
          <w:r>
            <w:rPr>
              <w:color w:val="auto"/>
              <w:highlight w:val="none"/>
            </w:rPr>
            <w:tab/>
          </w:r>
          <w:r>
            <w:rPr>
              <w:color w:val="auto"/>
              <w:highlight w:val="none"/>
            </w:rPr>
            <w:fldChar w:fldCharType="begin"/>
          </w:r>
          <w:r>
            <w:rPr>
              <w:color w:val="auto"/>
              <w:highlight w:val="none"/>
            </w:rPr>
            <w:instrText xml:space="preserve"> PAGEREF _Toc76398699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DF35F3C">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"_Toc76398700" </w:instrText>
          </w:r>
          <w:r>
            <w:rPr>
              <w:color w:val="auto"/>
              <w:highlight w:val="none"/>
            </w:rPr>
            <w:fldChar w:fldCharType="separate"/>
          </w:r>
          <w:r>
            <w:rPr>
              <w:rStyle w:val="39"/>
              <w:rFonts w:asciiTheme="minorEastAsia" w:hAnsiTheme="minorEastAsia"/>
              <w:color w:val="auto"/>
              <w:highlight w:val="none"/>
            </w:rPr>
            <w:t xml:space="preserve">5.1 </w:t>
          </w:r>
          <w:r>
            <w:rPr>
              <w:rStyle w:val="39"/>
              <w:rFonts w:hint="eastAsia" w:asciiTheme="minorEastAsia" w:hAnsiTheme="minorEastAsia"/>
              <w:color w:val="auto"/>
              <w:highlight w:val="none"/>
            </w:rPr>
            <w:t>支付货币</w:t>
          </w:r>
          <w:r>
            <w:rPr>
              <w:color w:val="auto"/>
              <w:highlight w:val="none"/>
            </w:rPr>
            <w:tab/>
          </w:r>
          <w:r>
            <w:rPr>
              <w:color w:val="auto"/>
              <w:highlight w:val="none"/>
            </w:rPr>
            <w:fldChar w:fldCharType="begin"/>
          </w:r>
          <w:r>
            <w:rPr>
              <w:color w:val="auto"/>
              <w:highlight w:val="none"/>
            </w:rPr>
            <w:instrText xml:space="preserve"> PAGEREF _Toc76398700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573DE2F1">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"_Toc76398701" </w:instrText>
          </w:r>
          <w:r>
            <w:rPr>
              <w:color w:val="auto"/>
              <w:highlight w:val="none"/>
            </w:rPr>
            <w:fldChar w:fldCharType="separate"/>
          </w:r>
          <w:r>
            <w:rPr>
              <w:rStyle w:val="39"/>
              <w:rFonts w:asciiTheme="minorEastAsia" w:hAnsiTheme="minorEastAsia"/>
              <w:color w:val="auto"/>
              <w:highlight w:val="none"/>
            </w:rPr>
            <w:t xml:space="preserve">5.2 </w:t>
          </w:r>
          <w:r>
            <w:rPr>
              <w:rStyle w:val="39"/>
              <w:rFonts w:hint="eastAsia" w:asciiTheme="minorEastAsia" w:hAnsiTheme="minorEastAsia"/>
              <w:color w:val="auto"/>
              <w:highlight w:val="none"/>
            </w:rPr>
            <w:t>支付申请</w:t>
          </w:r>
          <w:r>
            <w:rPr>
              <w:color w:val="auto"/>
              <w:highlight w:val="none"/>
            </w:rPr>
            <w:tab/>
          </w:r>
          <w:r>
            <w:rPr>
              <w:color w:val="auto"/>
              <w:highlight w:val="none"/>
            </w:rPr>
            <w:fldChar w:fldCharType="begin"/>
          </w:r>
          <w:r>
            <w:rPr>
              <w:color w:val="auto"/>
              <w:highlight w:val="none"/>
            </w:rPr>
            <w:instrText xml:space="preserve"> PAGEREF _Toc76398701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76D0360">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"_Toc76398702" </w:instrText>
          </w:r>
          <w:r>
            <w:rPr>
              <w:color w:val="auto"/>
              <w:highlight w:val="none"/>
            </w:rPr>
            <w:fldChar w:fldCharType="separate"/>
          </w:r>
          <w:r>
            <w:rPr>
              <w:rStyle w:val="39"/>
              <w:rFonts w:asciiTheme="minorEastAsia" w:hAnsiTheme="minorEastAsia"/>
              <w:color w:val="auto"/>
              <w:highlight w:val="none"/>
            </w:rPr>
            <w:t xml:space="preserve">5.3 </w:t>
          </w:r>
          <w:r>
            <w:rPr>
              <w:rStyle w:val="39"/>
              <w:rFonts w:hint="eastAsia" w:asciiTheme="minorEastAsia" w:hAnsiTheme="minorEastAsia"/>
              <w:color w:val="auto"/>
              <w:highlight w:val="none"/>
            </w:rPr>
            <w:t>支付酬金</w:t>
          </w:r>
          <w:r>
            <w:rPr>
              <w:color w:val="auto"/>
              <w:highlight w:val="none"/>
            </w:rPr>
            <w:tab/>
          </w:r>
          <w:r>
            <w:rPr>
              <w:color w:val="auto"/>
              <w:highlight w:val="none"/>
            </w:rPr>
            <w:fldChar w:fldCharType="begin"/>
          </w:r>
          <w:r>
            <w:rPr>
              <w:color w:val="auto"/>
              <w:highlight w:val="none"/>
            </w:rPr>
            <w:instrText xml:space="preserve"> PAGEREF _Toc76398702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654E97B9">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"_Toc76398703" </w:instrText>
          </w:r>
          <w:r>
            <w:rPr>
              <w:color w:val="auto"/>
              <w:highlight w:val="none"/>
            </w:rPr>
            <w:fldChar w:fldCharType="separate"/>
          </w:r>
          <w:r>
            <w:rPr>
              <w:rStyle w:val="39"/>
              <w:rFonts w:asciiTheme="minorEastAsia" w:hAnsiTheme="minorEastAsia"/>
              <w:color w:val="auto"/>
              <w:highlight w:val="none"/>
            </w:rPr>
            <w:t xml:space="preserve">6. </w:t>
          </w:r>
          <w:r>
            <w:rPr>
              <w:rStyle w:val="39"/>
              <w:rFonts w:hint="eastAsia" w:asciiTheme="minorEastAsia" w:hAnsiTheme="minorEastAsia"/>
              <w:color w:val="auto"/>
              <w:highlight w:val="none"/>
            </w:rPr>
            <w:t>合同变更、解除与终止</w:t>
          </w:r>
          <w:r>
            <w:rPr>
              <w:color w:val="auto"/>
              <w:highlight w:val="none"/>
            </w:rPr>
            <w:tab/>
          </w:r>
          <w:r>
            <w:rPr>
              <w:color w:val="auto"/>
              <w:highlight w:val="none"/>
            </w:rPr>
            <w:fldChar w:fldCharType="begin"/>
          </w:r>
          <w:r>
            <w:rPr>
              <w:color w:val="auto"/>
              <w:highlight w:val="none"/>
            </w:rPr>
            <w:instrText xml:space="preserve"> PAGEREF _Toc76398703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5ABA12D">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"_Toc76398704" </w:instrText>
          </w:r>
          <w:r>
            <w:rPr>
              <w:color w:val="auto"/>
              <w:highlight w:val="none"/>
            </w:rPr>
            <w:fldChar w:fldCharType="separate"/>
          </w:r>
          <w:r>
            <w:rPr>
              <w:rStyle w:val="39"/>
              <w:rFonts w:asciiTheme="minorEastAsia" w:hAnsiTheme="minorEastAsia"/>
              <w:color w:val="auto"/>
              <w:highlight w:val="none"/>
            </w:rPr>
            <w:t xml:space="preserve">6.1 </w:t>
          </w:r>
          <w:r>
            <w:rPr>
              <w:rStyle w:val="39"/>
              <w:rFonts w:hint="eastAsia" w:asciiTheme="minorEastAsia" w:hAnsiTheme="minorEastAsia"/>
              <w:color w:val="auto"/>
              <w:highlight w:val="none"/>
            </w:rPr>
            <w:t>合同变更</w:t>
          </w:r>
          <w:r>
            <w:rPr>
              <w:color w:val="auto"/>
              <w:highlight w:val="none"/>
            </w:rPr>
            <w:tab/>
          </w:r>
          <w:r>
            <w:rPr>
              <w:color w:val="auto"/>
              <w:highlight w:val="none"/>
            </w:rPr>
            <w:fldChar w:fldCharType="begin"/>
          </w:r>
          <w:r>
            <w:rPr>
              <w:color w:val="auto"/>
              <w:highlight w:val="none"/>
            </w:rPr>
            <w:instrText xml:space="preserve"> PAGEREF _Toc76398704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AA7E552">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"_Toc76398705" </w:instrText>
          </w:r>
          <w:r>
            <w:rPr>
              <w:color w:val="auto"/>
              <w:highlight w:val="none"/>
            </w:rPr>
            <w:fldChar w:fldCharType="separate"/>
          </w:r>
          <w:r>
            <w:rPr>
              <w:rStyle w:val="39"/>
              <w:rFonts w:asciiTheme="minorEastAsia" w:hAnsiTheme="minorEastAsia"/>
              <w:color w:val="auto"/>
              <w:highlight w:val="none"/>
            </w:rPr>
            <w:t xml:space="preserve">6.2 </w:t>
          </w:r>
          <w:r>
            <w:rPr>
              <w:rStyle w:val="39"/>
              <w:rFonts w:hint="eastAsia" w:asciiTheme="minorEastAsia" w:hAnsiTheme="minorEastAsia"/>
              <w:color w:val="auto"/>
              <w:highlight w:val="none"/>
            </w:rPr>
            <w:t>合同解除</w:t>
          </w:r>
          <w:r>
            <w:rPr>
              <w:color w:val="auto"/>
              <w:highlight w:val="none"/>
            </w:rPr>
            <w:tab/>
          </w:r>
          <w:r>
            <w:rPr>
              <w:color w:val="auto"/>
              <w:highlight w:val="none"/>
            </w:rPr>
            <w:fldChar w:fldCharType="begin"/>
          </w:r>
          <w:r>
            <w:rPr>
              <w:color w:val="auto"/>
              <w:highlight w:val="none"/>
            </w:rPr>
            <w:instrText xml:space="preserve"> PAGEREF _Toc76398705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7287CF4D">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"_Toc76398706" </w:instrText>
          </w:r>
          <w:r>
            <w:rPr>
              <w:color w:val="auto"/>
              <w:highlight w:val="none"/>
            </w:rPr>
            <w:fldChar w:fldCharType="separate"/>
          </w:r>
          <w:r>
            <w:rPr>
              <w:rStyle w:val="39"/>
              <w:rFonts w:asciiTheme="minorEastAsia" w:hAnsiTheme="minorEastAsia"/>
              <w:color w:val="auto"/>
              <w:highlight w:val="none"/>
            </w:rPr>
            <w:t xml:space="preserve">7. </w:t>
          </w:r>
          <w:r>
            <w:rPr>
              <w:rStyle w:val="39"/>
              <w:rFonts w:hint="eastAsia" w:asciiTheme="minorEastAsia" w:hAnsiTheme="minorEastAsia"/>
              <w:color w:val="auto"/>
              <w:highlight w:val="none"/>
            </w:rPr>
            <w:t>争议解决</w:t>
          </w:r>
          <w:r>
            <w:rPr>
              <w:color w:val="auto"/>
              <w:highlight w:val="none"/>
            </w:rPr>
            <w:tab/>
          </w:r>
          <w:r>
            <w:rPr>
              <w:color w:val="auto"/>
              <w:highlight w:val="none"/>
            </w:rPr>
            <w:fldChar w:fldCharType="begin"/>
          </w:r>
          <w:r>
            <w:rPr>
              <w:color w:val="auto"/>
              <w:highlight w:val="none"/>
            </w:rPr>
            <w:instrText xml:space="preserve"> PAGEREF _Toc76398706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177992DB">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"_Toc76398707" </w:instrText>
          </w:r>
          <w:r>
            <w:rPr>
              <w:color w:val="auto"/>
              <w:highlight w:val="none"/>
            </w:rPr>
            <w:fldChar w:fldCharType="separate"/>
          </w:r>
          <w:r>
            <w:rPr>
              <w:rStyle w:val="39"/>
              <w:rFonts w:asciiTheme="minorEastAsia" w:hAnsiTheme="minorEastAsia"/>
              <w:color w:val="auto"/>
              <w:highlight w:val="none"/>
            </w:rPr>
            <w:t xml:space="preserve">7.2 </w:t>
          </w:r>
          <w:r>
            <w:rPr>
              <w:rStyle w:val="39"/>
              <w:rFonts w:hint="eastAsia" w:asciiTheme="minorEastAsia" w:hAnsiTheme="minorEastAsia"/>
              <w:color w:val="auto"/>
              <w:highlight w:val="none"/>
            </w:rPr>
            <w:t>调解</w:t>
          </w:r>
          <w:r>
            <w:rPr>
              <w:color w:val="auto"/>
              <w:highlight w:val="none"/>
            </w:rPr>
            <w:tab/>
          </w:r>
          <w:r>
            <w:rPr>
              <w:color w:val="auto"/>
              <w:highlight w:val="none"/>
            </w:rPr>
            <w:fldChar w:fldCharType="begin"/>
          </w:r>
          <w:r>
            <w:rPr>
              <w:color w:val="auto"/>
              <w:highlight w:val="none"/>
            </w:rPr>
            <w:instrText xml:space="preserve"> PAGEREF _Toc76398707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64872355">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"_Toc76398708" </w:instrText>
          </w:r>
          <w:r>
            <w:rPr>
              <w:color w:val="auto"/>
              <w:highlight w:val="none"/>
            </w:rPr>
            <w:fldChar w:fldCharType="separate"/>
          </w:r>
          <w:r>
            <w:rPr>
              <w:rStyle w:val="39"/>
              <w:rFonts w:asciiTheme="minorEastAsia" w:hAnsiTheme="minorEastAsia"/>
              <w:color w:val="auto"/>
              <w:highlight w:val="none"/>
            </w:rPr>
            <w:t xml:space="preserve">7.3 </w:t>
          </w:r>
          <w:r>
            <w:rPr>
              <w:rStyle w:val="39"/>
              <w:rFonts w:hint="eastAsia" w:asciiTheme="minorEastAsia" w:hAnsiTheme="minorEastAsia"/>
              <w:color w:val="auto"/>
              <w:highlight w:val="none"/>
            </w:rPr>
            <w:t>仲裁或诉讼</w:t>
          </w:r>
          <w:r>
            <w:rPr>
              <w:color w:val="auto"/>
              <w:highlight w:val="none"/>
            </w:rPr>
            <w:tab/>
          </w:r>
          <w:r>
            <w:rPr>
              <w:color w:val="auto"/>
              <w:highlight w:val="none"/>
            </w:rPr>
            <w:fldChar w:fldCharType="begin"/>
          </w:r>
          <w:r>
            <w:rPr>
              <w:color w:val="auto"/>
              <w:highlight w:val="none"/>
            </w:rPr>
            <w:instrText xml:space="preserve"> PAGEREF _Toc76398708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6B9DBA53">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"_Toc76398709" </w:instrText>
          </w:r>
          <w:r>
            <w:rPr>
              <w:color w:val="auto"/>
              <w:highlight w:val="none"/>
            </w:rPr>
            <w:fldChar w:fldCharType="separate"/>
          </w:r>
          <w:r>
            <w:rPr>
              <w:rStyle w:val="39"/>
              <w:rFonts w:asciiTheme="minorEastAsia" w:hAnsiTheme="minorEastAsia"/>
              <w:color w:val="auto"/>
              <w:highlight w:val="none"/>
            </w:rPr>
            <w:t xml:space="preserve">8. </w:t>
          </w:r>
          <w:r>
            <w:rPr>
              <w:rStyle w:val="39"/>
              <w:rFonts w:hint="eastAsia" w:asciiTheme="minorEastAsia" w:hAnsiTheme="minorEastAsia"/>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_Toc76398709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578DC540">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"_Toc76398710" </w:instrText>
          </w:r>
          <w:r>
            <w:rPr>
              <w:color w:val="auto"/>
              <w:highlight w:val="none"/>
            </w:rPr>
            <w:fldChar w:fldCharType="separate"/>
          </w:r>
          <w:r>
            <w:rPr>
              <w:rStyle w:val="39"/>
              <w:rFonts w:asciiTheme="minorEastAsia" w:hAnsiTheme="minorEastAsia"/>
              <w:color w:val="auto"/>
              <w:highlight w:val="none"/>
            </w:rPr>
            <w:t xml:space="preserve">8.1 </w:t>
          </w:r>
          <w:r>
            <w:rPr>
              <w:rStyle w:val="39"/>
              <w:rFonts w:hint="eastAsia" w:asciiTheme="minorEastAsia" w:hAnsiTheme="minorEastAsia"/>
              <w:color w:val="auto"/>
              <w:highlight w:val="none"/>
            </w:rPr>
            <w:t>考察及相关费用咨询人经委托人同意进行考察发生的费用由</w:t>
          </w:r>
          <w:r>
            <w:rPr>
              <w:rStyle w:val="39"/>
              <w:rFonts w:asciiTheme="minorEastAsia" w:hAnsiTheme="minorEastAsia"/>
              <w:color w:val="auto"/>
              <w:highlight w:val="none"/>
            </w:rPr>
            <w:t xml:space="preserve">  /  </w:t>
          </w:r>
          <w:r>
            <w:rPr>
              <w:rStyle w:val="39"/>
              <w:rFonts w:hint="eastAsia" w:asciiTheme="minorEastAsia" w:hAnsiTheme="minorEastAsia"/>
              <w:color w:val="auto"/>
              <w:highlight w:val="none"/>
            </w:rPr>
            <w:t>支付。</w:t>
          </w:r>
          <w:r>
            <w:rPr>
              <w:color w:val="auto"/>
              <w:highlight w:val="none"/>
            </w:rPr>
            <w:tab/>
          </w:r>
          <w:r>
            <w:rPr>
              <w:color w:val="auto"/>
              <w:highlight w:val="none"/>
            </w:rPr>
            <w:fldChar w:fldCharType="begin"/>
          </w:r>
          <w:r>
            <w:rPr>
              <w:color w:val="auto"/>
              <w:highlight w:val="none"/>
            </w:rPr>
            <w:instrText xml:space="preserve"> PAGEREF _Toc76398710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DCD18E0">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"_Toc76398711" </w:instrText>
          </w:r>
          <w:r>
            <w:rPr>
              <w:color w:val="auto"/>
              <w:highlight w:val="none"/>
            </w:rPr>
            <w:fldChar w:fldCharType="separate"/>
          </w:r>
          <w:r>
            <w:rPr>
              <w:rStyle w:val="39"/>
              <w:rFonts w:asciiTheme="minorEastAsia" w:hAnsiTheme="minorEastAsia"/>
              <w:color w:val="auto"/>
              <w:highlight w:val="none"/>
            </w:rPr>
            <w:t xml:space="preserve">8.2 </w:t>
          </w:r>
          <w:r>
            <w:rPr>
              <w:rStyle w:val="39"/>
              <w:rFonts w:hint="eastAsia" w:asciiTheme="minorEastAsia" w:hAnsiTheme="minorEastAsia"/>
              <w:color w:val="auto"/>
              <w:highlight w:val="none"/>
            </w:rPr>
            <w:t>奖励</w:t>
          </w:r>
          <w:r>
            <w:rPr>
              <w:color w:val="auto"/>
              <w:highlight w:val="none"/>
            </w:rPr>
            <w:tab/>
          </w:r>
          <w:r>
            <w:rPr>
              <w:color w:val="auto"/>
              <w:highlight w:val="none"/>
            </w:rPr>
            <w:fldChar w:fldCharType="begin"/>
          </w:r>
          <w:r>
            <w:rPr>
              <w:color w:val="auto"/>
              <w:highlight w:val="none"/>
            </w:rPr>
            <w:instrText xml:space="preserve"> PAGEREF _Toc76398711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5D3148A">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"_Toc76398712" </w:instrText>
          </w:r>
          <w:r>
            <w:rPr>
              <w:color w:val="auto"/>
              <w:highlight w:val="none"/>
            </w:rPr>
            <w:fldChar w:fldCharType="separate"/>
          </w:r>
          <w:r>
            <w:rPr>
              <w:rStyle w:val="39"/>
              <w:rFonts w:asciiTheme="minorEastAsia" w:hAnsiTheme="minorEastAsia"/>
              <w:color w:val="auto"/>
              <w:highlight w:val="none"/>
            </w:rPr>
            <w:t xml:space="preserve">8.3 </w:t>
          </w:r>
          <w:r>
            <w:rPr>
              <w:rStyle w:val="39"/>
              <w:rFonts w:hint="eastAsia" w:asciiTheme="minorEastAsia" w:hAnsiTheme="minorEastAsia"/>
              <w:color w:val="auto"/>
              <w:highlight w:val="none"/>
            </w:rPr>
            <w:t>保密</w:t>
          </w:r>
          <w:r>
            <w:rPr>
              <w:color w:val="auto"/>
              <w:highlight w:val="none"/>
            </w:rPr>
            <w:tab/>
          </w:r>
          <w:r>
            <w:rPr>
              <w:color w:val="auto"/>
              <w:highlight w:val="none"/>
            </w:rPr>
            <w:fldChar w:fldCharType="begin"/>
          </w:r>
          <w:r>
            <w:rPr>
              <w:color w:val="auto"/>
              <w:highlight w:val="none"/>
            </w:rPr>
            <w:instrText xml:space="preserve"> PAGEREF _Toc76398712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11B8B097">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"_Toc76398713" </w:instrText>
          </w:r>
          <w:r>
            <w:rPr>
              <w:color w:val="auto"/>
              <w:highlight w:val="none"/>
            </w:rPr>
            <w:fldChar w:fldCharType="separate"/>
          </w:r>
          <w:r>
            <w:rPr>
              <w:rStyle w:val="39"/>
              <w:rFonts w:asciiTheme="minorEastAsia" w:hAnsiTheme="minorEastAsia"/>
              <w:color w:val="auto"/>
              <w:highlight w:val="none"/>
            </w:rPr>
            <w:t xml:space="preserve">8.4 </w:t>
          </w:r>
          <w:r>
            <w:rPr>
              <w:rStyle w:val="39"/>
              <w:rFonts w:hint="eastAsia" w:asciiTheme="minorEastAsia" w:hAnsiTheme="minorEastAsia"/>
              <w:color w:val="auto"/>
              <w:highlight w:val="none"/>
            </w:rPr>
            <w:t>联络</w:t>
          </w:r>
          <w:r>
            <w:rPr>
              <w:color w:val="auto"/>
              <w:highlight w:val="none"/>
            </w:rPr>
            <w:tab/>
          </w:r>
          <w:r>
            <w:rPr>
              <w:color w:val="auto"/>
              <w:highlight w:val="none"/>
            </w:rPr>
            <w:fldChar w:fldCharType="begin"/>
          </w:r>
          <w:r>
            <w:rPr>
              <w:color w:val="auto"/>
              <w:highlight w:val="none"/>
            </w:rPr>
            <w:instrText xml:space="preserve"> PAGEREF _Toc76398713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15E3DEE3">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"_Toc76398714" </w:instrText>
          </w:r>
          <w:r>
            <w:rPr>
              <w:color w:val="auto"/>
              <w:highlight w:val="none"/>
            </w:rPr>
            <w:fldChar w:fldCharType="separate"/>
          </w:r>
          <w:r>
            <w:rPr>
              <w:rStyle w:val="39"/>
              <w:rFonts w:asciiTheme="minorEastAsia" w:hAnsiTheme="minorEastAsia"/>
              <w:color w:val="auto"/>
              <w:highlight w:val="none"/>
            </w:rPr>
            <w:t xml:space="preserve">8.5 </w:t>
          </w:r>
          <w:r>
            <w:rPr>
              <w:rStyle w:val="39"/>
              <w:rFonts w:hint="eastAsia" w:asciiTheme="minorEastAsia" w:hAnsiTheme="minorEastAsia"/>
              <w:color w:val="auto"/>
              <w:highlight w:val="none"/>
            </w:rPr>
            <w:t>知识产权</w:t>
          </w:r>
          <w:r>
            <w:rPr>
              <w:color w:val="auto"/>
              <w:highlight w:val="none"/>
            </w:rPr>
            <w:tab/>
          </w:r>
          <w:r>
            <w:rPr>
              <w:color w:val="auto"/>
              <w:highlight w:val="none"/>
            </w:rPr>
            <w:fldChar w:fldCharType="begin"/>
          </w:r>
          <w:r>
            <w:rPr>
              <w:color w:val="auto"/>
              <w:highlight w:val="none"/>
            </w:rPr>
            <w:instrText xml:space="preserve"> PAGEREF _Toc76398714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3CA4BFC6">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"_Toc76398715" </w:instrText>
          </w:r>
          <w:r>
            <w:rPr>
              <w:color w:val="auto"/>
              <w:highlight w:val="none"/>
            </w:rPr>
            <w:fldChar w:fldCharType="separate"/>
          </w:r>
          <w:r>
            <w:rPr>
              <w:rStyle w:val="39"/>
              <w:rFonts w:asciiTheme="minorEastAsia" w:hAnsiTheme="minorEastAsia"/>
              <w:color w:val="auto"/>
              <w:highlight w:val="none"/>
            </w:rPr>
            <w:t>9.</w:t>
          </w:r>
          <w:r>
            <w:rPr>
              <w:rStyle w:val="39"/>
              <w:rFonts w:hint="eastAsia" w:asciiTheme="minorEastAsia" w:hAnsiTheme="minorEastAsia"/>
              <w:color w:val="auto"/>
              <w:highlight w:val="none"/>
            </w:rPr>
            <w:t>补充条款</w:t>
          </w:r>
          <w:r>
            <w:rPr>
              <w:color w:val="auto"/>
              <w:highlight w:val="none"/>
            </w:rPr>
            <w:tab/>
          </w:r>
          <w:r>
            <w:rPr>
              <w:color w:val="auto"/>
              <w:highlight w:val="none"/>
            </w:rPr>
            <w:fldChar w:fldCharType="begin"/>
          </w:r>
          <w:r>
            <w:rPr>
              <w:color w:val="auto"/>
              <w:highlight w:val="none"/>
            </w:rPr>
            <w:instrText xml:space="preserve"> PAGEREF _Toc76398715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3AD687E">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"_Toc76398716" </w:instrText>
          </w:r>
          <w:r>
            <w:rPr>
              <w:color w:val="auto"/>
              <w:highlight w:val="none"/>
            </w:rPr>
            <w:fldChar w:fldCharType="separate"/>
          </w:r>
          <w:r>
            <w:rPr>
              <w:rStyle w:val="39"/>
              <w:rFonts w:hint="eastAsia"/>
              <w:color w:val="auto"/>
              <w:highlight w:val="none"/>
            </w:rPr>
            <w:t>附录</w:t>
          </w:r>
          <w:r>
            <w:rPr>
              <w:rStyle w:val="39"/>
              <w:color w:val="auto"/>
              <w:highlight w:val="none"/>
            </w:rPr>
            <w:t xml:space="preserve"> A</w:t>
          </w:r>
          <w:r>
            <w:rPr>
              <w:rFonts w:hint="eastAsia"/>
              <w:color w:val="auto"/>
              <w:highlight w:val="none"/>
            </w:rPr>
            <w:t>咨询人人员配置一览表</w:t>
          </w:r>
          <w:r>
            <w:rPr>
              <w:color w:val="auto"/>
              <w:highlight w:val="none"/>
            </w:rPr>
            <w:tab/>
          </w:r>
          <w:r>
            <w:rPr>
              <w:color w:val="auto"/>
              <w:highlight w:val="none"/>
            </w:rPr>
            <w:fldChar w:fldCharType="begin"/>
          </w:r>
          <w:r>
            <w:rPr>
              <w:color w:val="auto"/>
              <w:highlight w:val="none"/>
            </w:rPr>
            <w:instrText xml:space="preserve"> PAGEREF _Toc76398716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012D0645">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"_Toc76398717" </w:instrText>
          </w:r>
          <w:r>
            <w:rPr>
              <w:color w:val="auto"/>
              <w:highlight w:val="none"/>
            </w:rPr>
            <w:fldChar w:fldCharType="separate"/>
          </w:r>
          <w:r>
            <w:rPr>
              <w:rStyle w:val="39"/>
              <w:rFonts w:hint="eastAsia"/>
              <w:color w:val="auto"/>
              <w:highlight w:val="none"/>
            </w:rPr>
            <w:t>附录</w:t>
          </w:r>
          <w:r>
            <w:rPr>
              <w:rStyle w:val="39"/>
              <w:color w:val="auto"/>
              <w:highlight w:val="none"/>
            </w:rPr>
            <w:t xml:space="preserve"> B </w:t>
          </w:r>
          <w:r>
            <w:rPr>
              <w:rStyle w:val="39"/>
              <w:rFonts w:hint="eastAsia"/>
              <w:color w:val="auto"/>
              <w:highlight w:val="none"/>
            </w:rPr>
            <w:t>咨询人提交成果文件一览表</w:t>
          </w:r>
          <w:r>
            <w:rPr>
              <w:color w:val="auto"/>
              <w:highlight w:val="none"/>
            </w:rPr>
            <w:tab/>
          </w:r>
          <w:r>
            <w:rPr>
              <w:color w:val="auto"/>
              <w:highlight w:val="none"/>
            </w:rPr>
            <w:fldChar w:fldCharType="begin"/>
          </w:r>
          <w:r>
            <w:rPr>
              <w:color w:val="auto"/>
              <w:highlight w:val="none"/>
            </w:rPr>
            <w:instrText xml:space="preserve"> PAGEREF _Toc76398717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416C26E1">
          <w:pPr>
            <w:pStyle w:val="19"/>
            <w:tabs>
              <w:tab w:val="right" w:leader="dot" w:pos="8720"/>
            </w:tabs>
            <w:rPr>
              <w:color w:val="auto"/>
              <w:sz w:val="24"/>
              <w:szCs w:val="24"/>
              <w:highlight w:val="none"/>
            </w:rPr>
          </w:pPr>
          <w:r>
            <w:rPr>
              <w:color w:val="auto"/>
              <w:highlight w:val="none"/>
            </w:rPr>
            <w:fldChar w:fldCharType="begin"/>
          </w:r>
          <w:r>
            <w:rPr>
              <w:color w:val="auto"/>
              <w:highlight w:val="none"/>
            </w:rPr>
            <w:instrText xml:space="preserve"> HYPERLINK \l "_Toc76398718" </w:instrText>
          </w:r>
          <w:r>
            <w:rPr>
              <w:color w:val="auto"/>
              <w:highlight w:val="none"/>
            </w:rPr>
            <w:fldChar w:fldCharType="separate"/>
          </w:r>
          <w:r>
            <w:rPr>
              <w:rStyle w:val="39"/>
              <w:rFonts w:hint="eastAsia"/>
              <w:color w:val="auto"/>
              <w:highlight w:val="none"/>
            </w:rPr>
            <w:t>附录</w:t>
          </w:r>
          <w:r>
            <w:rPr>
              <w:rStyle w:val="39"/>
              <w:color w:val="auto"/>
              <w:highlight w:val="none"/>
            </w:rPr>
            <w:t xml:space="preserve"> C</w:t>
          </w:r>
          <w:r>
            <w:rPr>
              <w:rStyle w:val="39"/>
              <w:rFonts w:hint="eastAsia"/>
              <w:color w:val="auto"/>
              <w:highlight w:val="none"/>
            </w:rPr>
            <w:t>委托人提供资料一览表</w:t>
          </w:r>
          <w:r>
            <w:rPr>
              <w:color w:val="auto"/>
              <w:highlight w:val="none"/>
            </w:rPr>
            <w:tab/>
          </w:r>
          <w:r>
            <w:rPr>
              <w:color w:val="auto"/>
              <w:highlight w:val="none"/>
            </w:rPr>
            <w:fldChar w:fldCharType="begin"/>
          </w:r>
          <w:r>
            <w:rPr>
              <w:color w:val="auto"/>
              <w:highlight w:val="none"/>
            </w:rPr>
            <w:instrText xml:space="preserve"> PAGEREF _Toc76398718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r>
            <w:rPr>
              <w:color w:val="auto"/>
              <w:sz w:val="24"/>
              <w:szCs w:val="24"/>
              <w:highlight w:val="none"/>
            </w:rPr>
            <w:fldChar w:fldCharType="end"/>
          </w:r>
        </w:p>
      </w:sdtContent>
    </w:sdt>
    <w:p w14:paraId="043A147D">
      <w:pPr>
        <w:spacing w:line="360" w:lineRule="auto"/>
        <w:ind w:firstLine="643"/>
        <w:jc w:val="center"/>
        <w:outlineLvl w:val="0"/>
        <w:rPr>
          <w:b/>
          <w:color w:val="auto"/>
          <w:sz w:val="32"/>
          <w:szCs w:val="32"/>
          <w:highlight w:val="none"/>
        </w:rPr>
      </w:pPr>
      <w:bookmarkStart w:id="654" w:name="_Toc76398630"/>
      <w:r>
        <w:rPr>
          <w:rFonts w:hint="eastAsia"/>
          <w:b/>
          <w:color w:val="auto"/>
          <w:sz w:val="32"/>
          <w:szCs w:val="32"/>
          <w:highlight w:val="none"/>
        </w:rPr>
        <w:t>第一部分 协议书</w:t>
      </w:r>
      <w:bookmarkEnd w:id="654"/>
    </w:p>
    <w:p w14:paraId="656EC97E">
      <w:pPr>
        <w:spacing w:line="360" w:lineRule="auto"/>
        <w:ind w:firstLine="480" w:firstLineChars="200"/>
        <w:rPr>
          <w:rFonts w:asciiTheme="minorEastAsia" w:hAnsiTheme="minorEastAsia"/>
          <w:color w:val="auto"/>
          <w:sz w:val="24"/>
          <w:szCs w:val="24"/>
          <w:highlight w:val="none"/>
          <w:u w:val="single"/>
        </w:rPr>
      </w:pPr>
      <w:r>
        <w:rPr>
          <w:rFonts w:hint="eastAsia" w:asciiTheme="minorEastAsia" w:hAnsiTheme="minorEastAsia"/>
          <w:color w:val="auto"/>
          <w:sz w:val="24"/>
          <w:szCs w:val="24"/>
          <w:highlight w:val="none"/>
        </w:rPr>
        <w:t>委托人（全称）：</w:t>
      </w:r>
      <w:r>
        <w:rPr>
          <w:rFonts w:hint="eastAsia" w:asciiTheme="minorEastAsia" w:hAnsiTheme="minorEastAsia"/>
          <w:color w:val="auto"/>
          <w:sz w:val="24"/>
          <w:szCs w:val="24"/>
          <w:highlight w:val="none"/>
          <w:u w:val="single"/>
        </w:rPr>
        <w:t xml:space="preserve">                     </w:t>
      </w:r>
    </w:p>
    <w:p w14:paraId="3AEE3464">
      <w:pPr>
        <w:spacing w:line="360" w:lineRule="auto"/>
        <w:ind w:firstLine="480" w:firstLineChars="200"/>
        <w:jc w:val="left"/>
        <w:rPr>
          <w:rFonts w:asciiTheme="minorEastAsia" w:hAnsiTheme="minorEastAsia"/>
          <w:color w:val="auto"/>
          <w:sz w:val="24"/>
          <w:szCs w:val="24"/>
          <w:highlight w:val="none"/>
          <w:u w:val="single"/>
        </w:rPr>
      </w:pPr>
      <w:r>
        <w:rPr>
          <w:rFonts w:hint="eastAsia" w:asciiTheme="minorEastAsia" w:hAnsiTheme="minorEastAsia"/>
          <w:color w:val="auto"/>
          <w:sz w:val="24"/>
          <w:szCs w:val="24"/>
          <w:highlight w:val="none"/>
        </w:rPr>
        <w:t>咨询人（全称）：</w:t>
      </w:r>
      <w:r>
        <w:rPr>
          <w:rFonts w:hint="eastAsia" w:asciiTheme="minorEastAsia" w:hAnsiTheme="minorEastAsia"/>
          <w:color w:val="auto"/>
          <w:sz w:val="24"/>
          <w:szCs w:val="24"/>
          <w:highlight w:val="none"/>
          <w:u w:val="single"/>
        </w:rPr>
        <w:t xml:space="preserve">                     </w:t>
      </w:r>
    </w:p>
    <w:p w14:paraId="1D30437F">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根据《中华人民共和国民法典》及其他有关法律、法规，遵循平等、自愿、公平和诚实信用的原则，双方就下述建设工程委托造价咨询与其他服务事项协商一致，订立本合同。</w:t>
      </w:r>
    </w:p>
    <w:p w14:paraId="4B82EFDD">
      <w:pPr>
        <w:spacing w:line="360" w:lineRule="auto"/>
        <w:ind w:firstLine="480" w:firstLineChars="200"/>
        <w:outlineLvl w:val="0"/>
        <w:rPr>
          <w:rFonts w:asciiTheme="minorEastAsia" w:hAnsiTheme="minorEastAsia"/>
          <w:color w:val="auto"/>
          <w:sz w:val="24"/>
          <w:szCs w:val="24"/>
          <w:highlight w:val="none"/>
        </w:rPr>
      </w:pPr>
      <w:bookmarkStart w:id="655" w:name="_Toc76398631"/>
      <w:r>
        <w:rPr>
          <w:rFonts w:hint="eastAsia" w:asciiTheme="minorEastAsia" w:hAnsiTheme="minorEastAsia"/>
          <w:color w:val="auto"/>
          <w:sz w:val="24"/>
          <w:szCs w:val="24"/>
          <w:highlight w:val="none"/>
        </w:rPr>
        <w:t>一、工程概况</w:t>
      </w:r>
      <w:bookmarkEnd w:id="655"/>
    </w:p>
    <w:p w14:paraId="0A97401C">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1.工程名称：</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 xml:space="preserve">     </w:t>
      </w:r>
    </w:p>
    <w:p w14:paraId="3CCDD489">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2.工程地点：</w:t>
      </w:r>
      <w:r>
        <w:rPr>
          <w:rFonts w:hint="eastAsia" w:asciiTheme="minorEastAsia" w:hAnsiTheme="minorEastAsia"/>
          <w:color w:val="auto"/>
          <w:sz w:val="24"/>
          <w:szCs w:val="24"/>
          <w:highlight w:val="none"/>
          <w:u w:val="single"/>
        </w:rPr>
        <w:t xml:space="preserve">                     </w:t>
      </w:r>
      <w:r>
        <w:rPr>
          <w:rFonts w:hint="eastAsia" w:ascii="宋体" w:hAnsi="宋体"/>
          <w:snapToGrid w:val="0"/>
          <w:color w:val="auto"/>
          <w:kern w:val="0"/>
          <w:sz w:val="24"/>
          <w:highlight w:val="none"/>
        </w:rPr>
        <w:t xml:space="preserve">                         </w:t>
      </w:r>
    </w:p>
    <w:p w14:paraId="7A9F445D">
      <w:pPr>
        <w:adjustRightInd w:val="0"/>
        <w:snapToGrid w:val="0"/>
        <w:spacing w:line="360" w:lineRule="auto"/>
        <w:ind w:firstLine="475" w:firstLineChars="198"/>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3.工程规模：</w:t>
      </w:r>
      <w:r>
        <w:rPr>
          <w:rFonts w:hint="eastAsia" w:asciiTheme="minorEastAsia" w:hAnsiTheme="minorEastAsia"/>
          <w:color w:val="auto"/>
          <w:sz w:val="24"/>
          <w:szCs w:val="24"/>
          <w:highlight w:val="none"/>
          <w:u w:val="single"/>
        </w:rPr>
        <w:t xml:space="preserve">                     </w:t>
      </w:r>
      <w:r>
        <w:rPr>
          <w:rFonts w:hint="eastAsia" w:ascii="宋体" w:hAnsi="宋体"/>
          <w:snapToGrid w:val="0"/>
          <w:color w:val="auto"/>
          <w:kern w:val="0"/>
          <w:sz w:val="24"/>
          <w:highlight w:val="none"/>
        </w:rPr>
        <w:t xml:space="preserve">                          。</w:t>
      </w:r>
    </w:p>
    <w:p w14:paraId="76F26E32">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4.投资金额：</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万元。</w:t>
      </w:r>
    </w:p>
    <w:p w14:paraId="7A388B8F">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5.资金来源：</w:t>
      </w:r>
      <w:r>
        <w:rPr>
          <w:rFonts w:hint="eastAsia" w:asciiTheme="minorEastAsia" w:hAnsiTheme="minorEastAsia"/>
          <w:color w:val="auto"/>
          <w:sz w:val="24"/>
          <w:szCs w:val="24"/>
          <w:highlight w:val="none"/>
          <w:u w:val="single"/>
        </w:rPr>
        <w:t xml:space="preserve">                     </w:t>
      </w:r>
    </w:p>
    <w:p w14:paraId="7EA620EE">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6.建设工期或周期：</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日历天。</w:t>
      </w:r>
    </w:p>
    <w:p w14:paraId="5B9DE209">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7.其他：</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w:t>
      </w:r>
    </w:p>
    <w:p w14:paraId="7E8D2357">
      <w:pPr>
        <w:spacing w:line="360" w:lineRule="auto"/>
        <w:ind w:firstLine="480" w:firstLineChars="200"/>
        <w:outlineLvl w:val="0"/>
        <w:rPr>
          <w:rFonts w:asciiTheme="minorEastAsia" w:hAnsiTheme="minorEastAsia"/>
          <w:color w:val="auto"/>
          <w:sz w:val="24"/>
          <w:szCs w:val="24"/>
          <w:highlight w:val="none"/>
        </w:rPr>
      </w:pPr>
      <w:bookmarkStart w:id="656" w:name="_Toc76398632"/>
      <w:r>
        <w:rPr>
          <w:rFonts w:hint="eastAsia" w:asciiTheme="minorEastAsia" w:hAnsiTheme="minorEastAsia"/>
          <w:color w:val="auto"/>
          <w:sz w:val="24"/>
          <w:szCs w:val="24"/>
          <w:highlight w:val="none"/>
        </w:rPr>
        <w:t>二、服务范围及工作内容</w:t>
      </w:r>
      <w:bookmarkEnd w:id="656"/>
    </w:p>
    <w:p w14:paraId="7F64B72B">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双方约定的服务范围及工作内容：</w:t>
      </w:r>
      <w:r>
        <w:rPr>
          <w:rFonts w:hint="eastAsia" w:asciiTheme="minorEastAsia" w:hAnsiTheme="minorEastAsia"/>
          <w:color w:val="auto"/>
          <w:sz w:val="24"/>
          <w:szCs w:val="24"/>
          <w:highlight w:val="none"/>
          <w:u w:val="single"/>
        </w:rPr>
        <w:t>根据委托项目有关资料，依据国家及行业现行规定、规范、设计图纸、合同等资料文件完成本项目的工程量清单及组价编制（审核）、施工阶段工程造价全过程控制服务。内容包括但不限于完成：</w:t>
      </w:r>
    </w:p>
    <w:p w14:paraId="318037D1">
      <w:pPr>
        <w:spacing w:line="360" w:lineRule="auto"/>
        <w:ind w:firstLine="480" w:firstLineChars="200"/>
        <w:outlineLvl w:val="0"/>
        <w:rPr>
          <w:rFonts w:asciiTheme="minorEastAsia" w:hAnsiTheme="minorEastAsia"/>
          <w:color w:val="auto"/>
          <w:sz w:val="24"/>
          <w:szCs w:val="24"/>
          <w:highlight w:val="none"/>
          <w:u w:val="single"/>
        </w:rPr>
      </w:pPr>
      <w:r>
        <w:rPr>
          <w:rFonts w:hint="eastAsia" w:asciiTheme="minorEastAsia" w:hAnsiTheme="minorEastAsia"/>
          <w:color w:val="auto"/>
          <w:sz w:val="24"/>
          <w:szCs w:val="24"/>
          <w:highlight w:val="none"/>
        </w:rPr>
        <w:t>A:工程量清单及组价编制（审核）或招标控制价编制（审核）：</w:t>
      </w:r>
      <w:r>
        <w:rPr>
          <w:rFonts w:hint="eastAsia" w:asciiTheme="minorEastAsia" w:hAnsiTheme="minorEastAsia"/>
          <w:color w:val="auto"/>
          <w:sz w:val="24"/>
          <w:szCs w:val="24"/>
          <w:highlight w:val="none"/>
          <w:u w:val="single"/>
        </w:rPr>
        <w:t>本工程的工程量清单及组价编制（审核）并核对成果；建筑安装材料设备认（审）价、施工方案的经济评价（如有时）</w:t>
      </w:r>
      <w:r>
        <w:rPr>
          <w:rFonts w:asciiTheme="minorEastAsia" w:hAnsiTheme="minorEastAsia"/>
          <w:color w:val="auto"/>
          <w:sz w:val="24"/>
          <w:szCs w:val="24"/>
          <w:highlight w:val="none"/>
          <w:u w:val="single"/>
        </w:rPr>
        <w:t>;</w:t>
      </w:r>
      <w:r>
        <w:rPr>
          <w:rFonts w:hint="eastAsia" w:asciiTheme="minorEastAsia" w:hAnsiTheme="minorEastAsia"/>
          <w:color w:val="auto"/>
          <w:sz w:val="24"/>
          <w:szCs w:val="24"/>
          <w:highlight w:val="none"/>
          <w:u w:val="single"/>
        </w:rPr>
        <w:t>配合招标采购；优化设计方案和二次设计后预算编制（审核或评审）；设计图纸的优化建议。接受造价方面的口头咨询和委托人要求咨询的其它事项。</w:t>
      </w:r>
    </w:p>
    <w:p w14:paraId="3FBCAB9C">
      <w:pPr>
        <w:spacing w:line="360" w:lineRule="auto"/>
        <w:ind w:firstLine="480" w:firstLineChars="200"/>
        <w:outlineLvl w:val="0"/>
        <w:rPr>
          <w:rFonts w:asciiTheme="minorEastAsia" w:hAnsiTheme="minorEastAsia"/>
          <w:color w:val="auto"/>
          <w:sz w:val="24"/>
          <w:szCs w:val="24"/>
          <w:highlight w:val="none"/>
          <w:u w:val="single"/>
        </w:rPr>
      </w:pPr>
      <w:r>
        <w:rPr>
          <w:rFonts w:asciiTheme="minorEastAsia" w:hAnsiTheme="minorEastAsia"/>
          <w:color w:val="auto"/>
          <w:sz w:val="24"/>
          <w:szCs w:val="24"/>
          <w:highlight w:val="none"/>
        </w:rPr>
        <w:t>B：</w:t>
      </w:r>
      <w:r>
        <w:rPr>
          <w:rFonts w:hint="eastAsia" w:asciiTheme="minorEastAsia" w:hAnsiTheme="minorEastAsia"/>
          <w:color w:val="auto"/>
          <w:sz w:val="24"/>
          <w:szCs w:val="24"/>
          <w:highlight w:val="none"/>
        </w:rPr>
        <w:t>施工阶段工程造价全过程控制：</w:t>
      </w:r>
      <w:r>
        <w:rPr>
          <w:rFonts w:hint="eastAsia" w:asciiTheme="minorEastAsia" w:hAnsiTheme="minorEastAsia"/>
          <w:color w:val="auto"/>
          <w:sz w:val="24"/>
          <w:szCs w:val="24"/>
          <w:highlight w:val="none"/>
          <w:u w:val="single"/>
        </w:rPr>
        <w:t>编制工程造价咨询（计划）方案，编制工程造价报表包括跟踪审核、月报、季报和年报，每周书面汇报施工投资进度进展情况；工程洽谈、施工方案的经济评价、进行投资分析、风险控制、提出合理化方案建议；设计变更的经济分析、造价测算、招标采购项目限价编制；参与施工阶段的现场计量、现场签证、新增项目的价格审核及评价、建筑安装材料设备认（审）价；工程进度款审核、提供工程索赔和反索赔咨询；办理工程结算，结算办理原则上应钻芯取样，结合现场实施情况出具结算审核报告；提供编制审核依据及对工程造价进行全过程控制的工作总结和有关工程造价的相关信息；根据结算审核报告分析工程经济指标和进行后评估分析；建立相应的台账、有关工程造价信息及法规等咨询、完工后结算审核等与造价控制有关的其他服务工作及配合项目审计。接受造价方面的口头咨询和委托人要求咨询的其它事项。</w:t>
      </w:r>
    </w:p>
    <w:p w14:paraId="16E19AE0">
      <w:pPr>
        <w:spacing w:line="360" w:lineRule="auto"/>
        <w:ind w:firstLine="480" w:firstLineChars="200"/>
        <w:outlineLvl w:val="0"/>
        <w:rPr>
          <w:rFonts w:asciiTheme="minorEastAsia" w:hAnsiTheme="minorEastAsia"/>
          <w:color w:val="auto"/>
          <w:sz w:val="24"/>
          <w:szCs w:val="24"/>
          <w:highlight w:val="none"/>
          <w:u w:val="single"/>
        </w:rPr>
      </w:pPr>
      <w:r>
        <w:rPr>
          <w:rFonts w:hint="eastAsia" w:asciiTheme="minorEastAsia" w:hAnsiTheme="minorEastAsia"/>
          <w:color w:val="auto"/>
          <w:sz w:val="24"/>
          <w:szCs w:val="24"/>
          <w:highlight w:val="none"/>
        </w:rPr>
        <w:t>C：施工阶段工程造价全过程控制合同范围内应完成的其他工作：工程建设其他费结算审核（如有）</w:t>
      </w:r>
      <w:r>
        <w:rPr>
          <w:rFonts w:hint="eastAsia" w:asciiTheme="minorEastAsia" w:hAnsiTheme="minorEastAsia"/>
          <w:color w:val="auto"/>
          <w:sz w:val="24"/>
          <w:szCs w:val="24"/>
          <w:highlight w:val="none"/>
          <w:u w:val="single"/>
        </w:rPr>
        <w:t>。</w:t>
      </w:r>
    </w:p>
    <w:p w14:paraId="0B9C381D">
      <w:pPr>
        <w:spacing w:line="360" w:lineRule="auto"/>
        <w:ind w:firstLine="480" w:firstLineChars="200"/>
        <w:outlineLvl w:val="0"/>
        <w:rPr>
          <w:rFonts w:asciiTheme="minorEastAsia" w:hAnsiTheme="minorEastAsia"/>
          <w:color w:val="auto"/>
          <w:sz w:val="24"/>
          <w:szCs w:val="24"/>
          <w:highlight w:val="none"/>
          <w:u w:val="single"/>
        </w:rPr>
      </w:pPr>
      <w:r>
        <w:rPr>
          <w:rFonts w:asciiTheme="minorEastAsia" w:hAnsiTheme="minorEastAsia"/>
          <w:color w:val="auto"/>
          <w:sz w:val="24"/>
          <w:szCs w:val="24"/>
          <w:highlight w:val="none"/>
          <w:u w:val="single"/>
        </w:rPr>
        <w:t>咨询服务单位应熟悉并按照区城建集团相关制度执行，包含但不限于《重庆市南岸区城市建设发展（集团）有限公司认质核价实施细则》、《工程变更管理办法》、《预算编制（审核）工作须知》、《施工阶段全过程咨询工作须知》</w:t>
      </w:r>
      <w:r>
        <w:rPr>
          <w:rFonts w:hint="eastAsia" w:asciiTheme="minorEastAsia" w:hAnsiTheme="minorEastAsia"/>
          <w:color w:val="auto"/>
          <w:sz w:val="24"/>
          <w:szCs w:val="24"/>
          <w:highlight w:val="none"/>
          <w:u w:val="single"/>
        </w:rPr>
        <w:t>。</w:t>
      </w:r>
    </w:p>
    <w:p w14:paraId="0EA09486">
      <w:pPr>
        <w:spacing w:line="360" w:lineRule="auto"/>
        <w:ind w:firstLine="482" w:firstLineChars="200"/>
        <w:outlineLvl w:val="0"/>
        <w:rPr>
          <w:b/>
          <w:bCs/>
          <w:color w:val="auto"/>
          <w:highlight w:val="none"/>
        </w:rPr>
      </w:pPr>
      <w:r>
        <w:rPr>
          <w:rFonts w:asciiTheme="minorEastAsia" w:hAnsiTheme="minorEastAsia"/>
          <w:b/>
          <w:bCs/>
          <w:color w:val="auto"/>
          <w:sz w:val="24"/>
          <w:szCs w:val="24"/>
          <w:highlight w:val="none"/>
          <w:u w:val="single"/>
        </w:rPr>
        <w:t>注：若需委托人给咨询人提供工作条件，产生的费用由咨询人承担，委托人与第三方另有约定按照约定执行。</w:t>
      </w:r>
    </w:p>
    <w:p w14:paraId="62002274">
      <w:pPr>
        <w:spacing w:line="360" w:lineRule="auto"/>
        <w:ind w:firstLine="480" w:firstLineChars="200"/>
        <w:outlineLvl w:val="0"/>
        <w:rPr>
          <w:rFonts w:asciiTheme="minorEastAsia" w:hAnsiTheme="minorEastAsia"/>
          <w:color w:val="auto"/>
          <w:sz w:val="24"/>
          <w:szCs w:val="24"/>
          <w:highlight w:val="none"/>
        </w:rPr>
      </w:pPr>
      <w:bookmarkStart w:id="657" w:name="_Toc76398633"/>
      <w:r>
        <w:rPr>
          <w:rFonts w:hint="eastAsia" w:asciiTheme="minorEastAsia" w:hAnsiTheme="minorEastAsia"/>
          <w:color w:val="auto"/>
          <w:sz w:val="24"/>
          <w:szCs w:val="24"/>
          <w:highlight w:val="none"/>
        </w:rPr>
        <w:t>三、服务期限</w:t>
      </w:r>
      <w:bookmarkEnd w:id="657"/>
    </w:p>
    <w:p w14:paraId="1CB2DF9F">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本合同约定的建设工程造价咨询服务自</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年</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月</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日开始实施，暂定至</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年</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月</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日终结。</w:t>
      </w:r>
    </w:p>
    <w:p w14:paraId="1E450353">
      <w:pPr>
        <w:spacing w:line="360" w:lineRule="auto"/>
        <w:ind w:firstLine="480" w:firstLineChars="200"/>
        <w:outlineLvl w:val="0"/>
        <w:rPr>
          <w:rFonts w:asciiTheme="minorEastAsia" w:hAnsiTheme="minorEastAsia"/>
          <w:color w:val="auto"/>
          <w:sz w:val="24"/>
          <w:szCs w:val="24"/>
          <w:highlight w:val="none"/>
        </w:rPr>
      </w:pPr>
      <w:bookmarkStart w:id="658" w:name="_Toc76398634"/>
      <w:r>
        <w:rPr>
          <w:rFonts w:hint="eastAsia" w:asciiTheme="minorEastAsia" w:hAnsiTheme="minorEastAsia"/>
          <w:color w:val="auto"/>
          <w:sz w:val="24"/>
          <w:szCs w:val="24"/>
          <w:highlight w:val="none"/>
        </w:rPr>
        <w:t>四、质量标准</w:t>
      </w:r>
      <w:bookmarkEnd w:id="658"/>
    </w:p>
    <w:p w14:paraId="1C4B23EF">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工程造价咨询成果文件应符合：</w:t>
      </w:r>
      <w:r>
        <w:rPr>
          <w:rFonts w:hint="eastAsia" w:asciiTheme="minorEastAsia" w:hAnsiTheme="minorEastAsia"/>
          <w:color w:val="auto"/>
          <w:sz w:val="24"/>
          <w:szCs w:val="24"/>
          <w:highlight w:val="none"/>
          <w:u w:val="single"/>
        </w:rPr>
        <w:t>《建设工程造价咨询成果文件质量标准》</w:t>
      </w:r>
      <w:r>
        <w:rPr>
          <w:rFonts w:asciiTheme="minorEastAsia" w:hAnsiTheme="minorEastAsia"/>
          <w:color w:val="auto"/>
          <w:sz w:val="24"/>
          <w:szCs w:val="24"/>
          <w:highlight w:val="none"/>
          <w:u w:val="single"/>
        </w:rPr>
        <w:t>CECA/GC7-2012</w:t>
      </w:r>
      <w:r>
        <w:rPr>
          <w:rFonts w:hint="eastAsia" w:asciiTheme="minorEastAsia" w:hAnsiTheme="minorEastAsia"/>
          <w:color w:val="auto"/>
          <w:sz w:val="24"/>
          <w:szCs w:val="24"/>
          <w:highlight w:val="none"/>
          <w:u w:val="single"/>
        </w:rPr>
        <w:t>；《建设工程招标控制价编审规程》</w:t>
      </w:r>
      <w:r>
        <w:rPr>
          <w:rFonts w:asciiTheme="minorEastAsia" w:hAnsiTheme="minorEastAsia"/>
          <w:color w:val="auto"/>
          <w:sz w:val="24"/>
          <w:szCs w:val="24"/>
          <w:highlight w:val="none"/>
          <w:u w:val="single"/>
        </w:rPr>
        <w:t>CECA/GC6-2011；《建设项目施工图预算编审规程》CECA／GC 5—2010</w:t>
      </w:r>
      <w:r>
        <w:rPr>
          <w:rFonts w:hint="eastAsia" w:asciiTheme="minorEastAsia" w:hAnsiTheme="minorEastAsia"/>
          <w:color w:val="auto"/>
          <w:sz w:val="24"/>
          <w:szCs w:val="24"/>
          <w:highlight w:val="none"/>
          <w:u w:val="single"/>
        </w:rPr>
        <w:t>文件、渝建发〔</w:t>
      </w:r>
      <w:r>
        <w:rPr>
          <w:rFonts w:asciiTheme="minorEastAsia" w:hAnsiTheme="minorEastAsia"/>
          <w:color w:val="auto"/>
          <w:sz w:val="24"/>
          <w:szCs w:val="24"/>
          <w:highlight w:val="none"/>
          <w:u w:val="single"/>
        </w:rPr>
        <w:t>2016〕67号《重庆市国有资金投资建设工程施工招标控制价编制与确定程序的规定》</w:t>
      </w:r>
      <w:r>
        <w:rPr>
          <w:rFonts w:hint="eastAsia" w:asciiTheme="minorEastAsia" w:hAnsiTheme="minorEastAsia"/>
          <w:color w:val="auto"/>
          <w:sz w:val="24"/>
          <w:szCs w:val="24"/>
          <w:highlight w:val="none"/>
          <w:u w:val="single"/>
        </w:rPr>
        <w:t>规定及委托人的要求。</w:t>
      </w:r>
    </w:p>
    <w:p w14:paraId="46D46D0A">
      <w:pPr>
        <w:spacing w:line="360" w:lineRule="auto"/>
        <w:ind w:firstLine="480" w:firstLineChars="200"/>
        <w:outlineLvl w:val="0"/>
        <w:rPr>
          <w:rFonts w:asciiTheme="minorEastAsia" w:hAnsiTheme="minorEastAsia"/>
          <w:color w:val="auto"/>
          <w:sz w:val="24"/>
          <w:szCs w:val="24"/>
          <w:highlight w:val="none"/>
        </w:rPr>
      </w:pPr>
      <w:bookmarkStart w:id="659" w:name="_Toc76398635"/>
      <w:r>
        <w:rPr>
          <w:rFonts w:hint="eastAsia" w:asciiTheme="minorEastAsia" w:hAnsiTheme="minorEastAsia"/>
          <w:color w:val="auto"/>
          <w:sz w:val="24"/>
          <w:szCs w:val="24"/>
          <w:highlight w:val="none"/>
        </w:rPr>
        <w:t>五、酬金或计取方式</w:t>
      </w:r>
      <w:bookmarkEnd w:id="659"/>
    </w:p>
    <w:p w14:paraId="391829D1">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1.签约酬金：</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元（大写：          ）；中标费率/签约费率：     %，税率：     %。</w:t>
      </w:r>
    </w:p>
    <w:p w14:paraId="327AA236">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2.计取方式：</w:t>
      </w:r>
      <w:r>
        <w:rPr>
          <w:rFonts w:hint="eastAsia" w:asciiTheme="minorEastAsia" w:hAnsiTheme="minorEastAsia"/>
          <w:color w:val="auto"/>
          <w:sz w:val="24"/>
          <w:szCs w:val="24"/>
          <w:highlight w:val="none"/>
          <w:u w:val="single"/>
        </w:rPr>
        <w:t>固定酬金/固定费率</w:t>
      </w:r>
      <w:r>
        <w:rPr>
          <w:rFonts w:hint="eastAsia" w:asciiTheme="minorEastAsia" w:hAnsiTheme="minorEastAsia"/>
          <w:color w:val="auto"/>
          <w:sz w:val="24"/>
          <w:szCs w:val="24"/>
          <w:highlight w:val="none"/>
        </w:rPr>
        <w:t>。</w:t>
      </w:r>
    </w:p>
    <w:p w14:paraId="26B06579">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3.</w:t>
      </w:r>
      <w:r>
        <w:rPr>
          <w:rFonts w:hint="eastAsia" w:asciiTheme="minorEastAsia" w:hAnsiTheme="minorEastAsia"/>
          <w:color w:val="auto"/>
          <w:sz w:val="24"/>
          <w:szCs w:val="24"/>
          <w:highlight w:val="none"/>
          <w:u w:val="single"/>
        </w:rPr>
        <w:t xml:space="preserve"> （本条固定费率合同使用）</w:t>
      </w:r>
      <w:r>
        <w:rPr>
          <w:rFonts w:asciiTheme="minorEastAsia" w:hAnsiTheme="minorEastAsia"/>
          <w:color w:val="auto"/>
          <w:sz w:val="24"/>
          <w:szCs w:val="24"/>
          <w:highlight w:val="none"/>
        </w:rPr>
        <w:t>完成本合同</w:t>
      </w:r>
      <w:r>
        <w:rPr>
          <w:rFonts w:hint="eastAsia" w:asciiTheme="minorEastAsia" w:hAnsiTheme="minorEastAsia"/>
          <w:color w:val="auto"/>
          <w:sz w:val="24"/>
          <w:szCs w:val="24"/>
          <w:highlight w:val="none"/>
        </w:rPr>
        <w:t>服务范围及工作内容，</w:t>
      </w:r>
      <w:r>
        <w:rPr>
          <w:rFonts w:asciiTheme="minorEastAsia" w:hAnsiTheme="minorEastAsia"/>
          <w:color w:val="auto"/>
          <w:sz w:val="24"/>
          <w:szCs w:val="24"/>
          <w:highlight w:val="none"/>
        </w:rPr>
        <w:t>该费用包括但不限于咨询人认为履行本合同项下所有义务可能支付的费用、承担的税费、人工费、资料费、交通费、保险费等及应享有的合理利润。除本合同约定的暂定总金额外，委托人不另行支付任何费用，且最终咨询费金额不能超过暂定</w:t>
      </w:r>
      <w:r>
        <w:rPr>
          <w:rFonts w:hint="eastAsia" w:asciiTheme="minorEastAsia" w:hAnsiTheme="minorEastAsia"/>
          <w:color w:val="auto"/>
          <w:sz w:val="24"/>
          <w:szCs w:val="24"/>
          <w:highlight w:val="none"/>
        </w:rPr>
        <w:t>签约</w:t>
      </w:r>
      <w:r>
        <w:rPr>
          <w:rFonts w:asciiTheme="minorEastAsia" w:hAnsiTheme="minorEastAsia"/>
          <w:color w:val="auto"/>
          <w:sz w:val="24"/>
          <w:szCs w:val="24"/>
          <w:highlight w:val="none"/>
        </w:rPr>
        <w:t>金额</w:t>
      </w:r>
      <w:r>
        <w:rPr>
          <w:rFonts w:hint="eastAsia" w:asciiTheme="minorEastAsia" w:hAnsiTheme="minorEastAsia"/>
          <w:color w:val="auto"/>
          <w:sz w:val="24"/>
          <w:szCs w:val="24"/>
          <w:highlight w:val="none"/>
        </w:rPr>
        <w:t>。</w:t>
      </w:r>
    </w:p>
    <w:p w14:paraId="224DF7AF">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3.1工程量清单及组价审核：</w:t>
      </w:r>
      <w:r>
        <w:rPr>
          <w:rFonts w:hint="eastAsia" w:asciiTheme="minorEastAsia" w:hAnsiTheme="minorEastAsia"/>
          <w:color w:val="auto"/>
          <w:sz w:val="24"/>
          <w:highlight w:val="none"/>
        </w:rPr>
        <w:t>以预算审定的建安工程费金额为基数</w:t>
      </w:r>
      <w:r>
        <w:rPr>
          <w:rFonts w:hint="eastAsia" w:asciiTheme="minorEastAsia" w:hAnsiTheme="minorEastAsia" w:eastAsiaTheme="minorEastAsia"/>
          <w:color w:val="auto"/>
          <w:sz w:val="24"/>
          <w:highlight w:val="none"/>
        </w:rPr>
        <w:t>乘以</w:t>
      </w:r>
      <w:r>
        <w:rPr>
          <w:rFonts w:hint="eastAsia" w:asciiTheme="minorEastAsia" w:hAnsiTheme="minorEastAsia"/>
          <w:color w:val="auto"/>
          <w:sz w:val="24"/>
          <w:highlight w:val="none"/>
        </w:rPr>
        <w:t>中标费率/签约费率</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，暂定金额为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p>
    <w:p w14:paraId="357F1132">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3.2施工阶段工程造价全过程控制（含出具结算审核报告）：</w:t>
      </w:r>
      <w:r>
        <w:rPr>
          <w:rFonts w:hint="eastAsia" w:asciiTheme="minorEastAsia" w:hAnsiTheme="minorEastAsia"/>
          <w:color w:val="auto"/>
          <w:sz w:val="24"/>
          <w:highlight w:val="none"/>
        </w:rPr>
        <w:t>以最终审定的建安工程费金额为基数</w:t>
      </w:r>
      <w:r>
        <w:rPr>
          <w:rFonts w:hint="eastAsia" w:asciiTheme="minorEastAsia" w:hAnsiTheme="minorEastAsia" w:eastAsiaTheme="minorEastAsia"/>
          <w:color w:val="auto"/>
          <w:sz w:val="24"/>
          <w:highlight w:val="none"/>
        </w:rPr>
        <w:t>乘以</w:t>
      </w:r>
      <w:r>
        <w:rPr>
          <w:rFonts w:hint="eastAsia" w:asciiTheme="minorEastAsia" w:hAnsiTheme="minorEastAsia"/>
          <w:color w:val="auto"/>
          <w:sz w:val="24"/>
          <w:highlight w:val="none"/>
        </w:rPr>
        <w:t>中标费率/签约费率</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暂定金额为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p>
    <w:p w14:paraId="43121B20">
      <w:pPr>
        <w:spacing w:line="360" w:lineRule="auto"/>
        <w:ind w:firstLine="480" w:firstLineChars="200"/>
        <w:outlineLvl w:val="0"/>
        <w:rPr>
          <w:rFonts w:asciiTheme="minorEastAsia" w:hAnsiTheme="minorEastAsia"/>
          <w:color w:val="auto"/>
          <w:sz w:val="24"/>
          <w:szCs w:val="24"/>
          <w:highlight w:val="none"/>
        </w:rPr>
      </w:pPr>
      <w:bookmarkStart w:id="660" w:name="_Toc76398636"/>
      <w:r>
        <w:rPr>
          <w:rFonts w:hint="eastAsia" w:asciiTheme="minorEastAsia" w:hAnsiTheme="minorEastAsia"/>
          <w:color w:val="auto"/>
          <w:sz w:val="24"/>
          <w:szCs w:val="24"/>
          <w:highlight w:val="none"/>
        </w:rPr>
        <w:t>六、合同文件的构成本协议书与下列文件一起构成合同文件:</w:t>
      </w:r>
      <w:bookmarkEnd w:id="660"/>
    </w:p>
    <w:p w14:paraId="5861F32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1.本合同协议书；</w:t>
      </w:r>
    </w:p>
    <w:p w14:paraId="11A5B059">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2.招标文件或比选文件（包括但不限于本工程的招标或比选文件、图纸、其他技术资料及招标人发出的对招标或比选文件所作的澄清、修改、补遗等资料）（若有）；</w:t>
      </w:r>
    </w:p>
    <w:p w14:paraId="57A22AC4">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3.中标通知书或委托书（如果有）；</w:t>
      </w:r>
    </w:p>
    <w:p w14:paraId="667E9437">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4.投标函及投标函附录或造价咨询服务建议书（如果有）；</w:t>
      </w:r>
    </w:p>
    <w:p w14:paraId="2F1C5B46">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5.专用条件及附录；</w:t>
      </w:r>
    </w:p>
    <w:p w14:paraId="3B09FA7F">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6.通用条件；</w:t>
      </w:r>
    </w:p>
    <w:p w14:paraId="44A2F5F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7.投标文件（如果有）</w:t>
      </w:r>
    </w:p>
    <w:p w14:paraId="0536AE8B">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8.其他合同文件。</w:t>
      </w:r>
    </w:p>
    <w:p w14:paraId="4B0CE36B">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14:paraId="167A2B0D">
      <w:pPr>
        <w:spacing w:line="360" w:lineRule="auto"/>
        <w:ind w:firstLine="480" w:firstLineChars="200"/>
        <w:outlineLvl w:val="0"/>
        <w:rPr>
          <w:rFonts w:asciiTheme="minorEastAsia" w:hAnsiTheme="minorEastAsia"/>
          <w:color w:val="auto"/>
          <w:sz w:val="24"/>
          <w:szCs w:val="24"/>
          <w:highlight w:val="none"/>
        </w:rPr>
      </w:pPr>
      <w:bookmarkStart w:id="661" w:name="_Toc76398637"/>
      <w:r>
        <w:rPr>
          <w:rFonts w:hint="eastAsia" w:asciiTheme="minorEastAsia" w:hAnsiTheme="minorEastAsia"/>
          <w:color w:val="auto"/>
          <w:sz w:val="24"/>
          <w:szCs w:val="24"/>
          <w:highlight w:val="none"/>
        </w:rPr>
        <w:t>七、词语定义</w:t>
      </w:r>
      <w:bookmarkEnd w:id="661"/>
    </w:p>
    <w:p w14:paraId="71F5A96F">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协议书中相关词语的含义与通用条件中的定义与解释相同。</w:t>
      </w:r>
    </w:p>
    <w:p w14:paraId="57003280">
      <w:pPr>
        <w:spacing w:line="360" w:lineRule="auto"/>
        <w:ind w:firstLine="480" w:firstLineChars="200"/>
        <w:outlineLvl w:val="0"/>
        <w:rPr>
          <w:rFonts w:asciiTheme="minorEastAsia" w:hAnsiTheme="minorEastAsia"/>
          <w:color w:val="auto"/>
          <w:sz w:val="24"/>
          <w:szCs w:val="24"/>
          <w:highlight w:val="none"/>
        </w:rPr>
      </w:pPr>
      <w:bookmarkStart w:id="662" w:name="_Toc76398638"/>
      <w:r>
        <w:rPr>
          <w:rFonts w:hint="eastAsia" w:asciiTheme="minorEastAsia" w:hAnsiTheme="minorEastAsia"/>
          <w:color w:val="auto"/>
          <w:sz w:val="24"/>
          <w:szCs w:val="24"/>
          <w:highlight w:val="none"/>
        </w:rPr>
        <w:t>八、其他</w:t>
      </w:r>
    </w:p>
    <w:p w14:paraId="38AE94A6">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p w14:paraId="283F835B">
      <w:pPr>
        <w:spacing w:line="360" w:lineRule="auto"/>
        <w:ind w:firstLine="480" w:firstLineChars="200"/>
        <w:outlineLvl w:val="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九合同订立</w:t>
      </w:r>
      <w:bookmarkEnd w:id="662"/>
    </w:p>
    <w:p w14:paraId="4847AF66">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订立地点：</w:t>
      </w:r>
      <w:r>
        <w:rPr>
          <w:rFonts w:hint="eastAsia" w:asciiTheme="minorEastAsia" w:hAnsiTheme="minorEastAsia"/>
          <w:color w:val="auto"/>
          <w:sz w:val="24"/>
          <w:szCs w:val="24"/>
          <w:highlight w:val="none"/>
          <w:u w:val="single"/>
        </w:rPr>
        <w:t xml:space="preserve"> 重庆市南岸区行政服务中心B区3号楼 </w:t>
      </w:r>
      <w:r>
        <w:rPr>
          <w:rFonts w:hint="eastAsia" w:asciiTheme="minorEastAsia" w:hAnsiTheme="minorEastAsia"/>
          <w:color w:val="auto"/>
          <w:sz w:val="24"/>
          <w:szCs w:val="24"/>
          <w:highlight w:val="none"/>
        </w:rPr>
        <w:t>。</w:t>
      </w:r>
    </w:p>
    <w:p w14:paraId="63AD417F">
      <w:pPr>
        <w:spacing w:line="360" w:lineRule="auto"/>
        <w:ind w:firstLine="480" w:firstLineChars="200"/>
        <w:outlineLvl w:val="0"/>
        <w:rPr>
          <w:rFonts w:asciiTheme="minorEastAsia" w:hAnsiTheme="minorEastAsia"/>
          <w:color w:val="auto"/>
          <w:sz w:val="24"/>
          <w:szCs w:val="24"/>
          <w:highlight w:val="none"/>
        </w:rPr>
      </w:pPr>
      <w:bookmarkStart w:id="663" w:name="_Toc76398639"/>
      <w:r>
        <w:rPr>
          <w:rFonts w:hint="eastAsia" w:asciiTheme="minorEastAsia" w:hAnsiTheme="minorEastAsia"/>
          <w:color w:val="auto"/>
          <w:sz w:val="24"/>
          <w:szCs w:val="24"/>
          <w:highlight w:val="none"/>
        </w:rPr>
        <w:t>十、合同生效</w:t>
      </w:r>
      <w:bookmarkEnd w:id="663"/>
    </w:p>
    <w:p w14:paraId="2FCB4DE7">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本合同自</w:t>
      </w:r>
      <w:r>
        <w:rPr>
          <w:rFonts w:hint="eastAsia" w:asciiTheme="minorEastAsia" w:hAnsiTheme="minorEastAsia"/>
          <w:color w:val="auto"/>
          <w:sz w:val="24"/>
          <w:szCs w:val="24"/>
          <w:highlight w:val="none"/>
          <w:u w:val="single"/>
        </w:rPr>
        <w:t>盖章完成之日起</w:t>
      </w:r>
      <w:r>
        <w:rPr>
          <w:rFonts w:hint="eastAsia" w:asciiTheme="minorEastAsia" w:hAnsiTheme="minorEastAsia"/>
          <w:color w:val="auto"/>
          <w:sz w:val="24"/>
          <w:szCs w:val="24"/>
          <w:highlight w:val="none"/>
        </w:rPr>
        <w:t>生效。</w:t>
      </w:r>
    </w:p>
    <w:p w14:paraId="3E336645">
      <w:pPr>
        <w:spacing w:line="360" w:lineRule="auto"/>
        <w:ind w:firstLine="480" w:firstLineChars="200"/>
        <w:outlineLvl w:val="0"/>
        <w:rPr>
          <w:rFonts w:asciiTheme="minorEastAsia" w:hAnsiTheme="minorEastAsia"/>
          <w:color w:val="auto"/>
          <w:sz w:val="24"/>
          <w:szCs w:val="24"/>
          <w:highlight w:val="none"/>
        </w:rPr>
      </w:pPr>
      <w:bookmarkStart w:id="664" w:name="_Toc76398640"/>
      <w:r>
        <w:rPr>
          <w:rFonts w:hint="eastAsia" w:asciiTheme="minorEastAsia" w:hAnsiTheme="minorEastAsia"/>
          <w:color w:val="auto"/>
          <w:sz w:val="24"/>
          <w:szCs w:val="24"/>
          <w:highlight w:val="none"/>
        </w:rPr>
        <w:t>十、合同份数</w:t>
      </w:r>
      <w:bookmarkEnd w:id="664"/>
    </w:p>
    <w:p w14:paraId="5A46E1EE">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本合同一式</w:t>
      </w:r>
      <w:r>
        <w:rPr>
          <w:rFonts w:hint="eastAsia" w:asciiTheme="minorEastAsia" w:hAnsiTheme="minorEastAsia"/>
          <w:color w:val="auto"/>
          <w:sz w:val="24"/>
          <w:szCs w:val="24"/>
          <w:highlight w:val="none"/>
          <w:u w:val="single"/>
        </w:rPr>
        <w:t>陆</w:t>
      </w:r>
      <w:r>
        <w:rPr>
          <w:rFonts w:hint="eastAsia" w:asciiTheme="minorEastAsia" w:hAnsiTheme="minorEastAsia"/>
          <w:color w:val="auto"/>
          <w:sz w:val="24"/>
          <w:szCs w:val="24"/>
          <w:highlight w:val="none"/>
        </w:rPr>
        <w:t>份，具有同等法律效力，双方各持叁份。</w:t>
      </w:r>
      <w:r>
        <w:rPr>
          <w:rFonts w:hint="eastAsia" w:asciiTheme="minorEastAsia" w:hAnsiTheme="minorEastAsia"/>
          <w:color w:val="auto"/>
          <w:sz w:val="24"/>
          <w:szCs w:val="24"/>
          <w:highlight w:val="none"/>
          <w:lang w:val="zh-CN"/>
        </w:rPr>
        <w:t>本合同正文若出现手写内容，手写内容未经双方盖章确认则无效。本合同载明的</w:t>
      </w:r>
      <w:r>
        <w:rPr>
          <w:rFonts w:hint="eastAsia" w:asciiTheme="minorEastAsia" w:hAnsiTheme="minorEastAsia"/>
          <w:color w:val="auto"/>
          <w:sz w:val="24"/>
          <w:szCs w:val="24"/>
          <w:highlight w:val="none"/>
        </w:rPr>
        <w:t>委托代理人</w:t>
      </w:r>
      <w:r>
        <w:rPr>
          <w:rFonts w:hint="eastAsia" w:asciiTheme="minorEastAsia" w:hAnsiTheme="minorEastAsia"/>
          <w:color w:val="auto"/>
          <w:sz w:val="24"/>
          <w:szCs w:val="24"/>
          <w:highlight w:val="none"/>
          <w:lang w:val="zh-CN"/>
        </w:rPr>
        <w:t>未经书面授权，仅代表在本合同签名，其他单方承诺和认可内容无效。</w:t>
      </w:r>
    </w:p>
    <w:p w14:paraId="534662E2">
      <w:pPr>
        <w:spacing w:line="360" w:lineRule="auto"/>
        <w:ind w:left="5280" w:hanging="5280" w:hangingChars="2200"/>
        <w:rPr>
          <w:rFonts w:asciiTheme="minorEastAsia" w:hAnsiTheme="minorEastAsia"/>
          <w:color w:val="auto"/>
          <w:sz w:val="24"/>
          <w:szCs w:val="24"/>
          <w:highlight w:val="none"/>
        </w:rPr>
      </w:pPr>
    </w:p>
    <w:tbl>
      <w:tblPr>
        <w:tblStyle w:val="29"/>
        <w:tblpPr w:leftFromText="180" w:rightFromText="180" w:vertAnchor="text" w:horzAnchor="page" w:tblpX="1374" w:tblpY="-5"/>
        <w:tblOverlap w:val="never"/>
        <w:tblW w:w="9351" w:type="dxa"/>
        <w:tblInd w:w="0" w:type="dxa"/>
        <w:tblLayout w:type="fixed"/>
        <w:tblCellMar>
          <w:top w:w="0" w:type="dxa"/>
          <w:left w:w="108" w:type="dxa"/>
          <w:bottom w:w="0" w:type="dxa"/>
          <w:right w:w="108" w:type="dxa"/>
        </w:tblCellMar>
      </w:tblPr>
      <w:tblGrid>
        <w:gridCol w:w="4752"/>
        <w:gridCol w:w="4599"/>
      </w:tblGrid>
      <w:tr w14:paraId="4B0A7656">
        <w:trPr>
          <w:trHeight w:val="884" w:hRule="atLeast"/>
        </w:trPr>
        <w:tc>
          <w:tcPr>
            <w:tcW w:w="4752" w:type="dxa"/>
          </w:tcPr>
          <w:p w14:paraId="5C308137">
            <w:pPr>
              <w:spacing w:line="560" w:lineRule="exact"/>
              <w:ind w:left="1010" w:hanging="1010" w:hangingChars="421"/>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甲</w:t>
            </w:r>
            <w:r>
              <w:rPr>
                <w:rFonts w:asciiTheme="minorEastAsia" w:hAnsiTheme="minorEastAsia"/>
                <w:color w:val="auto"/>
                <w:sz w:val="24"/>
                <w:szCs w:val="24"/>
                <w:highlight w:val="none"/>
              </w:rPr>
              <w:t xml:space="preserve">   </w:t>
            </w:r>
            <w:r>
              <w:rPr>
                <w:rFonts w:hint="eastAsia" w:asciiTheme="minorEastAsia" w:hAnsiTheme="minorEastAsia"/>
                <w:color w:val="auto"/>
                <w:sz w:val="24"/>
                <w:szCs w:val="24"/>
                <w:highlight w:val="none"/>
              </w:rPr>
              <w:t>方：</w:t>
            </w:r>
            <w:r>
              <w:rPr>
                <w:rFonts w:asciiTheme="minorEastAsia" w:hAnsiTheme="minorEastAsia"/>
                <w:color w:val="auto"/>
                <w:sz w:val="24"/>
                <w:szCs w:val="24"/>
                <w:highlight w:val="none"/>
              </w:rPr>
              <w:t xml:space="preserve"> </w:t>
            </w:r>
          </w:p>
        </w:tc>
        <w:tc>
          <w:tcPr>
            <w:tcW w:w="4599" w:type="dxa"/>
          </w:tcPr>
          <w:p w14:paraId="410DC682">
            <w:pPr>
              <w:spacing w:line="560" w:lineRule="exact"/>
              <w:ind w:left="1200" w:hanging="1200" w:hangingChars="5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乙</w:t>
            </w:r>
            <w:r>
              <w:rPr>
                <w:rFonts w:asciiTheme="minorEastAsia" w:hAnsiTheme="minorEastAsia"/>
                <w:color w:val="auto"/>
                <w:sz w:val="24"/>
                <w:szCs w:val="24"/>
                <w:highlight w:val="none"/>
              </w:rPr>
              <w:t xml:space="preserve">   </w:t>
            </w:r>
            <w:r>
              <w:rPr>
                <w:rFonts w:hint="eastAsia" w:asciiTheme="minorEastAsia" w:hAnsiTheme="minorEastAsia"/>
                <w:color w:val="auto"/>
                <w:sz w:val="24"/>
                <w:szCs w:val="24"/>
                <w:highlight w:val="none"/>
              </w:rPr>
              <w:t>方：</w:t>
            </w:r>
            <w:r>
              <w:rPr>
                <w:rFonts w:asciiTheme="minorEastAsia" w:hAnsiTheme="minorEastAsia"/>
                <w:color w:val="auto"/>
                <w:sz w:val="24"/>
                <w:szCs w:val="24"/>
                <w:highlight w:val="none"/>
              </w:rPr>
              <w:t xml:space="preserve"> </w:t>
            </w:r>
          </w:p>
        </w:tc>
      </w:tr>
      <w:tr w14:paraId="0DDF96CD">
        <w:tblPrEx>
          <w:tblCellMar>
            <w:top w:w="0" w:type="dxa"/>
            <w:left w:w="108" w:type="dxa"/>
            <w:bottom w:w="0" w:type="dxa"/>
            <w:right w:w="108" w:type="dxa"/>
          </w:tblCellMar>
        </w:tblPrEx>
        <w:tc>
          <w:tcPr>
            <w:tcW w:w="4752" w:type="dxa"/>
          </w:tcPr>
          <w:p w14:paraId="78E12BAA">
            <w:pPr>
              <w:spacing w:line="560" w:lineRule="exact"/>
              <w:ind w:left="1200" w:hanging="1200" w:hangingChars="5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法定代表人：</w:t>
            </w:r>
          </w:p>
          <w:p w14:paraId="075C7C04">
            <w:pPr>
              <w:spacing w:line="560" w:lineRule="exact"/>
              <w:ind w:left="1200" w:hanging="1200" w:hangingChars="5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或</w:t>
            </w:r>
          </w:p>
          <w:p w14:paraId="6A760C37">
            <w:pPr>
              <w:spacing w:line="560" w:lineRule="exact"/>
              <w:ind w:left="1200" w:hanging="1200" w:hangingChars="5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委托代理人：</w:t>
            </w:r>
          </w:p>
        </w:tc>
        <w:tc>
          <w:tcPr>
            <w:tcW w:w="4599" w:type="dxa"/>
          </w:tcPr>
          <w:p w14:paraId="3F2A0A96">
            <w:pPr>
              <w:spacing w:line="560" w:lineRule="exact"/>
              <w:ind w:left="1200" w:hanging="1200" w:hangingChars="5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法定代表人：</w:t>
            </w:r>
          </w:p>
          <w:p w14:paraId="133FBF0A">
            <w:pPr>
              <w:spacing w:line="560" w:lineRule="exact"/>
              <w:ind w:left="1200" w:hanging="1200" w:hangingChars="5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或</w:t>
            </w:r>
          </w:p>
          <w:p w14:paraId="202A6697">
            <w:pPr>
              <w:spacing w:line="560" w:lineRule="exact"/>
              <w:ind w:left="1200" w:hanging="1200" w:hangingChars="5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委托代理人： </w:t>
            </w:r>
          </w:p>
        </w:tc>
      </w:tr>
      <w:tr w14:paraId="273C489D">
        <w:tblPrEx>
          <w:tblCellMar>
            <w:top w:w="0" w:type="dxa"/>
            <w:left w:w="108" w:type="dxa"/>
            <w:bottom w:w="0" w:type="dxa"/>
            <w:right w:w="108" w:type="dxa"/>
          </w:tblCellMar>
        </w:tblPrEx>
        <w:trPr>
          <w:trHeight w:val="1834" w:hRule="atLeast"/>
        </w:trPr>
        <w:tc>
          <w:tcPr>
            <w:tcW w:w="4752" w:type="dxa"/>
            <w:vAlign w:val="center"/>
          </w:tcPr>
          <w:p w14:paraId="7DAC0838">
            <w:pPr>
              <w:spacing w:line="560" w:lineRule="exact"/>
              <w:ind w:left="1000" w:hanging="1000" w:hangingChars="500"/>
              <w:rPr>
                <w:rFonts w:asciiTheme="minorEastAsia" w:hAnsiTheme="minorEastAsia"/>
                <w:color w:val="auto"/>
                <w:sz w:val="24"/>
                <w:szCs w:val="24"/>
                <w:highlight w:val="none"/>
              </w:rPr>
            </w:pPr>
            <w:r>
              <w:rPr>
                <w:rFonts w:hint="eastAsia" w:asciiTheme="minorEastAsia" w:hAnsiTheme="minorEastAsia"/>
                <w:color w:val="auto"/>
                <w:spacing w:val="-20"/>
                <w:sz w:val="24"/>
                <w:szCs w:val="24"/>
                <w:highlight w:val="none"/>
              </w:rPr>
              <w:t>统</w:t>
            </w:r>
            <w:r>
              <w:rPr>
                <w:rFonts w:hint="eastAsia" w:asciiTheme="minorEastAsia" w:hAnsiTheme="minorEastAsia"/>
                <w:color w:val="auto"/>
                <w:spacing w:val="-18"/>
                <w:sz w:val="24"/>
                <w:szCs w:val="24"/>
                <w:highlight w:val="none"/>
              </w:rPr>
              <w:t>一社会信用代码：</w:t>
            </w:r>
          </w:p>
        </w:tc>
        <w:tc>
          <w:tcPr>
            <w:tcW w:w="4599" w:type="dxa"/>
          </w:tcPr>
          <w:p w14:paraId="2B01DCFC">
            <w:pPr>
              <w:spacing w:before="156" w:beforeLines="50" w:line="560" w:lineRule="exact"/>
              <w:ind w:left="1000" w:hanging="1000" w:hangingChars="500"/>
              <w:jc w:val="left"/>
              <w:rPr>
                <w:rFonts w:asciiTheme="minorEastAsia" w:hAnsiTheme="minorEastAsia"/>
                <w:color w:val="auto"/>
                <w:sz w:val="24"/>
                <w:szCs w:val="24"/>
                <w:highlight w:val="none"/>
              </w:rPr>
            </w:pPr>
            <w:r>
              <w:rPr>
                <w:rFonts w:hint="eastAsia" w:asciiTheme="minorEastAsia" w:hAnsiTheme="minorEastAsia"/>
                <w:color w:val="auto"/>
                <w:spacing w:val="-20"/>
                <w:sz w:val="24"/>
                <w:szCs w:val="24"/>
                <w:highlight w:val="none"/>
              </w:rPr>
              <w:t>统</w:t>
            </w:r>
            <w:r>
              <w:rPr>
                <w:rFonts w:hint="eastAsia" w:asciiTheme="minorEastAsia" w:hAnsiTheme="minorEastAsia"/>
                <w:color w:val="auto"/>
                <w:spacing w:val="-18"/>
                <w:sz w:val="24"/>
                <w:szCs w:val="24"/>
                <w:highlight w:val="none"/>
              </w:rPr>
              <w:t>一社会信用代码：</w:t>
            </w:r>
          </w:p>
          <w:p w14:paraId="7AE7A7D1">
            <w:pPr>
              <w:spacing w:line="560" w:lineRule="exact"/>
              <w:ind w:left="1200" w:hanging="1200" w:hangingChars="5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开</w:t>
            </w:r>
            <w:r>
              <w:rPr>
                <w:rFonts w:asciiTheme="minorEastAsia" w:hAnsiTheme="minorEastAsia"/>
                <w:color w:val="auto"/>
                <w:sz w:val="24"/>
                <w:szCs w:val="24"/>
                <w:highlight w:val="none"/>
              </w:rPr>
              <w:t xml:space="preserve"> </w:t>
            </w:r>
            <w:r>
              <w:rPr>
                <w:rFonts w:hint="eastAsia" w:asciiTheme="minorEastAsia" w:hAnsiTheme="minorEastAsia"/>
                <w:color w:val="auto"/>
                <w:sz w:val="24"/>
                <w:szCs w:val="24"/>
                <w:highlight w:val="none"/>
              </w:rPr>
              <w:t>户</w:t>
            </w:r>
            <w:r>
              <w:rPr>
                <w:rFonts w:asciiTheme="minorEastAsia" w:hAnsiTheme="minorEastAsia"/>
                <w:color w:val="auto"/>
                <w:sz w:val="24"/>
                <w:szCs w:val="24"/>
                <w:highlight w:val="none"/>
              </w:rPr>
              <w:t xml:space="preserve"> </w:t>
            </w:r>
            <w:r>
              <w:rPr>
                <w:rFonts w:hint="eastAsia" w:asciiTheme="minorEastAsia" w:hAnsiTheme="minorEastAsia"/>
                <w:color w:val="auto"/>
                <w:sz w:val="24"/>
                <w:szCs w:val="24"/>
                <w:highlight w:val="none"/>
              </w:rPr>
              <w:t>行：</w:t>
            </w:r>
          </w:p>
          <w:p w14:paraId="70244992">
            <w:pPr>
              <w:spacing w:line="560" w:lineRule="exact"/>
              <w:ind w:left="1200" w:hanging="1200" w:hangingChars="5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账    号：</w:t>
            </w:r>
            <w:r>
              <w:rPr>
                <w:rFonts w:asciiTheme="minorEastAsia" w:hAnsiTheme="minorEastAsia"/>
                <w:color w:val="auto"/>
                <w:sz w:val="24"/>
                <w:szCs w:val="24"/>
                <w:highlight w:val="none"/>
              </w:rPr>
              <w:t xml:space="preserve"> </w:t>
            </w:r>
          </w:p>
        </w:tc>
      </w:tr>
      <w:tr w14:paraId="230ED553">
        <w:tblPrEx>
          <w:tblCellMar>
            <w:top w:w="0" w:type="dxa"/>
            <w:left w:w="108" w:type="dxa"/>
            <w:bottom w:w="0" w:type="dxa"/>
            <w:right w:w="108" w:type="dxa"/>
          </w:tblCellMar>
        </w:tblPrEx>
        <w:trPr>
          <w:trHeight w:val="1120" w:hRule="atLeast"/>
        </w:trPr>
        <w:tc>
          <w:tcPr>
            <w:tcW w:w="4752" w:type="dxa"/>
          </w:tcPr>
          <w:p w14:paraId="0A8133C6">
            <w:pPr>
              <w:spacing w:line="560" w:lineRule="exact"/>
              <w:ind w:left="1200" w:hanging="1200" w:hangingChars="5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经办人：</w:t>
            </w:r>
          </w:p>
        </w:tc>
        <w:tc>
          <w:tcPr>
            <w:tcW w:w="4599" w:type="dxa"/>
          </w:tcPr>
          <w:p w14:paraId="0A1294BC">
            <w:pPr>
              <w:spacing w:line="560" w:lineRule="exact"/>
              <w:ind w:left="1200" w:hanging="1200" w:hangingChars="5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经办人：         </w:t>
            </w:r>
          </w:p>
        </w:tc>
      </w:tr>
      <w:tr w14:paraId="35498CEF">
        <w:tblPrEx>
          <w:tblCellMar>
            <w:top w:w="0" w:type="dxa"/>
            <w:left w:w="108" w:type="dxa"/>
            <w:bottom w:w="0" w:type="dxa"/>
            <w:right w:w="108" w:type="dxa"/>
          </w:tblCellMar>
        </w:tblPrEx>
        <w:trPr>
          <w:trHeight w:val="572" w:hRule="atLeast"/>
        </w:trPr>
        <w:tc>
          <w:tcPr>
            <w:tcW w:w="4752" w:type="dxa"/>
          </w:tcPr>
          <w:p w14:paraId="75CD78DA">
            <w:pPr>
              <w:spacing w:line="560" w:lineRule="exact"/>
              <w:ind w:left="1200" w:hanging="1200" w:hangingChars="5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地    址： </w:t>
            </w:r>
          </w:p>
        </w:tc>
        <w:tc>
          <w:tcPr>
            <w:tcW w:w="4599" w:type="dxa"/>
          </w:tcPr>
          <w:p w14:paraId="2996CE7B">
            <w:pPr>
              <w:spacing w:line="560" w:lineRule="exact"/>
              <w:ind w:left="1183" w:hanging="1183" w:hangingChars="493"/>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地</w:t>
            </w:r>
            <w:r>
              <w:rPr>
                <w:rFonts w:asciiTheme="minorEastAsia" w:hAnsiTheme="minorEastAsia"/>
                <w:color w:val="auto"/>
                <w:sz w:val="24"/>
                <w:szCs w:val="24"/>
                <w:highlight w:val="none"/>
              </w:rPr>
              <w:t xml:space="preserve">    </w:t>
            </w:r>
            <w:r>
              <w:rPr>
                <w:rFonts w:hint="eastAsia" w:asciiTheme="minorEastAsia" w:hAnsiTheme="minorEastAsia"/>
                <w:color w:val="auto"/>
                <w:sz w:val="24"/>
                <w:szCs w:val="24"/>
                <w:highlight w:val="none"/>
              </w:rPr>
              <w:t>址：</w:t>
            </w:r>
            <w:r>
              <w:rPr>
                <w:rFonts w:asciiTheme="minorEastAsia" w:hAnsiTheme="minorEastAsia"/>
                <w:color w:val="auto"/>
                <w:sz w:val="24"/>
                <w:szCs w:val="24"/>
                <w:highlight w:val="none"/>
              </w:rPr>
              <w:t xml:space="preserve"> </w:t>
            </w:r>
          </w:p>
        </w:tc>
      </w:tr>
    </w:tbl>
    <w:p w14:paraId="6861B9B4">
      <w:pPr>
        <w:pStyle w:val="4"/>
        <w:ind w:firstLine="723"/>
        <w:rPr>
          <w:color w:val="auto"/>
          <w:highlight w:val="none"/>
        </w:rPr>
      </w:pPr>
      <w:r>
        <w:rPr>
          <w:color w:val="auto"/>
          <w:highlight w:val="none"/>
        </w:rPr>
        <w:br w:type="page"/>
      </w:r>
    </w:p>
    <w:p w14:paraId="3298CFF1">
      <w:pPr>
        <w:widowControl/>
        <w:ind w:firstLine="643"/>
        <w:jc w:val="center"/>
        <w:rPr>
          <w:rFonts w:asciiTheme="minorEastAsia" w:hAnsiTheme="minorEastAsia"/>
          <w:b/>
          <w:color w:val="auto"/>
          <w:sz w:val="32"/>
          <w:szCs w:val="32"/>
          <w:highlight w:val="none"/>
        </w:rPr>
      </w:pPr>
      <w:bookmarkStart w:id="665" w:name="_Toc76398641"/>
      <w:r>
        <w:rPr>
          <w:rFonts w:hint="eastAsia" w:asciiTheme="minorEastAsia" w:hAnsiTheme="minorEastAsia"/>
          <w:b/>
          <w:color w:val="auto"/>
          <w:sz w:val="32"/>
          <w:szCs w:val="32"/>
          <w:highlight w:val="none"/>
        </w:rPr>
        <w:t>第二部分通用条件</w:t>
      </w:r>
      <w:bookmarkEnd w:id="665"/>
    </w:p>
    <w:p w14:paraId="5A0DD02F">
      <w:pPr>
        <w:spacing w:line="360" w:lineRule="auto"/>
        <w:ind w:firstLine="480" w:firstLineChars="200"/>
        <w:outlineLvl w:val="0"/>
        <w:rPr>
          <w:rFonts w:asciiTheme="minorEastAsia" w:hAnsiTheme="minorEastAsia"/>
          <w:color w:val="auto"/>
          <w:sz w:val="24"/>
          <w:szCs w:val="24"/>
          <w:highlight w:val="none"/>
        </w:rPr>
      </w:pPr>
      <w:bookmarkStart w:id="666" w:name="_Toc76398642"/>
      <w:r>
        <w:rPr>
          <w:rFonts w:hint="eastAsia" w:asciiTheme="minorEastAsia" w:hAnsiTheme="minorEastAsia"/>
          <w:color w:val="auto"/>
          <w:sz w:val="24"/>
          <w:szCs w:val="24"/>
          <w:highlight w:val="none"/>
        </w:rPr>
        <w:t>1.词语定义、语言、解释顺序与适用法律</w:t>
      </w:r>
      <w:bookmarkEnd w:id="666"/>
    </w:p>
    <w:p w14:paraId="0F01CFC5">
      <w:pPr>
        <w:spacing w:line="360" w:lineRule="auto"/>
        <w:ind w:firstLine="480" w:firstLineChars="200"/>
        <w:outlineLvl w:val="1"/>
        <w:rPr>
          <w:rFonts w:asciiTheme="minorEastAsia" w:hAnsiTheme="minorEastAsia"/>
          <w:color w:val="auto"/>
          <w:sz w:val="24"/>
          <w:szCs w:val="24"/>
          <w:highlight w:val="none"/>
        </w:rPr>
      </w:pPr>
      <w:bookmarkStart w:id="667" w:name="_Toc76398643"/>
      <w:r>
        <w:rPr>
          <w:rFonts w:hint="eastAsia" w:asciiTheme="minorEastAsia" w:hAnsiTheme="minorEastAsia"/>
          <w:color w:val="auto"/>
          <w:sz w:val="24"/>
          <w:szCs w:val="24"/>
          <w:highlight w:val="none"/>
        </w:rPr>
        <w:t>1.1 词语定义</w:t>
      </w:r>
      <w:bookmarkEnd w:id="667"/>
    </w:p>
    <w:p w14:paraId="53B4EB81">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组成本合同的全部文件中的下列名词和用语应具有本款所赋予的含义：</w:t>
      </w:r>
    </w:p>
    <w:p w14:paraId="6B557566">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1.1.1“工程”是指按照本合同约定实施造价咨询与其他服务的建设工程。</w:t>
      </w:r>
    </w:p>
    <w:p w14:paraId="145B9980">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1.1.2“工程造价”是指工程项目建设过程中预计或实际支出的全部费用。</w:t>
      </w:r>
    </w:p>
    <w:p w14:paraId="3C51DA95">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1.1.3“委托人”是指本合同中委托造价咨询与其他服务的一方，及其合法的继承人或受让人。</w:t>
      </w:r>
    </w:p>
    <w:p w14:paraId="60D1ED55">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1.1.4“咨询人”是指本合同中提供造价咨询与其他服务的一方，及其合法的继承人。</w:t>
      </w:r>
    </w:p>
    <w:p w14:paraId="0758767C">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1.1.5“第三人”是指除委托人、咨询人以外与本咨询业务有关的当事人。</w:t>
      </w:r>
    </w:p>
    <w:p w14:paraId="7034635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1.1.6“正常工作”是指本合同订立时通用条件和专用条件中约定的咨询人的工作。</w:t>
      </w:r>
    </w:p>
    <w:p w14:paraId="04840152">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1.1.7“附加工作”是指咨询人根据合同条件完成的正常工作以外的工作。</w:t>
      </w:r>
    </w:p>
    <w:p w14:paraId="31A4487E">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1.1.8“项目咨询团队”是指咨询人指派负责履行本合同的团队，其团队成员为本合同的项目咨询人员。</w:t>
      </w:r>
    </w:p>
    <w:p w14:paraId="187988DA">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1.1.9“项目负责人”是指由咨询人的法定代表人书面授权，在授权范围内负责履行本合同、主持项目咨询团队工作的负责人。</w:t>
      </w:r>
    </w:p>
    <w:p w14:paraId="7292BFAE">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1.1.10“委托人代表”是指由委托人的法定代表人书面授权，在授权范围内行使委托人权利的人。</w:t>
      </w:r>
    </w:p>
    <w:p w14:paraId="0770E3E7">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1.1.11“酬金”是指咨询人履行本合同义务，委托人按照本合同约定给付咨询人的金额。</w:t>
      </w:r>
    </w:p>
    <w:p w14:paraId="1A5E30B6">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1.1.12“正常工作酬金”是指在协议书中载明的，咨询人完成正常工作，委托人应给付咨询人的酬金。</w:t>
      </w:r>
    </w:p>
    <w:p w14:paraId="5121D4E6">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1.1.13“附加工作酬金”是指咨询人完成附加工作，委托人应给付咨询人的酬金。</w:t>
      </w:r>
    </w:p>
    <w:p w14:paraId="47E344AF">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1.1.14 “书面形式”是指合同书、信件和数据电文（包括电报、电传、传真、电子数据交换和电子邮件）等可以有形地表现所载内容的形式。</w:t>
      </w:r>
    </w:p>
    <w:p w14:paraId="52E8CA17">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1.1.15 “不可抗力”是指委托人和咨询人在订立本合同时不可预见，在合同履行过程中不可避免并不能克服的自然灾害、社会性突发事件和政策变化，如地震、海啸、瘟疫、水灾、骚乱、暴动、战争、行政主管部门的要求等情形。</w:t>
      </w:r>
    </w:p>
    <w:p w14:paraId="383F8AFE">
      <w:pPr>
        <w:spacing w:line="360" w:lineRule="auto"/>
        <w:ind w:firstLine="480" w:firstLineChars="200"/>
        <w:outlineLvl w:val="1"/>
        <w:rPr>
          <w:rFonts w:asciiTheme="minorEastAsia" w:hAnsiTheme="minorEastAsia"/>
          <w:color w:val="auto"/>
          <w:sz w:val="24"/>
          <w:szCs w:val="24"/>
          <w:highlight w:val="none"/>
        </w:rPr>
      </w:pPr>
      <w:bookmarkStart w:id="668" w:name="_Toc76398644"/>
      <w:r>
        <w:rPr>
          <w:rFonts w:hint="eastAsia" w:asciiTheme="minorEastAsia" w:hAnsiTheme="minorEastAsia"/>
          <w:color w:val="auto"/>
          <w:sz w:val="24"/>
          <w:szCs w:val="24"/>
          <w:highlight w:val="none"/>
        </w:rPr>
        <w:t>1.2 语言</w:t>
      </w:r>
      <w:bookmarkEnd w:id="668"/>
    </w:p>
    <w:p w14:paraId="5E3AF0FD">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本合同使用中文书写、解释和说明。如专用条件约定使用两种及以上语言文字时，应以中文为准。</w:t>
      </w:r>
    </w:p>
    <w:p w14:paraId="01E55069">
      <w:pPr>
        <w:spacing w:line="360" w:lineRule="auto"/>
        <w:ind w:firstLine="480" w:firstLineChars="200"/>
        <w:outlineLvl w:val="1"/>
        <w:rPr>
          <w:rFonts w:asciiTheme="minorEastAsia" w:hAnsiTheme="minorEastAsia"/>
          <w:color w:val="auto"/>
          <w:sz w:val="24"/>
          <w:szCs w:val="24"/>
          <w:highlight w:val="none"/>
        </w:rPr>
      </w:pPr>
      <w:bookmarkStart w:id="669" w:name="_Toc76398645"/>
      <w:r>
        <w:rPr>
          <w:rFonts w:hint="eastAsia" w:asciiTheme="minorEastAsia" w:hAnsiTheme="minorEastAsia"/>
          <w:color w:val="auto"/>
          <w:sz w:val="24"/>
          <w:szCs w:val="24"/>
          <w:highlight w:val="none"/>
        </w:rPr>
        <w:t>1.3 合同文件的优先顺序</w:t>
      </w:r>
      <w:bookmarkEnd w:id="669"/>
    </w:p>
    <w:p w14:paraId="4278EC2C">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组成本合同的下列文件彼此应能相互解释、互为说明。除专用条件另有约定外，本合同文件的解释顺序如下：</w:t>
      </w:r>
    </w:p>
    <w:p w14:paraId="2141851A">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1.协议书</w:t>
      </w:r>
    </w:p>
    <w:p w14:paraId="3BF4626F">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2.中标通知书或委托书（如果有）；</w:t>
      </w:r>
    </w:p>
    <w:p w14:paraId="31091C8B">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3.专用条件及附录；</w:t>
      </w:r>
    </w:p>
    <w:p w14:paraId="7EF9B180">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4.通用条件；</w:t>
      </w:r>
    </w:p>
    <w:p w14:paraId="71792F4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5.投标函及投标函附录或造价咨询服务建议书（如果有）；</w:t>
      </w:r>
    </w:p>
    <w:p w14:paraId="60B0BC84">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6.其他合同文件。</w:t>
      </w:r>
    </w:p>
    <w:p w14:paraId="6661402E">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上述各项合同文件包括合同当事人就该项合同文件所作出的补充和修改，属于同一类内容的文件，应以最新签署的为准。在合同订立及履行过程中形成的与合同有关的文件均构成合同文件的组成部分。</w:t>
      </w:r>
    </w:p>
    <w:p w14:paraId="5C70730A">
      <w:pPr>
        <w:spacing w:line="360" w:lineRule="auto"/>
        <w:ind w:firstLine="480" w:firstLineChars="200"/>
        <w:outlineLvl w:val="1"/>
        <w:rPr>
          <w:rFonts w:asciiTheme="minorEastAsia" w:hAnsiTheme="minorEastAsia"/>
          <w:color w:val="auto"/>
          <w:sz w:val="24"/>
          <w:szCs w:val="24"/>
          <w:highlight w:val="none"/>
        </w:rPr>
      </w:pPr>
      <w:bookmarkStart w:id="670" w:name="_Toc76398646"/>
      <w:r>
        <w:rPr>
          <w:rFonts w:hint="eastAsia" w:asciiTheme="minorEastAsia" w:hAnsiTheme="minorEastAsia"/>
          <w:color w:val="auto"/>
          <w:sz w:val="24"/>
          <w:szCs w:val="24"/>
          <w:highlight w:val="none"/>
        </w:rPr>
        <w:t>1.4 适用法律</w:t>
      </w:r>
      <w:bookmarkEnd w:id="670"/>
    </w:p>
    <w:p w14:paraId="2D21AF0E">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本合同适用中华人民共和国法律、行政法规、部门规章以及工程所在地的地方性法规、自治条例、单行条例和地方政府规章等。</w:t>
      </w:r>
    </w:p>
    <w:p w14:paraId="0DD2727D">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合同当事人可以在专用条件中约定本合同适用的其他规范、规程、定额、技术标准等规范性文件。</w:t>
      </w:r>
    </w:p>
    <w:p w14:paraId="5CBEC4CB">
      <w:pPr>
        <w:spacing w:line="360" w:lineRule="auto"/>
        <w:ind w:firstLine="480" w:firstLineChars="200"/>
        <w:outlineLvl w:val="0"/>
        <w:rPr>
          <w:rFonts w:asciiTheme="minorEastAsia" w:hAnsiTheme="minorEastAsia"/>
          <w:color w:val="auto"/>
          <w:sz w:val="24"/>
          <w:szCs w:val="24"/>
          <w:highlight w:val="none"/>
        </w:rPr>
      </w:pPr>
      <w:bookmarkStart w:id="671" w:name="_Toc76398647"/>
      <w:r>
        <w:rPr>
          <w:rFonts w:hint="eastAsia" w:asciiTheme="minorEastAsia" w:hAnsiTheme="minorEastAsia"/>
          <w:color w:val="auto"/>
          <w:sz w:val="24"/>
          <w:szCs w:val="24"/>
          <w:highlight w:val="none"/>
        </w:rPr>
        <w:t>2.委托人的义务</w:t>
      </w:r>
      <w:bookmarkEnd w:id="671"/>
    </w:p>
    <w:p w14:paraId="586AA442">
      <w:pPr>
        <w:spacing w:line="360" w:lineRule="auto"/>
        <w:ind w:firstLine="480" w:firstLineChars="200"/>
        <w:outlineLvl w:val="1"/>
        <w:rPr>
          <w:rFonts w:asciiTheme="minorEastAsia" w:hAnsiTheme="minorEastAsia"/>
          <w:color w:val="auto"/>
          <w:sz w:val="24"/>
          <w:szCs w:val="24"/>
          <w:highlight w:val="none"/>
        </w:rPr>
      </w:pPr>
      <w:bookmarkStart w:id="672" w:name="_Toc76398648"/>
      <w:r>
        <w:rPr>
          <w:rFonts w:hint="eastAsia" w:asciiTheme="minorEastAsia" w:hAnsiTheme="minorEastAsia"/>
          <w:color w:val="auto"/>
          <w:sz w:val="24"/>
          <w:szCs w:val="24"/>
          <w:highlight w:val="none"/>
        </w:rPr>
        <w:t>2.1 提供资料</w:t>
      </w:r>
      <w:bookmarkEnd w:id="672"/>
    </w:p>
    <w:p w14:paraId="67A75A8F">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委托人应当在专用条件约定的时间内，按照附录 C 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10B26D6B">
      <w:pPr>
        <w:spacing w:line="360" w:lineRule="auto"/>
        <w:ind w:firstLine="480" w:firstLineChars="200"/>
        <w:outlineLvl w:val="1"/>
        <w:rPr>
          <w:rFonts w:asciiTheme="minorEastAsia" w:hAnsiTheme="minorEastAsia"/>
          <w:color w:val="auto"/>
          <w:sz w:val="24"/>
          <w:szCs w:val="24"/>
          <w:highlight w:val="none"/>
        </w:rPr>
      </w:pPr>
      <w:bookmarkStart w:id="673" w:name="_Toc76398649"/>
      <w:r>
        <w:rPr>
          <w:rFonts w:hint="eastAsia" w:asciiTheme="minorEastAsia" w:hAnsiTheme="minorEastAsia"/>
          <w:color w:val="auto"/>
          <w:sz w:val="24"/>
          <w:szCs w:val="24"/>
          <w:highlight w:val="none"/>
        </w:rPr>
        <w:t>2.2 提供工作条件</w:t>
      </w:r>
      <w:bookmarkEnd w:id="673"/>
    </w:p>
    <w:p w14:paraId="02FC9C3D">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委托人应为咨询人完成造价咨询提供必要的条件。</w:t>
      </w:r>
    </w:p>
    <w:p w14:paraId="46EA2D71">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2.2.1 委托人需要咨询人派驻项目现场咨询人员的，除专用条件另有约定</w:t>
      </w:r>
    </w:p>
    <w:p w14:paraId="52F61401">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外，不提供的房屋及设备。</w:t>
      </w:r>
    </w:p>
    <w:p w14:paraId="6C5180DC">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2.2.2 委托人应负责与本工程造价咨询业务有关的外部关系的协调，为咨询人履行本合同提供必要的外部条件；需要咨询人联系的由咨询人自行协调。</w:t>
      </w:r>
    </w:p>
    <w:p w14:paraId="37698C3C">
      <w:pPr>
        <w:spacing w:line="360" w:lineRule="auto"/>
        <w:ind w:firstLine="480" w:firstLineChars="200"/>
        <w:outlineLvl w:val="1"/>
        <w:rPr>
          <w:rFonts w:asciiTheme="minorEastAsia" w:hAnsiTheme="minorEastAsia"/>
          <w:color w:val="auto"/>
          <w:sz w:val="24"/>
          <w:szCs w:val="24"/>
          <w:highlight w:val="none"/>
        </w:rPr>
      </w:pPr>
      <w:bookmarkStart w:id="674" w:name="_Toc76398650"/>
      <w:r>
        <w:rPr>
          <w:rFonts w:hint="eastAsia" w:asciiTheme="minorEastAsia" w:hAnsiTheme="minorEastAsia"/>
          <w:color w:val="auto"/>
          <w:sz w:val="24"/>
          <w:szCs w:val="24"/>
          <w:highlight w:val="none"/>
        </w:rPr>
        <w:t>2.3 合理工作时限</w:t>
      </w:r>
      <w:bookmarkEnd w:id="674"/>
    </w:p>
    <w:p w14:paraId="55F5A981">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委托人应当为咨询人完成其咨询工作，设定合理的工作时限。</w:t>
      </w:r>
    </w:p>
    <w:p w14:paraId="2C1B60F5">
      <w:pPr>
        <w:spacing w:line="360" w:lineRule="auto"/>
        <w:ind w:firstLine="480" w:firstLineChars="200"/>
        <w:outlineLvl w:val="1"/>
        <w:rPr>
          <w:rFonts w:asciiTheme="minorEastAsia" w:hAnsiTheme="minorEastAsia"/>
          <w:color w:val="auto"/>
          <w:sz w:val="24"/>
          <w:szCs w:val="24"/>
          <w:highlight w:val="none"/>
        </w:rPr>
      </w:pPr>
      <w:bookmarkStart w:id="675" w:name="_Toc76398651"/>
      <w:r>
        <w:rPr>
          <w:rFonts w:hint="eastAsia" w:asciiTheme="minorEastAsia" w:hAnsiTheme="minorEastAsia"/>
          <w:color w:val="auto"/>
          <w:sz w:val="24"/>
          <w:szCs w:val="24"/>
          <w:highlight w:val="none"/>
        </w:rPr>
        <w:t>2.4 委托人代表</w:t>
      </w:r>
      <w:bookmarkEnd w:id="675"/>
    </w:p>
    <w:p w14:paraId="688E2C95">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委托人应授权一名代表负责本合同的履行。委托人应在双方签订本合同 7日内，将委托人代表的姓名和权限范围书面告知咨询人。委托人更换委托人代表时，应提前 7 日书面通知咨询人。</w:t>
      </w:r>
    </w:p>
    <w:p w14:paraId="498A3469">
      <w:pPr>
        <w:spacing w:line="360" w:lineRule="auto"/>
        <w:ind w:firstLine="480" w:firstLineChars="200"/>
        <w:outlineLvl w:val="1"/>
        <w:rPr>
          <w:rFonts w:asciiTheme="minorEastAsia" w:hAnsiTheme="minorEastAsia"/>
          <w:color w:val="auto"/>
          <w:sz w:val="24"/>
          <w:szCs w:val="24"/>
          <w:highlight w:val="none"/>
        </w:rPr>
      </w:pPr>
      <w:bookmarkStart w:id="676" w:name="_Toc76398652"/>
      <w:r>
        <w:rPr>
          <w:rFonts w:hint="eastAsia" w:asciiTheme="minorEastAsia" w:hAnsiTheme="minorEastAsia"/>
          <w:color w:val="auto"/>
          <w:sz w:val="24"/>
          <w:szCs w:val="24"/>
          <w:highlight w:val="none"/>
        </w:rPr>
        <w:t>2.5 答复</w:t>
      </w:r>
      <w:bookmarkEnd w:id="676"/>
    </w:p>
    <w:p w14:paraId="04B28C61">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委托人应当在专用条件约定的时间内就咨询人以书面形式提交并要求做出答复的事宜给予书面答复。</w:t>
      </w:r>
    </w:p>
    <w:p w14:paraId="566522C9">
      <w:pPr>
        <w:spacing w:line="360" w:lineRule="auto"/>
        <w:ind w:firstLine="480" w:firstLineChars="200"/>
        <w:outlineLvl w:val="1"/>
        <w:rPr>
          <w:rFonts w:asciiTheme="minorEastAsia" w:hAnsiTheme="minorEastAsia"/>
          <w:color w:val="auto"/>
          <w:sz w:val="24"/>
          <w:szCs w:val="24"/>
          <w:highlight w:val="none"/>
        </w:rPr>
      </w:pPr>
      <w:bookmarkStart w:id="677" w:name="_Toc76398653"/>
      <w:r>
        <w:rPr>
          <w:rFonts w:hint="eastAsia" w:asciiTheme="minorEastAsia" w:hAnsiTheme="minorEastAsia"/>
          <w:color w:val="auto"/>
          <w:sz w:val="24"/>
          <w:szCs w:val="24"/>
          <w:highlight w:val="none"/>
        </w:rPr>
        <w:t>2.6 支付</w:t>
      </w:r>
      <w:bookmarkEnd w:id="677"/>
    </w:p>
    <w:p w14:paraId="2F9DBE6E">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委托人应当按照合同的约定，向咨询人支付酬金。</w:t>
      </w:r>
    </w:p>
    <w:p w14:paraId="4477F75F">
      <w:pPr>
        <w:spacing w:line="360" w:lineRule="auto"/>
        <w:ind w:firstLine="480" w:firstLineChars="200"/>
        <w:outlineLvl w:val="0"/>
        <w:rPr>
          <w:rFonts w:asciiTheme="minorEastAsia" w:hAnsiTheme="minorEastAsia"/>
          <w:color w:val="auto"/>
          <w:sz w:val="24"/>
          <w:szCs w:val="24"/>
          <w:highlight w:val="none"/>
        </w:rPr>
      </w:pPr>
      <w:bookmarkStart w:id="678" w:name="_Toc76398654"/>
      <w:r>
        <w:rPr>
          <w:rFonts w:hint="eastAsia" w:asciiTheme="minorEastAsia" w:hAnsiTheme="minorEastAsia"/>
          <w:color w:val="auto"/>
          <w:sz w:val="24"/>
          <w:szCs w:val="24"/>
          <w:highlight w:val="none"/>
        </w:rPr>
        <w:t>3.咨询人的义务</w:t>
      </w:r>
      <w:bookmarkEnd w:id="678"/>
    </w:p>
    <w:p w14:paraId="219F48E1">
      <w:pPr>
        <w:spacing w:line="360" w:lineRule="auto"/>
        <w:ind w:firstLine="480" w:firstLineChars="200"/>
        <w:outlineLvl w:val="1"/>
        <w:rPr>
          <w:rFonts w:asciiTheme="minorEastAsia" w:hAnsiTheme="minorEastAsia"/>
          <w:color w:val="auto"/>
          <w:sz w:val="24"/>
          <w:szCs w:val="24"/>
          <w:highlight w:val="none"/>
        </w:rPr>
      </w:pPr>
      <w:bookmarkStart w:id="679" w:name="_Toc76398655"/>
      <w:r>
        <w:rPr>
          <w:rFonts w:hint="eastAsia" w:asciiTheme="minorEastAsia" w:hAnsiTheme="minorEastAsia"/>
          <w:color w:val="auto"/>
          <w:sz w:val="24"/>
          <w:szCs w:val="24"/>
          <w:highlight w:val="none"/>
        </w:rPr>
        <w:t>3.1 项目咨询团队及人员</w:t>
      </w:r>
      <w:bookmarkEnd w:id="679"/>
    </w:p>
    <w:p w14:paraId="2E541456">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3.1.1 项目咨询团队的主要人员应具有专用条件约定的资格条件，团队人员的数量应符合专用条件的约定。</w:t>
      </w:r>
    </w:p>
    <w:p w14:paraId="6CC49B46">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3.1.2 项目负责人</w:t>
      </w:r>
    </w:p>
    <w:p w14:paraId="42535A07">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咨询人应以书面形式授权一名项目负责人负责履行本合同、主持项目咨询团队工作。采用招标程序签署本合同的，项目负责人应当与投标文件载明的一致。</w:t>
      </w:r>
    </w:p>
    <w:p w14:paraId="705EC371">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3.1.3 在本合同履行过程中，咨询人员应保持相对稳定，以保证咨询工作正常进行。未经委托人同意，咨询人不得擅自更换人员名单，若擅自更换，委托人有权解除本合同，咨询人承担给委托人造成的一切损失。咨询人更换项目负责人时，应提前 7 日向委托人书面报告，经委托人同意后方可更换。除专用条件另有约定外，咨询人更换项目咨询团队其他咨询人员，应提前5 日向委托人书面报告，经委托人同意后以相当资格与能力的人员替换。咨询人免费为委托人提供口头或现场咨询，若拒绝提供口头或现场咨询，委托人有权解除本合同，咨询人承担给委托人造成的一切损失。</w:t>
      </w:r>
    </w:p>
    <w:p w14:paraId="572EC3A7">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3.1.4 咨询人员有下列情形之一，委托人要求咨询人更换的，咨询人应当更换：</w:t>
      </w:r>
    </w:p>
    <w:p w14:paraId="0B2DBAB7">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（1）存在严重过失行为的；</w:t>
      </w:r>
    </w:p>
    <w:p w14:paraId="2F91C2C5">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（2）存在违法行为不能履行职责的；</w:t>
      </w:r>
    </w:p>
    <w:p w14:paraId="15D6436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（3）涉嫌犯罪的；</w:t>
      </w:r>
    </w:p>
    <w:p w14:paraId="11C97FCF">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（4）不能胜任岗位职责的；</w:t>
      </w:r>
    </w:p>
    <w:p w14:paraId="75B048DF">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（5）严重违反职业道德的；</w:t>
      </w:r>
    </w:p>
    <w:p w14:paraId="35090EE7">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6</w:t>
      </w:r>
      <w:r>
        <w:rPr>
          <w:rFonts w:hint="eastAsia" w:asciiTheme="minorEastAsia" w:hAnsiTheme="minorEastAsia"/>
          <w:color w:val="auto"/>
          <w:sz w:val="24"/>
          <w:szCs w:val="24"/>
          <w:highlight w:val="none"/>
        </w:rPr>
        <w:t>）不满意的；</w:t>
      </w:r>
    </w:p>
    <w:p w14:paraId="11BA5654">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（7）专用条件约定的其他情形。</w:t>
      </w:r>
    </w:p>
    <w:p w14:paraId="324D0A22">
      <w:pPr>
        <w:spacing w:line="360" w:lineRule="auto"/>
        <w:ind w:firstLine="480" w:firstLineChars="200"/>
        <w:outlineLvl w:val="1"/>
        <w:rPr>
          <w:rFonts w:asciiTheme="minorEastAsia" w:hAnsiTheme="minorEastAsia"/>
          <w:color w:val="auto"/>
          <w:sz w:val="24"/>
          <w:szCs w:val="24"/>
          <w:highlight w:val="none"/>
        </w:rPr>
      </w:pPr>
      <w:bookmarkStart w:id="680" w:name="_Toc76398656"/>
      <w:r>
        <w:rPr>
          <w:rFonts w:hint="eastAsia" w:asciiTheme="minorEastAsia" w:hAnsiTheme="minorEastAsia"/>
          <w:color w:val="auto"/>
          <w:sz w:val="24"/>
          <w:szCs w:val="24"/>
          <w:highlight w:val="none"/>
        </w:rPr>
        <w:t>3.2 咨询人的工作要求</w:t>
      </w:r>
      <w:bookmarkEnd w:id="680"/>
    </w:p>
    <w:p w14:paraId="1371E167">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 xml:space="preserve">3.2.1 </w:t>
      </w:r>
      <w:r>
        <w:rPr>
          <w:rFonts w:hint="eastAsia" w:asciiTheme="minorEastAsia" w:hAnsiTheme="minorEastAsia"/>
          <w:color w:val="auto"/>
          <w:sz w:val="24"/>
          <w:szCs w:val="24"/>
          <w:highlight w:val="none"/>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3D958E28">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3.2.2 咨询人应当在专用条件约定的时间内，按照专用条件约定的份数、组成向委托人提交咨询成果文件。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w:t>
      </w:r>
    </w:p>
    <w:p w14:paraId="5BF7319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3.2.3 咨询人提交的工程造价咨询成果文件，除加盖咨询人单位公章、工程造价咨询企业执业印章外，还必须按要求加盖参加咨询工作人员的执业（从业）资格印章。</w:t>
      </w:r>
    </w:p>
    <w:p w14:paraId="1FB1EF88">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3.2.4 咨询人应在专用条件约定的时间内，对委托人以书面形式提出的建议或者异议给予书面答复。</w:t>
      </w:r>
    </w:p>
    <w:p w14:paraId="31DCF465">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3.2.5 咨询人从事工程造价咨询活动，应当遵循独立、客观、公正、诚实信用的原则，不得损害社会公共利益和他人的合法权益。</w:t>
      </w:r>
    </w:p>
    <w:p w14:paraId="318FA04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3.2.6 咨询人承诺按照法律规定及合同约定，完成合同范围内的建设工程造价咨询服务，不转包承接的造价咨询服务业务。</w:t>
      </w:r>
    </w:p>
    <w:p w14:paraId="3D46906A">
      <w:pPr>
        <w:spacing w:line="360" w:lineRule="auto"/>
        <w:ind w:firstLine="480" w:firstLineChars="200"/>
        <w:outlineLvl w:val="1"/>
        <w:rPr>
          <w:rFonts w:asciiTheme="minorEastAsia" w:hAnsiTheme="minorEastAsia"/>
          <w:color w:val="auto"/>
          <w:sz w:val="24"/>
          <w:szCs w:val="24"/>
          <w:highlight w:val="none"/>
        </w:rPr>
      </w:pPr>
      <w:bookmarkStart w:id="681" w:name="_Toc76398657"/>
      <w:r>
        <w:rPr>
          <w:rFonts w:hint="eastAsia" w:asciiTheme="minorEastAsia" w:hAnsiTheme="minorEastAsia"/>
          <w:color w:val="auto"/>
          <w:sz w:val="24"/>
          <w:szCs w:val="24"/>
          <w:highlight w:val="none"/>
        </w:rPr>
        <w:t>3.3 咨询人的工作依据</w:t>
      </w:r>
      <w:bookmarkEnd w:id="681"/>
    </w:p>
    <w:p w14:paraId="1C8B3D2C">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应在专用条件内与委托人协商明确履行本合同约定的咨询服务需要适用的技术标准、规范、定额等工作依据，但不得违反国家及工程所在地的强制性标准、规范。咨询人应自行配备本条所述的技术标准、规范、定额等相关资料。必须由委托人提供的资料，应在附录 C 中载明。需要委托人协助才能获得的资料，委托人应予以协助。</w:t>
      </w:r>
    </w:p>
    <w:p w14:paraId="1580A5C3">
      <w:pPr>
        <w:spacing w:line="360" w:lineRule="auto"/>
        <w:ind w:firstLine="480" w:firstLineChars="200"/>
        <w:outlineLvl w:val="1"/>
        <w:rPr>
          <w:rFonts w:asciiTheme="minorEastAsia" w:hAnsiTheme="minorEastAsia"/>
          <w:color w:val="auto"/>
          <w:sz w:val="24"/>
          <w:szCs w:val="24"/>
          <w:highlight w:val="none"/>
        </w:rPr>
      </w:pPr>
      <w:bookmarkStart w:id="682" w:name="_Toc76398658"/>
      <w:r>
        <w:rPr>
          <w:rFonts w:hint="eastAsia" w:asciiTheme="minorEastAsia" w:hAnsiTheme="minorEastAsia"/>
          <w:color w:val="auto"/>
          <w:sz w:val="24"/>
          <w:szCs w:val="24"/>
          <w:highlight w:val="none"/>
        </w:rPr>
        <w:t>3.4 使用委托人房屋及设备的返还</w:t>
      </w:r>
      <w:bookmarkEnd w:id="682"/>
    </w:p>
    <w:p w14:paraId="1C503037">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项目咨询人员使用委托人提供的房屋及设备的，咨询人应妥善使用和保管，在本合同终止时将上述房屋及设备按专用条件约定的时间和方式返还委托人。</w:t>
      </w:r>
    </w:p>
    <w:p w14:paraId="4AE3E484">
      <w:pPr>
        <w:spacing w:line="360" w:lineRule="auto"/>
        <w:ind w:firstLine="480" w:firstLineChars="200"/>
        <w:outlineLvl w:val="0"/>
        <w:rPr>
          <w:rFonts w:asciiTheme="minorEastAsia" w:hAnsiTheme="minorEastAsia"/>
          <w:color w:val="auto"/>
          <w:sz w:val="24"/>
          <w:szCs w:val="24"/>
          <w:highlight w:val="none"/>
        </w:rPr>
      </w:pPr>
      <w:bookmarkStart w:id="683" w:name="_Toc76398659"/>
      <w:r>
        <w:rPr>
          <w:rFonts w:hint="eastAsia" w:asciiTheme="minorEastAsia" w:hAnsiTheme="minorEastAsia"/>
          <w:color w:val="auto"/>
          <w:sz w:val="24"/>
          <w:szCs w:val="24"/>
          <w:highlight w:val="none"/>
        </w:rPr>
        <w:t>4.违约责任</w:t>
      </w:r>
      <w:bookmarkEnd w:id="683"/>
    </w:p>
    <w:p w14:paraId="39645522">
      <w:pPr>
        <w:spacing w:line="360" w:lineRule="auto"/>
        <w:ind w:firstLine="480" w:firstLineChars="200"/>
        <w:outlineLvl w:val="1"/>
        <w:rPr>
          <w:rFonts w:asciiTheme="minorEastAsia" w:hAnsiTheme="minorEastAsia"/>
          <w:color w:val="auto"/>
          <w:sz w:val="24"/>
          <w:szCs w:val="24"/>
          <w:highlight w:val="none"/>
        </w:rPr>
      </w:pPr>
      <w:bookmarkStart w:id="684" w:name="_Toc76398660"/>
      <w:r>
        <w:rPr>
          <w:rFonts w:hint="eastAsia" w:asciiTheme="minorEastAsia" w:hAnsiTheme="minorEastAsia"/>
          <w:color w:val="auto"/>
          <w:sz w:val="24"/>
          <w:szCs w:val="24"/>
          <w:highlight w:val="none"/>
        </w:rPr>
        <w:t>4.1 委托人的违约责任</w:t>
      </w:r>
      <w:bookmarkEnd w:id="684"/>
    </w:p>
    <w:p w14:paraId="7F22880B">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4.1.1 委托人不履行本合同义务或者履行义务不符合本合同约定的，应承担违约责任。双方可在专用条件中约定违约金的计算及支付方法。</w:t>
      </w:r>
    </w:p>
    <w:p w14:paraId="5B4057A7">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4.1.2 委托人违反本合同约定造成咨询人损失的，委托人应予以赔偿。双方可在专用条件中约定赔偿金额的确定及支付方法。</w:t>
      </w:r>
    </w:p>
    <w:p w14:paraId="785D3A1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4.1.3 委托人未能按期支付酬金超过 28 天，应按下列方法计算并支付逾期付款利息。逾期付款利息=当期应付款总额×中国人民银行公布的同期活期存款利率÷365天×逾期支付天数（自逾期之日起计算）。双方也可在专用条件中另行约定逾期付款利息的计算及支付方法。</w:t>
      </w:r>
    </w:p>
    <w:p w14:paraId="4864FCBF">
      <w:pPr>
        <w:spacing w:line="360" w:lineRule="auto"/>
        <w:ind w:firstLine="480" w:firstLineChars="200"/>
        <w:outlineLvl w:val="1"/>
        <w:rPr>
          <w:rFonts w:asciiTheme="minorEastAsia" w:hAnsiTheme="minorEastAsia"/>
          <w:color w:val="auto"/>
          <w:sz w:val="24"/>
          <w:szCs w:val="24"/>
          <w:highlight w:val="none"/>
        </w:rPr>
      </w:pPr>
      <w:bookmarkStart w:id="685" w:name="_Toc76398661"/>
      <w:r>
        <w:rPr>
          <w:rFonts w:hint="eastAsia" w:asciiTheme="minorEastAsia" w:hAnsiTheme="minorEastAsia"/>
          <w:color w:val="auto"/>
          <w:sz w:val="24"/>
          <w:szCs w:val="24"/>
          <w:highlight w:val="none"/>
        </w:rPr>
        <w:t>4.2 咨询人的违约责任</w:t>
      </w:r>
      <w:bookmarkEnd w:id="685"/>
    </w:p>
    <w:p w14:paraId="302823DB">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4.2.1 咨询人不履行本合同义务或者履行义务不符合本合同约定的，应承担违约责任。双方可在专用条件中约定违约金的计算及支付方法。</w:t>
      </w:r>
    </w:p>
    <w:p w14:paraId="122E2D4F">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4.2.2 因咨询人违反本合同约定给委托人造成损失的，咨询人应当赔偿委托人损失。双方可在专用条件中约定赔偿金额的确定及支付方法。</w:t>
      </w:r>
    </w:p>
    <w:p w14:paraId="5E74A075">
      <w:pPr>
        <w:spacing w:line="360" w:lineRule="auto"/>
        <w:ind w:firstLine="480" w:firstLineChars="200"/>
        <w:outlineLvl w:val="0"/>
        <w:rPr>
          <w:rFonts w:asciiTheme="minorEastAsia" w:hAnsiTheme="minorEastAsia"/>
          <w:color w:val="auto"/>
          <w:sz w:val="24"/>
          <w:szCs w:val="24"/>
          <w:highlight w:val="none"/>
        </w:rPr>
      </w:pPr>
      <w:bookmarkStart w:id="686" w:name="_Toc76398662"/>
      <w:r>
        <w:rPr>
          <w:rFonts w:hint="eastAsia" w:asciiTheme="minorEastAsia" w:hAnsiTheme="minorEastAsia"/>
          <w:color w:val="auto"/>
          <w:sz w:val="24"/>
          <w:szCs w:val="24"/>
          <w:highlight w:val="none"/>
        </w:rPr>
        <w:t>5.支付</w:t>
      </w:r>
      <w:bookmarkEnd w:id="686"/>
    </w:p>
    <w:p w14:paraId="552415BB">
      <w:pPr>
        <w:spacing w:line="360" w:lineRule="auto"/>
        <w:ind w:firstLine="480" w:firstLineChars="200"/>
        <w:outlineLvl w:val="1"/>
        <w:rPr>
          <w:rFonts w:asciiTheme="minorEastAsia" w:hAnsiTheme="minorEastAsia"/>
          <w:color w:val="auto"/>
          <w:sz w:val="24"/>
          <w:szCs w:val="24"/>
          <w:highlight w:val="none"/>
        </w:rPr>
      </w:pPr>
      <w:bookmarkStart w:id="687" w:name="_Toc76398663"/>
      <w:r>
        <w:rPr>
          <w:rFonts w:hint="eastAsia" w:asciiTheme="minorEastAsia" w:hAnsiTheme="minorEastAsia"/>
          <w:color w:val="auto"/>
          <w:sz w:val="24"/>
          <w:szCs w:val="24"/>
          <w:highlight w:val="none"/>
        </w:rPr>
        <w:t>5.1 支付货币</w:t>
      </w:r>
      <w:bookmarkEnd w:id="687"/>
    </w:p>
    <w:p w14:paraId="091B1BA1">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除专用条件另有约定外，酬金均以人民币支付。涉及外币支付的，所采用的货币种类和汇率等在专用条件中约定。</w:t>
      </w:r>
    </w:p>
    <w:p w14:paraId="5ABD2EB3">
      <w:pPr>
        <w:spacing w:line="360" w:lineRule="auto"/>
        <w:ind w:firstLine="480" w:firstLineChars="200"/>
        <w:outlineLvl w:val="1"/>
        <w:rPr>
          <w:rFonts w:asciiTheme="minorEastAsia" w:hAnsiTheme="minorEastAsia"/>
          <w:color w:val="auto"/>
          <w:sz w:val="24"/>
          <w:szCs w:val="24"/>
          <w:highlight w:val="none"/>
        </w:rPr>
      </w:pPr>
      <w:bookmarkStart w:id="688" w:name="_Toc76398664"/>
      <w:r>
        <w:rPr>
          <w:rFonts w:hint="eastAsia" w:asciiTheme="minorEastAsia" w:hAnsiTheme="minorEastAsia"/>
          <w:color w:val="auto"/>
          <w:sz w:val="24"/>
          <w:szCs w:val="24"/>
          <w:highlight w:val="none"/>
        </w:rPr>
        <w:t>5.2 支付申请</w:t>
      </w:r>
      <w:bookmarkEnd w:id="688"/>
    </w:p>
    <w:p w14:paraId="1A2CEF20">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咨询人应在本合同约定的每次应付款日期前，向委托人提交支付申请书，支付申请书的提交日期由双方在专用条件中约定。支付申请书应当说明当期应付款总额，并列出当期应支付的款项及其金额。</w:t>
      </w:r>
    </w:p>
    <w:p w14:paraId="32FB297F">
      <w:pPr>
        <w:spacing w:line="360" w:lineRule="auto"/>
        <w:ind w:firstLine="480" w:firstLineChars="200"/>
        <w:outlineLvl w:val="1"/>
        <w:rPr>
          <w:rFonts w:asciiTheme="minorEastAsia" w:hAnsiTheme="minorEastAsia"/>
          <w:color w:val="auto"/>
          <w:sz w:val="24"/>
          <w:szCs w:val="24"/>
          <w:highlight w:val="none"/>
        </w:rPr>
      </w:pPr>
      <w:bookmarkStart w:id="689" w:name="_Toc76398665"/>
      <w:r>
        <w:rPr>
          <w:rFonts w:hint="eastAsia" w:asciiTheme="minorEastAsia" w:hAnsiTheme="minorEastAsia"/>
          <w:color w:val="auto"/>
          <w:sz w:val="24"/>
          <w:szCs w:val="24"/>
          <w:highlight w:val="none"/>
        </w:rPr>
        <w:t>5.3 支付酬金</w:t>
      </w:r>
      <w:bookmarkEnd w:id="689"/>
    </w:p>
    <w:p w14:paraId="230AB54E">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支付酬金包括正常工作酬金、附加工作酬金、合理化建议奖励金额及费用。</w:t>
      </w:r>
    </w:p>
    <w:p w14:paraId="6B838504">
      <w:pPr>
        <w:spacing w:line="360" w:lineRule="auto"/>
        <w:ind w:firstLine="480" w:firstLineChars="200"/>
        <w:outlineLvl w:val="1"/>
        <w:rPr>
          <w:rFonts w:asciiTheme="minorEastAsia" w:hAnsiTheme="minorEastAsia"/>
          <w:color w:val="auto"/>
          <w:sz w:val="24"/>
          <w:szCs w:val="24"/>
          <w:highlight w:val="none"/>
        </w:rPr>
      </w:pPr>
      <w:bookmarkStart w:id="690" w:name="_Toc76398666"/>
      <w:r>
        <w:rPr>
          <w:rFonts w:hint="eastAsia" w:asciiTheme="minorEastAsia" w:hAnsiTheme="minorEastAsia"/>
          <w:color w:val="auto"/>
          <w:sz w:val="24"/>
          <w:szCs w:val="24"/>
          <w:highlight w:val="none"/>
        </w:rPr>
        <w:t>5.4 有异议部分的支付</w:t>
      </w:r>
      <w:bookmarkEnd w:id="690"/>
    </w:p>
    <w:p w14:paraId="41BAE87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委托人对咨询人提交的支付申请书有异议时，应当在收到咨询人提交的支付申请书后 7 日内，以书面形式向咨询人发出异议通知。无异议部分的款项应按期支付，有异议部分的款项按第 7 条约定办理。</w:t>
      </w:r>
    </w:p>
    <w:p w14:paraId="6066D04F">
      <w:pPr>
        <w:spacing w:line="360" w:lineRule="auto"/>
        <w:ind w:firstLine="480" w:firstLineChars="200"/>
        <w:outlineLvl w:val="0"/>
        <w:rPr>
          <w:rFonts w:asciiTheme="minorEastAsia" w:hAnsiTheme="minorEastAsia"/>
          <w:color w:val="auto"/>
          <w:sz w:val="24"/>
          <w:szCs w:val="24"/>
          <w:highlight w:val="none"/>
        </w:rPr>
      </w:pPr>
      <w:bookmarkStart w:id="691" w:name="_Toc76398667"/>
      <w:r>
        <w:rPr>
          <w:rFonts w:hint="eastAsia" w:asciiTheme="minorEastAsia" w:hAnsiTheme="minorEastAsia"/>
          <w:color w:val="auto"/>
          <w:sz w:val="24"/>
          <w:szCs w:val="24"/>
          <w:highlight w:val="none"/>
        </w:rPr>
        <w:t>6.合同变更、解除与终止</w:t>
      </w:r>
      <w:bookmarkEnd w:id="691"/>
    </w:p>
    <w:p w14:paraId="49B8AC8F">
      <w:pPr>
        <w:spacing w:line="360" w:lineRule="auto"/>
        <w:ind w:firstLine="480" w:firstLineChars="200"/>
        <w:outlineLvl w:val="1"/>
        <w:rPr>
          <w:rFonts w:asciiTheme="minorEastAsia" w:hAnsiTheme="minorEastAsia"/>
          <w:color w:val="auto"/>
          <w:sz w:val="24"/>
          <w:szCs w:val="24"/>
          <w:highlight w:val="none"/>
        </w:rPr>
      </w:pPr>
      <w:bookmarkStart w:id="692" w:name="_Toc76398668"/>
      <w:r>
        <w:rPr>
          <w:rFonts w:hint="eastAsia" w:asciiTheme="minorEastAsia" w:hAnsiTheme="minorEastAsia"/>
          <w:color w:val="auto"/>
          <w:sz w:val="24"/>
          <w:szCs w:val="24"/>
          <w:highlight w:val="none"/>
        </w:rPr>
        <w:t>6.1 合同变更</w:t>
      </w:r>
      <w:bookmarkEnd w:id="692"/>
    </w:p>
    <w:p w14:paraId="44301D61">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6.1.1 任何一方以书面形式提出变更请求时，双方经协商一致后可进行变更。</w:t>
      </w:r>
    </w:p>
    <w:p w14:paraId="7485A0BC">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3609E588">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76CD709C">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6.1.4 因工程规模、服务范围及工作内容的变化等导致咨询人的工作量增减时，服务酬金应作相应调整，调整方法由双方在专用条件中约定。</w:t>
      </w:r>
    </w:p>
    <w:p w14:paraId="5C1A93F2">
      <w:pPr>
        <w:spacing w:line="360" w:lineRule="auto"/>
        <w:ind w:firstLine="480" w:firstLineChars="200"/>
        <w:outlineLvl w:val="1"/>
        <w:rPr>
          <w:rFonts w:asciiTheme="minorEastAsia" w:hAnsiTheme="minorEastAsia"/>
          <w:color w:val="auto"/>
          <w:sz w:val="24"/>
          <w:szCs w:val="24"/>
          <w:highlight w:val="none"/>
        </w:rPr>
      </w:pPr>
      <w:bookmarkStart w:id="693" w:name="_Toc76398669"/>
      <w:r>
        <w:rPr>
          <w:rFonts w:hint="eastAsia" w:asciiTheme="minorEastAsia" w:hAnsiTheme="minorEastAsia"/>
          <w:color w:val="auto"/>
          <w:sz w:val="24"/>
          <w:szCs w:val="24"/>
          <w:highlight w:val="none"/>
        </w:rPr>
        <w:t>6.2 合同解除</w:t>
      </w:r>
      <w:bookmarkEnd w:id="693"/>
    </w:p>
    <w:p w14:paraId="26A1810D">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6.2.1 委托人与咨询人协商一致，可以解除合同。</w:t>
      </w:r>
    </w:p>
    <w:p w14:paraId="2814AF52">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6.2.2 有下列情形之一的，合同当事人一方或双方可以解除合同：</w:t>
      </w:r>
    </w:p>
    <w:p w14:paraId="52597460">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（1）咨询人将本合同约定的工程造价咨询服务工作全部或部分转包给他人，委托人可以解除合同；</w:t>
      </w:r>
    </w:p>
    <w:p w14:paraId="64CA971E">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（2）咨询人提供的造价咨询服务不符合合同约定的要求，经委托人催告仍不能达到合同约定要求的，委托人可以解除合同；</w:t>
      </w:r>
    </w:p>
    <w:p w14:paraId="33297D78">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（3）因不可抗力致使合同无法履行；</w:t>
      </w:r>
    </w:p>
    <w:p w14:paraId="1B860DE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（4）因一方违约致使合同无法实际履行或实际履行已无必要。</w:t>
      </w:r>
    </w:p>
    <w:p w14:paraId="7F9A2266">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除上述情形外，双方可以根据委托的服务范围及工作内容，在专用条件中约定解除合同的其他条件。</w:t>
      </w:r>
    </w:p>
    <w:p w14:paraId="44CA675A">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6.2.3 任何一方提出解除合同的，应提前 30 天书面通知对方，无法提前通知解除的情形除外。</w:t>
      </w:r>
    </w:p>
    <w:p w14:paraId="46C6159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6.2.4 合同解除后，委托人应按照合同约定向咨询人支付已完成部分的咨询服务酬金。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0866B63D">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6.2.5 本合同解除后，本合同约定的有关结算、争议解决方式的条款仍然有效。</w:t>
      </w:r>
    </w:p>
    <w:p w14:paraId="52EDE21E">
      <w:pPr>
        <w:spacing w:line="360" w:lineRule="auto"/>
        <w:ind w:firstLine="480" w:firstLineChars="200"/>
        <w:outlineLvl w:val="1"/>
        <w:rPr>
          <w:rFonts w:asciiTheme="minorEastAsia" w:hAnsiTheme="minorEastAsia"/>
          <w:color w:val="auto"/>
          <w:sz w:val="24"/>
          <w:szCs w:val="24"/>
          <w:highlight w:val="none"/>
        </w:rPr>
      </w:pPr>
      <w:bookmarkStart w:id="694" w:name="_Toc76398670"/>
      <w:r>
        <w:rPr>
          <w:rFonts w:hint="eastAsia" w:asciiTheme="minorEastAsia" w:hAnsiTheme="minorEastAsia"/>
          <w:color w:val="auto"/>
          <w:sz w:val="24"/>
          <w:szCs w:val="24"/>
          <w:highlight w:val="none"/>
        </w:rPr>
        <w:t>6.3 合同终止</w:t>
      </w:r>
      <w:bookmarkEnd w:id="694"/>
    </w:p>
    <w:p w14:paraId="428C7014">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除合同解除外，以下条件全部满足时，本合同终止：</w:t>
      </w:r>
    </w:p>
    <w:p w14:paraId="1772685C">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（1）咨询人完成本合同约定的全部工作；</w:t>
      </w:r>
    </w:p>
    <w:p w14:paraId="23132402">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（2）委托人与咨询人结清并支付酬金；</w:t>
      </w:r>
    </w:p>
    <w:p w14:paraId="34BAE969">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（3）咨询人将委托人提供的资料交还。</w:t>
      </w:r>
    </w:p>
    <w:p w14:paraId="270ACD18">
      <w:pPr>
        <w:spacing w:line="360" w:lineRule="auto"/>
        <w:ind w:firstLine="480" w:firstLineChars="200"/>
        <w:outlineLvl w:val="0"/>
        <w:rPr>
          <w:rFonts w:asciiTheme="minorEastAsia" w:hAnsiTheme="minorEastAsia"/>
          <w:color w:val="auto"/>
          <w:sz w:val="24"/>
          <w:szCs w:val="24"/>
          <w:highlight w:val="none"/>
        </w:rPr>
      </w:pPr>
      <w:bookmarkStart w:id="695" w:name="_Toc76398671"/>
      <w:r>
        <w:rPr>
          <w:rFonts w:hint="eastAsia" w:asciiTheme="minorEastAsia" w:hAnsiTheme="minorEastAsia"/>
          <w:color w:val="auto"/>
          <w:sz w:val="24"/>
          <w:szCs w:val="24"/>
          <w:highlight w:val="none"/>
        </w:rPr>
        <w:t>7.争议解决</w:t>
      </w:r>
      <w:bookmarkEnd w:id="695"/>
    </w:p>
    <w:p w14:paraId="558EAF01">
      <w:pPr>
        <w:spacing w:line="360" w:lineRule="auto"/>
        <w:ind w:firstLine="480" w:firstLineChars="200"/>
        <w:outlineLvl w:val="1"/>
        <w:rPr>
          <w:rFonts w:asciiTheme="minorEastAsia" w:hAnsiTheme="minorEastAsia"/>
          <w:color w:val="auto"/>
          <w:sz w:val="24"/>
          <w:szCs w:val="24"/>
          <w:highlight w:val="none"/>
        </w:rPr>
      </w:pPr>
      <w:bookmarkStart w:id="696" w:name="_Toc76398672"/>
      <w:r>
        <w:rPr>
          <w:rFonts w:hint="eastAsia" w:asciiTheme="minorEastAsia" w:hAnsiTheme="minorEastAsia"/>
          <w:color w:val="auto"/>
          <w:sz w:val="24"/>
          <w:szCs w:val="24"/>
          <w:highlight w:val="none"/>
        </w:rPr>
        <w:t>7.1 协商</w:t>
      </w:r>
      <w:bookmarkEnd w:id="696"/>
    </w:p>
    <w:p w14:paraId="5187C37D">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双方应本着诚实信用的原则协商解决本合同履行过程中发生的争议。</w:t>
      </w:r>
    </w:p>
    <w:p w14:paraId="49131C92">
      <w:pPr>
        <w:spacing w:line="360" w:lineRule="auto"/>
        <w:ind w:firstLine="480" w:firstLineChars="200"/>
        <w:outlineLvl w:val="1"/>
        <w:rPr>
          <w:rFonts w:asciiTheme="minorEastAsia" w:hAnsiTheme="minorEastAsia"/>
          <w:color w:val="auto"/>
          <w:sz w:val="24"/>
          <w:szCs w:val="24"/>
          <w:highlight w:val="none"/>
        </w:rPr>
      </w:pPr>
      <w:bookmarkStart w:id="697" w:name="_Toc76398673"/>
      <w:r>
        <w:rPr>
          <w:rFonts w:hint="eastAsia" w:asciiTheme="minorEastAsia" w:hAnsiTheme="minorEastAsia"/>
          <w:color w:val="auto"/>
          <w:sz w:val="24"/>
          <w:szCs w:val="24"/>
          <w:highlight w:val="none"/>
        </w:rPr>
        <w:t>7.2 调解</w:t>
      </w:r>
      <w:bookmarkEnd w:id="697"/>
    </w:p>
    <w:p w14:paraId="6C15E47A">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如果双方不能在 14 日内或双方商定的其他时间内解决本合同争议，可以将其提交给专用条件约定的或事后达成协议的调解人进行调解。</w:t>
      </w:r>
    </w:p>
    <w:p w14:paraId="6342BF51">
      <w:pPr>
        <w:spacing w:line="360" w:lineRule="auto"/>
        <w:ind w:firstLine="480" w:firstLineChars="200"/>
        <w:outlineLvl w:val="1"/>
        <w:rPr>
          <w:rFonts w:asciiTheme="minorEastAsia" w:hAnsiTheme="minorEastAsia"/>
          <w:color w:val="auto"/>
          <w:sz w:val="24"/>
          <w:szCs w:val="24"/>
          <w:highlight w:val="none"/>
        </w:rPr>
      </w:pPr>
      <w:bookmarkStart w:id="698" w:name="_Toc76398674"/>
      <w:r>
        <w:rPr>
          <w:rFonts w:hint="eastAsia" w:asciiTheme="minorEastAsia" w:hAnsiTheme="minorEastAsia"/>
          <w:color w:val="auto"/>
          <w:sz w:val="24"/>
          <w:szCs w:val="24"/>
          <w:highlight w:val="none"/>
        </w:rPr>
        <w:t>7.3 仲裁或诉讼</w:t>
      </w:r>
      <w:bookmarkEnd w:id="698"/>
    </w:p>
    <w:p w14:paraId="3A3BC009">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双方均有权不经调解直接向专用条件约定的仲裁机构申请仲裁或向有管辖权的人民法院提起诉讼。</w:t>
      </w:r>
    </w:p>
    <w:p w14:paraId="277CE33F">
      <w:pPr>
        <w:spacing w:line="360" w:lineRule="auto"/>
        <w:ind w:firstLine="480" w:firstLineChars="200"/>
        <w:outlineLvl w:val="0"/>
        <w:rPr>
          <w:rFonts w:asciiTheme="minorEastAsia" w:hAnsiTheme="minorEastAsia"/>
          <w:color w:val="auto"/>
          <w:sz w:val="24"/>
          <w:szCs w:val="24"/>
          <w:highlight w:val="none"/>
        </w:rPr>
      </w:pPr>
      <w:bookmarkStart w:id="699" w:name="_Toc76398675"/>
      <w:r>
        <w:rPr>
          <w:rFonts w:hint="eastAsia" w:asciiTheme="minorEastAsia" w:hAnsiTheme="minorEastAsia"/>
          <w:color w:val="auto"/>
          <w:sz w:val="24"/>
          <w:szCs w:val="24"/>
          <w:highlight w:val="none"/>
        </w:rPr>
        <w:t>8.其他</w:t>
      </w:r>
      <w:bookmarkEnd w:id="699"/>
    </w:p>
    <w:p w14:paraId="1B7C7CF6">
      <w:pPr>
        <w:spacing w:line="360" w:lineRule="auto"/>
        <w:ind w:firstLine="480" w:firstLineChars="200"/>
        <w:outlineLvl w:val="1"/>
        <w:rPr>
          <w:rFonts w:asciiTheme="minorEastAsia" w:hAnsiTheme="minorEastAsia"/>
          <w:color w:val="auto"/>
          <w:sz w:val="24"/>
          <w:szCs w:val="24"/>
          <w:highlight w:val="none"/>
        </w:rPr>
      </w:pPr>
      <w:bookmarkStart w:id="700" w:name="_Toc76398676"/>
      <w:r>
        <w:rPr>
          <w:rFonts w:hint="eastAsia" w:asciiTheme="minorEastAsia" w:hAnsiTheme="minorEastAsia"/>
          <w:color w:val="auto"/>
          <w:sz w:val="24"/>
          <w:szCs w:val="24"/>
          <w:highlight w:val="none"/>
        </w:rPr>
        <w:t>8.1 考察及相关费用</w:t>
      </w:r>
      <w:bookmarkEnd w:id="700"/>
    </w:p>
    <w:p w14:paraId="6B1626FA">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除专用条件另有约定外，咨询人经委托人同意进行考察发生的费用由委托人审核后另行支付。差旅费及相关费用的承担由双方在专用条件中约定。</w:t>
      </w:r>
    </w:p>
    <w:p w14:paraId="62CC1467">
      <w:pPr>
        <w:spacing w:line="360" w:lineRule="auto"/>
        <w:ind w:firstLine="480" w:firstLineChars="200"/>
        <w:outlineLvl w:val="1"/>
        <w:rPr>
          <w:rFonts w:asciiTheme="minorEastAsia" w:hAnsiTheme="minorEastAsia"/>
          <w:color w:val="auto"/>
          <w:sz w:val="24"/>
          <w:szCs w:val="24"/>
          <w:highlight w:val="none"/>
        </w:rPr>
      </w:pPr>
      <w:bookmarkStart w:id="701" w:name="_Toc76398677"/>
      <w:r>
        <w:rPr>
          <w:rFonts w:hint="eastAsia" w:asciiTheme="minorEastAsia" w:hAnsiTheme="minorEastAsia"/>
          <w:color w:val="auto"/>
          <w:sz w:val="24"/>
          <w:szCs w:val="24"/>
          <w:highlight w:val="none"/>
        </w:rPr>
        <w:t>8.2 奖励</w:t>
      </w:r>
      <w:bookmarkEnd w:id="701"/>
    </w:p>
    <w:p w14:paraId="2876BCB0">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对于咨询人在服务过程中提出合理化建议，使委托人获得效益的，双方在专用条件中约定奖励金额的确定方法。奖励金额在合理化建议被采纳后，与最近一期的正常工作酬金同期支付。</w:t>
      </w:r>
    </w:p>
    <w:p w14:paraId="1BD8B97B">
      <w:pPr>
        <w:spacing w:line="360" w:lineRule="auto"/>
        <w:ind w:firstLine="480" w:firstLineChars="200"/>
        <w:outlineLvl w:val="1"/>
        <w:rPr>
          <w:rFonts w:asciiTheme="minorEastAsia" w:hAnsiTheme="minorEastAsia"/>
          <w:color w:val="auto"/>
          <w:sz w:val="24"/>
          <w:szCs w:val="24"/>
          <w:highlight w:val="none"/>
        </w:rPr>
      </w:pPr>
      <w:bookmarkStart w:id="702" w:name="_Toc76398678"/>
      <w:r>
        <w:rPr>
          <w:rFonts w:hint="eastAsia" w:asciiTheme="minorEastAsia" w:hAnsiTheme="minorEastAsia"/>
          <w:color w:val="auto"/>
          <w:sz w:val="24"/>
          <w:szCs w:val="24"/>
          <w:highlight w:val="none"/>
        </w:rPr>
        <w:t>8.3 保密</w:t>
      </w:r>
      <w:bookmarkEnd w:id="702"/>
    </w:p>
    <w:p w14:paraId="649A0774">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在本合同履行期间或专用条件约定的期限内，双方不得泄露对方申明的保密资料，亦不得泄露与实施工程有关的第三人所提供的保密资料。保密事项在专用条件中约定。</w:t>
      </w:r>
    </w:p>
    <w:p w14:paraId="7A85312C">
      <w:pPr>
        <w:spacing w:line="360" w:lineRule="auto"/>
        <w:ind w:firstLine="480" w:firstLineChars="200"/>
        <w:outlineLvl w:val="1"/>
        <w:rPr>
          <w:rFonts w:asciiTheme="minorEastAsia" w:hAnsiTheme="minorEastAsia"/>
          <w:color w:val="auto"/>
          <w:sz w:val="24"/>
          <w:szCs w:val="24"/>
          <w:highlight w:val="none"/>
        </w:rPr>
      </w:pPr>
      <w:bookmarkStart w:id="703" w:name="_Toc76398679"/>
      <w:r>
        <w:rPr>
          <w:rFonts w:hint="eastAsia" w:asciiTheme="minorEastAsia" w:hAnsiTheme="minorEastAsia"/>
          <w:color w:val="auto"/>
          <w:sz w:val="24"/>
          <w:szCs w:val="24"/>
          <w:highlight w:val="none"/>
        </w:rPr>
        <w:t>8.4 联络</w:t>
      </w:r>
      <w:bookmarkEnd w:id="703"/>
    </w:p>
    <w:p w14:paraId="694554D6">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8.4.1 与合同有关的通知、指示、要求、决定等，均应采用书面形式，并应在专用条件约定的期限内送达接收人和送达地点。</w:t>
      </w:r>
    </w:p>
    <w:p w14:paraId="63857D4B">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8.4.2 委托人和咨询人应在专用条件中约定各自的送达接收人、送达地点、电子邮箱。任何一方指定的接收人或送达地点或电子邮箱发生变动的，应提前 3 天以书面形式通知对方，否则视为未发生变动。</w:t>
      </w:r>
    </w:p>
    <w:p w14:paraId="027662E4">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8.4.3 委托人和咨询人应当及时签收另一方送达至送达地点和指定接收人的往来函件，如确有充分证据证明一方无正当理由拒不签收的，视为认可往来函件的内容。</w:t>
      </w:r>
    </w:p>
    <w:p w14:paraId="54FB945E">
      <w:pPr>
        <w:spacing w:line="360" w:lineRule="auto"/>
        <w:ind w:firstLine="480" w:firstLineChars="200"/>
        <w:outlineLvl w:val="1"/>
        <w:rPr>
          <w:rFonts w:asciiTheme="minorEastAsia" w:hAnsiTheme="minorEastAsia"/>
          <w:color w:val="auto"/>
          <w:sz w:val="24"/>
          <w:szCs w:val="24"/>
          <w:highlight w:val="none"/>
        </w:rPr>
      </w:pPr>
      <w:bookmarkStart w:id="704" w:name="_Toc76398680"/>
      <w:r>
        <w:rPr>
          <w:rFonts w:hint="eastAsia" w:asciiTheme="minorEastAsia" w:hAnsiTheme="minorEastAsia"/>
          <w:color w:val="auto"/>
          <w:sz w:val="24"/>
          <w:szCs w:val="24"/>
          <w:highlight w:val="none"/>
        </w:rPr>
        <w:t>8.5 知识产权</w:t>
      </w:r>
      <w:bookmarkEnd w:id="704"/>
    </w:p>
    <w:p w14:paraId="7B0FEC9A">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6E778B5F">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09CB0838">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双方保证在履行本合同过程中不侵犯对方及第三方的知识产权。因咨询人侵犯他人知识产权所引起的责任，由咨询人承担；因委托人提供的基础资料导致侵权的，由委托人承担责任。</w:t>
      </w:r>
    </w:p>
    <w:p w14:paraId="73ABAEE7">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除专用条件另有约定外，双方均有权在履行本合同保密义务并且不损害对方利益的情况下，将履行本合同形成的有关成果文件用于企业宣传、申报奖项以及接受上级主管部门的检查。</w:t>
      </w:r>
    </w:p>
    <w:p w14:paraId="11BE288E">
      <w:pPr>
        <w:widowControl/>
        <w:jc w:val="left"/>
        <w:rPr>
          <w:rFonts w:asciiTheme="minorEastAsia" w:hAnsiTheme="minorEastAsia"/>
          <w:color w:val="auto"/>
          <w:sz w:val="24"/>
          <w:szCs w:val="24"/>
          <w:highlight w:val="none"/>
        </w:rPr>
      </w:pPr>
      <w:r>
        <w:rPr>
          <w:rFonts w:asciiTheme="minorEastAsia" w:hAnsiTheme="minorEastAsia"/>
          <w:color w:val="auto"/>
          <w:sz w:val="24"/>
          <w:szCs w:val="24"/>
          <w:highlight w:val="none"/>
        </w:rPr>
        <w:br w:type="page"/>
      </w:r>
    </w:p>
    <w:p w14:paraId="419A606B">
      <w:pPr>
        <w:spacing w:line="360" w:lineRule="auto"/>
        <w:ind w:firstLine="643"/>
        <w:jc w:val="center"/>
        <w:outlineLvl w:val="0"/>
        <w:rPr>
          <w:rFonts w:asciiTheme="minorEastAsia" w:hAnsiTheme="minorEastAsia"/>
          <w:b/>
          <w:color w:val="auto"/>
          <w:sz w:val="32"/>
          <w:szCs w:val="32"/>
          <w:highlight w:val="none"/>
        </w:rPr>
      </w:pPr>
      <w:bookmarkStart w:id="705" w:name="_Toc76398681"/>
      <w:r>
        <w:rPr>
          <w:rFonts w:hint="eastAsia" w:asciiTheme="minorEastAsia" w:hAnsiTheme="minorEastAsia"/>
          <w:b/>
          <w:color w:val="auto"/>
          <w:sz w:val="32"/>
          <w:szCs w:val="32"/>
          <w:highlight w:val="none"/>
        </w:rPr>
        <w:t>第三部分专用条件</w:t>
      </w:r>
      <w:bookmarkEnd w:id="705"/>
    </w:p>
    <w:p w14:paraId="5FAC41D7">
      <w:pPr>
        <w:spacing w:line="360" w:lineRule="auto"/>
        <w:ind w:firstLine="480" w:firstLineChars="200"/>
        <w:outlineLvl w:val="0"/>
        <w:rPr>
          <w:rFonts w:asciiTheme="minorEastAsia" w:hAnsiTheme="minorEastAsia"/>
          <w:color w:val="auto"/>
          <w:sz w:val="24"/>
          <w:szCs w:val="24"/>
          <w:highlight w:val="none"/>
        </w:rPr>
      </w:pPr>
      <w:bookmarkStart w:id="706" w:name="_Toc76398682"/>
      <w:r>
        <w:rPr>
          <w:rFonts w:hint="eastAsia" w:asciiTheme="minorEastAsia" w:hAnsiTheme="minorEastAsia"/>
          <w:color w:val="auto"/>
          <w:sz w:val="24"/>
          <w:szCs w:val="24"/>
          <w:highlight w:val="none"/>
        </w:rPr>
        <w:t>1.词语定义、语言、解释顺序与适用法律</w:t>
      </w:r>
      <w:bookmarkEnd w:id="706"/>
    </w:p>
    <w:p w14:paraId="0607B982">
      <w:pPr>
        <w:spacing w:line="360" w:lineRule="auto"/>
        <w:ind w:firstLine="480" w:firstLineChars="200"/>
        <w:outlineLvl w:val="1"/>
        <w:rPr>
          <w:rFonts w:asciiTheme="minorEastAsia" w:hAnsiTheme="minorEastAsia"/>
          <w:color w:val="auto"/>
          <w:sz w:val="24"/>
          <w:szCs w:val="24"/>
          <w:highlight w:val="none"/>
        </w:rPr>
      </w:pPr>
      <w:bookmarkStart w:id="707" w:name="_Toc76398683"/>
      <w:r>
        <w:rPr>
          <w:rFonts w:hint="eastAsia" w:asciiTheme="minorEastAsia" w:hAnsiTheme="minorEastAsia"/>
          <w:color w:val="auto"/>
          <w:sz w:val="24"/>
          <w:szCs w:val="24"/>
          <w:highlight w:val="none"/>
        </w:rPr>
        <w:t>1.2 语言</w:t>
      </w:r>
      <w:bookmarkEnd w:id="707"/>
    </w:p>
    <w:p w14:paraId="31D471CE">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本合同文件除使用中文外，还可用</w:t>
      </w:r>
      <w:r>
        <w:rPr>
          <w:rFonts w:hint="eastAsia" w:asciiTheme="minorEastAsia" w:hAnsiTheme="minorEastAsia"/>
          <w:color w:val="auto"/>
          <w:sz w:val="24"/>
          <w:szCs w:val="24"/>
          <w:highlight w:val="none"/>
          <w:u w:val="single"/>
        </w:rPr>
        <w:t xml:space="preserve">   /    </w:t>
      </w:r>
      <w:r>
        <w:rPr>
          <w:rFonts w:hint="eastAsia" w:asciiTheme="minorEastAsia" w:hAnsiTheme="minorEastAsia"/>
          <w:color w:val="auto"/>
          <w:sz w:val="24"/>
          <w:szCs w:val="24"/>
          <w:highlight w:val="none"/>
        </w:rPr>
        <w:t>。</w:t>
      </w:r>
    </w:p>
    <w:p w14:paraId="32DA6655">
      <w:pPr>
        <w:spacing w:line="360" w:lineRule="auto"/>
        <w:ind w:firstLine="480" w:firstLineChars="200"/>
        <w:outlineLvl w:val="1"/>
        <w:rPr>
          <w:rFonts w:asciiTheme="minorEastAsia" w:hAnsiTheme="minorEastAsia"/>
          <w:color w:val="auto"/>
          <w:sz w:val="24"/>
          <w:szCs w:val="24"/>
          <w:highlight w:val="none"/>
        </w:rPr>
      </w:pPr>
      <w:bookmarkStart w:id="708" w:name="_Toc76398684"/>
      <w:r>
        <w:rPr>
          <w:rFonts w:hint="eastAsia" w:asciiTheme="minorEastAsia" w:hAnsiTheme="minorEastAsia"/>
          <w:color w:val="auto"/>
          <w:sz w:val="24"/>
          <w:szCs w:val="24"/>
          <w:highlight w:val="none"/>
        </w:rPr>
        <w:t>1.3 合同文件的优先顺序</w:t>
      </w:r>
      <w:bookmarkEnd w:id="708"/>
    </w:p>
    <w:p w14:paraId="09CE4DCD">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本合同文件的解释顺序为：</w:t>
      </w:r>
    </w:p>
    <w:p w14:paraId="2F821BD4">
      <w:pPr>
        <w:pStyle w:val="69"/>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1.3.1.协议书；</w:t>
      </w:r>
    </w:p>
    <w:p w14:paraId="3693A90E">
      <w:pPr>
        <w:pStyle w:val="69"/>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1.3.2. 招标文件或比选文件（包括但不限于本工程的招标或比选文件、图纸、其他技术资料及招标人发出的对招标或比选文件所作的澄清、修改、补遗等资料）（若有）；</w:t>
      </w:r>
    </w:p>
    <w:p w14:paraId="05DFF2DF">
      <w:pPr>
        <w:pStyle w:val="69"/>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1.3.3.中标通知书或委托书（如果有）；</w:t>
      </w:r>
    </w:p>
    <w:p w14:paraId="2B750479">
      <w:pPr>
        <w:pStyle w:val="69"/>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1.3.3.专用条件及附录；</w:t>
      </w:r>
    </w:p>
    <w:p w14:paraId="6EE461B9">
      <w:pPr>
        <w:pStyle w:val="69"/>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1.3.4.通用条件；</w:t>
      </w:r>
    </w:p>
    <w:p w14:paraId="29834CED">
      <w:pPr>
        <w:pStyle w:val="69"/>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1.3.6.投标函及投标函附录或造价咨询服务建议书（如果有）；</w:t>
      </w:r>
    </w:p>
    <w:p w14:paraId="1E50C4AD">
      <w:pPr>
        <w:pStyle w:val="69"/>
        <w:spacing w:line="360" w:lineRule="auto"/>
        <w:ind w:firstLine="480" w:firstLineChars="200"/>
        <w:jc w:val="left"/>
        <w:rPr>
          <w:rFonts w:asciiTheme="minorEastAsia" w:hAnsiTheme="minorEastAsia"/>
          <w:color w:val="auto"/>
          <w:sz w:val="24"/>
          <w:szCs w:val="24"/>
          <w:highlight w:val="none"/>
        </w:rPr>
      </w:pPr>
      <w:r>
        <w:rPr>
          <w:rFonts w:hint="eastAsia" w:ascii="宋体" w:hAnsi="宋体" w:cs="宋体"/>
          <w:bCs/>
          <w:color w:val="auto"/>
          <w:sz w:val="24"/>
          <w:szCs w:val="24"/>
          <w:highlight w:val="none"/>
        </w:rPr>
        <w:t>1.3.7.其他合同文件。</w:t>
      </w:r>
    </w:p>
    <w:p w14:paraId="09328865">
      <w:pPr>
        <w:spacing w:line="360" w:lineRule="auto"/>
        <w:ind w:firstLine="480" w:firstLineChars="200"/>
        <w:outlineLvl w:val="1"/>
        <w:rPr>
          <w:rFonts w:asciiTheme="minorEastAsia" w:hAnsiTheme="minorEastAsia"/>
          <w:color w:val="auto"/>
          <w:sz w:val="24"/>
          <w:szCs w:val="24"/>
          <w:highlight w:val="none"/>
        </w:rPr>
      </w:pPr>
      <w:bookmarkStart w:id="709" w:name="_Toc76398685"/>
      <w:r>
        <w:rPr>
          <w:rFonts w:hint="eastAsia" w:asciiTheme="minorEastAsia" w:hAnsiTheme="minorEastAsia"/>
          <w:color w:val="auto"/>
          <w:sz w:val="24"/>
          <w:szCs w:val="24"/>
          <w:highlight w:val="none"/>
        </w:rPr>
        <w:t>1.4 适用法律</w:t>
      </w:r>
      <w:bookmarkEnd w:id="709"/>
    </w:p>
    <w:p w14:paraId="6EF45472">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本合同适用的其他规范性文件包括:</w:t>
      </w:r>
      <w:r>
        <w:rPr>
          <w:rFonts w:hint="eastAsia" w:asciiTheme="minorEastAsia" w:hAnsiTheme="minorEastAsia"/>
          <w:color w:val="auto"/>
          <w:sz w:val="24"/>
          <w:szCs w:val="24"/>
          <w:highlight w:val="none"/>
          <w:u w:val="single"/>
        </w:rPr>
        <w:t xml:space="preserve">   重庆市现行的工程量清单计算规则、定额、规程、技术标准等规范性文件</w:t>
      </w:r>
      <w:r>
        <w:rPr>
          <w:rFonts w:hint="eastAsia" w:asciiTheme="minorEastAsia" w:hAnsiTheme="minorEastAsia"/>
          <w:color w:val="auto"/>
          <w:sz w:val="24"/>
          <w:szCs w:val="24"/>
          <w:highlight w:val="none"/>
        </w:rPr>
        <w:t>。</w:t>
      </w:r>
    </w:p>
    <w:p w14:paraId="452C7C78">
      <w:pPr>
        <w:spacing w:line="360" w:lineRule="auto"/>
        <w:ind w:firstLine="480" w:firstLineChars="200"/>
        <w:outlineLvl w:val="0"/>
        <w:rPr>
          <w:rFonts w:asciiTheme="minorEastAsia" w:hAnsiTheme="minorEastAsia"/>
          <w:color w:val="auto"/>
          <w:sz w:val="24"/>
          <w:szCs w:val="24"/>
          <w:highlight w:val="none"/>
        </w:rPr>
      </w:pPr>
      <w:bookmarkStart w:id="710" w:name="_Toc76398686"/>
      <w:r>
        <w:rPr>
          <w:rFonts w:hint="eastAsia" w:asciiTheme="minorEastAsia" w:hAnsiTheme="minorEastAsia"/>
          <w:color w:val="auto"/>
          <w:sz w:val="24"/>
          <w:szCs w:val="24"/>
          <w:highlight w:val="none"/>
        </w:rPr>
        <w:t>2.委托人的义务</w:t>
      </w:r>
      <w:bookmarkEnd w:id="710"/>
    </w:p>
    <w:p w14:paraId="6B975A5F">
      <w:pPr>
        <w:spacing w:line="360" w:lineRule="auto"/>
        <w:ind w:firstLine="480" w:firstLineChars="200"/>
        <w:outlineLvl w:val="1"/>
        <w:rPr>
          <w:rFonts w:asciiTheme="minorEastAsia" w:hAnsiTheme="minorEastAsia"/>
          <w:color w:val="auto"/>
          <w:sz w:val="24"/>
          <w:szCs w:val="24"/>
          <w:highlight w:val="none"/>
        </w:rPr>
      </w:pPr>
      <w:bookmarkStart w:id="711" w:name="_Toc76398687"/>
      <w:r>
        <w:rPr>
          <w:rFonts w:hint="eastAsia" w:asciiTheme="minorEastAsia" w:hAnsiTheme="minorEastAsia"/>
          <w:color w:val="auto"/>
          <w:sz w:val="24"/>
          <w:szCs w:val="24"/>
          <w:highlight w:val="none"/>
        </w:rPr>
        <w:t>2.1 提供资料</w:t>
      </w:r>
      <w:bookmarkEnd w:id="711"/>
    </w:p>
    <w:p w14:paraId="7C91398D">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委托人按照附录 C 约定无偿向咨询人提供与本合同咨询业务有关资料的时间为：</w:t>
      </w:r>
      <w:r>
        <w:rPr>
          <w:rFonts w:hint="eastAsia" w:asciiTheme="minorEastAsia" w:hAnsiTheme="minorEastAsia"/>
          <w:color w:val="auto"/>
          <w:sz w:val="24"/>
          <w:szCs w:val="24"/>
          <w:highlight w:val="none"/>
          <w:u w:val="single"/>
        </w:rPr>
        <w:t>签订合同后7日内</w:t>
      </w:r>
      <w:r>
        <w:rPr>
          <w:rFonts w:hint="eastAsia" w:asciiTheme="minorEastAsia" w:hAnsiTheme="minorEastAsia"/>
          <w:color w:val="auto"/>
          <w:sz w:val="24"/>
          <w:szCs w:val="24"/>
          <w:highlight w:val="none"/>
        </w:rPr>
        <w:t>。</w:t>
      </w:r>
    </w:p>
    <w:p w14:paraId="693924A8">
      <w:pPr>
        <w:spacing w:line="360" w:lineRule="auto"/>
        <w:ind w:firstLine="480" w:firstLineChars="200"/>
        <w:outlineLvl w:val="1"/>
        <w:rPr>
          <w:rFonts w:asciiTheme="minorEastAsia" w:hAnsiTheme="minorEastAsia"/>
          <w:color w:val="auto"/>
          <w:sz w:val="24"/>
          <w:szCs w:val="24"/>
          <w:highlight w:val="none"/>
        </w:rPr>
      </w:pPr>
      <w:bookmarkStart w:id="712" w:name="_Toc76398688"/>
      <w:r>
        <w:rPr>
          <w:rFonts w:hint="eastAsia" w:asciiTheme="minorEastAsia" w:hAnsiTheme="minorEastAsia"/>
          <w:color w:val="auto"/>
          <w:sz w:val="24"/>
          <w:szCs w:val="24"/>
          <w:highlight w:val="none"/>
        </w:rPr>
        <w:t>2.2 提供工作条件</w:t>
      </w:r>
      <w:bookmarkEnd w:id="712"/>
    </w:p>
    <w:p w14:paraId="4C968BEC">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2.2.1 本合同履行中，委托人不需要向项目咨询人员提供的房屋及设备。</w:t>
      </w:r>
    </w:p>
    <w:p w14:paraId="757F4645">
      <w:pPr>
        <w:spacing w:line="360" w:lineRule="auto"/>
        <w:ind w:firstLine="480" w:firstLineChars="200"/>
        <w:outlineLvl w:val="1"/>
        <w:rPr>
          <w:rFonts w:asciiTheme="minorEastAsia" w:hAnsiTheme="minorEastAsia"/>
          <w:color w:val="auto"/>
          <w:sz w:val="24"/>
          <w:szCs w:val="24"/>
          <w:highlight w:val="none"/>
        </w:rPr>
      </w:pPr>
      <w:bookmarkStart w:id="713" w:name="_Toc76398689"/>
      <w:r>
        <w:rPr>
          <w:rFonts w:hint="eastAsia" w:asciiTheme="minorEastAsia" w:hAnsiTheme="minorEastAsia"/>
          <w:color w:val="auto"/>
          <w:sz w:val="24"/>
          <w:szCs w:val="24"/>
          <w:highlight w:val="none"/>
        </w:rPr>
        <w:t>2.4 委托人代表</w:t>
      </w:r>
      <w:bookmarkEnd w:id="713"/>
    </w:p>
    <w:p w14:paraId="2B61B9CA">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项目管理代表为：</w:t>
      </w:r>
      <w:r>
        <w:rPr>
          <w:rFonts w:asciiTheme="minorEastAsia" w:hAnsiTheme="minorEastAsia"/>
          <w:color w:val="auto"/>
          <w:sz w:val="24"/>
          <w:szCs w:val="24"/>
          <w:highlight w:val="none"/>
          <w:u w:val="single"/>
        </w:rPr>
        <w:t>_   __</w:t>
      </w:r>
      <w:r>
        <w:rPr>
          <w:rFonts w:hint="eastAsia" w:asciiTheme="minorEastAsia" w:hAnsiTheme="minorEastAsia"/>
          <w:color w:val="auto"/>
          <w:sz w:val="24"/>
          <w:szCs w:val="24"/>
          <w:highlight w:val="none"/>
        </w:rPr>
        <w:t>，其权限范围：</w:t>
      </w:r>
      <w:r>
        <w:rPr>
          <w:rFonts w:asciiTheme="minorEastAsia" w:hAnsiTheme="minorEastAsia"/>
          <w:color w:val="auto"/>
          <w:sz w:val="24"/>
          <w:szCs w:val="24"/>
          <w:highlight w:val="none"/>
          <w:u w:val="single"/>
        </w:rPr>
        <w:t>_      __</w:t>
      </w:r>
      <w:r>
        <w:rPr>
          <w:rFonts w:hint="eastAsia" w:asciiTheme="minorEastAsia" w:hAnsiTheme="minorEastAsia"/>
          <w:color w:val="auto"/>
          <w:sz w:val="24"/>
          <w:szCs w:val="24"/>
          <w:highlight w:val="none"/>
        </w:rPr>
        <w:t>。</w:t>
      </w:r>
    </w:p>
    <w:p w14:paraId="6A335864">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成本控制代表：</w:t>
      </w:r>
      <w:r>
        <w:rPr>
          <w:rFonts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，其权限范围：</w:t>
      </w:r>
      <w:r>
        <w:rPr>
          <w:rFonts w:asciiTheme="minorEastAsia" w:hAnsiTheme="minorEastAsia"/>
          <w:color w:val="auto"/>
          <w:sz w:val="24"/>
          <w:szCs w:val="24"/>
          <w:highlight w:val="none"/>
          <w:u w:val="single"/>
        </w:rPr>
        <w:t>_      __</w:t>
      </w:r>
      <w:r>
        <w:rPr>
          <w:rFonts w:hint="eastAsia" w:asciiTheme="minorEastAsia" w:hAnsiTheme="minorEastAsia"/>
          <w:color w:val="auto"/>
          <w:sz w:val="24"/>
          <w:szCs w:val="24"/>
          <w:highlight w:val="none"/>
        </w:rPr>
        <w:t>。</w:t>
      </w:r>
    </w:p>
    <w:p w14:paraId="3E443F03">
      <w:pPr>
        <w:spacing w:line="360" w:lineRule="auto"/>
        <w:ind w:firstLine="480" w:firstLineChars="200"/>
        <w:outlineLvl w:val="1"/>
        <w:rPr>
          <w:rFonts w:asciiTheme="minorEastAsia" w:hAnsiTheme="minorEastAsia"/>
          <w:color w:val="auto"/>
          <w:sz w:val="24"/>
          <w:szCs w:val="24"/>
          <w:highlight w:val="none"/>
        </w:rPr>
      </w:pPr>
      <w:bookmarkStart w:id="714" w:name="_Toc76398690"/>
      <w:r>
        <w:rPr>
          <w:rFonts w:hint="eastAsia" w:asciiTheme="minorEastAsia" w:hAnsiTheme="minorEastAsia"/>
          <w:color w:val="auto"/>
          <w:sz w:val="24"/>
          <w:szCs w:val="24"/>
          <w:highlight w:val="none"/>
        </w:rPr>
        <w:t>2.5 答复</w:t>
      </w:r>
      <w:bookmarkEnd w:id="714"/>
    </w:p>
    <w:p w14:paraId="46BF45FE">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委托人同意在</w:t>
      </w:r>
      <w:r>
        <w:rPr>
          <w:rFonts w:hint="eastAsia" w:asciiTheme="minorEastAsia" w:hAnsiTheme="minorEastAsia"/>
          <w:color w:val="auto"/>
          <w:sz w:val="24"/>
          <w:szCs w:val="24"/>
          <w:highlight w:val="none"/>
          <w:u w:val="single"/>
        </w:rPr>
        <w:t xml:space="preserve"> 7 </w:t>
      </w:r>
      <w:r>
        <w:rPr>
          <w:rFonts w:hint="eastAsia" w:asciiTheme="minorEastAsia" w:hAnsiTheme="minorEastAsia"/>
          <w:color w:val="auto"/>
          <w:sz w:val="24"/>
          <w:szCs w:val="24"/>
          <w:highlight w:val="none"/>
        </w:rPr>
        <w:t>日内，对咨询人书面提交并要求做出决定的事宜给予书面答复。</w:t>
      </w:r>
    </w:p>
    <w:p w14:paraId="7561BA54">
      <w:pPr>
        <w:spacing w:line="360" w:lineRule="auto"/>
        <w:ind w:firstLine="480" w:firstLineChars="200"/>
        <w:outlineLvl w:val="0"/>
        <w:rPr>
          <w:rFonts w:asciiTheme="minorEastAsia" w:hAnsiTheme="minorEastAsia"/>
          <w:color w:val="auto"/>
          <w:sz w:val="24"/>
          <w:szCs w:val="24"/>
          <w:highlight w:val="none"/>
        </w:rPr>
      </w:pPr>
      <w:bookmarkStart w:id="715" w:name="_Toc76398691"/>
      <w:r>
        <w:rPr>
          <w:rFonts w:hint="eastAsia" w:asciiTheme="minorEastAsia" w:hAnsiTheme="minorEastAsia"/>
          <w:color w:val="auto"/>
          <w:sz w:val="24"/>
          <w:szCs w:val="24"/>
          <w:highlight w:val="none"/>
        </w:rPr>
        <w:t>3.咨询人的义务</w:t>
      </w:r>
      <w:bookmarkEnd w:id="715"/>
    </w:p>
    <w:p w14:paraId="734370B6">
      <w:pPr>
        <w:spacing w:line="360" w:lineRule="auto"/>
        <w:ind w:firstLine="480" w:firstLineChars="200"/>
        <w:outlineLvl w:val="1"/>
        <w:rPr>
          <w:rFonts w:asciiTheme="minorEastAsia" w:hAnsiTheme="minorEastAsia"/>
          <w:color w:val="auto"/>
          <w:sz w:val="24"/>
          <w:szCs w:val="24"/>
          <w:highlight w:val="none"/>
        </w:rPr>
      </w:pPr>
      <w:bookmarkStart w:id="716" w:name="_Toc76398692"/>
      <w:r>
        <w:rPr>
          <w:rFonts w:hint="eastAsia" w:asciiTheme="minorEastAsia" w:hAnsiTheme="minorEastAsia"/>
          <w:color w:val="auto"/>
          <w:sz w:val="24"/>
          <w:szCs w:val="24"/>
          <w:highlight w:val="none"/>
        </w:rPr>
        <w:t>3.1 项目咨询团队及人员</w:t>
      </w:r>
      <w:bookmarkEnd w:id="716"/>
    </w:p>
    <w:p w14:paraId="12345B0E">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3.1.1 项目咨询团队的主要人员应具有资格条件，团队人员的数量为</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人，具体见附录A。</w:t>
      </w:r>
    </w:p>
    <w:p w14:paraId="5AA44CC1">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3.1.2 项目负责人为：</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；电话：</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w:t>
      </w:r>
    </w:p>
    <w:p w14:paraId="566D381B">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3.1.3 咨询人更换项目咨询团队其他咨询人员的约定：</w:t>
      </w:r>
      <w:r>
        <w:rPr>
          <w:rFonts w:hint="eastAsia" w:asciiTheme="minorEastAsia" w:hAnsiTheme="minorEastAsia"/>
          <w:color w:val="auto"/>
          <w:sz w:val="24"/>
          <w:szCs w:val="24"/>
          <w:highlight w:val="none"/>
          <w:u w:val="single"/>
        </w:rPr>
        <w:t xml:space="preserve">  未经委托人同意，咨询人不得擅自更换人员，否则，视为咨询人违约 </w:t>
      </w:r>
      <w:r>
        <w:rPr>
          <w:rFonts w:hint="eastAsia" w:asciiTheme="minorEastAsia" w:hAnsiTheme="minorEastAsia"/>
          <w:color w:val="auto"/>
          <w:sz w:val="24"/>
          <w:szCs w:val="24"/>
          <w:highlight w:val="none"/>
        </w:rPr>
        <w:t>。</w:t>
      </w:r>
    </w:p>
    <w:p w14:paraId="6E223F67">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3.1.4 委托人要求更换咨询人员的情形还包括：</w:t>
      </w:r>
      <w:r>
        <w:rPr>
          <w:rFonts w:hint="eastAsia" w:asciiTheme="minorEastAsia" w:hAnsiTheme="minorEastAsia"/>
          <w:color w:val="auto"/>
          <w:sz w:val="24"/>
          <w:szCs w:val="24"/>
          <w:highlight w:val="none"/>
          <w:u w:val="single"/>
        </w:rPr>
        <w:t xml:space="preserve">  委托人要求更换时，咨询人应当无条件更换，否则，视为咨询人违约 </w:t>
      </w:r>
      <w:r>
        <w:rPr>
          <w:rFonts w:hint="eastAsia" w:asciiTheme="minorEastAsia" w:hAnsiTheme="minorEastAsia"/>
          <w:color w:val="auto"/>
          <w:sz w:val="24"/>
          <w:szCs w:val="24"/>
          <w:highlight w:val="none"/>
        </w:rPr>
        <w:t>。</w:t>
      </w:r>
    </w:p>
    <w:p w14:paraId="1D76A01D">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施工阶段工程造价全过程控制补充3.1.5条</w:t>
      </w:r>
    </w:p>
    <w:p w14:paraId="0347C21C">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委派的本工程项目负责人，代表咨询人执行本工程全过程跟踪审计管理工作；咨询人投标时所报人员（项目负责人除外）均须按委托人要求配置及驻场办公并接受委托人考勤，未经委托人同意不得减少和更换人员，否则委托人将按合同相关条款进行处理。</w:t>
      </w:r>
    </w:p>
    <w:p w14:paraId="78EBBCB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本合同中约定的拟派人员无法满足现场管理的实际需要，特别是在抢工期间时段，咨询人必须按委托人要求无条件增加驻场人员，且不调整合同价。</w:t>
      </w:r>
    </w:p>
    <w:p w14:paraId="08A6A4AB">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咨询人擅自更换人员，视为咨询人违约，委托人有权解除本合同，且咨询人按照本合同约定总服务费用的30%向委托人承担违约金。</w:t>
      </w:r>
    </w:p>
    <w:p w14:paraId="02361AA6">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咨询人未按照本协议约定更换人员，视为咨询人违约，委托人有权解除本合同，且咨询人按照本合同约定总服务费用的30%向委托人承担违约金。</w:t>
      </w:r>
    </w:p>
    <w:p w14:paraId="763B71A6">
      <w:pPr>
        <w:spacing w:line="360" w:lineRule="auto"/>
        <w:ind w:firstLine="480" w:firstLineChars="200"/>
        <w:outlineLvl w:val="1"/>
        <w:rPr>
          <w:rFonts w:asciiTheme="minorEastAsia" w:hAnsiTheme="minorEastAsia"/>
          <w:color w:val="auto"/>
          <w:sz w:val="24"/>
          <w:szCs w:val="24"/>
          <w:highlight w:val="none"/>
        </w:rPr>
      </w:pPr>
      <w:bookmarkStart w:id="717" w:name="_Toc76398693"/>
      <w:r>
        <w:rPr>
          <w:rFonts w:hint="eastAsia" w:asciiTheme="minorEastAsia" w:hAnsiTheme="minorEastAsia"/>
          <w:color w:val="auto"/>
          <w:sz w:val="24"/>
          <w:szCs w:val="24"/>
          <w:highlight w:val="none"/>
        </w:rPr>
        <w:t>3.2 咨询人的工作要求</w:t>
      </w:r>
      <w:bookmarkEnd w:id="717"/>
    </w:p>
    <w:p w14:paraId="328523B2">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3.2.1 咨询人向委托人提供有关资料的时间：</w:t>
      </w:r>
    </w:p>
    <w:p w14:paraId="041EF210">
      <w:pPr>
        <w:spacing w:line="360" w:lineRule="auto"/>
        <w:ind w:firstLine="480" w:firstLineChars="200"/>
        <w:outlineLvl w:val="0"/>
        <w:rPr>
          <w:rFonts w:asciiTheme="minorEastAsia" w:hAnsiTheme="minorEastAsia"/>
          <w:color w:val="auto"/>
          <w:sz w:val="24"/>
          <w:szCs w:val="24"/>
          <w:highlight w:val="none"/>
          <w:u w:val="single"/>
        </w:rPr>
      </w:pPr>
      <w:r>
        <w:rPr>
          <w:rFonts w:asciiTheme="minorEastAsia" w:hAnsiTheme="minorEastAsia"/>
          <w:color w:val="auto"/>
          <w:sz w:val="24"/>
          <w:szCs w:val="24"/>
          <w:highlight w:val="none"/>
        </w:rPr>
        <w:t>A:工程量清单</w:t>
      </w:r>
      <w:r>
        <w:rPr>
          <w:rFonts w:hint="eastAsia" w:asciiTheme="minorEastAsia" w:hAnsiTheme="minorEastAsia"/>
          <w:color w:val="auto"/>
          <w:sz w:val="24"/>
          <w:szCs w:val="24"/>
          <w:highlight w:val="none"/>
        </w:rPr>
        <w:t>及组价编制（审核）或招标控制价编制（审核）：</w:t>
      </w:r>
      <w:r>
        <w:rPr>
          <w:rFonts w:asciiTheme="minorEastAsia" w:hAnsiTheme="minorEastAsia"/>
          <w:color w:val="auto"/>
          <w:sz w:val="24"/>
          <w:szCs w:val="24"/>
          <w:highlight w:val="none"/>
        </w:rPr>
        <w:t xml:space="preserve">    年   月  日前提交</w:t>
      </w:r>
      <w:r>
        <w:rPr>
          <w:rFonts w:hint="eastAsia" w:asciiTheme="minorEastAsia" w:hAnsiTheme="minorEastAsia"/>
          <w:color w:val="auto"/>
          <w:sz w:val="24"/>
          <w:szCs w:val="24"/>
          <w:highlight w:val="none"/>
        </w:rPr>
        <w:t>编制成果资料；</w:t>
      </w:r>
      <w:r>
        <w:rPr>
          <w:rFonts w:asciiTheme="minorEastAsia" w:hAnsiTheme="minorEastAsia"/>
          <w:color w:val="auto"/>
          <w:sz w:val="24"/>
          <w:szCs w:val="24"/>
          <w:highlight w:val="none"/>
        </w:rPr>
        <w:t xml:space="preserve">    </w:t>
      </w:r>
      <w:r>
        <w:rPr>
          <w:rFonts w:hint="eastAsia" w:asciiTheme="minorEastAsia" w:hAnsiTheme="minorEastAsia"/>
          <w:color w:val="auto"/>
          <w:sz w:val="24"/>
          <w:szCs w:val="24"/>
          <w:highlight w:val="none"/>
        </w:rPr>
        <w:t>年</w:t>
      </w:r>
      <w:r>
        <w:rPr>
          <w:rFonts w:asciiTheme="minorEastAsia" w:hAnsiTheme="minorEastAsia"/>
          <w:color w:val="auto"/>
          <w:sz w:val="24"/>
          <w:szCs w:val="24"/>
          <w:highlight w:val="none"/>
        </w:rPr>
        <w:t xml:space="preserve">  </w:t>
      </w:r>
      <w:r>
        <w:rPr>
          <w:rFonts w:hint="eastAsia" w:asciiTheme="minorEastAsia" w:hAnsiTheme="minorEastAsia"/>
          <w:color w:val="auto"/>
          <w:sz w:val="24"/>
          <w:szCs w:val="24"/>
          <w:highlight w:val="none"/>
        </w:rPr>
        <w:t>月</w:t>
      </w:r>
      <w:r>
        <w:rPr>
          <w:rFonts w:asciiTheme="minorEastAsia" w:hAnsiTheme="minorEastAsia"/>
          <w:color w:val="auto"/>
          <w:sz w:val="24"/>
          <w:szCs w:val="24"/>
          <w:highlight w:val="none"/>
        </w:rPr>
        <w:t xml:space="preserve">  </w:t>
      </w:r>
      <w:r>
        <w:rPr>
          <w:rFonts w:hint="eastAsia" w:asciiTheme="minorEastAsia" w:hAnsiTheme="minorEastAsia"/>
          <w:color w:val="auto"/>
          <w:sz w:val="24"/>
          <w:szCs w:val="24"/>
          <w:highlight w:val="none"/>
        </w:rPr>
        <w:t>日前完成工程量清单及组价核对并提交最终报告。</w:t>
      </w:r>
    </w:p>
    <w:p w14:paraId="1829A8EB">
      <w:pPr>
        <w:pStyle w:val="4"/>
        <w:ind w:firstLine="480"/>
        <w:jc w:val="left"/>
        <w:rPr>
          <w:color w:val="auto"/>
          <w:highlight w:val="none"/>
        </w:rPr>
      </w:pPr>
      <w:r>
        <w:rPr>
          <w:rFonts w:hint="eastAsia" w:asciiTheme="minorEastAsia" w:hAnsiTheme="minorEastAsia"/>
          <w:b w:val="0"/>
          <w:bCs w:val="0"/>
          <w:color w:val="auto"/>
          <w:sz w:val="24"/>
          <w:szCs w:val="24"/>
          <w:highlight w:val="none"/>
        </w:rPr>
        <w:t>B：施工阶段工程造价全过程控制：</w:t>
      </w:r>
      <w:r>
        <w:rPr>
          <w:color w:val="auto"/>
          <w:highlight w:val="none"/>
        </w:rPr>
        <w:t xml:space="preserve"> </w:t>
      </w:r>
    </w:p>
    <w:p w14:paraId="4828A777">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及时完成工程造价过程控制并提交成果资料不影响工程进度，按照施工合同条款，在约定的时间内完成工程进度报表审核。按照施工合同条款，在约定的时间内提交相关报告及结算审核报告。</w:t>
      </w:r>
    </w:p>
    <w:p w14:paraId="2682B90E">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应在签订本协议后的3日内向委托人提供与工程造价咨询业务有关的资料，包括但不限于工程造价咨询的资质证书及承担本合同业务的专业人员名单、咨询工作计划等，并按合同专用条件中约定的范围实施咨询业务。</w:t>
      </w:r>
    </w:p>
    <w:p w14:paraId="247B90EF">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逾期提供前述书面资料，每逾期一日向委托人承担违约金</w:t>
      </w:r>
      <w:r>
        <w:rPr>
          <w:rFonts w:asciiTheme="minorEastAsia" w:hAnsiTheme="minorEastAsia"/>
          <w:color w:val="auto"/>
          <w:sz w:val="24"/>
          <w:szCs w:val="24"/>
          <w:highlight w:val="none"/>
          <w:u w:val="single"/>
        </w:rPr>
        <w:t xml:space="preserve"> 1000-10000 </w:t>
      </w:r>
      <w:r>
        <w:rPr>
          <w:rFonts w:hint="eastAsia" w:asciiTheme="minorEastAsia" w:hAnsiTheme="minorEastAsia"/>
          <w:color w:val="auto"/>
          <w:sz w:val="24"/>
          <w:szCs w:val="24"/>
          <w:highlight w:val="none"/>
        </w:rPr>
        <w:t>元，逾期</w:t>
      </w:r>
      <w:r>
        <w:rPr>
          <w:rFonts w:asciiTheme="minorEastAsia" w:hAnsiTheme="minorEastAsia"/>
          <w:color w:val="auto"/>
          <w:sz w:val="24"/>
          <w:szCs w:val="24"/>
          <w:highlight w:val="none"/>
        </w:rPr>
        <w:t>10</w:t>
      </w:r>
      <w:r>
        <w:rPr>
          <w:rFonts w:hint="eastAsia" w:asciiTheme="minorEastAsia" w:hAnsiTheme="minorEastAsia"/>
          <w:color w:val="auto"/>
          <w:sz w:val="24"/>
          <w:szCs w:val="24"/>
          <w:highlight w:val="none"/>
        </w:rPr>
        <w:t>日未提交，委托人有权解除本合同，咨询人按照本合同约定金额的30%委托人承担违约金，同时，咨询人承担给委托人造成的一切损失。</w:t>
      </w:r>
    </w:p>
    <w:p w14:paraId="4EA62838">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咨询人向委托人提供的资料还包括：</w:t>
      </w:r>
      <w:r>
        <w:rPr>
          <w:rFonts w:hint="eastAsia" w:asciiTheme="minorEastAsia" w:hAnsiTheme="minorEastAsia"/>
          <w:color w:val="auto"/>
          <w:sz w:val="24"/>
          <w:szCs w:val="24"/>
          <w:highlight w:val="none"/>
          <w:u w:val="single"/>
        </w:rPr>
        <w:t>详见</w:t>
      </w:r>
      <w:r>
        <w:rPr>
          <w:rFonts w:asciiTheme="minorEastAsia" w:hAnsiTheme="minorEastAsia"/>
          <w:color w:val="auto"/>
          <w:sz w:val="24"/>
          <w:szCs w:val="24"/>
          <w:highlight w:val="none"/>
          <w:u w:val="single"/>
        </w:rPr>
        <w:t>附</w:t>
      </w:r>
      <w:r>
        <w:rPr>
          <w:rFonts w:hint="eastAsia" w:asciiTheme="minorEastAsia" w:hAnsiTheme="minorEastAsia"/>
          <w:color w:val="auto"/>
          <w:sz w:val="24"/>
          <w:szCs w:val="24"/>
          <w:highlight w:val="none"/>
          <w:u w:val="single"/>
        </w:rPr>
        <w:t>录B</w:t>
      </w:r>
      <w:r>
        <w:rPr>
          <w:rFonts w:asciiTheme="minorEastAsia" w:hAnsiTheme="minorEastAsia"/>
          <w:color w:val="auto"/>
          <w:sz w:val="24"/>
          <w:szCs w:val="24"/>
          <w:highlight w:val="none"/>
          <w:u w:val="single"/>
        </w:rPr>
        <w:t>。</w:t>
      </w:r>
    </w:p>
    <w:p w14:paraId="31A81920">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3.2.2 咨询人向委托人提供咨询成果文件的名称、组成、时间、份数及质量标准：</w:t>
      </w:r>
      <w:r>
        <w:rPr>
          <w:rFonts w:hint="eastAsia" w:asciiTheme="minorEastAsia" w:hAnsiTheme="minorEastAsia"/>
          <w:color w:val="auto"/>
          <w:sz w:val="24"/>
          <w:szCs w:val="24"/>
          <w:highlight w:val="none"/>
          <w:u w:val="single"/>
        </w:rPr>
        <w:t>相关报告纸质档和电子档各一式贰份，具体见附录B。</w:t>
      </w:r>
      <w:r>
        <w:rPr>
          <w:rFonts w:hint="eastAsia" w:ascii="宋体" w:hAnsi="宋体"/>
          <w:color w:val="auto"/>
          <w:sz w:val="24"/>
          <w:szCs w:val="24"/>
          <w:highlight w:val="none"/>
          <w:u w:val="single"/>
        </w:rPr>
        <w:t>若委托人要求额外提供时，咨询人免费提供</w:t>
      </w:r>
      <w:r>
        <w:rPr>
          <w:rFonts w:hint="eastAsia" w:asciiTheme="minorEastAsia" w:hAnsiTheme="minorEastAsia"/>
          <w:color w:val="auto"/>
          <w:sz w:val="24"/>
          <w:szCs w:val="24"/>
          <w:highlight w:val="none"/>
        </w:rPr>
        <w:t>。</w:t>
      </w:r>
    </w:p>
    <w:p w14:paraId="65616DA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3.2.4 咨询人应在收到委托人提出的建议或者异议后</w:t>
      </w:r>
      <w:r>
        <w:rPr>
          <w:rFonts w:hint="eastAsia" w:asciiTheme="minorEastAsia" w:hAnsiTheme="minorEastAsia"/>
          <w:color w:val="auto"/>
          <w:sz w:val="24"/>
          <w:szCs w:val="24"/>
          <w:highlight w:val="none"/>
          <w:u w:val="single"/>
        </w:rPr>
        <w:t xml:space="preserve">  3  </w:t>
      </w:r>
      <w:r>
        <w:rPr>
          <w:rFonts w:hint="eastAsia" w:asciiTheme="minorEastAsia" w:hAnsiTheme="minorEastAsia"/>
          <w:color w:val="auto"/>
          <w:sz w:val="24"/>
          <w:szCs w:val="24"/>
          <w:highlight w:val="none"/>
        </w:rPr>
        <w:t>日内给予书面答复和（或）修改。</w:t>
      </w:r>
    </w:p>
    <w:p w14:paraId="6B2A5412">
      <w:pPr>
        <w:spacing w:line="360" w:lineRule="auto"/>
        <w:ind w:firstLine="480" w:firstLineChars="200"/>
        <w:outlineLvl w:val="1"/>
        <w:rPr>
          <w:rFonts w:asciiTheme="minorEastAsia" w:hAnsiTheme="minorEastAsia"/>
          <w:color w:val="auto"/>
          <w:sz w:val="24"/>
          <w:szCs w:val="24"/>
          <w:highlight w:val="none"/>
        </w:rPr>
      </w:pPr>
      <w:bookmarkStart w:id="718" w:name="_Toc76398694"/>
      <w:r>
        <w:rPr>
          <w:rFonts w:hint="eastAsia" w:asciiTheme="minorEastAsia" w:hAnsiTheme="minorEastAsia"/>
          <w:color w:val="auto"/>
          <w:sz w:val="24"/>
          <w:szCs w:val="24"/>
          <w:highlight w:val="none"/>
        </w:rPr>
        <w:t>3.3 咨询人的工作依据</w:t>
      </w:r>
      <w:bookmarkEnd w:id="718"/>
    </w:p>
    <w:p w14:paraId="682CCF69">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经双方协商，本合同约定的造价咨询服务适用的技术标准、规范、定额等工作依据为：</w:t>
      </w:r>
      <w:r>
        <w:rPr>
          <w:rFonts w:hint="eastAsia" w:asciiTheme="minorEastAsia" w:hAnsiTheme="minorEastAsia"/>
          <w:color w:val="auto"/>
          <w:sz w:val="24"/>
          <w:szCs w:val="24"/>
          <w:highlight w:val="none"/>
          <w:u w:val="single"/>
        </w:rPr>
        <w:t>《建设工程工程量清单计价规范》（GB50500-2013）、现行重庆市工程量计算规则、计价定额及相关配套定额、施工合同文件、造价信息、市场询价信息等</w:t>
      </w:r>
      <w:r>
        <w:rPr>
          <w:rFonts w:hint="eastAsia" w:asciiTheme="minorEastAsia" w:hAnsiTheme="minorEastAsia"/>
          <w:color w:val="auto"/>
          <w:sz w:val="24"/>
          <w:szCs w:val="24"/>
          <w:highlight w:val="none"/>
        </w:rPr>
        <w:t>。</w:t>
      </w:r>
    </w:p>
    <w:p w14:paraId="5981EBB3">
      <w:pPr>
        <w:spacing w:line="360" w:lineRule="auto"/>
        <w:ind w:firstLine="480" w:firstLineChars="200"/>
        <w:outlineLvl w:val="1"/>
        <w:rPr>
          <w:rFonts w:asciiTheme="minorEastAsia" w:hAnsiTheme="minorEastAsia"/>
          <w:color w:val="auto"/>
          <w:sz w:val="24"/>
          <w:szCs w:val="24"/>
          <w:highlight w:val="none"/>
        </w:rPr>
      </w:pPr>
      <w:bookmarkStart w:id="719" w:name="_Toc76398695"/>
      <w:r>
        <w:rPr>
          <w:rFonts w:hint="eastAsia" w:asciiTheme="minorEastAsia" w:hAnsiTheme="minorEastAsia"/>
          <w:color w:val="auto"/>
          <w:sz w:val="24"/>
          <w:szCs w:val="24"/>
          <w:highlight w:val="none"/>
        </w:rPr>
        <w:t>3.4 使用委托人房屋及设备的返还</w:t>
      </w:r>
      <w:bookmarkEnd w:id="719"/>
      <w:r>
        <w:rPr>
          <w:rFonts w:hint="eastAsia" w:asciiTheme="minorEastAsia" w:hAnsiTheme="minorEastAsia"/>
          <w:color w:val="auto"/>
          <w:sz w:val="24"/>
          <w:szCs w:val="24"/>
          <w:highlight w:val="none"/>
        </w:rPr>
        <w:t>。</w:t>
      </w:r>
    </w:p>
    <w:p w14:paraId="5AF0D539">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委托人不提供房屋及设备，因进度需要或咨询人不能满足进度要求时，在委托人指定地点办公，结束后</w:t>
      </w:r>
      <w:r>
        <w:rPr>
          <w:rFonts w:asciiTheme="minorEastAsia" w:hAnsiTheme="minorEastAsia"/>
          <w:color w:val="auto"/>
          <w:sz w:val="24"/>
          <w:szCs w:val="24"/>
          <w:highlight w:val="none"/>
        </w:rPr>
        <w:t>3日内</w:t>
      </w:r>
      <w:r>
        <w:rPr>
          <w:rFonts w:hint="eastAsia" w:asciiTheme="minorEastAsia" w:hAnsiTheme="minorEastAsia"/>
          <w:color w:val="auto"/>
          <w:sz w:val="24"/>
          <w:szCs w:val="24"/>
          <w:highlight w:val="none"/>
        </w:rPr>
        <w:t>返还，逾期返还，委托人有权强制返还，场地内留有咨询人的物品视为遗弃物，委托人有权任意处置。</w:t>
      </w:r>
    </w:p>
    <w:p w14:paraId="6750A0DF">
      <w:pPr>
        <w:spacing w:line="360" w:lineRule="auto"/>
        <w:ind w:firstLine="480" w:firstLineChars="200"/>
        <w:outlineLvl w:val="0"/>
        <w:rPr>
          <w:rFonts w:asciiTheme="minorEastAsia" w:hAnsiTheme="minorEastAsia"/>
          <w:color w:val="auto"/>
          <w:sz w:val="24"/>
          <w:szCs w:val="24"/>
          <w:highlight w:val="none"/>
        </w:rPr>
      </w:pPr>
      <w:bookmarkStart w:id="720" w:name="_Toc76398696"/>
      <w:r>
        <w:rPr>
          <w:rFonts w:hint="eastAsia" w:asciiTheme="minorEastAsia" w:hAnsiTheme="minorEastAsia"/>
          <w:color w:val="auto"/>
          <w:sz w:val="24"/>
          <w:szCs w:val="24"/>
          <w:highlight w:val="none"/>
        </w:rPr>
        <w:t>4. 违约责任</w:t>
      </w:r>
      <w:bookmarkEnd w:id="720"/>
    </w:p>
    <w:p w14:paraId="37E2C8F7">
      <w:pPr>
        <w:spacing w:line="360" w:lineRule="auto"/>
        <w:ind w:firstLine="480" w:firstLineChars="200"/>
        <w:outlineLvl w:val="1"/>
        <w:rPr>
          <w:rFonts w:asciiTheme="minorEastAsia" w:hAnsiTheme="minorEastAsia"/>
          <w:color w:val="auto"/>
          <w:sz w:val="24"/>
          <w:szCs w:val="24"/>
          <w:highlight w:val="none"/>
        </w:rPr>
      </w:pPr>
      <w:bookmarkStart w:id="721" w:name="_Toc76398697"/>
      <w:r>
        <w:rPr>
          <w:rFonts w:hint="eastAsia" w:asciiTheme="minorEastAsia" w:hAnsiTheme="minorEastAsia"/>
          <w:color w:val="auto"/>
          <w:sz w:val="24"/>
          <w:szCs w:val="24"/>
          <w:highlight w:val="none"/>
        </w:rPr>
        <w:t>4.1 委托人的违约责任</w:t>
      </w:r>
      <w:bookmarkEnd w:id="721"/>
    </w:p>
    <w:p w14:paraId="74C23E5F">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4.1.1 委托人违约金的计算及支付方法：</w:t>
      </w:r>
      <w:r>
        <w:rPr>
          <w:rFonts w:hint="eastAsia" w:asciiTheme="minorEastAsia" w:hAnsiTheme="minorEastAsia"/>
          <w:color w:val="auto"/>
          <w:sz w:val="24"/>
          <w:szCs w:val="24"/>
          <w:highlight w:val="none"/>
          <w:u w:val="single"/>
        </w:rPr>
        <w:t xml:space="preserve"> 无 </w:t>
      </w:r>
      <w:r>
        <w:rPr>
          <w:rFonts w:hint="eastAsia" w:asciiTheme="minorEastAsia" w:hAnsiTheme="minorEastAsia"/>
          <w:color w:val="auto"/>
          <w:sz w:val="24"/>
          <w:szCs w:val="24"/>
          <w:highlight w:val="none"/>
        </w:rPr>
        <w:t>。</w:t>
      </w:r>
    </w:p>
    <w:p w14:paraId="1760E5E6">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4.1.2 委托人赔偿金额按下列方法确定并支付：</w:t>
      </w:r>
      <w:r>
        <w:rPr>
          <w:rFonts w:hint="eastAsia" w:asciiTheme="minorEastAsia" w:hAnsiTheme="minorEastAsia"/>
          <w:color w:val="auto"/>
          <w:sz w:val="24"/>
          <w:szCs w:val="24"/>
          <w:highlight w:val="none"/>
          <w:u w:val="single"/>
        </w:rPr>
        <w:t xml:space="preserve"> 无 </w:t>
      </w:r>
      <w:r>
        <w:rPr>
          <w:rFonts w:hint="eastAsia" w:asciiTheme="minorEastAsia" w:hAnsiTheme="minorEastAsia"/>
          <w:color w:val="auto"/>
          <w:sz w:val="24"/>
          <w:szCs w:val="24"/>
          <w:highlight w:val="none"/>
        </w:rPr>
        <w:t>。</w:t>
      </w:r>
    </w:p>
    <w:p w14:paraId="604E5B44">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4.1.3 委托人逾期付款利息按下列方法计算并支付：</w:t>
      </w:r>
      <w:r>
        <w:rPr>
          <w:rFonts w:hint="eastAsia" w:asciiTheme="minorEastAsia" w:hAnsiTheme="minorEastAsia"/>
          <w:color w:val="auto"/>
          <w:sz w:val="24"/>
          <w:szCs w:val="24"/>
          <w:highlight w:val="none"/>
          <w:u w:val="single"/>
        </w:rPr>
        <w:t xml:space="preserve">  逾期付款利息=当期应付款总额×中国人民银行公布的同期活期存款利率/365×逾期支付天数（自逾期之日起计算）</w:t>
      </w:r>
      <w:r>
        <w:rPr>
          <w:rFonts w:hint="eastAsia" w:asciiTheme="minorEastAsia" w:hAnsiTheme="minorEastAsia"/>
          <w:color w:val="auto"/>
          <w:sz w:val="24"/>
          <w:szCs w:val="24"/>
          <w:highlight w:val="none"/>
        </w:rPr>
        <w:t>。</w:t>
      </w:r>
    </w:p>
    <w:p w14:paraId="211A8BAC">
      <w:pPr>
        <w:spacing w:line="360" w:lineRule="auto"/>
        <w:ind w:firstLine="480" w:firstLineChars="200"/>
        <w:outlineLvl w:val="1"/>
        <w:rPr>
          <w:rFonts w:asciiTheme="minorEastAsia" w:hAnsiTheme="minorEastAsia"/>
          <w:color w:val="auto"/>
          <w:sz w:val="24"/>
          <w:szCs w:val="24"/>
          <w:highlight w:val="none"/>
        </w:rPr>
      </w:pPr>
      <w:bookmarkStart w:id="722" w:name="_Toc76398698"/>
      <w:r>
        <w:rPr>
          <w:rFonts w:hint="eastAsia" w:asciiTheme="minorEastAsia" w:hAnsiTheme="minorEastAsia"/>
          <w:color w:val="auto"/>
          <w:sz w:val="24"/>
          <w:szCs w:val="24"/>
          <w:highlight w:val="none"/>
        </w:rPr>
        <w:t>4.2 咨询人的违约责任</w:t>
      </w:r>
      <w:bookmarkEnd w:id="722"/>
    </w:p>
    <w:p w14:paraId="4744BF80">
      <w:pPr>
        <w:spacing w:line="360" w:lineRule="auto"/>
        <w:ind w:firstLine="480" w:firstLineChars="200"/>
        <w:rPr>
          <w:rFonts w:asciiTheme="minorEastAsia" w:hAnsiTheme="minorEastAsia"/>
          <w:color w:val="auto"/>
          <w:sz w:val="24"/>
          <w:szCs w:val="24"/>
          <w:highlight w:val="none"/>
          <w:u w:val="single"/>
        </w:rPr>
      </w:pPr>
      <w:r>
        <w:rPr>
          <w:rFonts w:hint="eastAsia" w:asciiTheme="minorEastAsia" w:hAnsiTheme="minorEastAsia"/>
          <w:color w:val="auto"/>
          <w:sz w:val="24"/>
          <w:szCs w:val="24"/>
          <w:highlight w:val="none"/>
        </w:rPr>
        <w:t>4.2.1 咨询人违约金的计算及支付方法</w:t>
      </w:r>
      <w:r>
        <w:rPr>
          <w:rFonts w:hint="eastAsia" w:asciiTheme="minorEastAsia" w:hAnsiTheme="minorEastAsia"/>
          <w:color w:val="auto"/>
          <w:sz w:val="24"/>
          <w:szCs w:val="24"/>
          <w:highlight w:val="none"/>
          <w:u w:val="single"/>
        </w:rPr>
        <w:t>：除本合同其他条款约定外，若咨询人违约，咨询人按酬金的30%向委托人承担违约金。未履行协议书规定的服务范围及工作内容，咨询人按（酬金的30%）/每项向委托人承担违约金。</w:t>
      </w:r>
    </w:p>
    <w:p w14:paraId="3160CBD2">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4.2.2 咨询人成果误差赔偿金额按下列方法确定并支付：</w:t>
      </w:r>
    </w:p>
    <w:p w14:paraId="2E5312D2">
      <w:pPr>
        <w:spacing w:line="360" w:lineRule="auto"/>
        <w:ind w:firstLine="480" w:firstLineChars="200"/>
        <w:jc w:val="left"/>
        <w:rPr>
          <w:rFonts w:asciiTheme="minorEastAsia" w:hAnsiTheme="minorEastAsia"/>
          <w:color w:val="auto"/>
          <w:sz w:val="24"/>
          <w:szCs w:val="24"/>
          <w:highlight w:val="none"/>
          <w:u w:val="single"/>
        </w:rPr>
      </w:pPr>
      <w:r>
        <w:rPr>
          <w:rFonts w:hint="eastAsia" w:asciiTheme="minorEastAsia" w:hAnsiTheme="minorEastAsia"/>
          <w:color w:val="auto"/>
          <w:sz w:val="24"/>
          <w:szCs w:val="24"/>
          <w:highlight w:val="none"/>
        </w:rPr>
        <w:t>①</w:t>
      </w:r>
      <w:r>
        <w:rPr>
          <w:rFonts w:hint="eastAsia" w:asciiTheme="minorEastAsia" w:hAnsiTheme="minorEastAsia"/>
          <w:color w:val="auto"/>
          <w:sz w:val="24"/>
          <w:szCs w:val="24"/>
          <w:highlight w:val="none"/>
          <w:u w:val="single"/>
        </w:rPr>
        <w:t>材料、设备等的市场询价充分、定价或核价合理、符合市场行情、证明资料齐全、定价或核价超过国家审计或委托人抽查了解的同规格、同档次材料或设备市场价格的 5 % 的误差,视情节轻重每发生一次处 2000元的违约金。</w:t>
      </w:r>
    </w:p>
    <w:p w14:paraId="7B8D3E1A">
      <w:pPr>
        <w:spacing w:line="360" w:lineRule="auto"/>
        <w:ind w:firstLine="480" w:firstLineChars="200"/>
        <w:jc w:val="left"/>
        <w:rPr>
          <w:rFonts w:asciiTheme="minorEastAsia" w:hAnsiTheme="minorEastAsia"/>
          <w:color w:val="auto"/>
          <w:sz w:val="24"/>
          <w:szCs w:val="24"/>
          <w:highlight w:val="none"/>
          <w:u w:val="single"/>
        </w:rPr>
      </w:pPr>
      <w:r>
        <w:rPr>
          <w:rFonts w:hint="eastAsia" w:asciiTheme="minorEastAsia" w:hAnsiTheme="minorEastAsia"/>
          <w:color w:val="auto"/>
          <w:sz w:val="24"/>
          <w:szCs w:val="24"/>
          <w:highlight w:val="none"/>
        </w:rPr>
        <w:t>②</w:t>
      </w:r>
      <w:r>
        <w:rPr>
          <w:rFonts w:hint="eastAsia" w:asciiTheme="minorEastAsia" w:hAnsiTheme="minorEastAsia"/>
          <w:color w:val="auto"/>
          <w:sz w:val="24"/>
          <w:szCs w:val="24"/>
          <w:highlight w:val="none"/>
          <w:u w:val="single"/>
        </w:rPr>
        <w:t>咨询人成果文件误差率在5%（不含5%）-10%（含10%），咨询人向委托人付咨询酬金的20%作为赔偿。咨询人成果文件误差率在10%（不含10%）-20%（含20%），咨询人向委托人付咨询酬金的40%作为赔偿。咨询人成果文件误差率超过20%，赔偿经济损失按实际损失进行赔偿。</w:t>
      </w:r>
    </w:p>
    <w:p w14:paraId="4D8EC2B4">
      <w:pPr>
        <w:spacing w:line="360" w:lineRule="auto"/>
        <w:ind w:firstLine="480" w:firstLineChars="200"/>
        <w:jc w:val="left"/>
        <w:rPr>
          <w:rFonts w:asciiTheme="minorEastAsia" w:hAnsiTheme="minorEastAsia"/>
          <w:color w:val="auto"/>
          <w:sz w:val="24"/>
          <w:szCs w:val="24"/>
          <w:highlight w:val="none"/>
          <w:u w:val="single"/>
        </w:rPr>
      </w:pPr>
      <w:r>
        <w:rPr>
          <w:rFonts w:hint="eastAsia" w:asciiTheme="minorEastAsia" w:hAnsiTheme="minorEastAsia"/>
          <w:color w:val="auto"/>
          <w:sz w:val="24"/>
          <w:szCs w:val="24"/>
          <w:highlight w:val="none"/>
          <w:u w:val="single"/>
        </w:rPr>
        <w:t>③在项目结算评审阶段，相关部门提出招标清单不合理，要求修改中标清单单价而导致审减率提高的，由招标清单评审单位负责向相关部门解释并承担相应的后果。</w:t>
      </w:r>
    </w:p>
    <w:p w14:paraId="6B8F895F">
      <w:pPr>
        <w:spacing w:line="360" w:lineRule="auto"/>
        <w:ind w:firstLine="480" w:firstLineChars="200"/>
        <w:outlineLvl w:val="1"/>
        <w:rPr>
          <w:rFonts w:asciiTheme="minorEastAsia" w:hAnsiTheme="minorEastAsia"/>
          <w:color w:val="auto"/>
          <w:sz w:val="24"/>
          <w:szCs w:val="24"/>
          <w:highlight w:val="none"/>
        </w:rPr>
      </w:pPr>
      <w:r>
        <w:rPr>
          <w:rFonts w:asciiTheme="minorEastAsia" w:hAnsiTheme="minorEastAsia"/>
          <w:color w:val="auto"/>
          <w:sz w:val="24"/>
          <w:szCs w:val="24"/>
          <w:highlight w:val="none"/>
        </w:rPr>
        <w:t>4.2.3</w:t>
      </w:r>
      <w:r>
        <w:rPr>
          <w:rFonts w:hint="eastAsia" w:asciiTheme="minorEastAsia" w:hAnsiTheme="minorEastAsia"/>
          <w:color w:val="auto"/>
          <w:sz w:val="24"/>
          <w:szCs w:val="24"/>
          <w:highlight w:val="none"/>
        </w:rPr>
        <w:t xml:space="preserve"> 经济责任</w:t>
      </w:r>
    </w:p>
    <w:p w14:paraId="74CCBC18">
      <w:pPr>
        <w:spacing w:line="360" w:lineRule="auto"/>
        <w:ind w:firstLine="480" w:firstLineChars="200"/>
        <w:jc w:val="left"/>
        <w:rPr>
          <w:rFonts w:asciiTheme="minorEastAsia" w:hAnsiTheme="minorEastAsia"/>
          <w:color w:val="auto"/>
          <w:sz w:val="24"/>
          <w:szCs w:val="24"/>
          <w:highlight w:val="none"/>
          <w:u w:val="single"/>
        </w:rPr>
      </w:pPr>
      <w:r>
        <w:rPr>
          <w:rFonts w:asciiTheme="minorEastAsia" w:hAnsiTheme="minorEastAsia"/>
          <w:color w:val="auto"/>
          <w:sz w:val="24"/>
          <w:szCs w:val="24"/>
          <w:highlight w:val="none"/>
        </w:rPr>
        <w:t>4.2.3.1</w:t>
      </w:r>
      <w:r>
        <w:rPr>
          <w:rFonts w:hint="eastAsia" w:asciiTheme="minorEastAsia" w:hAnsiTheme="minorEastAsia"/>
          <w:color w:val="auto"/>
          <w:sz w:val="24"/>
          <w:szCs w:val="24"/>
          <w:highlight w:val="none"/>
          <w:u w:val="single"/>
        </w:rPr>
        <w:t>咨询人未提供完成的工程量清单、工程量计算过程的计算式给委托人，则扣减咨询费用的20% 。</w:t>
      </w:r>
    </w:p>
    <w:p w14:paraId="7E33BF8A">
      <w:pPr>
        <w:spacing w:line="360" w:lineRule="auto"/>
        <w:ind w:firstLine="480" w:firstLineChars="200"/>
        <w:jc w:val="left"/>
        <w:rPr>
          <w:rFonts w:asciiTheme="minorEastAsia" w:hAnsiTheme="minorEastAsia"/>
          <w:color w:val="auto"/>
          <w:sz w:val="24"/>
          <w:szCs w:val="24"/>
          <w:highlight w:val="none"/>
          <w:u w:val="single"/>
        </w:rPr>
      </w:pPr>
      <w:r>
        <w:rPr>
          <w:rFonts w:asciiTheme="minorEastAsia" w:hAnsiTheme="minorEastAsia"/>
          <w:color w:val="auto"/>
          <w:sz w:val="24"/>
          <w:szCs w:val="24"/>
          <w:highlight w:val="none"/>
        </w:rPr>
        <w:t>4.2.3.2</w:t>
      </w:r>
      <w:r>
        <w:rPr>
          <w:rFonts w:hint="eastAsia" w:asciiTheme="minorEastAsia" w:hAnsiTheme="minorEastAsia"/>
          <w:color w:val="auto"/>
          <w:sz w:val="24"/>
          <w:szCs w:val="24"/>
          <w:highlight w:val="none"/>
          <w:u w:val="single"/>
        </w:rPr>
        <w:t>咨询人未按委托人要求完成时间完成工作，延迟一天扣减咨询费用的2%，与其他条款可同时适用；如因委托人原因导致工作未按时完成的，经委托人确认后时间可顺延，但委托人不另行向咨询人支付任何费用，其他条款另有约定同时适用。</w:t>
      </w:r>
    </w:p>
    <w:p w14:paraId="10EC7C88">
      <w:pPr>
        <w:spacing w:line="360" w:lineRule="auto"/>
        <w:ind w:firstLine="480" w:firstLineChars="200"/>
        <w:jc w:val="left"/>
        <w:rPr>
          <w:rFonts w:asciiTheme="minorEastAsia" w:hAnsiTheme="minorEastAsia"/>
          <w:color w:val="auto"/>
          <w:sz w:val="24"/>
          <w:szCs w:val="24"/>
          <w:highlight w:val="none"/>
          <w:u w:val="single"/>
        </w:rPr>
      </w:pPr>
      <w:r>
        <w:rPr>
          <w:rFonts w:asciiTheme="minorEastAsia" w:hAnsiTheme="minorEastAsia"/>
          <w:color w:val="auto"/>
          <w:sz w:val="24"/>
          <w:szCs w:val="24"/>
          <w:highlight w:val="none"/>
        </w:rPr>
        <w:t>4.2.3.3</w:t>
      </w:r>
      <w:r>
        <w:rPr>
          <w:rFonts w:hint="eastAsia" w:asciiTheme="minorEastAsia" w:hAnsiTheme="minorEastAsia"/>
          <w:color w:val="auto"/>
          <w:sz w:val="24"/>
          <w:szCs w:val="24"/>
          <w:highlight w:val="none"/>
          <w:u w:val="single"/>
        </w:rPr>
        <w:t>未经委托人同意咨询人擅自变更委派的人员（委托人要求或经委托人书面同意更换的除外），委托人扣减咨询人不低于咨询费用的20%，其他条款另有约定同时适用。</w:t>
      </w:r>
    </w:p>
    <w:p w14:paraId="36C9389E">
      <w:pPr>
        <w:spacing w:line="360" w:lineRule="auto"/>
        <w:ind w:firstLine="480" w:firstLineChars="200"/>
        <w:jc w:val="left"/>
        <w:rPr>
          <w:rFonts w:asciiTheme="minorEastAsia" w:hAnsiTheme="minorEastAsia"/>
          <w:color w:val="auto"/>
          <w:sz w:val="24"/>
          <w:szCs w:val="24"/>
          <w:highlight w:val="none"/>
          <w:u w:val="single"/>
        </w:rPr>
      </w:pPr>
      <w:r>
        <w:rPr>
          <w:rFonts w:asciiTheme="minorEastAsia" w:hAnsiTheme="minorEastAsia"/>
          <w:color w:val="auto"/>
          <w:sz w:val="24"/>
          <w:szCs w:val="24"/>
          <w:highlight w:val="none"/>
        </w:rPr>
        <w:t xml:space="preserve">4.2.4 </w:t>
      </w:r>
      <w:r>
        <w:rPr>
          <w:rFonts w:hint="eastAsia" w:asciiTheme="minorEastAsia" w:hAnsiTheme="minorEastAsia"/>
          <w:color w:val="auto"/>
          <w:sz w:val="24"/>
          <w:szCs w:val="24"/>
          <w:highlight w:val="none"/>
        </w:rPr>
        <w:t>法律责任：咨询人有下列情形之一的，委托人不予支付咨询费用，给委托人造成的损失，委托人保留向咨询人索赔的权利，触犯法律的将追究法律责任。</w:t>
      </w:r>
    </w:p>
    <w:p w14:paraId="7CA3066F">
      <w:pPr>
        <w:spacing w:line="360" w:lineRule="auto"/>
        <w:ind w:firstLine="480" w:firstLineChars="200"/>
        <w:jc w:val="left"/>
        <w:rPr>
          <w:rFonts w:asciiTheme="minorEastAsia" w:hAnsiTheme="minorEastAsia"/>
          <w:color w:val="auto"/>
          <w:sz w:val="24"/>
          <w:szCs w:val="24"/>
          <w:highlight w:val="none"/>
          <w:u w:val="single"/>
        </w:rPr>
      </w:pPr>
      <w:r>
        <w:rPr>
          <w:rFonts w:asciiTheme="minorEastAsia" w:hAnsiTheme="minorEastAsia"/>
          <w:color w:val="auto"/>
          <w:sz w:val="24"/>
          <w:szCs w:val="24"/>
          <w:highlight w:val="none"/>
        </w:rPr>
        <w:t>4.2.4.1</w:t>
      </w:r>
      <w:r>
        <w:rPr>
          <w:rFonts w:hint="eastAsia" w:asciiTheme="minorEastAsia" w:hAnsiTheme="minorEastAsia"/>
          <w:color w:val="auto"/>
          <w:sz w:val="24"/>
          <w:szCs w:val="24"/>
          <w:highlight w:val="none"/>
          <w:u w:val="single"/>
        </w:rPr>
        <w:t>咨询人未执行相关法律、法规和执业规范；</w:t>
      </w:r>
    </w:p>
    <w:p w14:paraId="0C64A78F">
      <w:pPr>
        <w:spacing w:line="360" w:lineRule="auto"/>
        <w:ind w:firstLine="480" w:firstLineChars="200"/>
        <w:jc w:val="left"/>
        <w:rPr>
          <w:rFonts w:asciiTheme="minorEastAsia" w:hAnsiTheme="minorEastAsia"/>
          <w:color w:val="auto"/>
          <w:sz w:val="24"/>
          <w:szCs w:val="24"/>
          <w:highlight w:val="none"/>
          <w:u w:val="single"/>
        </w:rPr>
      </w:pPr>
      <w:r>
        <w:rPr>
          <w:rFonts w:asciiTheme="minorEastAsia" w:hAnsiTheme="minorEastAsia"/>
          <w:color w:val="auto"/>
          <w:sz w:val="24"/>
          <w:szCs w:val="24"/>
          <w:highlight w:val="none"/>
        </w:rPr>
        <w:t>4.2.4.2</w:t>
      </w:r>
      <w:r>
        <w:rPr>
          <w:rFonts w:hint="eastAsia" w:asciiTheme="minorEastAsia" w:hAnsiTheme="minorEastAsia"/>
          <w:color w:val="auto"/>
          <w:sz w:val="24"/>
          <w:szCs w:val="24"/>
          <w:highlight w:val="none"/>
          <w:u w:val="single"/>
        </w:rPr>
        <w:t>咨询人或咨询人委派的人员与投标单位有串通行为；</w:t>
      </w:r>
    </w:p>
    <w:p w14:paraId="4BAEC163">
      <w:pPr>
        <w:spacing w:line="360" w:lineRule="auto"/>
        <w:ind w:firstLine="480" w:firstLineChars="200"/>
        <w:jc w:val="left"/>
        <w:rPr>
          <w:rFonts w:asciiTheme="minorEastAsia" w:hAnsiTheme="minorEastAsia"/>
          <w:color w:val="auto"/>
          <w:sz w:val="24"/>
          <w:szCs w:val="24"/>
          <w:highlight w:val="none"/>
          <w:u w:val="single"/>
        </w:rPr>
      </w:pPr>
      <w:r>
        <w:rPr>
          <w:rFonts w:asciiTheme="minorEastAsia" w:hAnsiTheme="minorEastAsia"/>
          <w:color w:val="auto"/>
          <w:sz w:val="24"/>
          <w:szCs w:val="24"/>
          <w:highlight w:val="none"/>
        </w:rPr>
        <w:t>4.2.4.3</w:t>
      </w:r>
      <w:r>
        <w:rPr>
          <w:rFonts w:hint="eastAsia" w:asciiTheme="minorEastAsia" w:hAnsiTheme="minorEastAsia"/>
          <w:color w:val="auto"/>
          <w:sz w:val="24"/>
          <w:szCs w:val="24"/>
          <w:highlight w:val="none"/>
          <w:u w:val="single"/>
        </w:rPr>
        <w:t>咨询人有法律法规规定的其他违法、违规的情形；</w:t>
      </w:r>
    </w:p>
    <w:p w14:paraId="49EA2D93">
      <w:pPr>
        <w:spacing w:line="360" w:lineRule="auto"/>
        <w:ind w:firstLine="480" w:firstLineChars="200"/>
        <w:jc w:val="left"/>
        <w:rPr>
          <w:rFonts w:asciiTheme="minorEastAsia" w:hAnsiTheme="minorEastAsia"/>
          <w:color w:val="auto"/>
          <w:sz w:val="24"/>
          <w:szCs w:val="24"/>
          <w:highlight w:val="none"/>
          <w:u w:val="single"/>
        </w:rPr>
      </w:pPr>
      <w:r>
        <w:rPr>
          <w:rFonts w:asciiTheme="minorEastAsia" w:hAnsiTheme="minorEastAsia"/>
          <w:color w:val="auto"/>
          <w:sz w:val="24"/>
          <w:szCs w:val="24"/>
          <w:highlight w:val="none"/>
        </w:rPr>
        <w:t>4.2.4.4</w:t>
      </w:r>
      <w:r>
        <w:rPr>
          <w:rFonts w:hint="eastAsia" w:asciiTheme="minorEastAsia" w:hAnsiTheme="minorEastAsia"/>
          <w:color w:val="auto"/>
          <w:sz w:val="24"/>
          <w:szCs w:val="24"/>
          <w:highlight w:val="none"/>
          <w:u w:val="single"/>
        </w:rPr>
        <w:t>咨询人不按合同履行责任单方面违约。</w:t>
      </w:r>
    </w:p>
    <w:p w14:paraId="7CBEC45C">
      <w:pPr>
        <w:pStyle w:val="4"/>
        <w:ind w:firstLine="480" w:firstLineChars="200"/>
        <w:jc w:val="left"/>
        <w:rPr>
          <w:rFonts w:asciiTheme="minorEastAsia" w:hAnsiTheme="minorEastAsia"/>
          <w:b w:val="0"/>
          <w:bCs w:val="0"/>
          <w:color w:val="auto"/>
          <w:sz w:val="24"/>
          <w:szCs w:val="24"/>
          <w:highlight w:val="none"/>
        </w:rPr>
      </w:pPr>
      <w:r>
        <w:rPr>
          <w:rFonts w:asciiTheme="minorEastAsia" w:hAnsiTheme="minorEastAsia"/>
          <w:b w:val="0"/>
          <w:bCs w:val="0"/>
          <w:color w:val="auto"/>
          <w:sz w:val="24"/>
          <w:szCs w:val="24"/>
          <w:highlight w:val="none"/>
        </w:rPr>
        <w:t>4.2.</w:t>
      </w:r>
      <w:r>
        <w:rPr>
          <w:rFonts w:hint="eastAsia" w:asciiTheme="minorEastAsia" w:hAnsiTheme="minorEastAsia"/>
          <w:b w:val="0"/>
          <w:bCs w:val="0"/>
          <w:color w:val="auto"/>
          <w:sz w:val="24"/>
          <w:szCs w:val="24"/>
          <w:highlight w:val="none"/>
        </w:rPr>
        <w:t>5</w:t>
      </w:r>
      <w:r>
        <w:rPr>
          <w:rFonts w:asciiTheme="minorEastAsia" w:hAnsiTheme="minorEastAsia"/>
          <w:b w:val="0"/>
          <w:bCs w:val="0"/>
          <w:color w:val="auto"/>
          <w:sz w:val="24"/>
          <w:szCs w:val="24"/>
          <w:highlight w:val="none"/>
        </w:rPr>
        <w:t xml:space="preserve"> </w:t>
      </w:r>
      <w:r>
        <w:rPr>
          <w:rFonts w:hint="eastAsia" w:asciiTheme="minorEastAsia" w:hAnsiTheme="minorEastAsia"/>
          <w:b w:val="0"/>
          <w:bCs w:val="0"/>
          <w:color w:val="auto"/>
          <w:sz w:val="24"/>
          <w:szCs w:val="24"/>
          <w:highlight w:val="none"/>
        </w:rPr>
        <w:t>组织责任：</w:t>
      </w:r>
    </w:p>
    <w:p w14:paraId="12E86EBD">
      <w:pPr>
        <w:spacing w:line="360" w:lineRule="auto"/>
        <w:ind w:firstLine="480" w:firstLineChars="200"/>
        <w:jc w:val="left"/>
        <w:rPr>
          <w:rFonts w:asciiTheme="minorEastAsia" w:hAnsiTheme="minorEastAsia"/>
          <w:color w:val="auto"/>
          <w:sz w:val="24"/>
          <w:szCs w:val="24"/>
          <w:highlight w:val="none"/>
        </w:rPr>
      </w:pPr>
      <w:r>
        <w:rPr>
          <w:rFonts w:asciiTheme="minorEastAsia" w:hAnsiTheme="minorEastAsia"/>
          <w:color w:val="auto"/>
          <w:sz w:val="24"/>
          <w:szCs w:val="24"/>
          <w:highlight w:val="none"/>
        </w:rPr>
        <w:t>4.2.</w:t>
      </w:r>
      <w:r>
        <w:rPr>
          <w:rFonts w:hint="eastAsia" w:asciiTheme="minorEastAsia" w:hAnsiTheme="minorEastAsia"/>
          <w:b/>
          <w:bCs/>
          <w:color w:val="auto"/>
          <w:sz w:val="24"/>
          <w:szCs w:val="24"/>
          <w:highlight w:val="none"/>
        </w:rPr>
        <w:t>5.1</w:t>
      </w:r>
      <w:r>
        <w:rPr>
          <w:rFonts w:hint="eastAsia" w:asciiTheme="minorEastAsia" w:hAnsiTheme="minorEastAsia"/>
          <w:color w:val="auto"/>
          <w:sz w:val="24"/>
          <w:szCs w:val="24"/>
          <w:highlight w:val="none"/>
        </w:rPr>
        <w:t xml:space="preserve">未取得委托人同意咨询人项目人员缺席现场收方、验收、例会等，每出现一次处1000元违约金，累计发生3次时（含本数），视为咨询人违约。 </w:t>
      </w:r>
    </w:p>
    <w:p w14:paraId="5F6F22E4">
      <w:pPr>
        <w:spacing w:line="360" w:lineRule="auto"/>
        <w:ind w:firstLine="480" w:firstLineChars="200"/>
        <w:jc w:val="left"/>
        <w:rPr>
          <w:rFonts w:asciiTheme="minorEastAsia" w:hAnsiTheme="minorEastAsia"/>
          <w:color w:val="auto"/>
          <w:sz w:val="24"/>
          <w:szCs w:val="24"/>
          <w:highlight w:val="none"/>
        </w:rPr>
      </w:pPr>
      <w:r>
        <w:rPr>
          <w:rFonts w:asciiTheme="minorEastAsia" w:hAnsiTheme="minorEastAsia"/>
          <w:color w:val="auto"/>
          <w:sz w:val="24"/>
          <w:szCs w:val="24"/>
          <w:highlight w:val="none"/>
        </w:rPr>
        <w:t>4.2.</w:t>
      </w:r>
      <w:r>
        <w:rPr>
          <w:rFonts w:hint="eastAsia" w:asciiTheme="minorEastAsia" w:hAnsiTheme="minorEastAsia"/>
          <w:b/>
          <w:bCs/>
          <w:color w:val="auto"/>
          <w:sz w:val="24"/>
          <w:szCs w:val="24"/>
          <w:highlight w:val="none"/>
        </w:rPr>
        <w:t>5.2</w:t>
      </w:r>
      <w:r>
        <w:rPr>
          <w:rFonts w:hint="eastAsia" w:asciiTheme="minorEastAsia" w:hAnsiTheme="minorEastAsia"/>
          <w:color w:val="auto"/>
          <w:sz w:val="24"/>
          <w:szCs w:val="24"/>
          <w:highlight w:val="none"/>
        </w:rPr>
        <w:t>咨询人项目负责人一周至少到现场办公一天（当委托人另有安排时，须按时到场办公）；如未经委托人事先同意缺席现场办公，每出现一次处2000元违约金</w:t>
      </w:r>
      <w:r>
        <w:rPr>
          <w:rFonts w:hint="eastAsia" w:ascii="宋体" w:hAnsi="宋体"/>
          <w:color w:val="auto"/>
          <w:sz w:val="24"/>
          <w:szCs w:val="24"/>
          <w:highlight w:val="none"/>
        </w:rPr>
        <w:t>，累计发生3次时（含本数），视为咨询人违约</w:t>
      </w:r>
      <w:r>
        <w:rPr>
          <w:rFonts w:hint="eastAsia" w:asciiTheme="minorEastAsia" w:hAnsiTheme="minorEastAsia"/>
          <w:color w:val="auto"/>
          <w:sz w:val="24"/>
          <w:szCs w:val="24"/>
          <w:highlight w:val="none"/>
        </w:rPr>
        <w:t xml:space="preserve">。 </w:t>
      </w:r>
    </w:p>
    <w:p w14:paraId="25E80530">
      <w:pPr>
        <w:spacing w:line="360" w:lineRule="auto"/>
        <w:ind w:firstLine="480" w:firstLineChars="200"/>
        <w:jc w:val="left"/>
        <w:rPr>
          <w:rFonts w:asciiTheme="minorEastAsia" w:hAnsiTheme="minorEastAsia"/>
          <w:color w:val="auto"/>
          <w:sz w:val="24"/>
          <w:szCs w:val="24"/>
          <w:highlight w:val="none"/>
        </w:rPr>
      </w:pPr>
      <w:r>
        <w:rPr>
          <w:rFonts w:asciiTheme="minorEastAsia" w:hAnsiTheme="minorEastAsia"/>
          <w:color w:val="auto"/>
          <w:sz w:val="24"/>
          <w:szCs w:val="24"/>
          <w:highlight w:val="none"/>
        </w:rPr>
        <w:t>4.2.</w:t>
      </w:r>
      <w:r>
        <w:rPr>
          <w:rFonts w:hint="eastAsia" w:asciiTheme="minorEastAsia" w:hAnsiTheme="minorEastAsia"/>
          <w:b/>
          <w:bCs/>
          <w:color w:val="auto"/>
          <w:sz w:val="24"/>
          <w:szCs w:val="24"/>
          <w:highlight w:val="none"/>
        </w:rPr>
        <w:t>5.3</w:t>
      </w:r>
      <w:r>
        <w:rPr>
          <w:rFonts w:hint="eastAsia" w:asciiTheme="minorEastAsia" w:hAnsiTheme="minorEastAsia"/>
          <w:color w:val="auto"/>
          <w:sz w:val="24"/>
          <w:szCs w:val="24"/>
          <w:highlight w:val="none"/>
        </w:rPr>
        <w:t xml:space="preserve">咨询人驻场办公人员须按时接受委托人考勤监督，每发生一次旷工处 1000 元/人次违约金，每发生一次迟到或早退处 200 元/人次违约金，前述任一情形累计发生3次时（含本数），视为咨询人违约。 </w:t>
      </w:r>
    </w:p>
    <w:p w14:paraId="5393DA29">
      <w:pPr>
        <w:spacing w:line="360" w:lineRule="auto"/>
        <w:ind w:firstLine="480" w:firstLineChars="200"/>
        <w:jc w:val="left"/>
        <w:rPr>
          <w:rFonts w:asciiTheme="minorEastAsia" w:hAnsiTheme="minorEastAsia"/>
          <w:color w:val="auto"/>
          <w:sz w:val="24"/>
          <w:szCs w:val="24"/>
          <w:highlight w:val="none"/>
        </w:rPr>
      </w:pPr>
      <w:r>
        <w:rPr>
          <w:rFonts w:asciiTheme="minorEastAsia" w:hAnsiTheme="minorEastAsia"/>
          <w:color w:val="auto"/>
          <w:sz w:val="24"/>
          <w:szCs w:val="24"/>
          <w:highlight w:val="none"/>
        </w:rPr>
        <w:t>4.2.</w:t>
      </w:r>
      <w:r>
        <w:rPr>
          <w:rFonts w:hint="eastAsia" w:asciiTheme="minorEastAsia" w:hAnsiTheme="minorEastAsia"/>
          <w:b/>
          <w:bCs/>
          <w:color w:val="auto"/>
          <w:sz w:val="24"/>
          <w:szCs w:val="24"/>
          <w:highlight w:val="none"/>
        </w:rPr>
        <w:t>5.4</w:t>
      </w:r>
      <w:r>
        <w:rPr>
          <w:rFonts w:hint="eastAsia" w:asciiTheme="minorEastAsia" w:hAnsiTheme="minorEastAsia"/>
          <w:color w:val="auto"/>
          <w:sz w:val="24"/>
          <w:szCs w:val="24"/>
          <w:highlight w:val="none"/>
        </w:rPr>
        <w:t xml:space="preserve">审核变更造价：咨询人收到完整资料后，5 个工作日内向委托人书面提交审核结果，每延迟 1 日处 1000 元违约金以后依次按前次违约金双倍递增，逾期5日未交付，则视为咨询人违约。 </w:t>
      </w:r>
    </w:p>
    <w:p w14:paraId="162858D4">
      <w:pPr>
        <w:spacing w:line="360" w:lineRule="auto"/>
        <w:ind w:firstLine="480" w:firstLineChars="200"/>
        <w:jc w:val="left"/>
        <w:rPr>
          <w:rFonts w:asciiTheme="minorEastAsia" w:hAnsiTheme="minorEastAsia"/>
          <w:color w:val="auto"/>
          <w:sz w:val="24"/>
          <w:szCs w:val="24"/>
          <w:highlight w:val="none"/>
        </w:rPr>
      </w:pPr>
      <w:r>
        <w:rPr>
          <w:rFonts w:asciiTheme="minorEastAsia" w:hAnsiTheme="minorEastAsia"/>
          <w:color w:val="auto"/>
          <w:sz w:val="24"/>
          <w:szCs w:val="24"/>
          <w:highlight w:val="none"/>
        </w:rPr>
        <w:t>4.2.</w:t>
      </w:r>
      <w:r>
        <w:rPr>
          <w:rFonts w:hint="eastAsia" w:asciiTheme="minorEastAsia" w:hAnsiTheme="minorEastAsia"/>
          <w:b/>
          <w:bCs/>
          <w:color w:val="auto"/>
          <w:sz w:val="24"/>
          <w:szCs w:val="24"/>
          <w:highlight w:val="none"/>
        </w:rPr>
        <w:t>5.5</w:t>
      </w:r>
      <w:r>
        <w:rPr>
          <w:rFonts w:hint="eastAsia" w:asciiTheme="minorEastAsia" w:hAnsiTheme="minorEastAsia"/>
          <w:color w:val="auto"/>
          <w:sz w:val="24"/>
          <w:szCs w:val="24"/>
          <w:highlight w:val="none"/>
        </w:rPr>
        <w:t xml:space="preserve">材料核价：咨询人收到完整资料后，5 个工作日内向委托人提交书面审核结果至委托人，每延迟 1 日处 1000 元违约金以后依次按前次违约金双倍递增，逾期5日未交付，则视为咨询人违约。 </w:t>
      </w:r>
    </w:p>
    <w:p w14:paraId="39EFDB2A">
      <w:pPr>
        <w:spacing w:line="360" w:lineRule="auto"/>
        <w:ind w:firstLine="480" w:firstLineChars="200"/>
        <w:jc w:val="left"/>
        <w:rPr>
          <w:rFonts w:asciiTheme="minorEastAsia" w:hAnsiTheme="minorEastAsia"/>
          <w:color w:val="auto"/>
          <w:sz w:val="24"/>
          <w:szCs w:val="24"/>
          <w:highlight w:val="none"/>
        </w:rPr>
      </w:pPr>
      <w:r>
        <w:rPr>
          <w:rFonts w:asciiTheme="minorEastAsia" w:hAnsiTheme="minorEastAsia"/>
          <w:color w:val="auto"/>
          <w:sz w:val="24"/>
          <w:szCs w:val="24"/>
          <w:highlight w:val="none"/>
        </w:rPr>
        <w:t>4.2.</w:t>
      </w:r>
      <w:r>
        <w:rPr>
          <w:rFonts w:hint="eastAsia" w:asciiTheme="minorEastAsia" w:hAnsiTheme="minorEastAsia"/>
          <w:b/>
          <w:bCs/>
          <w:color w:val="auto"/>
          <w:sz w:val="24"/>
          <w:szCs w:val="24"/>
          <w:highlight w:val="none"/>
        </w:rPr>
        <w:t>5.6</w:t>
      </w:r>
      <w:r>
        <w:rPr>
          <w:rFonts w:hint="eastAsia" w:asciiTheme="minorEastAsia" w:hAnsiTheme="minorEastAsia"/>
          <w:color w:val="auto"/>
          <w:sz w:val="24"/>
          <w:szCs w:val="24"/>
          <w:highlight w:val="none"/>
        </w:rPr>
        <w:t xml:space="preserve">工程往来函件：咨询人收到交办的函件后，5 个工作日内向委托人书面回复，每延迟 1 日处 1000 元违约金以后依次按前次违约金双倍递增，逾期5日未交付，则视为咨询人违约。 </w:t>
      </w:r>
    </w:p>
    <w:p w14:paraId="365AE867">
      <w:pPr>
        <w:spacing w:line="360" w:lineRule="auto"/>
        <w:ind w:firstLine="480" w:firstLineChars="200"/>
        <w:jc w:val="left"/>
        <w:rPr>
          <w:rFonts w:asciiTheme="minorEastAsia" w:hAnsiTheme="minorEastAsia"/>
          <w:color w:val="auto"/>
          <w:sz w:val="24"/>
          <w:szCs w:val="24"/>
          <w:highlight w:val="none"/>
        </w:rPr>
      </w:pPr>
      <w:r>
        <w:rPr>
          <w:rFonts w:asciiTheme="minorEastAsia" w:hAnsiTheme="minorEastAsia"/>
          <w:color w:val="auto"/>
          <w:sz w:val="24"/>
          <w:szCs w:val="24"/>
          <w:highlight w:val="none"/>
        </w:rPr>
        <w:t>4.2.</w:t>
      </w:r>
      <w:r>
        <w:rPr>
          <w:rFonts w:hint="eastAsia" w:asciiTheme="minorEastAsia" w:hAnsiTheme="minorEastAsia"/>
          <w:b/>
          <w:bCs/>
          <w:color w:val="auto"/>
          <w:sz w:val="24"/>
          <w:szCs w:val="24"/>
          <w:highlight w:val="none"/>
        </w:rPr>
        <w:t>5.7</w:t>
      </w:r>
      <w:r>
        <w:rPr>
          <w:rFonts w:hint="eastAsia" w:asciiTheme="minorEastAsia" w:hAnsiTheme="minorEastAsia"/>
          <w:color w:val="auto"/>
          <w:sz w:val="24"/>
          <w:szCs w:val="24"/>
          <w:highlight w:val="none"/>
        </w:rPr>
        <w:t>工程进度审核：咨询人收到完整资料后，约定的时间内完成审核并交委托人，每延迟 1 日处 1000 元违约金以后依次按前次违约金双倍递增，逾期5日未交付，则视为咨询人违约。</w:t>
      </w:r>
    </w:p>
    <w:p w14:paraId="1E83F11A">
      <w:pPr>
        <w:spacing w:line="360" w:lineRule="auto"/>
        <w:ind w:firstLine="480" w:firstLineChars="200"/>
        <w:outlineLvl w:val="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4.2.5.8因咨询人交付的成果资料存在遗漏或错误，咨询人有义务进行修改，并承担给委托人造成的一切损失。若咨询人拒绝修改，则委托人有权委托第三方履行本合同义务，产生的费用由咨询人承担。</w:t>
      </w:r>
      <w:bookmarkStart w:id="723" w:name="_Toc76398699"/>
    </w:p>
    <w:p w14:paraId="222C3C0F">
      <w:pPr>
        <w:spacing w:line="360" w:lineRule="auto"/>
        <w:ind w:firstLine="480" w:firstLineChars="200"/>
        <w:outlineLvl w:val="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4.3若出现咨询人员工因欠付工资向委托人讨薪或信访、上访情形的，视为咨询人违约，同时，委托人有权选择将咨询人欠付的工资支付并有权从应支付给设咨询人的费用中扣除。</w:t>
      </w:r>
    </w:p>
    <w:p w14:paraId="03B03746">
      <w:pPr>
        <w:spacing w:line="360" w:lineRule="auto"/>
        <w:ind w:firstLine="480" w:firstLineChars="200"/>
        <w:outlineLvl w:val="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 支付</w:t>
      </w:r>
      <w:bookmarkEnd w:id="723"/>
    </w:p>
    <w:p w14:paraId="40CC98BB">
      <w:pPr>
        <w:spacing w:line="360" w:lineRule="auto"/>
        <w:ind w:firstLine="480" w:firstLineChars="200"/>
        <w:outlineLvl w:val="1"/>
        <w:rPr>
          <w:rFonts w:asciiTheme="minorEastAsia" w:hAnsiTheme="minorEastAsia"/>
          <w:color w:val="auto"/>
          <w:sz w:val="24"/>
          <w:szCs w:val="24"/>
          <w:highlight w:val="none"/>
        </w:rPr>
      </w:pPr>
      <w:bookmarkStart w:id="724" w:name="_Toc76398700"/>
      <w:r>
        <w:rPr>
          <w:rFonts w:hint="eastAsia" w:asciiTheme="minorEastAsia" w:hAnsiTheme="minorEastAsia"/>
          <w:color w:val="auto"/>
          <w:sz w:val="24"/>
          <w:szCs w:val="24"/>
          <w:highlight w:val="none"/>
        </w:rPr>
        <w:t>5.1 支付货币</w:t>
      </w:r>
      <w:bookmarkEnd w:id="724"/>
    </w:p>
    <w:p w14:paraId="2AB9989B">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币种为：</w:t>
      </w:r>
      <w:r>
        <w:rPr>
          <w:rFonts w:hint="eastAsia" w:asciiTheme="minorEastAsia" w:hAnsiTheme="minorEastAsia"/>
          <w:color w:val="auto"/>
          <w:sz w:val="24"/>
          <w:szCs w:val="24"/>
          <w:highlight w:val="none"/>
          <w:u w:val="single"/>
        </w:rPr>
        <w:t>人民币</w:t>
      </w:r>
      <w:r>
        <w:rPr>
          <w:rFonts w:hint="eastAsia" w:asciiTheme="minorEastAsia" w:hAnsiTheme="minorEastAsia"/>
          <w:color w:val="auto"/>
          <w:sz w:val="24"/>
          <w:szCs w:val="24"/>
          <w:highlight w:val="none"/>
        </w:rPr>
        <w:t>，汇率为：</w:t>
      </w:r>
      <w:r>
        <w:rPr>
          <w:rFonts w:hint="eastAsia" w:asciiTheme="minorEastAsia" w:hAnsiTheme="minorEastAsia"/>
          <w:color w:val="auto"/>
          <w:sz w:val="24"/>
          <w:szCs w:val="24"/>
          <w:highlight w:val="none"/>
          <w:u w:val="single"/>
        </w:rPr>
        <w:t xml:space="preserve">  /  </w:t>
      </w:r>
      <w:r>
        <w:rPr>
          <w:rFonts w:hint="eastAsia" w:asciiTheme="minorEastAsia" w:hAnsiTheme="minorEastAsia"/>
          <w:color w:val="auto"/>
          <w:sz w:val="24"/>
          <w:szCs w:val="24"/>
          <w:highlight w:val="none"/>
        </w:rPr>
        <w:t>，其他约定：</w:t>
      </w:r>
      <w:r>
        <w:rPr>
          <w:rFonts w:hint="eastAsia" w:asciiTheme="minorEastAsia" w:hAnsiTheme="minorEastAsia"/>
          <w:color w:val="auto"/>
          <w:sz w:val="24"/>
          <w:szCs w:val="24"/>
          <w:highlight w:val="none"/>
          <w:u w:val="single"/>
        </w:rPr>
        <w:t xml:space="preserve">  /  </w:t>
      </w:r>
      <w:r>
        <w:rPr>
          <w:rFonts w:hint="eastAsia" w:asciiTheme="minorEastAsia" w:hAnsiTheme="minorEastAsia"/>
          <w:color w:val="auto"/>
          <w:sz w:val="24"/>
          <w:szCs w:val="24"/>
          <w:highlight w:val="none"/>
        </w:rPr>
        <w:t>。</w:t>
      </w:r>
    </w:p>
    <w:p w14:paraId="2990EDB3">
      <w:pPr>
        <w:spacing w:line="360" w:lineRule="auto"/>
        <w:ind w:firstLine="480" w:firstLineChars="200"/>
        <w:outlineLvl w:val="1"/>
        <w:rPr>
          <w:rFonts w:asciiTheme="minorEastAsia" w:hAnsiTheme="minorEastAsia"/>
          <w:color w:val="auto"/>
          <w:sz w:val="24"/>
          <w:szCs w:val="24"/>
          <w:highlight w:val="none"/>
        </w:rPr>
      </w:pPr>
      <w:bookmarkStart w:id="725" w:name="_Toc76398701"/>
      <w:r>
        <w:rPr>
          <w:rFonts w:hint="eastAsia" w:asciiTheme="minorEastAsia" w:hAnsiTheme="minorEastAsia"/>
          <w:color w:val="auto"/>
          <w:sz w:val="24"/>
          <w:szCs w:val="24"/>
          <w:highlight w:val="none"/>
        </w:rPr>
        <w:t>5.2 支付申请</w:t>
      </w:r>
      <w:bookmarkEnd w:id="725"/>
    </w:p>
    <w:p w14:paraId="5E48A101">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咨询人应在</w:t>
      </w:r>
      <w:r>
        <w:rPr>
          <w:rFonts w:hint="eastAsia" w:cs="Times New Roman" w:asciiTheme="minorEastAsia" w:hAnsiTheme="minorEastAsia"/>
          <w:color w:val="auto"/>
          <w:sz w:val="24"/>
          <w:szCs w:val="24"/>
          <w:highlight w:val="none"/>
        </w:rPr>
        <w:t>提交正式报告7天后</w:t>
      </w:r>
      <w:r>
        <w:rPr>
          <w:rFonts w:hint="eastAsia" w:asciiTheme="minorEastAsia" w:hAnsiTheme="minorEastAsia"/>
          <w:color w:val="auto"/>
          <w:sz w:val="24"/>
          <w:szCs w:val="24"/>
          <w:highlight w:val="none"/>
        </w:rPr>
        <w:t>，向委托人提交支付申请书。</w:t>
      </w:r>
    </w:p>
    <w:p w14:paraId="59617696">
      <w:pPr>
        <w:spacing w:line="360" w:lineRule="auto"/>
        <w:ind w:firstLine="480" w:firstLineChars="200"/>
        <w:outlineLvl w:val="1"/>
        <w:rPr>
          <w:rFonts w:asciiTheme="minorEastAsia" w:hAnsiTheme="minorEastAsia"/>
          <w:color w:val="auto"/>
          <w:sz w:val="24"/>
          <w:szCs w:val="24"/>
          <w:highlight w:val="none"/>
        </w:rPr>
      </w:pPr>
      <w:bookmarkStart w:id="726" w:name="_Toc76398702"/>
      <w:r>
        <w:rPr>
          <w:rFonts w:hint="eastAsia" w:asciiTheme="minorEastAsia" w:hAnsiTheme="minorEastAsia"/>
          <w:color w:val="auto"/>
          <w:sz w:val="24"/>
          <w:szCs w:val="24"/>
          <w:highlight w:val="none"/>
        </w:rPr>
        <w:t>5.3 支付酬金</w:t>
      </w:r>
      <w:bookmarkEnd w:id="726"/>
    </w:p>
    <w:p w14:paraId="2B5EE5A2">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5.3.1正常工作酬金的支付：本委托合同无预付款。</w:t>
      </w:r>
    </w:p>
    <w:p w14:paraId="5F9E23C4">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5.3.2付款参考：工程量清单及组价审核（或审核）：工程合同范围内的工程量清单及组价编制（或审核）在完成报告且委托人收到咨询人开具的等额增值税发票后60日内支付该工程量清单及组价编制（或审核）酬金的80%，剩余20%待相关部门评审完成后无息支付。</w:t>
      </w:r>
    </w:p>
    <w:p w14:paraId="208593B6">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5.3.3双方确认付款按照下列【     】方式付款。</w:t>
      </w:r>
    </w:p>
    <w:p w14:paraId="62B17121">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付款参考①：施工阶段工程造价全过程控制：工程完工通过验收后，咨询人交付成果报告、项目完成项目结算审计、咨询人提交付款申请且委托人收到咨询人开具的等额增值税专用发票后30日内一次性结清。</w:t>
      </w:r>
    </w:p>
    <w:p w14:paraId="3DBD4FB4">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付款参考②：施工阶段工程造价全过程控制：在工程开工后，按每季度支付一次施工阶段过程控制造价咨询费，施工阶段过程控制造价咨询费每次按每季度建筑安装工程费计算的咨询费×70%、咨询人提交付款申请、付款金额确认且委托人收到咨询人开具的等额增值税专用发票后30日内支付；完成工程竣工结算、咨询人提交付款申请、付款金额确认且委托人收到咨询人开具的等额增值税专用发票支付至造价咨询费85%。余款在咨询人交付成果报告、项目工程费结算算审计、咨询人提交付款申请且委托人收到咨询人开具的等额增值税专用发票后 30 日内一次性结清。 </w:t>
      </w:r>
    </w:p>
    <w:p w14:paraId="7A901B15">
      <w:pPr>
        <w:spacing w:line="360" w:lineRule="auto"/>
        <w:ind w:firstLine="480" w:firstLineChars="200"/>
        <w:outlineLvl w:val="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5.3.4委托人支付任何款项前，咨询人应先行开具符合财务会计要求的增值税专用发票并提交支付申请，否则委托人有权拒绝付款，且不承担任何逾期付款的责任。由此产生的责任由咨询人自行承担。</w:t>
      </w:r>
    </w:p>
    <w:p w14:paraId="6DB5ABC5">
      <w:pPr>
        <w:spacing w:line="360" w:lineRule="auto"/>
        <w:ind w:firstLine="480" w:firstLineChars="200"/>
        <w:outlineLvl w:val="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注：若存在下列情形时，下列情形作为付款条件之一，同时适用，若涉及进度款则不包括下列情形第3种：</w:t>
      </w:r>
    </w:p>
    <w:p w14:paraId="5E27B4C7">
      <w:pPr>
        <w:spacing w:line="360" w:lineRule="auto"/>
        <w:ind w:firstLine="480" w:firstLineChars="200"/>
        <w:outlineLvl w:val="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（1）若合同计算酬金在支付款项时尚无法确定，则以         标准计算酬金；</w:t>
      </w:r>
    </w:p>
    <w:p w14:paraId="78563F40">
      <w:pPr>
        <w:spacing w:line="360" w:lineRule="auto"/>
        <w:ind w:firstLine="480" w:firstLineChars="200"/>
        <w:outlineLvl w:val="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（2）若本合同涉及财政资金或专项资金支持，在委托人未收到财政资金或专项资金的情形下，委托人有权迟延付款且不承担违约责任，在符合其他付款条件且收到财政资金或专项资金后付款；</w:t>
      </w:r>
    </w:p>
    <w:p w14:paraId="05E61382">
      <w:pPr>
        <w:spacing w:line="360" w:lineRule="auto"/>
        <w:ind w:firstLine="480" w:firstLineChars="200"/>
        <w:outlineLvl w:val="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（3）若需对工程进行审计或财评，则在审计或财评结果未出之前，委托人有权迟延付款且不承担违约责任。</w:t>
      </w:r>
    </w:p>
    <w:p w14:paraId="4301AE16">
      <w:pPr>
        <w:spacing w:line="360" w:lineRule="auto"/>
        <w:ind w:firstLine="480" w:firstLineChars="200"/>
        <w:outlineLvl w:val="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本合同的审计包括委托人委托第三方审计、重庆市南岸区财政局审计或重庆市南岸区审计局审计，若需重庆市南岸区财政局审计或重庆市南岸区审计局审计，则以重庆市南岸区财政局审计或重庆市南岸区审计局审计结果为准。</w:t>
      </w:r>
      <w:bookmarkStart w:id="727" w:name="_Toc76398703"/>
    </w:p>
    <w:p w14:paraId="21C1B47E">
      <w:pPr>
        <w:spacing w:line="360" w:lineRule="auto"/>
        <w:ind w:firstLine="480" w:firstLineChars="200"/>
        <w:outlineLvl w:val="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 合同变更、解除与终止</w:t>
      </w:r>
      <w:bookmarkEnd w:id="727"/>
    </w:p>
    <w:p w14:paraId="0D97C443">
      <w:pPr>
        <w:spacing w:line="360" w:lineRule="auto"/>
        <w:ind w:firstLine="480" w:firstLineChars="200"/>
        <w:outlineLvl w:val="1"/>
        <w:rPr>
          <w:rFonts w:asciiTheme="minorEastAsia" w:hAnsiTheme="minorEastAsia"/>
          <w:color w:val="auto"/>
          <w:sz w:val="24"/>
          <w:szCs w:val="24"/>
          <w:highlight w:val="none"/>
        </w:rPr>
      </w:pPr>
      <w:bookmarkStart w:id="728" w:name="_Toc76398704"/>
      <w:r>
        <w:rPr>
          <w:rFonts w:hint="eastAsia" w:asciiTheme="minorEastAsia" w:hAnsiTheme="minorEastAsia"/>
          <w:color w:val="auto"/>
          <w:sz w:val="24"/>
          <w:szCs w:val="24"/>
          <w:highlight w:val="none"/>
        </w:rPr>
        <w:t>6.1 合同变更</w:t>
      </w:r>
      <w:bookmarkEnd w:id="728"/>
    </w:p>
    <w:p w14:paraId="40DBC61A">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6.1.2 除不可抗力外，因非咨询人原因导致本合同履行期限延长、内容增加时，附加工作酬金按下列方法确定：</w:t>
      </w:r>
      <w:r>
        <w:rPr>
          <w:rFonts w:hint="eastAsia" w:ascii="宋体" w:hAnsi="宋体" w:cs="宋体"/>
          <w:color w:val="auto"/>
          <w:kern w:val="0"/>
          <w:sz w:val="24"/>
          <w:highlight w:val="none"/>
          <w:u w:val="single"/>
        </w:rPr>
        <w:t>无</w:t>
      </w:r>
      <w:r>
        <w:rPr>
          <w:rFonts w:hint="eastAsia" w:asciiTheme="minorEastAsia" w:hAnsiTheme="minorEastAsia"/>
          <w:color w:val="auto"/>
          <w:sz w:val="24"/>
          <w:szCs w:val="24"/>
          <w:highlight w:val="none"/>
        </w:rPr>
        <w:t>。且在前述情形下，委托人不因此另行向咨询人支付任何补偿或赔偿。</w:t>
      </w:r>
    </w:p>
    <w:p w14:paraId="5B3B4890">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6.1.4 因工程规模、服务范围及内容的变化等导致咨询人的工作量增减时，服务酬金的调整方法：</w:t>
      </w:r>
      <w:r>
        <w:rPr>
          <w:rFonts w:hint="eastAsia" w:ascii="宋体" w:hAnsi="宋体" w:cs="宋体"/>
          <w:color w:val="auto"/>
          <w:kern w:val="0"/>
          <w:sz w:val="24"/>
          <w:highlight w:val="none"/>
          <w:u w:val="single"/>
        </w:rPr>
        <w:t xml:space="preserve">   固定费率不调整  </w:t>
      </w:r>
      <w:r>
        <w:rPr>
          <w:rFonts w:hint="eastAsia" w:asciiTheme="minorEastAsia" w:hAnsiTheme="minorEastAsia"/>
          <w:color w:val="auto"/>
          <w:sz w:val="24"/>
          <w:szCs w:val="24"/>
          <w:highlight w:val="none"/>
        </w:rPr>
        <w:t>。</w:t>
      </w:r>
    </w:p>
    <w:p w14:paraId="6220A06E">
      <w:pPr>
        <w:spacing w:line="360" w:lineRule="auto"/>
        <w:ind w:firstLine="480" w:firstLineChars="200"/>
        <w:outlineLvl w:val="1"/>
        <w:rPr>
          <w:rFonts w:ascii="宋体" w:hAnsi="宋体"/>
          <w:color w:val="auto"/>
          <w:sz w:val="24"/>
          <w:szCs w:val="24"/>
          <w:highlight w:val="none"/>
        </w:rPr>
      </w:pPr>
      <w:bookmarkStart w:id="729" w:name="_Toc76398705"/>
      <w:r>
        <w:rPr>
          <w:rFonts w:hint="eastAsia" w:ascii="宋体" w:hAnsi="宋体"/>
          <w:color w:val="auto"/>
          <w:sz w:val="24"/>
          <w:szCs w:val="24"/>
          <w:highlight w:val="none"/>
        </w:rPr>
        <w:t>6.2 合同解除</w:t>
      </w:r>
    </w:p>
    <w:p w14:paraId="7DAA4985">
      <w:pPr>
        <w:spacing w:line="360" w:lineRule="auto"/>
        <w:ind w:firstLine="480" w:firstLineChars="200"/>
        <w:jc w:val="left"/>
        <w:rPr>
          <w:rFonts w:ascii="宋体" w:hAnsi="宋体" w:cs="宋体"/>
          <w:color w:val="auto"/>
          <w:kern w:val="0"/>
          <w:sz w:val="24"/>
          <w:highlight w:val="none"/>
          <w:u w:val="single"/>
        </w:rPr>
      </w:pPr>
      <w:r>
        <w:rPr>
          <w:rFonts w:hint="eastAsia" w:ascii="宋体" w:hAnsi="宋体"/>
          <w:color w:val="auto"/>
          <w:sz w:val="24"/>
          <w:szCs w:val="24"/>
          <w:highlight w:val="none"/>
        </w:rPr>
        <w:t>6.2.2 除其他条款约定外，如出现下列情形时，委托人有权单方解除本合同，且视为咨询人违约，咨询人按照本合同约定酬金的30%向委托人承担违约金，并承担给委托人造成的一切损失（该损失包括但不限于委托人另行委托第三方履行义务产生的费用、委托人给第三方造成的损失、给委托人造成实际损失、委托人的可期待利益损失等）：</w:t>
      </w:r>
    </w:p>
    <w:p w14:paraId="12B4B92A">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6.2.2.1咨询人擅自将本合同约定事项转委托或再次分包；</w:t>
      </w:r>
    </w:p>
    <w:p w14:paraId="3AC26183">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6.2.2.2委托人提出整改意见，咨询人拒不履行的；</w:t>
      </w:r>
    </w:p>
    <w:p w14:paraId="479E171F">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6.2.2.3咨询人的员工到委托人处投诉咨询人拖欠工资的；</w:t>
      </w:r>
    </w:p>
    <w:p w14:paraId="517A6574">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6.2.2.4咨询人员工因咨询人拖欠工资上访、信访的；</w:t>
      </w:r>
    </w:p>
    <w:p w14:paraId="184AEDB8">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6.2.2.5咨询人应免费向委托人提供口头或现场咨询服务，咨询人未履行咨询服务的；</w:t>
      </w:r>
    </w:p>
    <w:p w14:paraId="276BA5BC">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6.2.2.6咨询人未按照合同约定履行其他义务的。</w:t>
      </w:r>
    </w:p>
    <w:p w14:paraId="2453718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6.2.3在本合同履行期间，除咨询人违约外，委托人希望提前解除本合同的，自解除通知书到达咨询人之日本合同解除，委托人不承担违约责任，双方据实结算费用，咨询人交付资料、费用确认、咨询人提出支付申请且委托人收到咨询人开具的等额增值税专用发票后60日一次性支付费用。未收到发票，委托人有权拒绝付款，一切责任由咨询人承担。</w:t>
      </w:r>
    </w:p>
    <w:p w14:paraId="31CFDD76">
      <w:pPr>
        <w:spacing w:line="360" w:lineRule="auto"/>
        <w:ind w:firstLine="480" w:firstLineChars="200"/>
        <w:rPr>
          <w:rFonts w:ascii="宋体" w:hAnsi="宋体" w:cs="宋体"/>
          <w:color w:val="auto"/>
          <w:kern w:val="0"/>
          <w:sz w:val="24"/>
          <w:highlight w:val="none"/>
          <w:u w:val="single"/>
        </w:rPr>
      </w:pPr>
      <w:r>
        <w:rPr>
          <w:rFonts w:hint="eastAsia" w:ascii="宋体" w:hAnsi="宋体"/>
          <w:color w:val="auto"/>
          <w:sz w:val="24"/>
          <w:szCs w:val="24"/>
          <w:highlight w:val="none"/>
        </w:rPr>
        <w:t>6.2.4 因不可抗力导致的合同解除，双方约定损失的分担如下：</w:t>
      </w:r>
      <w:r>
        <w:rPr>
          <w:rFonts w:hint="eastAsia" w:ascii="宋体" w:hAnsi="宋体" w:cs="宋体"/>
          <w:color w:val="auto"/>
          <w:kern w:val="0"/>
          <w:sz w:val="24"/>
          <w:highlight w:val="none"/>
          <w:u w:val="single"/>
        </w:rPr>
        <w:t xml:space="preserve">  自行承担各自损失  。</w:t>
      </w:r>
    </w:p>
    <w:p w14:paraId="0544FAF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6.2.5合同终止后2日内，咨询人人应退场，逾期退场，委托人有权强制咨询人退场，若场地内留有咨询人物品，视为遗弃物，委托人有权任意处置，处置费用由咨询人承担，处置所得款项归委托人所有，场地内留有的咨询人物品，委托人有权无偿使用；逾期退场，每逾期一日，咨询人按照10000元/日向委托人承担损失。同时，合同终止后2日内，咨询人负责将本合同有关资料整理一套交付委托人，逾期交付的，每逾期一日，监理人按照10000元/日向委托人承担损失。</w:t>
      </w:r>
    </w:p>
    <w:bookmarkEnd w:id="729"/>
    <w:p w14:paraId="4ED1F0DD">
      <w:pPr>
        <w:spacing w:line="360" w:lineRule="auto"/>
        <w:ind w:firstLine="480" w:firstLineChars="200"/>
        <w:outlineLvl w:val="0"/>
        <w:rPr>
          <w:rFonts w:asciiTheme="minorEastAsia" w:hAnsiTheme="minorEastAsia"/>
          <w:color w:val="auto"/>
          <w:sz w:val="24"/>
          <w:szCs w:val="24"/>
          <w:highlight w:val="none"/>
        </w:rPr>
      </w:pPr>
      <w:bookmarkStart w:id="730" w:name="_Toc76398706"/>
      <w:r>
        <w:rPr>
          <w:rFonts w:hint="eastAsia" w:asciiTheme="minorEastAsia" w:hAnsiTheme="minorEastAsia"/>
          <w:color w:val="auto"/>
          <w:sz w:val="24"/>
          <w:szCs w:val="24"/>
          <w:highlight w:val="none"/>
        </w:rPr>
        <w:t>7. 争议解决</w:t>
      </w:r>
      <w:bookmarkEnd w:id="730"/>
    </w:p>
    <w:p w14:paraId="0811919C">
      <w:pPr>
        <w:spacing w:line="360" w:lineRule="auto"/>
        <w:ind w:firstLine="480" w:firstLineChars="200"/>
        <w:outlineLvl w:val="1"/>
        <w:rPr>
          <w:rFonts w:asciiTheme="minorEastAsia" w:hAnsiTheme="minorEastAsia"/>
          <w:color w:val="auto"/>
          <w:sz w:val="24"/>
          <w:szCs w:val="24"/>
          <w:highlight w:val="none"/>
        </w:rPr>
      </w:pPr>
      <w:bookmarkStart w:id="731" w:name="_Toc76398707"/>
      <w:r>
        <w:rPr>
          <w:rFonts w:hint="eastAsia" w:asciiTheme="minorEastAsia" w:hAnsiTheme="minorEastAsia"/>
          <w:color w:val="auto"/>
          <w:sz w:val="24"/>
          <w:szCs w:val="24"/>
          <w:highlight w:val="none"/>
        </w:rPr>
        <w:t>7.2 调解</w:t>
      </w:r>
      <w:bookmarkEnd w:id="731"/>
    </w:p>
    <w:p w14:paraId="5A9E56D3">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如果双方不能在</w:t>
      </w:r>
      <w:r>
        <w:rPr>
          <w:rFonts w:hint="eastAsia" w:asciiTheme="minorEastAsia" w:hAnsiTheme="minorEastAsia"/>
          <w:color w:val="auto"/>
          <w:sz w:val="24"/>
          <w:szCs w:val="24"/>
          <w:highlight w:val="none"/>
          <w:u w:val="single"/>
        </w:rPr>
        <w:t xml:space="preserve">  30  </w:t>
      </w:r>
      <w:r>
        <w:rPr>
          <w:rFonts w:hint="eastAsia" w:asciiTheme="minorEastAsia" w:hAnsiTheme="minorEastAsia"/>
          <w:color w:val="auto"/>
          <w:sz w:val="24"/>
          <w:szCs w:val="24"/>
          <w:highlight w:val="none"/>
        </w:rPr>
        <w:t>日内解决本合同争议，可以将其提交</w:t>
      </w:r>
      <w:r>
        <w:rPr>
          <w:rFonts w:hint="eastAsia" w:asciiTheme="minorEastAsia" w:hAnsiTheme="minorEastAsia"/>
          <w:color w:val="auto"/>
          <w:sz w:val="24"/>
          <w:szCs w:val="24"/>
          <w:highlight w:val="none"/>
          <w:u w:val="single"/>
        </w:rPr>
        <w:t>有关主管部门</w:t>
      </w:r>
      <w:r>
        <w:rPr>
          <w:rFonts w:hint="eastAsia" w:asciiTheme="minorEastAsia" w:hAnsiTheme="minorEastAsia"/>
          <w:color w:val="auto"/>
          <w:sz w:val="24"/>
          <w:szCs w:val="24"/>
          <w:highlight w:val="none"/>
        </w:rPr>
        <w:t>进行调解。双方确认，调解并非诉讼的前置程序。</w:t>
      </w:r>
    </w:p>
    <w:p w14:paraId="00E4E5E3">
      <w:pPr>
        <w:spacing w:line="360" w:lineRule="auto"/>
        <w:ind w:firstLine="480" w:firstLineChars="200"/>
        <w:outlineLvl w:val="1"/>
        <w:rPr>
          <w:rFonts w:asciiTheme="minorEastAsia" w:hAnsiTheme="minorEastAsia"/>
          <w:color w:val="auto"/>
          <w:sz w:val="24"/>
          <w:szCs w:val="24"/>
          <w:highlight w:val="none"/>
        </w:rPr>
      </w:pPr>
      <w:bookmarkStart w:id="732" w:name="_Toc76398708"/>
      <w:r>
        <w:rPr>
          <w:rFonts w:hint="eastAsia" w:asciiTheme="minorEastAsia" w:hAnsiTheme="minorEastAsia"/>
          <w:color w:val="auto"/>
          <w:sz w:val="24"/>
          <w:szCs w:val="24"/>
          <w:highlight w:val="none"/>
        </w:rPr>
        <w:t>7.3 仲裁或诉讼</w:t>
      </w:r>
      <w:bookmarkEnd w:id="732"/>
    </w:p>
    <w:p w14:paraId="6826D65F">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合同争议的最终解决方式为下列第</w:t>
      </w:r>
      <w:r>
        <w:rPr>
          <w:rFonts w:hint="eastAsia" w:asciiTheme="minorEastAsia" w:hAnsiTheme="minorEastAsia"/>
          <w:color w:val="auto"/>
          <w:sz w:val="24"/>
          <w:szCs w:val="24"/>
          <w:highlight w:val="none"/>
          <w:u w:val="single"/>
        </w:rPr>
        <w:t>（2）</w:t>
      </w:r>
      <w:r>
        <w:rPr>
          <w:rFonts w:hint="eastAsia" w:asciiTheme="minorEastAsia" w:hAnsiTheme="minorEastAsia"/>
          <w:color w:val="auto"/>
          <w:sz w:val="24"/>
          <w:szCs w:val="24"/>
          <w:highlight w:val="none"/>
        </w:rPr>
        <w:t>种方式：</w:t>
      </w:r>
    </w:p>
    <w:p w14:paraId="109BF72D">
      <w:pPr>
        <w:spacing w:line="360" w:lineRule="auto"/>
        <w:ind w:firstLine="480" w:firstLineChars="200"/>
        <w:rPr>
          <w:rFonts w:asciiTheme="minorEastAsia" w:hAnsiTheme="minorEastAsia"/>
          <w:color w:val="auto"/>
          <w:sz w:val="24"/>
          <w:szCs w:val="24"/>
          <w:highlight w:val="none"/>
          <w:u w:val="single"/>
        </w:rPr>
      </w:pPr>
      <w:r>
        <w:rPr>
          <w:rFonts w:hint="eastAsia" w:asciiTheme="minorEastAsia" w:hAnsiTheme="minorEastAsia"/>
          <w:color w:val="auto"/>
          <w:sz w:val="24"/>
          <w:szCs w:val="24"/>
          <w:highlight w:val="none"/>
          <w:u w:val="single"/>
        </w:rPr>
        <w:t>（1）提请</w:t>
      </w:r>
      <w:r>
        <w:rPr>
          <w:rFonts w:ascii="宋体" w:hAnsi="宋体" w:cs="宋体"/>
          <w:color w:val="auto"/>
          <w:kern w:val="0"/>
          <w:sz w:val="24"/>
          <w:highlight w:val="none"/>
          <w:u w:val="single"/>
        </w:rPr>
        <w:t>重庆</w:t>
      </w:r>
      <w:r>
        <w:rPr>
          <w:rFonts w:hint="eastAsia" w:asciiTheme="minorEastAsia" w:hAnsiTheme="minorEastAsia"/>
          <w:color w:val="auto"/>
          <w:sz w:val="24"/>
          <w:szCs w:val="24"/>
          <w:highlight w:val="none"/>
          <w:u w:val="single"/>
        </w:rPr>
        <w:t>仲裁委员会进行仲裁。</w:t>
      </w:r>
    </w:p>
    <w:p w14:paraId="4B0584EF">
      <w:pPr>
        <w:spacing w:line="360" w:lineRule="auto"/>
        <w:ind w:firstLine="480" w:firstLineChars="200"/>
        <w:rPr>
          <w:rFonts w:asciiTheme="minorEastAsia" w:hAnsiTheme="minorEastAsia"/>
          <w:color w:val="auto"/>
          <w:sz w:val="24"/>
          <w:szCs w:val="24"/>
          <w:highlight w:val="none"/>
          <w:u w:val="single"/>
        </w:rPr>
      </w:pPr>
      <w:r>
        <w:rPr>
          <w:rFonts w:hint="eastAsia" w:asciiTheme="minorEastAsia" w:hAnsiTheme="minorEastAsia"/>
          <w:color w:val="auto"/>
          <w:sz w:val="24"/>
          <w:szCs w:val="24"/>
          <w:highlight w:val="none"/>
          <w:u w:val="single"/>
        </w:rPr>
        <w:t>（2）</w:t>
      </w:r>
      <w:r>
        <w:rPr>
          <w:rFonts w:ascii="宋体" w:hAnsi="宋体" w:cs="宋体"/>
          <w:color w:val="auto"/>
          <w:kern w:val="0"/>
          <w:sz w:val="24"/>
          <w:highlight w:val="none"/>
          <w:u w:val="single"/>
        </w:rPr>
        <w:t>依法向</w:t>
      </w:r>
      <w:r>
        <w:rPr>
          <w:rFonts w:hint="eastAsia" w:ascii="宋体" w:hAnsi="宋体" w:cs="宋体"/>
          <w:color w:val="auto"/>
          <w:kern w:val="0"/>
          <w:sz w:val="24"/>
          <w:highlight w:val="none"/>
          <w:u w:val="single"/>
        </w:rPr>
        <w:t>工程所在地</w:t>
      </w:r>
      <w:r>
        <w:rPr>
          <w:rFonts w:ascii="宋体" w:hAnsi="宋体" w:cs="宋体"/>
          <w:color w:val="auto"/>
          <w:kern w:val="0"/>
          <w:sz w:val="24"/>
          <w:highlight w:val="none"/>
          <w:u w:val="single"/>
        </w:rPr>
        <w:t>人民法院起诉</w:t>
      </w:r>
      <w:r>
        <w:rPr>
          <w:rFonts w:hint="eastAsia" w:asciiTheme="minorEastAsia" w:hAnsiTheme="minorEastAsia"/>
          <w:color w:val="auto"/>
          <w:sz w:val="24"/>
          <w:szCs w:val="24"/>
          <w:highlight w:val="none"/>
          <w:u w:val="single"/>
        </w:rPr>
        <w:t>。</w:t>
      </w:r>
    </w:p>
    <w:p w14:paraId="7677B943">
      <w:pPr>
        <w:spacing w:line="360" w:lineRule="auto"/>
        <w:ind w:firstLine="480" w:firstLineChars="200"/>
        <w:outlineLvl w:val="0"/>
        <w:rPr>
          <w:rFonts w:asciiTheme="minorEastAsia" w:hAnsiTheme="minorEastAsia"/>
          <w:color w:val="auto"/>
          <w:sz w:val="24"/>
          <w:szCs w:val="24"/>
          <w:highlight w:val="none"/>
        </w:rPr>
      </w:pPr>
      <w:bookmarkStart w:id="733" w:name="_Toc76398709"/>
      <w:r>
        <w:rPr>
          <w:rFonts w:hint="eastAsia" w:asciiTheme="minorEastAsia" w:hAnsiTheme="minorEastAsia"/>
          <w:color w:val="auto"/>
          <w:sz w:val="24"/>
          <w:szCs w:val="24"/>
          <w:highlight w:val="none"/>
        </w:rPr>
        <w:t>8. 其他</w:t>
      </w:r>
      <w:bookmarkEnd w:id="733"/>
    </w:p>
    <w:p w14:paraId="3463CF23">
      <w:pPr>
        <w:spacing w:line="360" w:lineRule="auto"/>
        <w:ind w:firstLine="480" w:firstLineChars="200"/>
        <w:jc w:val="left"/>
        <w:outlineLvl w:val="1"/>
        <w:rPr>
          <w:rFonts w:asciiTheme="minorEastAsia" w:hAnsiTheme="minorEastAsia"/>
          <w:color w:val="auto"/>
          <w:sz w:val="24"/>
          <w:szCs w:val="24"/>
          <w:highlight w:val="none"/>
        </w:rPr>
      </w:pPr>
      <w:bookmarkStart w:id="734" w:name="_Toc76398710"/>
      <w:r>
        <w:rPr>
          <w:rFonts w:hint="eastAsia" w:asciiTheme="minorEastAsia" w:hAnsiTheme="minorEastAsia"/>
          <w:color w:val="auto"/>
          <w:sz w:val="24"/>
          <w:szCs w:val="24"/>
          <w:highlight w:val="none"/>
        </w:rPr>
        <w:t>8.1 考察及相关费用咨询人经委托人同意进行考察发生的费用在</w:t>
      </w:r>
      <w:r>
        <w:rPr>
          <w:rFonts w:hint="eastAsia" w:asciiTheme="minorEastAsia" w:hAnsiTheme="minorEastAsia"/>
          <w:color w:val="auto"/>
          <w:sz w:val="24"/>
          <w:szCs w:val="24"/>
          <w:highlight w:val="none"/>
          <w:u w:val="single"/>
        </w:rPr>
        <w:t xml:space="preserve">重庆市范围内由咨询人  </w:t>
      </w:r>
      <w:r>
        <w:rPr>
          <w:rFonts w:hint="eastAsia" w:asciiTheme="minorEastAsia" w:hAnsiTheme="minorEastAsia"/>
          <w:color w:val="auto"/>
          <w:sz w:val="24"/>
          <w:szCs w:val="24"/>
          <w:highlight w:val="none"/>
        </w:rPr>
        <w:t>支付，相关费用已包含在合同费用中，委托人不另行支付。</w:t>
      </w:r>
    </w:p>
    <w:p w14:paraId="7D368BC6">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差旅费及相关费用的支付：</w:t>
      </w:r>
      <w:r>
        <w:rPr>
          <w:rFonts w:hint="eastAsia" w:asciiTheme="minorEastAsia" w:hAnsiTheme="minorEastAsia"/>
          <w:color w:val="auto"/>
          <w:sz w:val="24"/>
          <w:szCs w:val="24"/>
          <w:highlight w:val="none"/>
          <w:u w:val="single"/>
        </w:rPr>
        <w:t xml:space="preserve">  重庆市范围内由咨询人自行解决  ，相关费用已包含在合同费用中，委托人不另行支付</w:t>
      </w:r>
      <w:r>
        <w:rPr>
          <w:rFonts w:hint="eastAsia" w:asciiTheme="minorEastAsia" w:hAnsiTheme="minorEastAsia"/>
          <w:color w:val="auto"/>
          <w:sz w:val="24"/>
          <w:szCs w:val="24"/>
          <w:highlight w:val="none"/>
        </w:rPr>
        <w:t>。</w:t>
      </w:r>
    </w:p>
    <w:bookmarkEnd w:id="734"/>
    <w:p w14:paraId="660CE125">
      <w:pPr>
        <w:spacing w:line="360" w:lineRule="auto"/>
        <w:ind w:firstLine="480" w:firstLineChars="200"/>
        <w:outlineLvl w:val="1"/>
        <w:rPr>
          <w:rFonts w:asciiTheme="minorEastAsia" w:hAnsiTheme="minorEastAsia"/>
          <w:color w:val="auto"/>
          <w:sz w:val="24"/>
          <w:szCs w:val="24"/>
          <w:highlight w:val="none"/>
        </w:rPr>
      </w:pPr>
      <w:bookmarkStart w:id="735" w:name="_Toc76398711"/>
      <w:r>
        <w:rPr>
          <w:rFonts w:hint="eastAsia" w:asciiTheme="minorEastAsia" w:hAnsiTheme="minorEastAsia"/>
          <w:color w:val="auto"/>
          <w:sz w:val="24"/>
          <w:szCs w:val="24"/>
          <w:highlight w:val="none"/>
        </w:rPr>
        <w:t>8.2奖励</w:t>
      </w:r>
      <w:bookmarkEnd w:id="735"/>
    </w:p>
    <w:p w14:paraId="5E29893A">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合理化建议的奖励金额按下列方法确定：</w:t>
      </w:r>
      <w:r>
        <w:rPr>
          <w:rFonts w:hint="eastAsia" w:asciiTheme="minorEastAsia" w:hAnsiTheme="minorEastAsia"/>
          <w:color w:val="auto"/>
          <w:sz w:val="24"/>
          <w:szCs w:val="24"/>
          <w:highlight w:val="none"/>
          <w:u w:val="single"/>
        </w:rPr>
        <w:t xml:space="preserve"> /</w:t>
      </w:r>
      <w:r>
        <w:rPr>
          <w:rFonts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w:t>
      </w:r>
    </w:p>
    <w:p w14:paraId="54475EE1">
      <w:pPr>
        <w:spacing w:line="360" w:lineRule="auto"/>
        <w:ind w:firstLine="480" w:firstLineChars="200"/>
        <w:outlineLvl w:val="1"/>
        <w:rPr>
          <w:rFonts w:asciiTheme="minorEastAsia" w:hAnsiTheme="minorEastAsia"/>
          <w:color w:val="auto"/>
          <w:sz w:val="24"/>
          <w:szCs w:val="24"/>
          <w:highlight w:val="none"/>
        </w:rPr>
      </w:pPr>
      <w:bookmarkStart w:id="736" w:name="_Toc76398712"/>
      <w:r>
        <w:rPr>
          <w:rFonts w:hint="eastAsia" w:asciiTheme="minorEastAsia" w:hAnsiTheme="minorEastAsia"/>
          <w:color w:val="auto"/>
          <w:sz w:val="24"/>
          <w:szCs w:val="24"/>
          <w:highlight w:val="none"/>
        </w:rPr>
        <w:t>8.3 保密</w:t>
      </w:r>
      <w:bookmarkEnd w:id="736"/>
    </w:p>
    <w:p w14:paraId="408959BD">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委托人申明的保密事项和期限：</w:t>
      </w:r>
      <w:r>
        <w:rPr>
          <w:rFonts w:hint="eastAsia" w:asciiTheme="minorEastAsia" w:hAnsiTheme="minorEastAsia"/>
          <w:color w:val="auto"/>
          <w:sz w:val="24"/>
          <w:szCs w:val="24"/>
          <w:highlight w:val="none"/>
          <w:u w:val="single"/>
        </w:rPr>
        <w:t xml:space="preserve"> （本项目的所有资料长期保密）  </w:t>
      </w:r>
      <w:r>
        <w:rPr>
          <w:rFonts w:hint="eastAsia" w:asciiTheme="minorEastAsia" w:hAnsiTheme="minorEastAsia"/>
          <w:color w:val="auto"/>
          <w:sz w:val="24"/>
          <w:szCs w:val="24"/>
          <w:highlight w:val="none"/>
        </w:rPr>
        <w:t>。未经委托人事先书面同意，咨询人不得对外透露本项目的任何信息，否则咨询人应赔偿委托人的一切损失。</w:t>
      </w:r>
    </w:p>
    <w:p w14:paraId="25D285EF">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咨询人申明的保密事项和期限：</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w:t>
      </w:r>
    </w:p>
    <w:p w14:paraId="432FE9D1">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第三人申明的保密事项和期限：</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w:t>
      </w:r>
    </w:p>
    <w:p w14:paraId="00A85A5B">
      <w:pPr>
        <w:spacing w:line="360" w:lineRule="auto"/>
        <w:ind w:firstLine="480" w:firstLineChars="200"/>
        <w:outlineLvl w:val="1"/>
        <w:rPr>
          <w:rFonts w:asciiTheme="minorEastAsia" w:hAnsiTheme="minorEastAsia"/>
          <w:color w:val="auto"/>
          <w:sz w:val="24"/>
          <w:szCs w:val="24"/>
          <w:highlight w:val="none"/>
        </w:rPr>
      </w:pPr>
      <w:bookmarkStart w:id="737" w:name="_Toc76398713"/>
      <w:r>
        <w:rPr>
          <w:rFonts w:hint="eastAsia" w:asciiTheme="minorEastAsia" w:hAnsiTheme="minorEastAsia"/>
          <w:color w:val="auto"/>
          <w:sz w:val="24"/>
          <w:szCs w:val="24"/>
          <w:highlight w:val="none"/>
        </w:rPr>
        <w:t>8.4 联络</w:t>
      </w:r>
      <w:bookmarkEnd w:id="737"/>
    </w:p>
    <w:p w14:paraId="796F6767">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8.4.1 任何一方与合同有关的通知、指示、要求、决定等，均应在日内送达对方指定的接收人和送达地点。</w:t>
      </w:r>
    </w:p>
    <w:p w14:paraId="06C8965D">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8.4.2 委托人指定的送达接收人：</w:t>
      </w:r>
      <w:r>
        <w:rPr>
          <w:rFonts w:hint="eastAsia" w:asciiTheme="minorEastAsia" w:hAnsiTheme="minorEastAsia"/>
          <w:color w:val="auto"/>
          <w:sz w:val="24"/>
          <w:szCs w:val="24"/>
          <w:highlight w:val="none"/>
          <w:u w:val="single"/>
        </w:rPr>
        <w:t>_    _</w:t>
      </w:r>
      <w:r>
        <w:rPr>
          <w:rFonts w:hint="eastAsia" w:asciiTheme="minorEastAsia" w:hAnsiTheme="minorEastAsia"/>
          <w:color w:val="auto"/>
          <w:sz w:val="24"/>
          <w:szCs w:val="24"/>
          <w:highlight w:val="none"/>
        </w:rPr>
        <w:t>，送达地点：</w:t>
      </w:r>
      <w:r>
        <w:rPr>
          <w:rFonts w:hint="eastAsia" w:asciiTheme="minorEastAsia" w:hAnsiTheme="minorEastAsia"/>
          <w:color w:val="auto"/>
          <w:sz w:val="24"/>
          <w:szCs w:val="24"/>
          <w:highlight w:val="none"/>
          <w:u w:val="single"/>
        </w:rPr>
        <w:t>__   _</w:t>
      </w:r>
      <w:r>
        <w:rPr>
          <w:rFonts w:hint="eastAsia" w:asciiTheme="minorEastAsia" w:hAnsiTheme="minorEastAsia"/>
          <w:color w:val="auto"/>
          <w:sz w:val="24"/>
          <w:szCs w:val="24"/>
          <w:highlight w:val="none"/>
        </w:rPr>
        <w:t>，电子邮箱：</w:t>
      </w:r>
      <w:r>
        <w:rPr>
          <w:rFonts w:hint="eastAsia" w:asciiTheme="minorEastAsia" w:hAnsiTheme="minorEastAsia"/>
          <w:color w:val="auto"/>
          <w:sz w:val="24"/>
          <w:szCs w:val="24"/>
          <w:highlight w:val="none"/>
          <w:u w:val="single"/>
        </w:rPr>
        <w:t>_   _</w:t>
      </w:r>
      <w:r>
        <w:rPr>
          <w:rFonts w:hint="eastAsia" w:asciiTheme="minorEastAsia" w:hAnsiTheme="minorEastAsia"/>
          <w:color w:val="auto"/>
          <w:sz w:val="24"/>
          <w:szCs w:val="24"/>
          <w:highlight w:val="none"/>
        </w:rPr>
        <w:t>。</w:t>
      </w:r>
    </w:p>
    <w:p w14:paraId="433134CB">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咨询人指定的送达接收人：</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，送达地点：</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olor w:val="auto"/>
          <w:sz w:val="24"/>
          <w:szCs w:val="24"/>
          <w:highlight w:val="none"/>
        </w:rPr>
        <w:t>，电子邮箱：</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w:t>
      </w:r>
    </w:p>
    <w:p w14:paraId="112009A5">
      <w:pPr>
        <w:spacing w:line="360" w:lineRule="auto"/>
        <w:ind w:firstLine="480" w:firstLineChars="200"/>
        <w:jc w:val="left"/>
        <w:rPr>
          <w:rFonts w:asciiTheme="minorEastAsia" w:hAnsiTheme="minorEastAsia"/>
          <w:color w:val="auto"/>
          <w:sz w:val="24"/>
          <w:szCs w:val="24"/>
          <w:highlight w:val="none"/>
        </w:rPr>
      </w:pPr>
      <w:bookmarkStart w:id="738" w:name="_Toc76398714"/>
      <w:r>
        <w:rPr>
          <w:rFonts w:hint="eastAsia" w:asciiTheme="minorEastAsia" w:hAnsiTheme="minorEastAsia"/>
          <w:color w:val="auto"/>
          <w:sz w:val="24"/>
          <w:szCs w:val="24"/>
          <w:highlight w:val="none"/>
        </w:rPr>
        <w:t>若一方送达地址、联系人、联系电话发生变更，应书面告知另一方。变更通知送达前，另一方按前述方式送达的文书均视为有效送达，并产生相应法律效力。按照前述方式送达时，自寄出三日起，则视为有效送达。在因本合同及本合同相关事宜发生诉讼</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仲裁的情形下，上述约定的各方通信地址，同时作为各方的诉讼</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仲裁文书送达地址，该通信地址用于接收诉讼</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仲裁文书（包括但不限于传票、判决书、裁决书、权利义务告知书等法律文书）；法院</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仲裁机构按该地址送达的法律文书（包括但不限于传票、判决书、裁决书、权利义务告知书等法律文书），即视为当事人签收，受送达人拒收或无法送达的，不影响送达的效力。</w:t>
      </w:r>
    </w:p>
    <w:p w14:paraId="0E6190D8">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8.4.3若地址为空白，则以国家企业信用信息公示系统查询的住所作为通讯地址。。</w:t>
      </w:r>
    </w:p>
    <w:p w14:paraId="302E2AE7">
      <w:pPr>
        <w:spacing w:line="360" w:lineRule="auto"/>
        <w:ind w:firstLine="480" w:firstLineChars="200"/>
        <w:outlineLvl w:val="1"/>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8.5 知识产权</w:t>
      </w:r>
      <w:bookmarkEnd w:id="738"/>
    </w:p>
    <w:p w14:paraId="4DD9D7BF">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委托人提供给咨询人的图纸、委托人为实施工程自行编制或委托编制的技术规范以及反映委托人要求的或其他类似性质文件的著作权属于</w:t>
      </w:r>
      <w:r>
        <w:rPr>
          <w:rFonts w:hint="eastAsia" w:asciiTheme="minorEastAsia" w:hAnsiTheme="minorEastAsia"/>
          <w:color w:val="auto"/>
          <w:sz w:val="24"/>
          <w:szCs w:val="24"/>
          <w:highlight w:val="none"/>
          <w:u w:val="single"/>
        </w:rPr>
        <w:t>委托人</w:t>
      </w:r>
      <w:r>
        <w:rPr>
          <w:rFonts w:hint="eastAsia" w:asciiTheme="minorEastAsia" w:hAnsiTheme="minorEastAsia"/>
          <w:color w:val="auto"/>
          <w:sz w:val="24"/>
          <w:szCs w:val="24"/>
          <w:highlight w:val="none"/>
        </w:rPr>
        <w:t>。</w:t>
      </w:r>
    </w:p>
    <w:p w14:paraId="477E2AB1">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咨询人为履行本合同约定而编制的成果文件，其著作权属于</w:t>
      </w:r>
      <w:r>
        <w:rPr>
          <w:rFonts w:hint="eastAsia" w:asciiTheme="minorEastAsia" w:hAnsiTheme="minorEastAsia"/>
          <w:color w:val="auto"/>
          <w:sz w:val="24"/>
          <w:szCs w:val="24"/>
          <w:highlight w:val="none"/>
          <w:u w:val="single"/>
        </w:rPr>
        <w:t>委托人</w:t>
      </w:r>
      <w:r>
        <w:rPr>
          <w:rFonts w:hint="eastAsia" w:asciiTheme="minorEastAsia" w:hAnsiTheme="minorEastAsia"/>
          <w:color w:val="auto"/>
          <w:sz w:val="24"/>
          <w:szCs w:val="24"/>
          <w:highlight w:val="none"/>
        </w:rPr>
        <w:t>。</w:t>
      </w:r>
    </w:p>
    <w:p w14:paraId="76E28A8F">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双方将履行本合同形成的有关成果文件用于企业宣传、申报奖项以及接受上级主管部门的检查须遵守以下约定：</w:t>
      </w:r>
      <w:r>
        <w:rPr>
          <w:rFonts w:hint="eastAsia" w:asciiTheme="minorEastAsia" w:hAnsiTheme="minorEastAsia"/>
          <w:color w:val="auto"/>
          <w:sz w:val="24"/>
          <w:szCs w:val="24"/>
          <w:highlight w:val="none"/>
          <w:u w:val="single"/>
        </w:rPr>
        <w:t>未经委托人同意，咨询人不得将与本合同履行有关的知识成果擅自使用或泄露</w:t>
      </w:r>
      <w:r>
        <w:rPr>
          <w:rFonts w:hint="eastAsia" w:asciiTheme="minorEastAsia" w:hAnsiTheme="minorEastAsia"/>
          <w:color w:val="auto"/>
          <w:sz w:val="24"/>
          <w:szCs w:val="24"/>
          <w:highlight w:val="none"/>
        </w:rPr>
        <w:t>。</w:t>
      </w:r>
    </w:p>
    <w:p w14:paraId="13393DDE">
      <w:pPr>
        <w:numPr>
          <w:ilvl w:val="255"/>
          <w:numId w:val="0"/>
        </w:numPr>
        <w:spacing w:line="360" w:lineRule="auto"/>
        <w:ind w:firstLine="480" w:firstLineChars="200"/>
        <w:outlineLvl w:val="0"/>
        <w:rPr>
          <w:rFonts w:asciiTheme="minorEastAsia" w:hAnsiTheme="minorEastAsia"/>
          <w:color w:val="auto"/>
          <w:sz w:val="24"/>
          <w:szCs w:val="24"/>
          <w:highlight w:val="none"/>
        </w:rPr>
      </w:pPr>
      <w:bookmarkStart w:id="739" w:name="_Toc76398715"/>
      <w:r>
        <w:rPr>
          <w:rFonts w:hint="eastAsia" w:asciiTheme="minorEastAsia" w:hAnsiTheme="minorEastAsia"/>
          <w:color w:val="auto"/>
          <w:sz w:val="24"/>
          <w:szCs w:val="24"/>
          <w:highlight w:val="none"/>
        </w:rPr>
        <w:t>9.补充条款</w:t>
      </w:r>
      <w:bookmarkEnd w:id="739"/>
    </w:p>
    <w:p w14:paraId="20E23149">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9.1因咨询人原因，导致委托人解除本合同时，咨询人承担委托人为维护其合法权益产生的一切费用，该费用包括但不限于律师费、诉讼费、财产保全费、财产保全担保费、评估费、审计费、鉴定费、公证费、公告费、差旅费等费用。</w:t>
      </w:r>
    </w:p>
    <w:p w14:paraId="0916BE1B">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9.2咨询人向委托人提出赔偿要求不能成立时，则应补偿由于该赔偿或其他要求所导致委托人的各种费用的支出。</w:t>
      </w:r>
    </w:p>
    <w:p w14:paraId="66A4B4AA">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9.3对从委托人处获取的资料予以保密。为履行本合同义务的工作人员办理社会保险，承担一切安全责任。若其工作人员给委托人或第三人造成损失，责任由咨询人承担。</w:t>
      </w:r>
    </w:p>
    <w:p w14:paraId="300D9058">
      <w:pPr>
        <w:spacing w:line="360" w:lineRule="auto"/>
        <w:ind w:firstLine="480" w:firstLineChars="200"/>
        <w:jc w:val="left"/>
        <w:rPr>
          <w:rFonts w:asciiTheme="minorEastAsia" w:hAnsiTheme="minorEastAsia"/>
          <w:color w:val="auto"/>
          <w:sz w:val="24"/>
          <w:szCs w:val="24"/>
          <w:highlight w:val="none"/>
        </w:rPr>
      </w:pPr>
      <w:r>
        <w:rPr>
          <w:rFonts w:asciiTheme="minorEastAsia" w:hAnsiTheme="minorEastAsia"/>
          <w:color w:val="auto"/>
          <w:sz w:val="24"/>
          <w:szCs w:val="24"/>
          <w:highlight w:val="none"/>
        </w:rPr>
        <w:t>9.4</w:t>
      </w:r>
      <w:r>
        <w:rPr>
          <w:rFonts w:hint="eastAsia" w:asciiTheme="minorEastAsia" w:hAnsiTheme="minorEastAsia"/>
          <w:color w:val="auto"/>
          <w:sz w:val="24"/>
          <w:szCs w:val="24"/>
          <w:highlight w:val="none"/>
        </w:rPr>
        <w:t>咨询人免费为委托人提供口头或现场咨询</w:t>
      </w:r>
      <w:r>
        <w:rPr>
          <w:rFonts w:hint="eastAsia" w:ascii="宋体" w:hAnsi="宋体"/>
          <w:color w:val="auto"/>
          <w:sz w:val="24"/>
          <w:szCs w:val="24"/>
          <w:highlight w:val="none"/>
        </w:rPr>
        <w:t>，否则视为咨询人违约</w:t>
      </w:r>
      <w:r>
        <w:rPr>
          <w:rFonts w:hint="eastAsia" w:asciiTheme="minorEastAsia" w:hAnsiTheme="minorEastAsia"/>
          <w:color w:val="auto"/>
          <w:sz w:val="24"/>
          <w:szCs w:val="24"/>
          <w:highlight w:val="none"/>
        </w:rPr>
        <w:t>。</w:t>
      </w:r>
    </w:p>
    <w:p w14:paraId="1580B20E">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9.5咨询人未按照本合同约定履行义务时，视为咨询人违约，</w:t>
      </w:r>
      <w:r>
        <w:rPr>
          <w:rFonts w:hint="eastAsia" w:ascii="宋体" w:hAnsi="宋体"/>
          <w:color w:val="auto"/>
          <w:sz w:val="24"/>
          <w:szCs w:val="24"/>
          <w:highlight w:val="none"/>
        </w:rPr>
        <w:t>咨询人违约时，</w:t>
      </w:r>
      <w:r>
        <w:rPr>
          <w:rFonts w:hint="eastAsia" w:asciiTheme="minorEastAsia" w:hAnsiTheme="minorEastAsia"/>
          <w:color w:val="auto"/>
          <w:sz w:val="24"/>
          <w:szCs w:val="24"/>
          <w:highlight w:val="none"/>
        </w:rPr>
        <w:t>委托人有权解除本合同</w:t>
      </w:r>
      <w:r>
        <w:rPr>
          <w:rFonts w:hint="eastAsia" w:ascii="宋体" w:hAnsi="宋体"/>
          <w:color w:val="auto"/>
          <w:sz w:val="24"/>
          <w:szCs w:val="24"/>
          <w:highlight w:val="none"/>
        </w:rPr>
        <w:t>，不予支付任何费用，除其他条款约定外，咨询人按照合同约定总金额的30%向委托人承担违约金</w:t>
      </w:r>
      <w:r>
        <w:rPr>
          <w:rFonts w:hint="eastAsia" w:asciiTheme="minorEastAsia" w:hAnsiTheme="minorEastAsia"/>
          <w:color w:val="auto"/>
          <w:sz w:val="24"/>
          <w:szCs w:val="24"/>
          <w:highlight w:val="none"/>
        </w:rPr>
        <w:t>。咨询人承担给委托人造成的一切损失。</w:t>
      </w:r>
    </w:p>
    <w:p w14:paraId="548353FE">
      <w:pPr>
        <w:spacing w:line="360" w:lineRule="auto"/>
        <w:ind w:firstLine="480" w:firstLineChars="200"/>
        <w:jc w:val="left"/>
        <w:rPr>
          <w:rFonts w:asciiTheme="minorEastAsia" w:hAnsiTheme="minorEastAsia"/>
          <w:color w:val="auto"/>
          <w:sz w:val="24"/>
          <w:szCs w:val="24"/>
          <w:highlight w:val="none"/>
        </w:rPr>
      </w:pPr>
      <w:r>
        <w:rPr>
          <w:rFonts w:asciiTheme="minorEastAsia" w:hAnsiTheme="minorEastAsia"/>
          <w:color w:val="auto"/>
          <w:sz w:val="24"/>
          <w:szCs w:val="24"/>
          <w:highlight w:val="none"/>
        </w:rPr>
        <w:t>9.6</w:t>
      </w:r>
      <w:r>
        <w:rPr>
          <w:rFonts w:hint="eastAsia" w:asciiTheme="minorEastAsia" w:hAnsiTheme="minorEastAsia"/>
          <w:color w:val="auto"/>
          <w:sz w:val="24"/>
          <w:szCs w:val="24"/>
          <w:highlight w:val="none"/>
        </w:rPr>
        <w:t>咨询人保证因履行本合同形成的知识成果，未侵害第三人权益，否则应赔偿给委托人造成的全部损失，若委托人因此对外承担责任，有权向咨询人进行全额追偿。</w:t>
      </w:r>
    </w:p>
    <w:p w14:paraId="45AFCE3A">
      <w:pPr>
        <w:spacing w:line="360" w:lineRule="auto"/>
        <w:ind w:firstLine="480" w:firstLineChars="200"/>
        <w:jc w:val="left"/>
        <w:rPr>
          <w:color w:val="auto"/>
          <w:highlight w:val="none"/>
        </w:rPr>
      </w:pPr>
      <w:r>
        <w:rPr>
          <w:rFonts w:hint="eastAsia" w:ascii="宋体" w:hAnsi="宋体"/>
          <w:color w:val="auto"/>
          <w:sz w:val="24"/>
          <w:szCs w:val="24"/>
          <w:highlight w:val="none"/>
        </w:rPr>
        <w:t>9.7禁止咨询人将本合同约定事项再进行分包或转委托，否则，视为咨询人违约。</w:t>
      </w:r>
    </w:p>
    <w:p w14:paraId="47AC7C5D">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10如有时，咨询人承担万分之二且不少于500元的建设智慧平台管理费。</w:t>
      </w:r>
    </w:p>
    <w:p w14:paraId="5304D9A2">
      <w:pPr>
        <w:numPr>
          <w:ilvl w:val="255"/>
          <w:numId w:val="0"/>
        </w:numPr>
        <w:spacing w:line="360" w:lineRule="auto"/>
        <w:ind w:firstLine="480" w:firstLineChars="200"/>
        <w:jc w:val="left"/>
        <w:rPr>
          <w:rFonts w:asciiTheme="minorEastAsia" w:hAnsiTheme="minorEastAsia"/>
          <w:color w:val="auto"/>
          <w:sz w:val="24"/>
          <w:szCs w:val="24"/>
          <w:highlight w:val="none"/>
        </w:rPr>
      </w:pPr>
      <w:bookmarkStart w:id="740" w:name="_Toc76398716"/>
      <w:r>
        <w:rPr>
          <w:rFonts w:hint="eastAsia" w:asciiTheme="minorEastAsia" w:hAnsiTheme="minorEastAsia"/>
          <w:color w:val="auto"/>
          <w:sz w:val="24"/>
          <w:szCs w:val="24"/>
          <w:highlight w:val="none"/>
        </w:rPr>
        <w:t>11履约担保：</w:t>
      </w:r>
      <w:r>
        <w:rPr>
          <w:rFonts w:hint="eastAsia" w:asciiTheme="minorEastAsia" w:hAnsiTheme="minorEastAsia"/>
          <w:color w:val="auto"/>
          <w:sz w:val="24"/>
          <w:szCs w:val="24"/>
          <w:highlight w:val="none"/>
          <w:u w:val="single"/>
        </w:rPr>
        <w:t xml:space="preserve"> 中标金额10%  </w:t>
      </w:r>
      <w:r>
        <w:rPr>
          <w:rFonts w:hint="eastAsia" w:asciiTheme="minorEastAsia" w:hAnsiTheme="minorEastAsia"/>
          <w:color w:val="auto"/>
          <w:sz w:val="24"/>
          <w:szCs w:val="24"/>
          <w:highlight w:val="none"/>
        </w:rPr>
        <w:t>。（20万元以上的合同金额需要履约担保）</w:t>
      </w:r>
    </w:p>
    <w:p w14:paraId="70B8A64F">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工程咨询人应按工程咨询合同约定向委托人提交履约担保，履约担保的提交形式、提交时间及退还约定为：现金或咨询人认可的单位出具的履约保函，中标通知书发出后10日内，签订合同之前，逾期未提供，委托人有权终止双方的合同关系，一切责任由咨询人承担；退还约定为工程办理完结算、且咨询人无违约的情形下60日内一次性解保或无息退还。</w:t>
      </w:r>
    </w:p>
    <w:p w14:paraId="65CA5EB2">
      <w:pPr>
        <w:pStyle w:val="4"/>
        <w:ind w:firstLine="723"/>
        <w:rPr>
          <w:color w:val="auto"/>
          <w:highlight w:val="none"/>
        </w:rPr>
      </w:pPr>
    </w:p>
    <w:p w14:paraId="0327F92D">
      <w:pPr>
        <w:jc w:val="center"/>
        <w:outlineLvl w:val="0"/>
        <w:rPr>
          <w:color w:val="auto"/>
          <w:highlight w:val="none"/>
        </w:rPr>
      </w:pPr>
    </w:p>
    <w:p w14:paraId="7D6E4783">
      <w:pPr>
        <w:jc w:val="center"/>
        <w:outlineLvl w:val="0"/>
        <w:rPr>
          <w:color w:val="auto"/>
          <w:highlight w:val="none"/>
        </w:rPr>
      </w:pPr>
    </w:p>
    <w:p w14:paraId="4DE7B9F3">
      <w:pPr>
        <w:widowControl/>
        <w:jc w:val="left"/>
        <w:rPr>
          <w:color w:val="auto"/>
          <w:highlight w:val="none"/>
        </w:rPr>
      </w:pPr>
      <w:r>
        <w:rPr>
          <w:color w:val="auto"/>
          <w:highlight w:val="none"/>
        </w:rPr>
        <w:br w:type="page"/>
      </w:r>
    </w:p>
    <w:p w14:paraId="5D2F4287">
      <w:pPr>
        <w:jc w:val="center"/>
        <w:outlineLvl w:val="0"/>
        <w:rPr>
          <w:color w:val="auto"/>
          <w:highlight w:val="none"/>
        </w:rPr>
      </w:pPr>
    </w:p>
    <w:p w14:paraId="62D96F31">
      <w:pPr>
        <w:jc w:val="center"/>
        <w:outlineLvl w:val="0"/>
        <w:rPr>
          <w:color w:val="auto"/>
          <w:highlight w:val="none"/>
        </w:rPr>
      </w:pPr>
      <w:r>
        <w:rPr>
          <w:rFonts w:hint="eastAsia"/>
          <w:color w:val="auto"/>
          <w:highlight w:val="none"/>
        </w:rPr>
        <w:t>附录 A 咨询人人员配置一览表</w:t>
      </w:r>
      <w:bookmarkEnd w:id="740"/>
    </w:p>
    <w:tbl>
      <w:tblPr>
        <w:tblStyle w:val="3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58"/>
        <w:gridCol w:w="1525"/>
        <w:gridCol w:w="1348"/>
        <w:gridCol w:w="1359"/>
        <w:gridCol w:w="1623"/>
        <w:gridCol w:w="1633"/>
      </w:tblGrid>
      <w:tr w14:paraId="3F40A6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8" w:type="dxa"/>
          </w:tcPr>
          <w:p w14:paraId="278C3F80">
            <w:pPr>
              <w:jc w:val="center"/>
              <w:rPr>
                <w:color w:val="auto"/>
                <w:highlight w:val="none"/>
              </w:rPr>
            </w:pPr>
            <w:r>
              <w:rPr>
                <w:rFonts w:hint="eastAsia"/>
                <w:color w:val="auto"/>
                <w:highlight w:val="none"/>
              </w:rPr>
              <w:t>姓名</w:t>
            </w:r>
          </w:p>
        </w:tc>
        <w:tc>
          <w:tcPr>
            <w:tcW w:w="1525" w:type="dxa"/>
          </w:tcPr>
          <w:p w14:paraId="0C539A59">
            <w:pPr>
              <w:jc w:val="center"/>
              <w:rPr>
                <w:color w:val="auto"/>
                <w:highlight w:val="none"/>
              </w:rPr>
            </w:pPr>
            <w:r>
              <w:rPr>
                <w:rFonts w:hint="eastAsia"/>
                <w:color w:val="auto"/>
                <w:highlight w:val="none"/>
              </w:rPr>
              <w:t>职务</w:t>
            </w:r>
          </w:p>
        </w:tc>
        <w:tc>
          <w:tcPr>
            <w:tcW w:w="1348" w:type="dxa"/>
          </w:tcPr>
          <w:p w14:paraId="787FA70D">
            <w:pPr>
              <w:jc w:val="center"/>
              <w:rPr>
                <w:color w:val="auto"/>
                <w:highlight w:val="none"/>
              </w:rPr>
            </w:pPr>
            <w:r>
              <w:rPr>
                <w:rFonts w:hint="eastAsia"/>
                <w:color w:val="auto"/>
                <w:highlight w:val="none"/>
              </w:rPr>
              <w:t>专业</w:t>
            </w:r>
          </w:p>
        </w:tc>
        <w:tc>
          <w:tcPr>
            <w:tcW w:w="1359" w:type="dxa"/>
          </w:tcPr>
          <w:p w14:paraId="6541B380">
            <w:pPr>
              <w:jc w:val="center"/>
              <w:rPr>
                <w:color w:val="auto"/>
                <w:highlight w:val="none"/>
              </w:rPr>
            </w:pPr>
            <w:r>
              <w:rPr>
                <w:rFonts w:hint="eastAsia"/>
                <w:color w:val="auto"/>
                <w:highlight w:val="none"/>
              </w:rPr>
              <w:t>职业资格证</w:t>
            </w:r>
          </w:p>
        </w:tc>
        <w:tc>
          <w:tcPr>
            <w:tcW w:w="1623" w:type="dxa"/>
          </w:tcPr>
          <w:p w14:paraId="19F7C006">
            <w:pPr>
              <w:jc w:val="center"/>
              <w:rPr>
                <w:color w:val="auto"/>
                <w:highlight w:val="none"/>
              </w:rPr>
            </w:pPr>
            <w:r>
              <w:rPr>
                <w:rFonts w:hint="eastAsia"/>
                <w:color w:val="auto"/>
                <w:highlight w:val="none"/>
              </w:rPr>
              <w:t>联系电话</w:t>
            </w:r>
          </w:p>
        </w:tc>
        <w:tc>
          <w:tcPr>
            <w:tcW w:w="1633" w:type="dxa"/>
          </w:tcPr>
          <w:p w14:paraId="14314DFA">
            <w:pPr>
              <w:jc w:val="center"/>
              <w:rPr>
                <w:color w:val="auto"/>
                <w:highlight w:val="none"/>
              </w:rPr>
            </w:pPr>
            <w:r>
              <w:rPr>
                <w:rFonts w:hint="eastAsia"/>
                <w:color w:val="auto"/>
                <w:highlight w:val="none"/>
              </w:rPr>
              <w:t>备注</w:t>
            </w:r>
          </w:p>
        </w:tc>
      </w:tr>
      <w:tr w14:paraId="0325CF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14:paraId="555C326D">
            <w:pPr>
              <w:jc w:val="center"/>
              <w:rPr>
                <w:color w:val="auto"/>
                <w:sz w:val="24"/>
                <w:szCs w:val="24"/>
                <w:highlight w:val="none"/>
              </w:rPr>
            </w:pPr>
          </w:p>
        </w:tc>
        <w:tc>
          <w:tcPr>
            <w:tcW w:w="1525" w:type="dxa"/>
            <w:vAlign w:val="center"/>
          </w:tcPr>
          <w:p w14:paraId="4E7123BC">
            <w:pPr>
              <w:jc w:val="center"/>
              <w:rPr>
                <w:color w:val="auto"/>
                <w:highlight w:val="none"/>
              </w:rPr>
            </w:pPr>
          </w:p>
        </w:tc>
        <w:tc>
          <w:tcPr>
            <w:tcW w:w="1348" w:type="dxa"/>
          </w:tcPr>
          <w:p w14:paraId="4C476ED3">
            <w:pPr>
              <w:jc w:val="center"/>
              <w:rPr>
                <w:color w:val="auto"/>
                <w:highlight w:val="none"/>
              </w:rPr>
            </w:pPr>
          </w:p>
        </w:tc>
        <w:tc>
          <w:tcPr>
            <w:tcW w:w="1359" w:type="dxa"/>
            <w:vAlign w:val="center"/>
          </w:tcPr>
          <w:p w14:paraId="69E51044">
            <w:pPr>
              <w:jc w:val="center"/>
              <w:rPr>
                <w:color w:val="auto"/>
                <w:sz w:val="24"/>
                <w:szCs w:val="24"/>
                <w:highlight w:val="none"/>
              </w:rPr>
            </w:pPr>
          </w:p>
        </w:tc>
        <w:tc>
          <w:tcPr>
            <w:tcW w:w="1623" w:type="dxa"/>
            <w:vAlign w:val="center"/>
          </w:tcPr>
          <w:p w14:paraId="251BF933">
            <w:pPr>
              <w:jc w:val="center"/>
              <w:rPr>
                <w:color w:val="auto"/>
                <w:highlight w:val="none"/>
              </w:rPr>
            </w:pPr>
          </w:p>
        </w:tc>
        <w:tc>
          <w:tcPr>
            <w:tcW w:w="1633" w:type="dxa"/>
          </w:tcPr>
          <w:p w14:paraId="5DB86E86">
            <w:pPr>
              <w:jc w:val="center"/>
              <w:rPr>
                <w:color w:val="auto"/>
                <w:highlight w:val="none"/>
              </w:rPr>
            </w:pPr>
          </w:p>
        </w:tc>
      </w:tr>
      <w:tr w14:paraId="3A4632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14:paraId="346C6E9D">
            <w:pPr>
              <w:jc w:val="center"/>
              <w:rPr>
                <w:color w:val="auto"/>
                <w:sz w:val="24"/>
                <w:szCs w:val="24"/>
                <w:highlight w:val="none"/>
              </w:rPr>
            </w:pPr>
          </w:p>
        </w:tc>
        <w:tc>
          <w:tcPr>
            <w:tcW w:w="1525" w:type="dxa"/>
            <w:vAlign w:val="center"/>
          </w:tcPr>
          <w:p w14:paraId="62702908">
            <w:pPr>
              <w:jc w:val="center"/>
              <w:rPr>
                <w:color w:val="auto"/>
                <w:highlight w:val="none"/>
              </w:rPr>
            </w:pPr>
          </w:p>
        </w:tc>
        <w:tc>
          <w:tcPr>
            <w:tcW w:w="1348" w:type="dxa"/>
          </w:tcPr>
          <w:p w14:paraId="4CDC53C1">
            <w:pPr>
              <w:jc w:val="center"/>
              <w:rPr>
                <w:color w:val="auto"/>
                <w:highlight w:val="none"/>
              </w:rPr>
            </w:pPr>
          </w:p>
        </w:tc>
        <w:tc>
          <w:tcPr>
            <w:tcW w:w="1359" w:type="dxa"/>
            <w:vAlign w:val="center"/>
          </w:tcPr>
          <w:p w14:paraId="3C9A321A">
            <w:pPr>
              <w:jc w:val="center"/>
              <w:rPr>
                <w:color w:val="auto"/>
                <w:sz w:val="24"/>
                <w:szCs w:val="24"/>
                <w:highlight w:val="none"/>
              </w:rPr>
            </w:pPr>
          </w:p>
        </w:tc>
        <w:tc>
          <w:tcPr>
            <w:tcW w:w="1623" w:type="dxa"/>
            <w:vAlign w:val="center"/>
          </w:tcPr>
          <w:p w14:paraId="26AA9E4E">
            <w:pPr>
              <w:jc w:val="center"/>
              <w:rPr>
                <w:color w:val="auto"/>
                <w:highlight w:val="none"/>
              </w:rPr>
            </w:pPr>
          </w:p>
        </w:tc>
        <w:tc>
          <w:tcPr>
            <w:tcW w:w="1633" w:type="dxa"/>
          </w:tcPr>
          <w:p w14:paraId="2276031B">
            <w:pPr>
              <w:jc w:val="center"/>
              <w:rPr>
                <w:color w:val="auto"/>
                <w:highlight w:val="none"/>
              </w:rPr>
            </w:pPr>
          </w:p>
        </w:tc>
      </w:tr>
      <w:tr w14:paraId="3C45CB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14:paraId="71F3C0FE">
            <w:pPr>
              <w:jc w:val="center"/>
              <w:rPr>
                <w:color w:val="auto"/>
                <w:sz w:val="24"/>
                <w:szCs w:val="24"/>
                <w:highlight w:val="none"/>
              </w:rPr>
            </w:pPr>
          </w:p>
        </w:tc>
        <w:tc>
          <w:tcPr>
            <w:tcW w:w="1525" w:type="dxa"/>
            <w:vAlign w:val="center"/>
          </w:tcPr>
          <w:p w14:paraId="66534460">
            <w:pPr>
              <w:jc w:val="center"/>
              <w:rPr>
                <w:color w:val="auto"/>
                <w:highlight w:val="none"/>
              </w:rPr>
            </w:pPr>
          </w:p>
        </w:tc>
        <w:tc>
          <w:tcPr>
            <w:tcW w:w="1348" w:type="dxa"/>
          </w:tcPr>
          <w:p w14:paraId="41D3D1F6">
            <w:pPr>
              <w:jc w:val="center"/>
              <w:rPr>
                <w:color w:val="auto"/>
                <w:highlight w:val="none"/>
              </w:rPr>
            </w:pPr>
          </w:p>
        </w:tc>
        <w:tc>
          <w:tcPr>
            <w:tcW w:w="1359" w:type="dxa"/>
            <w:vAlign w:val="center"/>
          </w:tcPr>
          <w:p w14:paraId="3CD2E841">
            <w:pPr>
              <w:jc w:val="center"/>
              <w:rPr>
                <w:color w:val="auto"/>
                <w:sz w:val="24"/>
                <w:szCs w:val="24"/>
                <w:highlight w:val="none"/>
              </w:rPr>
            </w:pPr>
          </w:p>
        </w:tc>
        <w:tc>
          <w:tcPr>
            <w:tcW w:w="1623" w:type="dxa"/>
            <w:vAlign w:val="center"/>
          </w:tcPr>
          <w:p w14:paraId="5B841848">
            <w:pPr>
              <w:jc w:val="center"/>
              <w:rPr>
                <w:color w:val="auto"/>
                <w:highlight w:val="none"/>
              </w:rPr>
            </w:pPr>
          </w:p>
        </w:tc>
        <w:tc>
          <w:tcPr>
            <w:tcW w:w="1633" w:type="dxa"/>
          </w:tcPr>
          <w:p w14:paraId="39233B03">
            <w:pPr>
              <w:jc w:val="center"/>
              <w:rPr>
                <w:color w:val="auto"/>
                <w:highlight w:val="none"/>
              </w:rPr>
            </w:pPr>
          </w:p>
        </w:tc>
      </w:tr>
      <w:tr w14:paraId="305451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tcPr>
          <w:p w14:paraId="0DAF3A84">
            <w:pPr>
              <w:jc w:val="center"/>
              <w:rPr>
                <w:color w:val="auto"/>
                <w:highlight w:val="none"/>
              </w:rPr>
            </w:pPr>
          </w:p>
        </w:tc>
        <w:tc>
          <w:tcPr>
            <w:tcW w:w="1525" w:type="dxa"/>
          </w:tcPr>
          <w:p w14:paraId="35E19C58">
            <w:pPr>
              <w:jc w:val="center"/>
              <w:rPr>
                <w:color w:val="auto"/>
                <w:highlight w:val="none"/>
              </w:rPr>
            </w:pPr>
          </w:p>
        </w:tc>
        <w:tc>
          <w:tcPr>
            <w:tcW w:w="1348" w:type="dxa"/>
          </w:tcPr>
          <w:p w14:paraId="1B5739CA">
            <w:pPr>
              <w:jc w:val="center"/>
              <w:rPr>
                <w:color w:val="auto"/>
                <w:highlight w:val="none"/>
              </w:rPr>
            </w:pPr>
          </w:p>
        </w:tc>
        <w:tc>
          <w:tcPr>
            <w:tcW w:w="1359" w:type="dxa"/>
          </w:tcPr>
          <w:p w14:paraId="714E7B85">
            <w:pPr>
              <w:jc w:val="center"/>
              <w:rPr>
                <w:color w:val="auto"/>
                <w:highlight w:val="none"/>
              </w:rPr>
            </w:pPr>
          </w:p>
        </w:tc>
        <w:tc>
          <w:tcPr>
            <w:tcW w:w="1623" w:type="dxa"/>
          </w:tcPr>
          <w:p w14:paraId="239F42BD">
            <w:pPr>
              <w:jc w:val="center"/>
              <w:rPr>
                <w:color w:val="auto"/>
                <w:highlight w:val="none"/>
              </w:rPr>
            </w:pPr>
          </w:p>
        </w:tc>
        <w:tc>
          <w:tcPr>
            <w:tcW w:w="1633" w:type="dxa"/>
          </w:tcPr>
          <w:p w14:paraId="1FB147BA">
            <w:pPr>
              <w:jc w:val="center"/>
              <w:rPr>
                <w:color w:val="auto"/>
                <w:highlight w:val="none"/>
              </w:rPr>
            </w:pPr>
          </w:p>
        </w:tc>
      </w:tr>
      <w:tr w14:paraId="409745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tcPr>
          <w:p w14:paraId="7DC56677">
            <w:pPr>
              <w:jc w:val="center"/>
              <w:rPr>
                <w:color w:val="auto"/>
                <w:highlight w:val="none"/>
              </w:rPr>
            </w:pPr>
          </w:p>
        </w:tc>
        <w:tc>
          <w:tcPr>
            <w:tcW w:w="1525" w:type="dxa"/>
          </w:tcPr>
          <w:p w14:paraId="7592AC28">
            <w:pPr>
              <w:jc w:val="center"/>
              <w:rPr>
                <w:color w:val="auto"/>
                <w:highlight w:val="none"/>
              </w:rPr>
            </w:pPr>
          </w:p>
        </w:tc>
        <w:tc>
          <w:tcPr>
            <w:tcW w:w="1348" w:type="dxa"/>
          </w:tcPr>
          <w:p w14:paraId="23BA8E25">
            <w:pPr>
              <w:jc w:val="center"/>
              <w:rPr>
                <w:color w:val="auto"/>
                <w:highlight w:val="none"/>
              </w:rPr>
            </w:pPr>
          </w:p>
        </w:tc>
        <w:tc>
          <w:tcPr>
            <w:tcW w:w="1359" w:type="dxa"/>
          </w:tcPr>
          <w:p w14:paraId="48545770">
            <w:pPr>
              <w:jc w:val="center"/>
              <w:rPr>
                <w:color w:val="auto"/>
                <w:highlight w:val="none"/>
              </w:rPr>
            </w:pPr>
          </w:p>
        </w:tc>
        <w:tc>
          <w:tcPr>
            <w:tcW w:w="1623" w:type="dxa"/>
          </w:tcPr>
          <w:p w14:paraId="1B5AD38E">
            <w:pPr>
              <w:jc w:val="center"/>
              <w:rPr>
                <w:color w:val="auto"/>
                <w:highlight w:val="none"/>
              </w:rPr>
            </w:pPr>
          </w:p>
        </w:tc>
        <w:tc>
          <w:tcPr>
            <w:tcW w:w="1633" w:type="dxa"/>
          </w:tcPr>
          <w:p w14:paraId="5DAD053B">
            <w:pPr>
              <w:jc w:val="center"/>
              <w:rPr>
                <w:color w:val="auto"/>
                <w:highlight w:val="none"/>
              </w:rPr>
            </w:pPr>
          </w:p>
        </w:tc>
      </w:tr>
    </w:tbl>
    <w:p w14:paraId="1BFE08C8">
      <w:pPr>
        <w:rPr>
          <w:color w:val="auto"/>
          <w:highlight w:val="none"/>
        </w:rPr>
      </w:pPr>
      <w:r>
        <w:rPr>
          <w:rFonts w:hint="eastAsia"/>
          <w:color w:val="auto"/>
          <w:highlight w:val="none"/>
        </w:rPr>
        <w:t>注：1.合同签订时，出具以上人员任命书，并附身份证、职业资格证书等复印件（两套）。</w:t>
      </w:r>
    </w:p>
    <w:p w14:paraId="44C272B4">
      <w:pPr>
        <w:jc w:val="center"/>
        <w:rPr>
          <w:color w:val="auto"/>
          <w:highlight w:val="none"/>
        </w:rPr>
      </w:pPr>
    </w:p>
    <w:p w14:paraId="148FF336">
      <w:pPr>
        <w:widowControl/>
        <w:jc w:val="left"/>
        <w:rPr>
          <w:color w:val="auto"/>
          <w:highlight w:val="none"/>
        </w:rPr>
      </w:pPr>
      <w:r>
        <w:rPr>
          <w:color w:val="auto"/>
          <w:highlight w:val="none"/>
        </w:rPr>
        <w:br w:type="page"/>
      </w:r>
    </w:p>
    <w:p w14:paraId="6833FEAE">
      <w:pPr>
        <w:jc w:val="center"/>
        <w:rPr>
          <w:color w:val="auto"/>
          <w:highlight w:val="none"/>
        </w:rPr>
      </w:pPr>
    </w:p>
    <w:p w14:paraId="0D3E21F6">
      <w:pPr>
        <w:jc w:val="center"/>
        <w:outlineLvl w:val="0"/>
        <w:rPr>
          <w:color w:val="auto"/>
          <w:highlight w:val="none"/>
        </w:rPr>
      </w:pPr>
      <w:bookmarkStart w:id="741" w:name="_Toc76398717"/>
      <w:r>
        <w:rPr>
          <w:rFonts w:hint="eastAsia"/>
          <w:color w:val="auto"/>
          <w:highlight w:val="none"/>
        </w:rPr>
        <w:t>附录 B 咨询人提交成果文件一览表</w:t>
      </w:r>
      <w:bookmarkEnd w:id="741"/>
    </w:p>
    <w:tbl>
      <w:tblPr>
        <w:tblStyle w:val="3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82"/>
        <w:gridCol w:w="1483"/>
        <w:gridCol w:w="1483"/>
        <w:gridCol w:w="1483"/>
        <w:gridCol w:w="1483"/>
        <w:gridCol w:w="1483"/>
      </w:tblGrid>
      <w:tr w14:paraId="58F735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tcPr>
          <w:p w14:paraId="1B1896A1">
            <w:pPr>
              <w:jc w:val="center"/>
              <w:rPr>
                <w:color w:val="auto"/>
                <w:highlight w:val="none"/>
              </w:rPr>
            </w:pPr>
            <w:r>
              <w:rPr>
                <w:rFonts w:hint="eastAsia"/>
                <w:color w:val="auto"/>
                <w:highlight w:val="none"/>
              </w:rPr>
              <w:t>服务阶段</w:t>
            </w:r>
          </w:p>
        </w:tc>
        <w:tc>
          <w:tcPr>
            <w:tcW w:w="1483" w:type="dxa"/>
          </w:tcPr>
          <w:p w14:paraId="4B6B1C0F">
            <w:pPr>
              <w:jc w:val="center"/>
              <w:rPr>
                <w:color w:val="auto"/>
                <w:highlight w:val="none"/>
              </w:rPr>
            </w:pPr>
            <w:r>
              <w:rPr>
                <w:rFonts w:hint="eastAsia"/>
                <w:color w:val="auto"/>
                <w:highlight w:val="none"/>
              </w:rPr>
              <w:t>成果文件名称</w:t>
            </w:r>
          </w:p>
        </w:tc>
        <w:tc>
          <w:tcPr>
            <w:tcW w:w="1483" w:type="dxa"/>
          </w:tcPr>
          <w:p w14:paraId="67F3611B">
            <w:pPr>
              <w:jc w:val="center"/>
              <w:rPr>
                <w:color w:val="auto"/>
                <w:highlight w:val="none"/>
              </w:rPr>
            </w:pPr>
            <w:r>
              <w:rPr>
                <w:rFonts w:hint="eastAsia"/>
                <w:color w:val="auto"/>
                <w:highlight w:val="none"/>
              </w:rPr>
              <w:t>成果文件组成</w:t>
            </w:r>
          </w:p>
        </w:tc>
        <w:tc>
          <w:tcPr>
            <w:tcW w:w="1483" w:type="dxa"/>
          </w:tcPr>
          <w:p w14:paraId="19813C7B">
            <w:pPr>
              <w:jc w:val="center"/>
              <w:rPr>
                <w:color w:val="auto"/>
                <w:highlight w:val="none"/>
              </w:rPr>
            </w:pPr>
            <w:r>
              <w:rPr>
                <w:rFonts w:hint="eastAsia"/>
                <w:color w:val="auto"/>
                <w:highlight w:val="none"/>
              </w:rPr>
              <w:t>提交时间</w:t>
            </w:r>
          </w:p>
        </w:tc>
        <w:tc>
          <w:tcPr>
            <w:tcW w:w="1483" w:type="dxa"/>
          </w:tcPr>
          <w:p w14:paraId="051221C9">
            <w:pPr>
              <w:jc w:val="center"/>
              <w:rPr>
                <w:color w:val="auto"/>
                <w:highlight w:val="none"/>
              </w:rPr>
            </w:pPr>
            <w:r>
              <w:rPr>
                <w:rFonts w:hint="eastAsia"/>
                <w:color w:val="auto"/>
                <w:highlight w:val="none"/>
              </w:rPr>
              <w:t>份数</w:t>
            </w:r>
          </w:p>
        </w:tc>
        <w:tc>
          <w:tcPr>
            <w:tcW w:w="1483" w:type="dxa"/>
          </w:tcPr>
          <w:p w14:paraId="2245E964">
            <w:pPr>
              <w:jc w:val="center"/>
              <w:rPr>
                <w:color w:val="auto"/>
                <w:highlight w:val="none"/>
              </w:rPr>
            </w:pPr>
            <w:r>
              <w:rPr>
                <w:rFonts w:hint="eastAsia"/>
                <w:color w:val="auto"/>
                <w:highlight w:val="none"/>
              </w:rPr>
              <w:t>质量标准</w:t>
            </w:r>
          </w:p>
        </w:tc>
      </w:tr>
      <w:tr w14:paraId="4276E9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restart"/>
            <w:vAlign w:val="center"/>
          </w:tcPr>
          <w:p w14:paraId="597358AC">
            <w:pPr>
              <w:jc w:val="center"/>
              <w:rPr>
                <w:color w:val="auto"/>
                <w:highlight w:val="none"/>
              </w:rPr>
            </w:pPr>
            <w:r>
              <w:rPr>
                <w:rFonts w:hint="eastAsia"/>
                <w:color w:val="auto"/>
                <w:highlight w:val="none"/>
              </w:rPr>
              <w:t>实施阶段</w:t>
            </w:r>
          </w:p>
        </w:tc>
        <w:tc>
          <w:tcPr>
            <w:tcW w:w="1483" w:type="dxa"/>
            <w:vAlign w:val="center"/>
          </w:tcPr>
          <w:p w14:paraId="1D5EDD93">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全过程造价咨询控制方案</w:t>
            </w:r>
          </w:p>
        </w:tc>
        <w:tc>
          <w:tcPr>
            <w:tcW w:w="1483" w:type="dxa"/>
            <w:vAlign w:val="center"/>
          </w:tcPr>
          <w:p w14:paraId="72139D72">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全过程造价咨询控制方案</w:t>
            </w:r>
          </w:p>
        </w:tc>
        <w:tc>
          <w:tcPr>
            <w:tcW w:w="1483" w:type="dxa"/>
            <w:vAlign w:val="center"/>
          </w:tcPr>
          <w:p w14:paraId="36000130">
            <w:pPr>
              <w:jc w:val="center"/>
              <w:rPr>
                <w:rFonts w:asciiTheme="minorEastAsia" w:hAnsiTheme="minorEastAsia"/>
                <w:color w:val="auto"/>
                <w:szCs w:val="21"/>
                <w:highlight w:val="none"/>
              </w:rPr>
            </w:pPr>
            <w:r>
              <w:rPr>
                <w:rFonts w:hint="eastAsia" w:asciiTheme="minorEastAsia" w:hAnsiTheme="minorEastAsia"/>
                <w:color w:val="auto"/>
                <w:szCs w:val="21"/>
                <w:highlight w:val="none"/>
              </w:rPr>
              <w:t>项目开工前</w:t>
            </w:r>
          </w:p>
        </w:tc>
        <w:tc>
          <w:tcPr>
            <w:tcW w:w="1483" w:type="dxa"/>
            <w:vAlign w:val="center"/>
          </w:tcPr>
          <w:p w14:paraId="6B5CA45D">
            <w:pPr>
              <w:jc w:val="center"/>
              <w:rPr>
                <w:rFonts w:asciiTheme="minorEastAsia" w:hAnsiTheme="minorEastAsia"/>
                <w:color w:val="auto"/>
                <w:szCs w:val="21"/>
                <w:highlight w:val="none"/>
              </w:rPr>
            </w:pPr>
          </w:p>
        </w:tc>
        <w:tc>
          <w:tcPr>
            <w:tcW w:w="1483" w:type="dxa"/>
            <w:vAlign w:val="center"/>
          </w:tcPr>
          <w:p w14:paraId="31298A09">
            <w:pPr>
              <w:jc w:val="center"/>
              <w:rPr>
                <w:rFonts w:asciiTheme="minorEastAsia" w:hAnsiTheme="minorEastAsia"/>
                <w:color w:val="auto"/>
                <w:szCs w:val="21"/>
                <w:highlight w:val="none"/>
              </w:rPr>
            </w:pPr>
          </w:p>
        </w:tc>
      </w:tr>
      <w:tr w14:paraId="3D48D2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531960B9">
            <w:pPr>
              <w:jc w:val="center"/>
              <w:rPr>
                <w:color w:val="auto"/>
                <w:highlight w:val="none"/>
              </w:rPr>
            </w:pPr>
          </w:p>
        </w:tc>
        <w:tc>
          <w:tcPr>
            <w:tcW w:w="1483" w:type="dxa"/>
            <w:vAlign w:val="center"/>
          </w:tcPr>
          <w:p w14:paraId="25533387">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收方签证单</w:t>
            </w:r>
          </w:p>
        </w:tc>
        <w:tc>
          <w:tcPr>
            <w:tcW w:w="1483" w:type="dxa"/>
            <w:vAlign w:val="center"/>
          </w:tcPr>
          <w:p w14:paraId="36621651">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收方单、签证单</w:t>
            </w:r>
          </w:p>
        </w:tc>
        <w:tc>
          <w:tcPr>
            <w:tcW w:w="1483" w:type="dxa"/>
            <w:vAlign w:val="center"/>
          </w:tcPr>
          <w:p w14:paraId="53F9DD53">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施工单位提交收方签证单之日起三日内</w:t>
            </w:r>
          </w:p>
        </w:tc>
        <w:tc>
          <w:tcPr>
            <w:tcW w:w="1483" w:type="dxa"/>
            <w:vAlign w:val="center"/>
          </w:tcPr>
          <w:p w14:paraId="0237E8D4">
            <w:pPr>
              <w:jc w:val="center"/>
              <w:rPr>
                <w:rFonts w:asciiTheme="minorEastAsia" w:hAnsiTheme="minorEastAsia"/>
                <w:color w:val="auto"/>
                <w:szCs w:val="21"/>
                <w:highlight w:val="none"/>
              </w:rPr>
            </w:pPr>
          </w:p>
        </w:tc>
        <w:tc>
          <w:tcPr>
            <w:tcW w:w="1483" w:type="dxa"/>
            <w:vAlign w:val="center"/>
          </w:tcPr>
          <w:p w14:paraId="18052CFA">
            <w:pPr>
              <w:jc w:val="center"/>
              <w:rPr>
                <w:rFonts w:asciiTheme="minorEastAsia" w:hAnsiTheme="minorEastAsia"/>
                <w:color w:val="auto"/>
                <w:szCs w:val="21"/>
                <w:highlight w:val="none"/>
              </w:rPr>
            </w:pPr>
          </w:p>
        </w:tc>
      </w:tr>
      <w:tr w14:paraId="081323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7443C5E4">
            <w:pPr>
              <w:jc w:val="center"/>
              <w:rPr>
                <w:color w:val="auto"/>
                <w:highlight w:val="none"/>
              </w:rPr>
            </w:pPr>
          </w:p>
        </w:tc>
        <w:tc>
          <w:tcPr>
            <w:tcW w:w="1483" w:type="dxa"/>
            <w:vAlign w:val="center"/>
          </w:tcPr>
          <w:p w14:paraId="5D76C886">
            <w:pPr>
              <w:jc w:val="center"/>
              <w:rPr>
                <w:rFonts w:asciiTheme="minorEastAsia" w:hAnsiTheme="minorEastAsia"/>
                <w:color w:val="auto"/>
                <w:szCs w:val="21"/>
                <w:highlight w:val="none"/>
              </w:rPr>
            </w:pPr>
            <w:r>
              <w:rPr>
                <w:rFonts w:hint="eastAsia" w:asciiTheme="minorEastAsia" w:hAnsiTheme="minorEastAsia"/>
                <w:color w:val="auto"/>
                <w:szCs w:val="21"/>
                <w:highlight w:val="none"/>
              </w:rPr>
              <w:t>认质核价单</w:t>
            </w:r>
          </w:p>
        </w:tc>
        <w:tc>
          <w:tcPr>
            <w:tcW w:w="1483" w:type="dxa"/>
            <w:vAlign w:val="center"/>
          </w:tcPr>
          <w:p w14:paraId="7191B1B5">
            <w:pPr>
              <w:jc w:val="center"/>
              <w:rPr>
                <w:rFonts w:asciiTheme="minorEastAsia" w:hAnsiTheme="minorEastAsia"/>
                <w:color w:val="auto"/>
                <w:szCs w:val="21"/>
                <w:highlight w:val="none"/>
              </w:rPr>
            </w:pPr>
            <w:r>
              <w:rPr>
                <w:rFonts w:hint="eastAsia" w:asciiTheme="minorEastAsia" w:hAnsiTheme="minorEastAsia"/>
                <w:color w:val="auto"/>
                <w:szCs w:val="21"/>
                <w:highlight w:val="none"/>
              </w:rPr>
              <w:t>认质核价单</w:t>
            </w:r>
          </w:p>
        </w:tc>
        <w:tc>
          <w:tcPr>
            <w:tcW w:w="1483" w:type="dxa"/>
            <w:vAlign w:val="center"/>
          </w:tcPr>
          <w:p w14:paraId="0B6012BD">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施工单位提交认质核价单之日起七日内</w:t>
            </w:r>
          </w:p>
        </w:tc>
        <w:tc>
          <w:tcPr>
            <w:tcW w:w="1483" w:type="dxa"/>
            <w:vAlign w:val="center"/>
          </w:tcPr>
          <w:p w14:paraId="6B71E0BD">
            <w:pPr>
              <w:jc w:val="center"/>
              <w:rPr>
                <w:rFonts w:asciiTheme="minorEastAsia" w:hAnsiTheme="minorEastAsia"/>
                <w:color w:val="auto"/>
                <w:szCs w:val="21"/>
                <w:highlight w:val="none"/>
              </w:rPr>
            </w:pPr>
          </w:p>
        </w:tc>
        <w:tc>
          <w:tcPr>
            <w:tcW w:w="1483" w:type="dxa"/>
            <w:vAlign w:val="center"/>
          </w:tcPr>
          <w:p w14:paraId="3A883308">
            <w:pPr>
              <w:jc w:val="center"/>
              <w:rPr>
                <w:rFonts w:asciiTheme="minorEastAsia" w:hAnsiTheme="minorEastAsia"/>
                <w:color w:val="auto"/>
                <w:szCs w:val="21"/>
                <w:highlight w:val="none"/>
              </w:rPr>
            </w:pPr>
          </w:p>
        </w:tc>
      </w:tr>
      <w:tr w14:paraId="42C895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018C3561">
            <w:pPr>
              <w:jc w:val="center"/>
              <w:rPr>
                <w:color w:val="auto"/>
                <w:highlight w:val="none"/>
              </w:rPr>
            </w:pPr>
          </w:p>
        </w:tc>
        <w:tc>
          <w:tcPr>
            <w:tcW w:w="1483" w:type="dxa"/>
            <w:vAlign w:val="center"/>
          </w:tcPr>
          <w:p w14:paraId="2812F40A">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变更核算</w:t>
            </w:r>
          </w:p>
        </w:tc>
        <w:tc>
          <w:tcPr>
            <w:tcW w:w="1483" w:type="dxa"/>
            <w:vAlign w:val="center"/>
          </w:tcPr>
          <w:p w14:paraId="2CC1734B">
            <w:pPr>
              <w:rPr>
                <w:rFonts w:asciiTheme="minorEastAsia" w:hAnsiTheme="minorEastAsia"/>
                <w:color w:val="auto"/>
                <w:szCs w:val="21"/>
                <w:highlight w:val="none"/>
              </w:rPr>
            </w:pPr>
            <w:r>
              <w:rPr>
                <w:rFonts w:hint="eastAsia" w:asciiTheme="minorEastAsia" w:hAnsiTheme="minorEastAsia"/>
                <w:color w:val="auto"/>
                <w:szCs w:val="21"/>
                <w:highlight w:val="none"/>
              </w:rPr>
              <w:t>预算书</w:t>
            </w:r>
          </w:p>
        </w:tc>
        <w:tc>
          <w:tcPr>
            <w:tcW w:w="1483" w:type="dxa"/>
            <w:vAlign w:val="center"/>
          </w:tcPr>
          <w:p w14:paraId="00A8AAB5">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施工单位提交变更预算书之日起七日内</w:t>
            </w:r>
          </w:p>
        </w:tc>
        <w:tc>
          <w:tcPr>
            <w:tcW w:w="1483" w:type="dxa"/>
            <w:vAlign w:val="center"/>
          </w:tcPr>
          <w:p w14:paraId="6FB44F79">
            <w:pPr>
              <w:jc w:val="center"/>
              <w:rPr>
                <w:rFonts w:asciiTheme="minorEastAsia" w:hAnsiTheme="minorEastAsia"/>
                <w:color w:val="auto"/>
                <w:szCs w:val="21"/>
                <w:highlight w:val="none"/>
              </w:rPr>
            </w:pPr>
          </w:p>
        </w:tc>
        <w:tc>
          <w:tcPr>
            <w:tcW w:w="1483" w:type="dxa"/>
            <w:vAlign w:val="center"/>
          </w:tcPr>
          <w:p w14:paraId="0F15C4E8">
            <w:pPr>
              <w:jc w:val="center"/>
              <w:rPr>
                <w:rFonts w:asciiTheme="minorEastAsia" w:hAnsiTheme="minorEastAsia"/>
                <w:color w:val="auto"/>
                <w:szCs w:val="21"/>
                <w:highlight w:val="none"/>
              </w:rPr>
            </w:pPr>
          </w:p>
        </w:tc>
      </w:tr>
      <w:tr w14:paraId="0FA9C9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4C6307B5">
            <w:pPr>
              <w:jc w:val="center"/>
              <w:rPr>
                <w:color w:val="auto"/>
                <w:highlight w:val="none"/>
              </w:rPr>
            </w:pPr>
          </w:p>
        </w:tc>
        <w:tc>
          <w:tcPr>
            <w:tcW w:w="1483" w:type="dxa"/>
            <w:vAlign w:val="center"/>
          </w:tcPr>
          <w:p w14:paraId="460A95D1">
            <w:pPr>
              <w:jc w:val="center"/>
              <w:rPr>
                <w:rFonts w:asciiTheme="minorEastAsia" w:hAnsiTheme="minorEastAsia"/>
                <w:color w:val="auto"/>
                <w:szCs w:val="21"/>
                <w:highlight w:val="none"/>
              </w:rPr>
            </w:pPr>
            <w:r>
              <w:rPr>
                <w:rFonts w:hint="eastAsia" w:asciiTheme="minorEastAsia" w:hAnsiTheme="minorEastAsia"/>
                <w:color w:val="auto"/>
                <w:szCs w:val="21"/>
                <w:highlight w:val="none"/>
              </w:rPr>
              <w:t>进度款支付情况表</w:t>
            </w:r>
          </w:p>
        </w:tc>
        <w:tc>
          <w:tcPr>
            <w:tcW w:w="1483" w:type="dxa"/>
            <w:vAlign w:val="center"/>
          </w:tcPr>
          <w:p w14:paraId="284B38C7">
            <w:pPr>
              <w:jc w:val="center"/>
              <w:rPr>
                <w:rFonts w:asciiTheme="minorEastAsia" w:hAnsiTheme="minorEastAsia"/>
                <w:color w:val="auto"/>
                <w:szCs w:val="21"/>
                <w:highlight w:val="none"/>
              </w:rPr>
            </w:pPr>
            <w:r>
              <w:rPr>
                <w:rFonts w:hint="eastAsia" w:asciiTheme="minorEastAsia" w:hAnsiTheme="minorEastAsia"/>
                <w:color w:val="auto"/>
                <w:szCs w:val="21"/>
                <w:highlight w:val="none"/>
              </w:rPr>
              <w:t>进度款审批表及附件</w:t>
            </w:r>
          </w:p>
        </w:tc>
        <w:tc>
          <w:tcPr>
            <w:tcW w:w="1483" w:type="dxa"/>
            <w:vAlign w:val="center"/>
          </w:tcPr>
          <w:p w14:paraId="4EA4BA3D">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施工单位提交进度款支付申请之日起七日内</w:t>
            </w:r>
          </w:p>
        </w:tc>
        <w:tc>
          <w:tcPr>
            <w:tcW w:w="1483" w:type="dxa"/>
            <w:vAlign w:val="center"/>
          </w:tcPr>
          <w:p w14:paraId="529F8BBB">
            <w:pPr>
              <w:jc w:val="center"/>
              <w:rPr>
                <w:rFonts w:asciiTheme="minorEastAsia" w:hAnsiTheme="minorEastAsia"/>
                <w:color w:val="auto"/>
                <w:szCs w:val="21"/>
                <w:highlight w:val="none"/>
              </w:rPr>
            </w:pPr>
          </w:p>
        </w:tc>
        <w:tc>
          <w:tcPr>
            <w:tcW w:w="1483" w:type="dxa"/>
            <w:vAlign w:val="center"/>
          </w:tcPr>
          <w:p w14:paraId="0845AF3B">
            <w:pPr>
              <w:jc w:val="center"/>
              <w:rPr>
                <w:rFonts w:asciiTheme="minorEastAsia" w:hAnsiTheme="minorEastAsia"/>
                <w:color w:val="auto"/>
                <w:szCs w:val="21"/>
                <w:highlight w:val="none"/>
              </w:rPr>
            </w:pPr>
          </w:p>
        </w:tc>
      </w:tr>
      <w:tr w14:paraId="723E5A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0C0B6BC1">
            <w:pPr>
              <w:jc w:val="center"/>
              <w:rPr>
                <w:color w:val="auto"/>
                <w:highlight w:val="none"/>
              </w:rPr>
            </w:pPr>
          </w:p>
        </w:tc>
        <w:tc>
          <w:tcPr>
            <w:tcW w:w="1483" w:type="dxa"/>
            <w:vAlign w:val="center"/>
          </w:tcPr>
          <w:p w14:paraId="7E9C211A">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月度情况报告书</w:t>
            </w:r>
          </w:p>
        </w:tc>
        <w:tc>
          <w:tcPr>
            <w:tcW w:w="1483" w:type="dxa"/>
            <w:vAlign w:val="center"/>
          </w:tcPr>
          <w:p w14:paraId="39E8E283">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月度情况报告书</w:t>
            </w:r>
          </w:p>
        </w:tc>
        <w:tc>
          <w:tcPr>
            <w:tcW w:w="1483" w:type="dxa"/>
            <w:vAlign w:val="center"/>
          </w:tcPr>
          <w:p w14:paraId="2DBF0CE4">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每月28号</w:t>
            </w:r>
          </w:p>
        </w:tc>
        <w:tc>
          <w:tcPr>
            <w:tcW w:w="1483" w:type="dxa"/>
            <w:vAlign w:val="center"/>
          </w:tcPr>
          <w:p w14:paraId="756D1CEB">
            <w:pPr>
              <w:jc w:val="center"/>
              <w:rPr>
                <w:rFonts w:asciiTheme="minorEastAsia" w:hAnsiTheme="minorEastAsia"/>
                <w:color w:val="auto"/>
                <w:szCs w:val="21"/>
                <w:highlight w:val="none"/>
              </w:rPr>
            </w:pPr>
          </w:p>
        </w:tc>
        <w:tc>
          <w:tcPr>
            <w:tcW w:w="1483" w:type="dxa"/>
            <w:vAlign w:val="center"/>
          </w:tcPr>
          <w:p w14:paraId="2DBFCB1E">
            <w:pPr>
              <w:jc w:val="center"/>
              <w:rPr>
                <w:rFonts w:asciiTheme="minorEastAsia" w:hAnsiTheme="minorEastAsia"/>
                <w:color w:val="auto"/>
                <w:szCs w:val="21"/>
                <w:highlight w:val="none"/>
              </w:rPr>
            </w:pPr>
          </w:p>
        </w:tc>
      </w:tr>
      <w:tr w14:paraId="1B115A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4C86A854">
            <w:pPr>
              <w:jc w:val="center"/>
              <w:rPr>
                <w:color w:val="auto"/>
                <w:highlight w:val="none"/>
              </w:rPr>
            </w:pPr>
          </w:p>
        </w:tc>
        <w:tc>
          <w:tcPr>
            <w:tcW w:w="1483" w:type="dxa"/>
            <w:vAlign w:val="center"/>
          </w:tcPr>
          <w:p w14:paraId="4423A476">
            <w:pPr>
              <w:jc w:val="center"/>
              <w:rPr>
                <w:rFonts w:asciiTheme="minorEastAsia" w:hAnsiTheme="minorEastAsia"/>
                <w:color w:val="auto"/>
                <w:szCs w:val="21"/>
                <w:highlight w:val="none"/>
              </w:rPr>
            </w:pPr>
          </w:p>
        </w:tc>
        <w:tc>
          <w:tcPr>
            <w:tcW w:w="1483" w:type="dxa"/>
            <w:vAlign w:val="center"/>
          </w:tcPr>
          <w:p w14:paraId="3B4E8C25">
            <w:pPr>
              <w:jc w:val="center"/>
              <w:rPr>
                <w:rFonts w:asciiTheme="minorEastAsia" w:hAnsiTheme="minorEastAsia"/>
                <w:color w:val="auto"/>
                <w:szCs w:val="21"/>
                <w:highlight w:val="none"/>
              </w:rPr>
            </w:pPr>
          </w:p>
        </w:tc>
        <w:tc>
          <w:tcPr>
            <w:tcW w:w="1483" w:type="dxa"/>
            <w:vAlign w:val="center"/>
          </w:tcPr>
          <w:p w14:paraId="34E80765">
            <w:pPr>
              <w:jc w:val="center"/>
              <w:rPr>
                <w:rFonts w:asciiTheme="minorEastAsia" w:hAnsiTheme="minorEastAsia"/>
                <w:color w:val="auto"/>
                <w:szCs w:val="21"/>
                <w:highlight w:val="none"/>
              </w:rPr>
            </w:pPr>
          </w:p>
        </w:tc>
        <w:tc>
          <w:tcPr>
            <w:tcW w:w="1483" w:type="dxa"/>
            <w:vAlign w:val="center"/>
          </w:tcPr>
          <w:p w14:paraId="136FD796">
            <w:pPr>
              <w:jc w:val="center"/>
              <w:rPr>
                <w:rFonts w:asciiTheme="minorEastAsia" w:hAnsiTheme="minorEastAsia"/>
                <w:color w:val="auto"/>
                <w:szCs w:val="21"/>
                <w:highlight w:val="none"/>
              </w:rPr>
            </w:pPr>
          </w:p>
        </w:tc>
        <w:tc>
          <w:tcPr>
            <w:tcW w:w="1483" w:type="dxa"/>
            <w:vAlign w:val="center"/>
          </w:tcPr>
          <w:p w14:paraId="70FF1017">
            <w:pPr>
              <w:jc w:val="center"/>
              <w:rPr>
                <w:rFonts w:asciiTheme="minorEastAsia" w:hAnsiTheme="minorEastAsia"/>
                <w:color w:val="auto"/>
                <w:szCs w:val="21"/>
                <w:highlight w:val="none"/>
              </w:rPr>
            </w:pPr>
          </w:p>
        </w:tc>
      </w:tr>
      <w:tr w14:paraId="245F28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2675B045">
            <w:pPr>
              <w:jc w:val="center"/>
              <w:rPr>
                <w:color w:val="auto"/>
                <w:highlight w:val="none"/>
              </w:rPr>
            </w:pPr>
          </w:p>
        </w:tc>
        <w:tc>
          <w:tcPr>
            <w:tcW w:w="1483" w:type="dxa"/>
            <w:vAlign w:val="center"/>
          </w:tcPr>
          <w:p w14:paraId="4D9761CF">
            <w:pPr>
              <w:jc w:val="center"/>
              <w:rPr>
                <w:rFonts w:asciiTheme="minorEastAsia" w:hAnsiTheme="minorEastAsia"/>
                <w:color w:val="auto"/>
                <w:szCs w:val="21"/>
                <w:highlight w:val="none"/>
              </w:rPr>
            </w:pPr>
          </w:p>
        </w:tc>
        <w:tc>
          <w:tcPr>
            <w:tcW w:w="1483" w:type="dxa"/>
            <w:vAlign w:val="center"/>
          </w:tcPr>
          <w:p w14:paraId="1E9871DA">
            <w:pPr>
              <w:jc w:val="center"/>
              <w:rPr>
                <w:rFonts w:asciiTheme="minorEastAsia" w:hAnsiTheme="minorEastAsia"/>
                <w:color w:val="auto"/>
                <w:szCs w:val="21"/>
                <w:highlight w:val="none"/>
              </w:rPr>
            </w:pPr>
          </w:p>
        </w:tc>
        <w:tc>
          <w:tcPr>
            <w:tcW w:w="1483" w:type="dxa"/>
            <w:vAlign w:val="center"/>
          </w:tcPr>
          <w:p w14:paraId="3387DAEC">
            <w:pPr>
              <w:jc w:val="center"/>
              <w:rPr>
                <w:rFonts w:asciiTheme="minorEastAsia" w:hAnsiTheme="minorEastAsia"/>
                <w:color w:val="auto"/>
                <w:szCs w:val="21"/>
                <w:highlight w:val="none"/>
              </w:rPr>
            </w:pPr>
          </w:p>
        </w:tc>
        <w:tc>
          <w:tcPr>
            <w:tcW w:w="1483" w:type="dxa"/>
            <w:vAlign w:val="center"/>
          </w:tcPr>
          <w:p w14:paraId="09F6D9D2">
            <w:pPr>
              <w:jc w:val="center"/>
              <w:rPr>
                <w:rFonts w:asciiTheme="minorEastAsia" w:hAnsiTheme="minorEastAsia"/>
                <w:color w:val="auto"/>
                <w:szCs w:val="21"/>
                <w:highlight w:val="none"/>
              </w:rPr>
            </w:pPr>
          </w:p>
        </w:tc>
        <w:tc>
          <w:tcPr>
            <w:tcW w:w="1483" w:type="dxa"/>
            <w:vAlign w:val="center"/>
          </w:tcPr>
          <w:p w14:paraId="7CCDB53B">
            <w:pPr>
              <w:jc w:val="center"/>
              <w:rPr>
                <w:rFonts w:asciiTheme="minorEastAsia" w:hAnsiTheme="minorEastAsia"/>
                <w:color w:val="auto"/>
                <w:szCs w:val="21"/>
                <w:highlight w:val="none"/>
              </w:rPr>
            </w:pPr>
          </w:p>
        </w:tc>
      </w:tr>
      <w:tr w14:paraId="74C3D2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7B710FD5">
            <w:pPr>
              <w:jc w:val="center"/>
              <w:rPr>
                <w:color w:val="auto"/>
                <w:highlight w:val="none"/>
              </w:rPr>
            </w:pPr>
          </w:p>
        </w:tc>
        <w:tc>
          <w:tcPr>
            <w:tcW w:w="1483" w:type="dxa"/>
            <w:vAlign w:val="center"/>
          </w:tcPr>
          <w:p w14:paraId="2C76835C">
            <w:pPr>
              <w:jc w:val="center"/>
              <w:rPr>
                <w:rFonts w:asciiTheme="minorEastAsia" w:hAnsiTheme="minorEastAsia"/>
                <w:color w:val="auto"/>
                <w:szCs w:val="21"/>
                <w:highlight w:val="none"/>
              </w:rPr>
            </w:pPr>
          </w:p>
        </w:tc>
        <w:tc>
          <w:tcPr>
            <w:tcW w:w="1483" w:type="dxa"/>
            <w:vAlign w:val="center"/>
          </w:tcPr>
          <w:p w14:paraId="39030EBC">
            <w:pPr>
              <w:jc w:val="center"/>
              <w:rPr>
                <w:rFonts w:asciiTheme="minorEastAsia" w:hAnsiTheme="minorEastAsia"/>
                <w:color w:val="auto"/>
                <w:szCs w:val="21"/>
                <w:highlight w:val="none"/>
              </w:rPr>
            </w:pPr>
          </w:p>
        </w:tc>
        <w:tc>
          <w:tcPr>
            <w:tcW w:w="1483" w:type="dxa"/>
            <w:vAlign w:val="center"/>
          </w:tcPr>
          <w:p w14:paraId="2A9B6393">
            <w:pPr>
              <w:jc w:val="center"/>
              <w:rPr>
                <w:rFonts w:asciiTheme="minorEastAsia" w:hAnsiTheme="minorEastAsia"/>
                <w:color w:val="auto"/>
                <w:szCs w:val="21"/>
                <w:highlight w:val="none"/>
              </w:rPr>
            </w:pPr>
          </w:p>
        </w:tc>
        <w:tc>
          <w:tcPr>
            <w:tcW w:w="1483" w:type="dxa"/>
            <w:vAlign w:val="center"/>
          </w:tcPr>
          <w:p w14:paraId="017C03F1">
            <w:pPr>
              <w:jc w:val="center"/>
              <w:rPr>
                <w:rFonts w:asciiTheme="minorEastAsia" w:hAnsiTheme="minorEastAsia"/>
                <w:color w:val="auto"/>
                <w:szCs w:val="21"/>
                <w:highlight w:val="none"/>
              </w:rPr>
            </w:pPr>
          </w:p>
        </w:tc>
        <w:tc>
          <w:tcPr>
            <w:tcW w:w="1483" w:type="dxa"/>
            <w:vAlign w:val="center"/>
          </w:tcPr>
          <w:p w14:paraId="61E5C160">
            <w:pPr>
              <w:jc w:val="center"/>
              <w:rPr>
                <w:rFonts w:asciiTheme="minorEastAsia" w:hAnsiTheme="minorEastAsia"/>
                <w:color w:val="auto"/>
                <w:szCs w:val="21"/>
                <w:highlight w:val="none"/>
              </w:rPr>
            </w:pPr>
          </w:p>
        </w:tc>
      </w:tr>
      <w:tr w14:paraId="6E02EB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5A427C4C">
            <w:pPr>
              <w:jc w:val="center"/>
              <w:rPr>
                <w:color w:val="auto"/>
                <w:highlight w:val="none"/>
              </w:rPr>
            </w:pPr>
          </w:p>
        </w:tc>
        <w:tc>
          <w:tcPr>
            <w:tcW w:w="1483" w:type="dxa"/>
            <w:vAlign w:val="center"/>
          </w:tcPr>
          <w:p w14:paraId="27DBD631">
            <w:pPr>
              <w:jc w:val="center"/>
              <w:rPr>
                <w:rFonts w:asciiTheme="minorEastAsia" w:hAnsiTheme="minorEastAsia"/>
                <w:color w:val="auto"/>
                <w:szCs w:val="21"/>
                <w:highlight w:val="none"/>
              </w:rPr>
            </w:pPr>
          </w:p>
        </w:tc>
        <w:tc>
          <w:tcPr>
            <w:tcW w:w="1483" w:type="dxa"/>
            <w:vAlign w:val="center"/>
          </w:tcPr>
          <w:p w14:paraId="4747AD1C">
            <w:pPr>
              <w:jc w:val="center"/>
              <w:rPr>
                <w:rFonts w:asciiTheme="minorEastAsia" w:hAnsiTheme="minorEastAsia"/>
                <w:color w:val="auto"/>
                <w:szCs w:val="21"/>
                <w:highlight w:val="none"/>
              </w:rPr>
            </w:pPr>
          </w:p>
        </w:tc>
        <w:tc>
          <w:tcPr>
            <w:tcW w:w="1483" w:type="dxa"/>
            <w:vAlign w:val="center"/>
          </w:tcPr>
          <w:p w14:paraId="2C744C07">
            <w:pPr>
              <w:jc w:val="center"/>
              <w:rPr>
                <w:rFonts w:asciiTheme="minorEastAsia" w:hAnsiTheme="minorEastAsia"/>
                <w:color w:val="auto"/>
                <w:szCs w:val="21"/>
                <w:highlight w:val="none"/>
              </w:rPr>
            </w:pPr>
          </w:p>
        </w:tc>
        <w:tc>
          <w:tcPr>
            <w:tcW w:w="1483" w:type="dxa"/>
            <w:vAlign w:val="center"/>
          </w:tcPr>
          <w:p w14:paraId="079765CD">
            <w:pPr>
              <w:jc w:val="center"/>
              <w:rPr>
                <w:rFonts w:asciiTheme="minorEastAsia" w:hAnsiTheme="minorEastAsia"/>
                <w:color w:val="auto"/>
                <w:szCs w:val="21"/>
                <w:highlight w:val="none"/>
              </w:rPr>
            </w:pPr>
          </w:p>
        </w:tc>
        <w:tc>
          <w:tcPr>
            <w:tcW w:w="1483" w:type="dxa"/>
            <w:vAlign w:val="center"/>
          </w:tcPr>
          <w:p w14:paraId="0A3A803E">
            <w:pPr>
              <w:jc w:val="center"/>
              <w:rPr>
                <w:rFonts w:asciiTheme="minorEastAsia" w:hAnsiTheme="minorEastAsia"/>
                <w:color w:val="auto"/>
                <w:szCs w:val="21"/>
                <w:highlight w:val="none"/>
              </w:rPr>
            </w:pPr>
          </w:p>
        </w:tc>
      </w:tr>
      <w:tr w14:paraId="3C7158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6B241D8C">
            <w:pPr>
              <w:jc w:val="center"/>
              <w:rPr>
                <w:color w:val="auto"/>
                <w:highlight w:val="none"/>
              </w:rPr>
            </w:pPr>
          </w:p>
        </w:tc>
        <w:tc>
          <w:tcPr>
            <w:tcW w:w="1483" w:type="dxa"/>
            <w:vAlign w:val="center"/>
          </w:tcPr>
          <w:p w14:paraId="4692A5EA">
            <w:pPr>
              <w:jc w:val="center"/>
              <w:rPr>
                <w:rFonts w:asciiTheme="minorEastAsia" w:hAnsiTheme="minorEastAsia"/>
                <w:color w:val="auto"/>
                <w:szCs w:val="21"/>
                <w:highlight w:val="none"/>
              </w:rPr>
            </w:pPr>
          </w:p>
        </w:tc>
        <w:tc>
          <w:tcPr>
            <w:tcW w:w="1483" w:type="dxa"/>
            <w:vAlign w:val="center"/>
          </w:tcPr>
          <w:p w14:paraId="2391A2EC">
            <w:pPr>
              <w:jc w:val="center"/>
              <w:rPr>
                <w:rFonts w:asciiTheme="minorEastAsia" w:hAnsiTheme="minorEastAsia"/>
                <w:color w:val="auto"/>
                <w:szCs w:val="21"/>
                <w:highlight w:val="none"/>
              </w:rPr>
            </w:pPr>
          </w:p>
        </w:tc>
        <w:tc>
          <w:tcPr>
            <w:tcW w:w="1483" w:type="dxa"/>
            <w:vAlign w:val="center"/>
          </w:tcPr>
          <w:p w14:paraId="763EFD68">
            <w:pPr>
              <w:jc w:val="center"/>
              <w:rPr>
                <w:rFonts w:asciiTheme="minorEastAsia" w:hAnsiTheme="minorEastAsia"/>
                <w:color w:val="auto"/>
                <w:szCs w:val="21"/>
                <w:highlight w:val="none"/>
              </w:rPr>
            </w:pPr>
          </w:p>
        </w:tc>
        <w:tc>
          <w:tcPr>
            <w:tcW w:w="1483" w:type="dxa"/>
            <w:vAlign w:val="center"/>
          </w:tcPr>
          <w:p w14:paraId="262D1E43">
            <w:pPr>
              <w:jc w:val="center"/>
              <w:rPr>
                <w:rFonts w:asciiTheme="minorEastAsia" w:hAnsiTheme="minorEastAsia"/>
                <w:color w:val="auto"/>
                <w:szCs w:val="21"/>
                <w:highlight w:val="none"/>
              </w:rPr>
            </w:pPr>
          </w:p>
        </w:tc>
        <w:tc>
          <w:tcPr>
            <w:tcW w:w="1483" w:type="dxa"/>
            <w:vAlign w:val="center"/>
          </w:tcPr>
          <w:p w14:paraId="74531DBF">
            <w:pPr>
              <w:jc w:val="center"/>
              <w:rPr>
                <w:rFonts w:asciiTheme="minorEastAsia" w:hAnsiTheme="minorEastAsia"/>
                <w:color w:val="auto"/>
                <w:szCs w:val="21"/>
                <w:highlight w:val="none"/>
              </w:rPr>
            </w:pPr>
          </w:p>
        </w:tc>
      </w:tr>
      <w:tr w14:paraId="4AA447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restart"/>
            <w:vAlign w:val="center"/>
          </w:tcPr>
          <w:p w14:paraId="3ED7F73F">
            <w:pPr>
              <w:jc w:val="center"/>
              <w:rPr>
                <w:color w:val="auto"/>
                <w:highlight w:val="none"/>
              </w:rPr>
            </w:pPr>
            <w:r>
              <w:rPr>
                <w:rFonts w:hint="eastAsia"/>
                <w:color w:val="auto"/>
                <w:highlight w:val="none"/>
              </w:rPr>
              <w:t>竣工阶段</w:t>
            </w:r>
          </w:p>
        </w:tc>
        <w:tc>
          <w:tcPr>
            <w:tcW w:w="1483" w:type="dxa"/>
            <w:vAlign w:val="center"/>
          </w:tcPr>
          <w:p w14:paraId="29013075">
            <w:pPr>
              <w:jc w:val="center"/>
              <w:rPr>
                <w:rFonts w:asciiTheme="minorEastAsia" w:hAnsiTheme="minorEastAsia"/>
                <w:color w:val="auto"/>
                <w:szCs w:val="21"/>
                <w:highlight w:val="none"/>
              </w:rPr>
            </w:pPr>
            <w:r>
              <w:rPr>
                <w:rFonts w:hint="eastAsia" w:asciiTheme="minorEastAsia" w:hAnsiTheme="minorEastAsia"/>
                <w:color w:val="auto"/>
                <w:szCs w:val="21"/>
                <w:highlight w:val="none"/>
              </w:rPr>
              <w:t>竣工结算报告</w:t>
            </w:r>
          </w:p>
        </w:tc>
        <w:tc>
          <w:tcPr>
            <w:tcW w:w="1483" w:type="dxa"/>
            <w:vAlign w:val="center"/>
          </w:tcPr>
          <w:p w14:paraId="6DCF94D6">
            <w:pPr>
              <w:jc w:val="center"/>
              <w:rPr>
                <w:rFonts w:asciiTheme="minorEastAsia" w:hAnsiTheme="minorEastAsia"/>
                <w:color w:val="auto"/>
                <w:szCs w:val="21"/>
                <w:highlight w:val="none"/>
              </w:rPr>
            </w:pPr>
            <w:r>
              <w:rPr>
                <w:rFonts w:hint="eastAsia" w:asciiTheme="minorEastAsia" w:hAnsiTheme="minorEastAsia"/>
                <w:color w:val="auto"/>
                <w:szCs w:val="21"/>
                <w:highlight w:val="none"/>
              </w:rPr>
              <w:t>竣工结算报告、结算书、营业执照、造价资质证书</w:t>
            </w:r>
          </w:p>
        </w:tc>
        <w:tc>
          <w:tcPr>
            <w:tcW w:w="1483" w:type="dxa"/>
            <w:vAlign w:val="center"/>
          </w:tcPr>
          <w:p w14:paraId="62A1496F">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施工单位提交竣工结算资料之日起14日内</w:t>
            </w:r>
          </w:p>
        </w:tc>
        <w:tc>
          <w:tcPr>
            <w:tcW w:w="1483" w:type="dxa"/>
            <w:vAlign w:val="center"/>
          </w:tcPr>
          <w:p w14:paraId="43E3E505">
            <w:pPr>
              <w:jc w:val="center"/>
              <w:rPr>
                <w:rFonts w:asciiTheme="minorEastAsia" w:hAnsiTheme="minorEastAsia"/>
                <w:color w:val="auto"/>
                <w:szCs w:val="21"/>
                <w:highlight w:val="none"/>
              </w:rPr>
            </w:pPr>
          </w:p>
        </w:tc>
        <w:tc>
          <w:tcPr>
            <w:tcW w:w="1483" w:type="dxa"/>
            <w:vAlign w:val="center"/>
          </w:tcPr>
          <w:p w14:paraId="6567CE7A">
            <w:pPr>
              <w:jc w:val="center"/>
              <w:rPr>
                <w:rFonts w:asciiTheme="minorEastAsia" w:hAnsiTheme="minorEastAsia"/>
                <w:color w:val="auto"/>
                <w:szCs w:val="21"/>
                <w:highlight w:val="none"/>
              </w:rPr>
            </w:pPr>
          </w:p>
        </w:tc>
      </w:tr>
      <w:tr w14:paraId="7110ED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246AB2E6">
            <w:pPr>
              <w:jc w:val="center"/>
              <w:rPr>
                <w:color w:val="auto"/>
                <w:highlight w:val="none"/>
              </w:rPr>
            </w:pPr>
          </w:p>
        </w:tc>
        <w:tc>
          <w:tcPr>
            <w:tcW w:w="1483" w:type="dxa"/>
          </w:tcPr>
          <w:p w14:paraId="6317D101">
            <w:pPr>
              <w:jc w:val="center"/>
              <w:rPr>
                <w:color w:val="auto"/>
                <w:highlight w:val="none"/>
              </w:rPr>
            </w:pPr>
          </w:p>
        </w:tc>
        <w:tc>
          <w:tcPr>
            <w:tcW w:w="1483" w:type="dxa"/>
          </w:tcPr>
          <w:p w14:paraId="7E7AB659">
            <w:pPr>
              <w:jc w:val="center"/>
              <w:rPr>
                <w:color w:val="auto"/>
                <w:highlight w:val="none"/>
              </w:rPr>
            </w:pPr>
          </w:p>
        </w:tc>
        <w:tc>
          <w:tcPr>
            <w:tcW w:w="1483" w:type="dxa"/>
          </w:tcPr>
          <w:p w14:paraId="64C894B3">
            <w:pPr>
              <w:jc w:val="center"/>
              <w:rPr>
                <w:color w:val="auto"/>
                <w:highlight w:val="none"/>
              </w:rPr>
            </w:pPr>
          </w:p>
        </w:tc>
        <w:tc>
          <w:tcPr>
            <w:tcW w:w="1483" w:type="dxa"/>
          </w:tcPr>
          <w:p w14:paraId="235872B2">
            <w:pPr>
              <w:jc w:val="center"/>
              <w:rPr>
                <w:color w:val="auto"/>
                <w:highlight w:val="none"/>
              </w:rPr>
            </w:pPr>
          </w:p>
        </w:tc>
        <w:tc>
          <w:tcPr>
            <w:tcW w:w="1483" w:type="dxa"/>
          </w:tcPr>
          <w:p w14:paraId="7AEAEFD3">
            <w:pPr>
              <w:jc w:val="center"/>
              <w:rPr>
                <w:color w:val="auto"/>
                <w:highlight w:val="none"/>
              </w:rPr>
            </w:pPr>
          </w:p>
        </w:tc>
      </w:tr>
      <w:tr w14:paraId="69C827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3914C362">
            <w:pPr>
              <w:jc w:val="center"/>
              <w:rPr>
                <w:color w:val="auto"/>
                <w:highlight w:val="none"/>
              </w:rPr>
            </w:pPr>
          </w:p>
        </w:tc>
        <w:tc>
          <w:tcPr>
            <w:tcW w:w="1483" w:type="dxa"/>
          </w:tcPr>
          <w:p w14:paraId="2E6F6CBF">
            <w:pPr>
              <w:jc w:val="center"/>
              <w:rPr>
                <w:color w:val="auto"/>
                <w:highlight w:val="none"/>
              </w:rPr>
            </w:pPr>
          </w:p>
        </w:tc>
        <w:tc>
          <w:tcPr>
            <w:tcW w:w="1483" w:type="dxa"/>
          </w:tcPr>
          <w:p w14:paraId="7623CF2A">
            <w:pPr>
              <w:jc w:val="center"/>
              <w:rPr>
                <w:color w:val="auto"/>
                <w:highlight w:val="none"/>
              </w:rPr>
            </w:pPr>
          </w:p>
        </w:tc>
        <w:tc>
          <w:tcPr>
            <w:tcW w:w="1483" w:type="dxa"/>
          </w:tcPr>
          <w:p w14:paraId="4633CD72">
            <w:pPr>
              <w:jc w:val="center"/>
              <w:rPr>
                <w:color w:val="auto"/>
                <w:highlight w:val="none"/>
              </w:rPr>
            </w:pPr>
          </w:p>
        </w:tc>
        <w:tc>
          <w:tcPr>
            <w:tcW w:w="1483" w:type="dxa"/>
          </w:tcPr>
          <w:p w14:paraId="347551B8">
            <w:pPr>
              <w:jc w:val="center"/>
              <w:rPr>
                <w:color w:val="auto"/>
                <w:highlight w:val="none"/>
              </w:rPr>
            </w:pPr>
          </w:p>
        </w:tc>
        <w:tc>
          <w:tcPr>
            <w:tcW w:w="1483" w:type="dxa"/>
          </w:tcPr>
          <w:p w14:paraId="02F894CA">
            <w:pPr>
              <w:jc w:val="center"/>
              <w:rPr>
                <w:color w:val="auto"/>
                <w:highlight w:val="none"/>
              </w:rPr>
            </w:pPr>
          </w:p>
        </w:tc>
      </w:tr>
      <w:tr w14:paraId="7EFF61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Align w:val="center"/>
          </w:tcPr>
          <w:p w14:paraId="5E6340BF">
            <w:pPr>
              <w:jc w:val="center"/>
              <w:rPr>
                <w:color w:val="auto"/>
                <w:highlight w:val="none"/>
              </w:rPr>
            </w:pPr>
            <w:r>
              <w:rPr>
                <w:rFonts w:hint="eastAsia"/>
                <w:color w:val="auto"/>
                <w:highlight w:val="none"/>
              </w:rPr>
              <w:t>其他服务</w:t>
            </w:r>
          </w:p>
        </w:tc>
        <w:tc>
          <w:tcPr>
            <w:tcW w:w="1483" w:type="dxa"/>
          </w:tcPr>
          <w:p w14:paraId="75C3A8AD">
            <w:pPr>
              <w:jc w:val="center"/>
              <w:rPr>
                <w:color w:val="auto"/>
                <w:highlight w:val="none"/>
              </w:rPr>
            </w:pPr>
          </w:p>
        </w:tc>
        <w:tc>
          <w:tcPr>
            <w:tcW w:w="1483" w:type="dxa"/>
          </w:tcPr>
          <w:p w14:paraId="06579D5B">
            <w:pPr>
              <w:jc w:val="center"/>
              <w:rPr>
                <w:color w:val="auto"/>
                <w:highlight w:val="none"/>
              </w:rPr>
            </w:pPr>
          </w:p>
        </w:tc>
        <w:tc>
          <w:tcPr>
            <w:tcW w:w="1483" w:type="dxa"/>
          </w:tcPr>
          <w:p w14:paraId="503A4AA0">
            <w:pPr>
              <w:jc w:val="center"/>
              <w:rPr>
                <w:color w:val="auto"/>
                <w:highlight w:val="none"/>
              </w:rPr>
            </w:pPr>
          </w:p>
        </w:tc>
        <w:tc>
          <w:tcPr>
            <w:tcW w:w="1483" w:type="dxa"/>
          </w:tcPr>
          <w:p w14:paraId="64C209D9">
            <w:pPr>
              <w:jc w:val="center"/>
              <w:rPr>
                <w:color w:val="auto"/>
                <w:highlight w:val="none"/>
              </w:rPr>
            </w:pPr>
          </w:p>
        </w:tc>
        <w:tc>
          <w:tcPr>
            <w:tcW w:w="1483" w:type="dxa"/>
          </w:tcPr>
          <w:p w14:paraId="33A9324D">
            <w:pPr>
              <w:jc w:val="center"/>
              <w:rPr>
                <w:color w:val="auto"/>
                <w:highlight w:val="none"/>
              </w:rPr>
            </w:pPr>
          </w:p>
        </w:tc>
      </w:tr>
    </w:tbl>
    <w:p w14:paraId="4506B2E7">
      <w:pPr>
        <w:jc w:val="center"/>
        <w:rPr>
          <w:color w:val="auto"/>
          <w:highlight w:val="none"/>
        </w:rPr>
      </w:pPr>
    </w:p>
    <w:p w14:paraId="25D70F80">
      <w:pPr>
        <w:jc w:val="center"/>
        <w:rPr>
          <w:color w:val="auto"/>
          <w:highlight w:val="none"/>
        </w:rPr>
      </w:pPr>
    </w:p>
    <w:p w14:paraId="17A7292A">
      <w:pPr>
        <w:jc w:val="center"/>
        <w:rPr>
          <w:color w:val="auto"/>
          <w:highlight w:val="none"/>
        </w:rPr>
      </w:pPr>
    </w:p>
    <w:p w14:paraId="3AB6C07A">
      <w:pPr>
        <w:jc w:val="center"/>
        <w:rPr>
          <w:color w:val="auto"/>
          <w:highlight w:val="none"/>
        </w:rPr>
      </w:pPr>
    </w:p>
    <w:p w14:paraId="6B1178BC">
      <w:pPr>
        <w:jc w:val="center"/>
        <w:rPr>
          <w:color w:val="auto"/>
          <w:highlight w:val="none"/>
        </w:rPr>
      </w:pPr>
    </w:p>
    <w:p w14:paraId="197183F1">
      <w:pPr>
        <w:widowControl/>
        <w:jc w:val="left"/>
        <w:rPr>
          <w:color w:val="auto"/>
          <w:highlight w:val="none"/>
        </w:rPr>
      </w:pPr>
      <w:r>
        <w:rPr>
          <w:color w:val="auto"/>
          <w:highlight w:val="none"/>
        </w:rPr>
        <w:br w:type="page"/>
      </w:r>
    </w:p>
    <w:p w14:paraId="5EB8A0D1">
      <w:pPr>
        <w:jc w:val="center"/>
        <w:rPr>
          <w:color w:val="auto"/>
          <w:highlight w:val="none"/>
        </w:rPr>
      </w:pPr>
    </w:p>
    <w:p w14:paraId="6B4B7959">
      <w:pPr>
        <w:jc w:val="center"/>
        <w:outlineLvl w:val="0"/>
        <w:rPr>
          <w:color w:val="auto"/>
          <w:highlight w:val="none"/>
        </w:rPr>
      </w:pPr>
      <w:bookmarkStart w:id="742" w:name="_Toc76398718"/>
      <w:r>
        <w:rPr>
          <w:rFonts w:hint="eastAsia"/>
          <w:color w:val="auto"/>
          <w:highlight w:val="none"/>
        </w:rPr>
        <w:t>附录 C委托人提供资料一览表</w:t>
      </w:r>
      <w:bookmarkEnd w:id="742"/>
    </w:p>
    <w:tbl>
      <w:tblPr>
        <w:tblStyle w:val="3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88"/>
        <w:gridCol w:w="2189"/>
        <w:gridCol w:w="2189"/>
        <w:gridCol w:w="2189"/>
      </w:tblGrid>
      <w:tr w14:paraId="24D75D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148E00B1">
            <w:pPr>
              <w:jc w:val="center"/>
              <w:rPr>
                <w:color w:val="auto"/>
                <w:highlight w:val="none"/>
              </w:rPr>
            </w:pPr>
            <w:r>
              <w:rPr>
                <w:rFonts w:hint="eastAsia"/>
                <w:color w:val="auto"/>
                <w:highlight w:val="none"/>
              </w:rPr>
              <w:t>成果文件组成</w:t>
            </w:r>
          </w:p>
        </w:tc>
        <w:tc>
          <w:tcPr>
            <w:tcW w:w="2189" w:type="dxa"/>
          </w:tcPr>
          <w:p w14:paraId="40516FC7">
            <w:pPr>
              <w:jc w:val="center"/>
              <w:rPr>
                <w:color w:val="auto"/>
                <w:highlight w:val="none"/>
              </w:rPr>
            </w:pPr>
            <w:r>
              <w:rPr>
                <w:rFonts w:hint="eastAsia"/>
                <w:color w:val="auto"/>
                <w:highlight w:val="none"/>
              </w:rPr>
              <w:t>提交时间</w:t>
            </w:r>
          </w:p>
        </w:tc>
        <w:tc>
          <w:tcPr>
            <w:tcW w:w="2189" w:type="dxa"/>
          </w:tcPr>
          <w:p w14:paraId="0D91D5C6">
            <w:pPr>
              <w:jc w:val="center"/>
              <w:rPr>
                <w:color w:val="auto"/>
                <w:highlight w:val="none"/>
              </w:rPr>
            </w:pPr>
            <w:r>
              <w:rPr>
                <w:rFonts w:hint="eastAsia"/>
                <w:color w:val="auto"/>
                <w:highlight w:val="none"/>
              </w:rPr>
              <w:t>份数</w:t>
            </w:r>
          </w:p>
        </w:tc>
        <w:tc>
          <w:tcPr>
            <w:tcW w:w="2189" w:type="dxa"/>
          </w:tcPr>
          <w:p w14:paraId="75B2572C">
            <w:pPr>
              <w:jc w:val="center"/>
              <w:rPr>
                <w:color w:val="auto"/>
                <w:highlight w:val="none"/>
              </w:rPr>
            </w:pPr>
            <w:r>
              <w:rPr>
                <w:rFonts w:hint="eastAsia"/>
                <w:color w:val="auto"/>
                <w:highlight w:val="none"/>
              </w:rPr>
              <w:t>质量标准</w:t>
            </w:r>
          </w:p>
        </w:tc>
      </w:tr>
      <w:tr w14:paraId="1F5479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377B40CC">
            <w:pPr>
              <w:jc w:val="center"/>
              <w:rPr>
                <w:color w:val="auto"/>
                <w:highlight w:val="none"/>
              </w:rPr>
            </w:pPr>
          </w:p>
        </w:tc>
        <w:tc>
          <w:tcPr>
            <w:tcW w:w="2189" w:type="dxa"/>
          </w:tcPr>
          <w:p w14:paraId="0C861CFC">
            <w:pPr>
              <w:jc w:val="center"/>
              <w:rPr>
                <w:color w:val="auto"/>
                <w:highlight w:val="none"/>
              </w:rPr>
            </w:pPr>
          </w:p>
        </w:tc>
        <w:tc>
          <w:tcPr>
            <w:tcW w:w="2189" w:type="dxa"/>
          </w:tcPr>
          <w:p w14:paraId="2A2C8200">
            <w:pPr>
              <w:jc w:val="center"/>
              <w:rPr>
                <w:color w:val="auto"/>
                <w:highlight w:val="none"/>
              </w:rPr>
            </w:pPr>
          </w:p>
        </w:tc>
        <w:tc>
          <w:tcPr>
            <w:tcW w:w="2189" w:type="dxa"/>
            <w:vAlign w:val="center"/>
          </w:tcPr>
          <w:p w14:paraId="584112C5">
            <w:pPr>
              <w:jc w:val="center"/>
              <w:rPr>
                <w:color w:val="auto"/>
                <w:highlight w:val="none"/>
              </w:rPr>
            </w:pPr>
          </w:p>
        </w:tc>
      </w:tr>
      <w:tr w14:paraId="5444F4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501724F3">
            <w:pPr>
              <w:jc w:val="center"/>
              <w:rPr>
                <w:color w:val="auto"/>
                <w:highlight w:val="none"/>
              </w:rPr>
            </w:pPr>
          </w:p>
        </w:tc>
        <w:tc>
          <w:tcPr>
            <w:tcW w:w="2189" w:type="dxa"/>
          </w:tcPr>
          <w:p w14:paraId="182FDB21">
            <w:pPr>
              <w:jc w:val="center"/>
              <w:rPr>
                <w:color w:val="auto"/>
                <w:highlight w:val="none"/>
              </w:rPr>
            </w:pPr>
          </w:p>
        </w:tc>
        <w:tc>
          <w:tcPr>
            <w:tcW w:w="2189" w:type="dxa"/>
          </w:tcPr>
          <w:p w14:paraId="25F8F76A">
            <w:pPr>
              <w:jc w:val="center"/>
              <w:rPr>
                <w:color w:val="auto"/>
                <w:highlight w:val="none"/>
              </w:rPr>
            </w:pPr>
          </w:p>
        </w:tc>
        <w:tc>
          <w:tcPr>
            <w:tcW w:w="2189" w:type="dxa"/>
            <w:vAlign w:val="center"/>
          </w:tcPr>
          <w:p w14:paraId="16767A35">
            <w:pPr>
              <w:jc w:val="center"/>
              <w:rPr>
                <w:color w:val="auto"/>
                <w:highlight w:val="none"/>
              </w:rPr>
            </w:pPr>
          </w:p>
        </w:tc>
      </w:tr>
      <w:tr w14:paraId="2DD0B1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C2213C7">
            <w:pPr>
              <w:jc w:val="center"/>
              <w:rPr>
                <w:color w:val="auto"/>
                <w:highlight w:val="none"/>
              </w:rPr>
            </w:pPr>
          </w:p>
        </w:tc>
        <w:tc>
          <w:tcPr>
            <w:tcW w:w="2189" w:type="dxa"/>
          </w:tcPr>
          <w:p w14:paraId="2B8EAEDB">
            <w:pPr>
              <w:jc w:val="center"/>
              <w:rPr>
                <w:color w:val="auto"/>
                <w:highlight w:val="none"/>
              </w:rPr>
            </w:pPr>
          </w:p>
        </w:tc>
        <w:tc>
          <w:tcPr>
            <w:tcW w:w="2189" w:type="dxa"/>
          </w:tcPr>
          <w:p w14:paraId="0BE1293C">
            <w:pPr>
              <w:jc w:val="center"/>
              <w:rPr>
                <w:color w:val="auto"/>
                <w:highlight w:val="none"/>
              </w:rPr>
            </w:pPr>
          </w:p>
        </w:tc>
        <w:tc>
          <w:tcPr>
            <w:tcW w:w="2189" w:type="dxa"/>
            <w:vAlign w:val="center"/>
          </w:tcPr>
          <w:p w14:paraId="552FAE18">
            <w:pPr>
              <w:jc w:val="center"/>
              <w:rPr>
                <w:color w:val="auto"/>
                <w:highlight w:val="none"/>
              </w:rPr>
            </w:pPr>
          </w:p>
        </w:tc>
      </w:tr>
      <w:tr w14:paraId="781667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616949D5">
            <w:pPr>
              <w:jc w:val="center"/>
              <w:rPr>
                <w:color w:val="auto"/>
                <w:highlight w:val="none"/>
              </w:rPr>
            </w:pPr>
          </w:p>
        </w:tc>
        <w:tc>
          <w:tcPr>
            <w:tcW w:w="2189" w:type="dxa"/>
          </w:tcPr>
          <w:p w14:paraId="51908C26">
            <w:pPr>
              <w:jc w:val="center"/>
              <w:rPr>
                <w:color w:val="auto"/>
                <w:highlight w:val="none"/>
              </w:rPr>
            </w:pPr>
          </w:p>
        </w:tc>
        <w:tc>
          <w:tcPr>
            <w:tcW w:w="2189" w:type="dxa"/>
          </w:tcPr>
          <w:p w14:paraId="6D051860">
            <w:pPr>
              <w:jc w:val="center"/>
              <w:rPr>
                <w:color w:val="auto"/>
                <w:highlight w:val="none"/>
              </w:rPr>
            </w:pPr>
          </w:p>
        </w:tc>
        <w:tc>
          <w:tcPr>
            <w:tcW w:w="2189" w:type="dxa"/>
            <w:vAlign w:val="center"/>
          </w:tcPr>
          <w:p w14:paraId="4167AD20">
            <w:pPr>
              <w:jc w:val="center"/>
              <w:rPr>
                <w:color w:val="auto"/>
                <w:highlight w:val="none"/>
              </w:rPr>
            </w:pPr>
          </w:p>
        </w:tc>
      </w:tr>
      <w:tr w14:paraId="388026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4BBB7FE5">
            <w:pPr>
              <w:jc w:val="center"/>
              <w:rPr>
                <w:color w:val="auto"/>
                <w:highlight w:val="none"/>
              </w:rPr>
            </w:pPr>
          </w:p>
        </w:tc>
        <w:tc>
          <w:tcPr>
            <w:tcW w:w="2189" w:type="dxa"/>
          </w:tcPr>
          <w:p w14:paraId="2DB786CE">
            <w:pPr>
              <w:jc w:val="center"/>
              <w:rPr>
                <w:color w:val="auto"/>
                <w:highlight w:val="none"/>
              </w:rPr>
            </w:pPr>
          </w:p>
        </w:tc>
        <w:tc>
          <w:tcPr>
            <w:tcW w:w="2189" w:type="dxa"/>
          </w:tcPr>
          <w:p w14:paraId="06E8640E">
            <w:pPr>
              <w:jc w:val="center"/>
              <w:rPr>
                <w:color w:val="auto"/>
                <w:highlight w:val="none"/>
              </w:rPr>
            </w:pPr>
          </w:p>
        </w:tc>
        <w:tc>
          <w:tcPr>
            <w:tcW w:w="2189" w:type="dxa"/>
            <w:vAlign w:val="center"/>
          </w:tcPr>
          <w:p w14:paraId="1E1DECDE">
            <w:pPr>
              <w:jc w:val="center"/>
              <w:rPr>
                <w:color w:val="auto"/>
                <w:highlight w:val="none"/>
              </w:rPr>
            </w:pPr>
          </w:p>
        </w:tc>
      </w:tr>
      <w:tr w14:paraId="5E8462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3A2AA2A">
            <w:pPr>
              <w:jc w:val="center"/>
              <w:rPr>
                <w:color w:val="auto"/>
                <w:highlight w:val="none"/>
              </w:rPr>
            </w:pPr>
          </w:p>
        </w:tc>
        <w:tc>
          <w:tcPr>
            <w:tcW w:w="2189" w:type="dxa"/>
          </w:tcPr>
          <w:p w14:paraId="705005B5">
            <w:pPr>
              <w:jc w:val="center"/>
              <w:rPr>
                <w:color w:val="auto"/>
                <w:highlight w:val="none"/>
              </w:rPr>
            </w:pPr>
          </w:p>
        </w:tc>
        <w:tc>
          <w:tcPr>
            <w:tcW w:w="2189" w:type="dxa"/>
          </w:tcPr>
          <w:p w14:paraId="1815CDC0">
            <w:pPr>
              <w:jc w:val="center"/>
              <w:rPr>
                <w:color w:val="auto"/>
                <w:highlight w:val="none"/>
              </w:rPr>
            </w:pPr>
          </w:p>
        </w:tc>
        <w:tc>
          <w:tcPr>
            <w:tcW w:w="2189" w:type="dxa"/>
            <w:vAlign w:val="center"/>
          </w:tcPr>
          <w:p w14:paraId="77A2B720">
            <w:pPr>
              <w:jc w:val="center"/>
              <w:rPr>
                <w:color w:val="auto"/>
                <w:highlight w:val="none"/>
              </w:rPr>
            </w:pPr>
          </w:p>
        </w:tc>
      </w:tr>
      <w:tr w14:paraId="741F6A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17B92203">
            <w:pPr>
              <w:jc w:val="center"/>
              <w:rPr>
                <w:color w:val="auto"/>
                <w:highlight w:val="none"/>
              </w:rPr>
            </w:pPr>
          </w:p>
        </w:tc>
        <w:tc>
          <w:tcPr>
            <w:tcW w:w="2189" w:type="dxa"/>
          </w:tcPr>
          <w:p w14:paraId="4C48EC47">
            <w:pPr>
              <w:jc w:val="center"/>
              <w:rPr>
                <w:color w:val="auto"/>
                <w:highlight w:val="none"/>
              </w:rPr>
            </w:pPr>
          </w:p>
        </w:tc>
        <w:tc>
          <w:tcPr>
            <w:tcW w:w="2189" w:type="dxa"/>
          </w:tcPr>
          <w:p w14:paraId="0866FA81">
            <w:pPr>
              <w:jc w:val="center"/>
              <w:rPr>
                <w:color w:val="auto"/>
                <w:highlight w:val="none"/>
              </w:rPr>
            </w:pPr>
          </w:p>
        </w:tc>
        <w:tc>
          <w:tcPr>
            <w:tcW w:w="2189" w:type="dxa"/>
          </w:tcPr>
          <w:p w14:paraId="22A3AA2A">
            <w:pPr>
              <w:jc w:val="center"/>
              <w:rPr>
                <w:color w:val="auto"/>
                <w:highlight w:val="none"/>
              </w:rPr>
            </w:pPr>
          </w:p>
        </w:tc>
      </w:tr>
      <w:tr w14:paraId="0623BF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1BBB3460">
            <w:pPr>
              <w:jc w:val="center"/>
              <w:rPr>
                <w:color w:val="auto"/>
                <w:highlight w:val="none"/>
              </w:rPr>
            </w:pPr>
          </w:p>
        </w:tc>
        <w:tc>
          <w:tcPr>
            <w:tcW w:w="2189" w:type="dxa"/>
          </w:tcPr>
          <w:p w14:paraId="0BA6D007">
            <w:pPr>
              <w:jc w:val="center"/>
              <w:rPr>
                <w:color w:val="auto"/>
                <w:highlight w:val="none"/>
              </w:rPr>
            </w:pPr>
          </w:p>
        </w:tc>
        <w:tc>
          <w:tcPr>
            <w:tcW w:w="2189" w:type="dxa"/>
          </w:tcPr>
          <w:p w14:paraId="36CA8713">
            <w:pPr>
              <w:jc w:val="center"/>
              <w:rPr>
                <w:color w:val="auto"/>
                <w:highlight w:val="none"/>
              </w:rPr>
            </w:pPr>
          </w:p>
        </w:tc>
        <w:tc>
          <w:tcPr>
            <w:tcW w:w="2189" w:type="dxa"/>
          </w:tcPr>
          <w:p w14:paraId="3CC0DBD2">
            <w:pPr>
              <w:jc w:val="center"/>
              <w:rPr>
                <w:color w:val="auto"/>
                <w:highlight w:val="none"/>
              </w:rPr>
            </w:pPr>
          </w:p>
        </w:tc>
      </w:tr>
      <w:tr w14:paraId="029931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7E72155F">
            <w:pPr>
              <w:jc w:val="center"/>
              <w:rPr>
                <w:color w:val="auto"/>
                <w:highlight w:val="none"/>
              </w:rPr>
            </w:pPr>
          </w:p>
        </w:tc>
        <w:tc>
          <w:tcPr>
            <w:tcW w:w="2189" w:type="dxa"/>
          </w:tcPr>
          <w:p w14:paraId="7C0A2615">
            <w:pPr>
              <w:jc w:val="center"/>
              <w:rPr>
                <w:color w:val="auto"/>
                <w:highlight w:val="none"/>
              </w:rPr>
            </w:pPr>
          </w:p>
        </w:tc>
        <w:tc>
          <w:tcPr>
            <w:tcW w:w="2189" w:type="dxa"/>
          </w:tcPr>
          <w:p w14:paraId="473E645B">
            <w:pPr>
              <w:jc w:val="center"/>
              <w:rPr>
                <w:color w:val="auto"/>
                <w:highlight w:val="none"/>
              </w:rPr>
            </w:pPr>
          </w:p>
        </w:tc>
        <w:tc>
          <w:tcPr>
            <w:tcW w:w="2189" w:type="dxa"/>
          </w:tcPr>
          <w:p w14:paraId="7DBB8884">
            <w:pPr>
              <w:jc w:val="center"/>
              <w:rPr>
                <w:color w:val="auto"/>
                <w:highlight w:val="none"/>
              </w:rPr>
            </w:pPr>
          </w:p>
        </w:tc>
      </w:tr>
      <w:tr w14:paraId="743D17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4136766B">
            <w:pPr>
              <w:jc w:val="center"/>
              <w:rPr>
                <w:color w:val="auto"/>
                <w:highlight w:val="none"/>
              </w:rPr>
            </w:pPr>
          </w:p>
        </w:tc>
        <w:tc>
          <w:tcPr>
            <w:tcW w:w="2189" w:type="dxa"/>
          </w:tcPr>
          <w:p w14:paraId="5BC85D01">
            <w:pPr>
              <w:jc w:val="center"/>
              <w:rPr>
                <w:color w:val="auto"/>
                <w:highlight w:val="none"/>
              </w:rPr>
            </w:pPr>
          </w:p>
        </w:tc>
        <w:tc>
          <w:tcPr>
            <w:tcW w:w="2189" w:type="dxa"/>
          </w:tcPr>
          <w:p w14:paraId="0D9C00DE">
            <w:pPr>
              <w:jc w:val="center"/>
              <w:rPr>
                <w:color w:val="auto"/>
                <w:highlight w:val="none"/>
              </w:rPr>
            </w:pPr>
          </w:p>
        </w:tc>
        <w:tc>
          <w:tcPr>
            <w:tcW w:w="2189" w:type="dxa"/>
          </w:tcPr>
          <w:p w14:paraId="5501055F">
            <w:pPr>
              <w:jc w:val="center"/>
              <w:rPr>
                <w:color w:val="auto"/>
                <w:highlight w:val="none"/>
              </w:rPr>
            </w:pPr>
          </w:p>
        </w:tc>
      </w:tr>
      <w:tr w14:paraId="7A8BE6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11CC3F13">
            <w:pPr>
              <w:jc w:val="center"/>
              <w:rPr>
                <w:color w:val="auto"/>
                <w:highlight w:val="none"/>
              </w:rPr>
            </w:pPr>
          </w:p>
        </w:tc>
        <w:tc>
          <w:tcPr>
            <w:tcW w:w="2189" w:type="dxa"/>
          </w:tcPr>
          <w:p w14:paraId="7C9B0786">
            <w:pPr>
              <w:jc w:val="center"/>
              <w:rPr>
                <w:color w:val="auto"/>
                <w:highlight w:val="none"/>
              </w:rPr>
            </w:pPr>
          </w:p>
        </w:tc>
        <w:tc>
          <w:tcPr>
            <w:tcW w:w="2189" w:type="dxa"/>
          </w:tcPr>
          <w:p w14:paraId="18DDC8AA">
            <w:pPr>
              <w:jc w:val="center"/>
              <w:rPr>
                <w:color w:val="auto"/>
                <w:highlight w:val="none"/>
              </w:rPr>
            </w:pPr>
          </w:p>
        </w:tc>
        <w:tc>
          <w:tcPr>
            <w:tcW w:w="2189" w:type="dxa"/>
          </w:tcPr>
          <w:p w14:paraId="4D6C6B11">
            <w:pPr>
              <w:jc w:val="center"/>
              <w:rPr>
                <w:color w:val="auto"/>
                <w:highlight w:val="none"/>
              </w:rPr>
            </w:pPr>
          </w:p>
        </w:tc>
      </w:tr>
      <w:tr w14:paraId="6429BF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9AACD3F">
            <w:pPr>
              <w:jc w:val="center"/>
              <w:rPr>
                <w:color w:val="auto"/>
                <w:highlight w:val="none"/>
              </w:rPr>
            </w:pPr>
          </w:p>
        </w:tc>
        <w:tc>
          <w:tcPr>
            <w:tcW w:w="2189" w:type="dxa"/>
          </w:tcPr>
          <w:p w14:paraId="37503E26">
            <w:pPr>
              <w:jc w:val="center"/>
              <w:rPr>
                <w:color w:val="auto"/>
                <w:highlight w:val="none"/>
              </w:rPr>
            </w:pPr>
          </w:p>
        </w:tc>
        <w:tc>
          <w:tcPr>
            <w:tcW w:w="2189" w:type="dxa"/>
          </w:tcPr>
          <w:p w14:paraId="3A23C07B">
            <w:pPr>
              <w:jc w:val="center"/>
              <w:rPr>
                <w:color w:val="auto"/>
                <w:highlight w:val="none"/>
              </w:rPr>
            </w:pPr>
          </w:p>
        </w:tc>
        <w:tc>
          <w:tcPr>
            <w:tcW w:w="2189" w:type="dxa"/>
          </w:tcPr>
          <w:p w14:paraId="1A61874A">
            <w:pPr>
              <w:jc w:val="center"/>
              <w:rPr>
                <w:color w:val="auto"/>
                <w:highlight w:val="none"/>
              </w:rPr>
            </w:pPr>
          </w:p>
        </w:tc>
      </w:tr>
      <w:tr w14:paraId="1399CA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188" w:type="dxa"/>
          </w:tcPr>
          <w:p w14:paraId="6262D8A1">
            <w:pPr>
              <w:jc w:val="center"/>
              <w:rPr>
                <w:color w:val="auto"/>
                <w:highlight w:val="none"/>
              </w:rPr>
            </w:pPr>
          </w:p>
        </w:tc>
        <w:tc>
          <w:tcPr>
            <w:tcW w:w="2189" w:type="dxa"/>
          </w:tcPr>
          <w:p w14:paraId="38582877">
            <w:pPr>
              <w:jc w:val="center"/>
              <w:rPr>
                <w:color w:val="auto"/>
                <w:highlight w:val="none"/>
              </w:rPr>
            </w:pPr>
          </w:p>
        </w:tc>
        <w:tc>
          <w:tcPr>
            <w:tcW w:w="2189" w:type="dxa"/>
          </w:tcPr>
          <w:p w14:paraId="482E5237">
            <w:pPr>
              <w:jc w:val="center"/>
              <w:rPr>
                <w:color w:val="auto"/>
                <w:highlight w:val="none"/>
              </w:rPr>
            </w:pPr>
          </w:p>
        </w:tc>
        <w:tc>
          <w:tcPr>
            <w:tcW w:w="2189" w:type="dxa"/>
          </w:tcPr>
          <w:p w14:paraId="535EE390">
            <w:pPr>
              <w:jc w:val="center"/>
              <w:rPr>
                <w:color w:val="auto"/>
                <w:highlight w:val="none"/>
              </w:rPr>
            </w:pPr>
          </w:p>
        </w:tc>
      </w:tr>
      <w:tr w14:paraId="7E4728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1945C7F">
            <w:pPr>
              <w:jc w:val="center"/>
              <w:rPr>
                <w:color w:val="auto"/>
                <w:highlight w:val="none"/>
              </w:rPr>
            </w:pPr>
          </w:p>
        </w:tc>
        <w:tc>
          <w:tcPr>
            <w:tcW w:w="2189" w:type="dxa"/>
          </w:tcPr>
          <w:p w14:paraId="057B2896">
            <w:pPr>
              <w:jc w:val="center"/>
              <w:rPr>
                <w:color w:val="auto"/>
                <w:highlight w:val="none"/>
              </w:rPr>
            </w:pPr>
          </w:p>
        </w:tc>
        <w:tc>
          <w:tcPr>
            <w:tcW w:w="2189" w:type="dxa"/>
          </w:tcPr>
          <w:p w14:paraId="70132D56">
            <w:pPr>
              <w:jc w:val="center"/>
              <w:rPr>
                <w:color w:val="auto"/>
                <w:highlight w:val="none"/>
              </w:rPr>
            </w:pPr>
          </w:p>
        </w:tc>
        <w:tc>
          <w:tcPr>
            <w:tcW w:w="2189" w:type="dxa"/>
          </w:tcPr>
          <w:p w14:paraId="164E3942">
            <w:pPr>
              <w:jc w:val="center"/>
              <w:rPr>
                <w:color w:val="auto"/>
                <w:highlight w:val="none"/>
              </w:rPr>
            </w:pPr>
          </w:p>
        </w:tc>
      </w:tr>
      <w:tr w14:paraId="3CF62E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85787BA">
            <w:pPr>
              <w:jc w:val="center"/>
              <w:rPr>
                <w:color w:val="auto"/>
                <w:highlight w:val="none"/>
              </w:rPr>
            </w:pPr>
          </w:p>
        </w:tc>
        <w:tc>
          <w:tcPr>
            <w:tcW w:w="2189" w:type="dxa"/>
          </w:tcPr>
          <w:p w14:paraId="3775DF04">
            <w:pPr>
              <w:jc w:val="center"/>
              <w:rPr>
                <w:color w:val="auto"/>
                <w:highlight w:val="none"/>
              </w:rPr>
            </w:pPr>
          </w:p>
        </w:tc>
        <w:tc>
          <w:tcPr>
            <w:tcW w:w="2189" w:type="dxa"/>
          </w:tcPr>
          <w:p w14:paraId="3A11245B">
            <w:pPr>
              <w:jc w:val="center"/>
              <w:rPr>
                <w:color w:val="auto"/>
                <w:highlight w:val="none"/>
              </w:rPr>
            </w:pPr>
          </w:p>
        </w:tc>
        <w:tc>
          <w:tcPr>
            <w:tcW w:w="2189" w:type="dxa"/>
          </w:tcPr>
          <w:p w14:paraId="59E52793">
            <w:pPr>
              <w:jc w:val="center"/>
              <w:rPr>
                <w:color w:val="auto"/>
                <w:highlight w:val="none"/>
              </w:rPr>
            </w:pPr>
          </w:p>
        </w:tc>
      </w:tr>
      <w:tr w14:paraId="13516B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3E0A000">
            <w:pPr>
              <w:jc w:val="center"/>
              <w:rPr>
                <w:color w:val="auto"/>
                <w:highlight w:val="none"/>
              </w:rPr>
            </w:pPr>
          </w:p>
        </w:tc>
        <w:tc>
          <w:tcPr>
            <w:tcW w:w="2189" w:type="dxa"/>
          </w:tcPr>
          <w:p w14:paraId="5EE1C1CD">
            <w:pPr>
              <w:jc w:val="center"/>
              <w:rPr>
                <w:color w:val="auto"/>
                <w:highlight w:val="none"/>
              </w:rPr>
            </w:pPr>
          </w:p>
        </w:tc>
        <w:tc>
          <w:tcPr>
            <w:tcW w:w="2189" w:type="dxa"/>
          </w:tcPr>
          <w:p w14:paraId="37822EAC">
            <w:pPr>
              <w:jc w:val="center"/>
              <w:rPr>
                <w:color w:val="auto"/>
                <w:highlight w:val="none"/>
              </w:rPr>
            </w:pPr>
          </w:p>
        </w:tc>
        <w:tc>
          <w:tcPr>
            <w:tcW w:w="2189" w:type="dxa"/>
          </w:tcPr>
          <w:p w14:paraId="7FEFD318">
            <w:pPr>
              <w:jc w:val="center"/>
              <w:rPr>
                <w:color w:val="auto"/>
                <w:highlight w:val="none"/>
              </w:rPr>
            </w:pPr>
          </w:p>
        </w:tc>
      </w:tr>
      <w:tr w14:paraId="17A418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4DD66C9A">
            <w:pPr>
              <w:jc w:val="center"/>
              <w:rPr>
                <w:color w:val="auto"/>
                <w:highlight w:val="none"/>
              </w:rPr>
            </w:pPr>
          </w:p>
        </w:tc>
        <w:tc>
          <w:tcPr>
            <w:tcW w:w="2189" w:type="dxa"/>
          </w:tcPr>
          <w:p w14:paraId="51A48404">
            <w:pPr>
              <w:jc w:val="center"/>
              <w:rPr>
                <w:color w:val="auto"/>
                <w:highlight w:val="none"/>
              </w:rPr>
            </w:pPr>
          </w:p>
        </w:tc>
        <w:tc>
          <w:tcPr>
            <w:tcW w:w="2189" w:type="dxa"/>
          </w:tcPr>
          <w:p w14:paraId="51346267">
            <w:pPr>
              <w:jc w:val="center"/>
              <w:rPr>
                <w:color w:val="auto"/>
                <w:highlight w:val="none"/>
              </w:rPr>
            </w:pPr>
          </w:p>
        </w:tc>
        <w:tc>
          <w:tcPr>
            <w:tcW w:w="2189" w:type="dxa"/>
          </w:tcPr>
          <w:p w14:paraId="75E5D169">
            <w:pPr>
              <w:jc w:val="center"/>
              <w:rPr>
                <w:color w:val="auto"/>
                <w:highlight w:val="none"/>
              </w:rPr>
            </w:pPr>
          </w:p>
        </w:tc>
      </w:tr>
      <w:tr w14:paraId="76317E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CA1C6B3">
            <w:pPr>
              <w:jc w:val="center"/>
              <w:rPr>
                <w:color w:val="auto"/>
                <w:highlight w:val="none"/>
              </w:rPr>
            </w:pPr>
          </w:p>
        </w:tc>
        <w:tc>
          <w:tcPr>
            <w:tcW w:w="2189" w:type="dxa"/>
          </w:tcPr>
          <w:p w14:paraId="77D1A0A1">
            <w:pPr>
              <w:jc w:val="center"/>
              <w:rPr>
                <w:color w:val="auto"/>
                <w:highlight w:val="none"/>
              </w:rPr>
            </w:pPr>
          </w:p>
        </w:tc>
        <w:tc>
          <w:tcPr>
            <w:tcW w:w="2189" w:type="dxa"/>
          </w:tcPr>
          <w:p w14:paraId="6E402C38">
            <w:pPr>
              <w:jc w:val="center"/>
              <w:rPr>
                <w:color w:val="auto"/>
                <w:highlight w:val="none"/>
              </w:rPr>
            </w:pPr>
          </w:p>
        </w:tc>
        <w:tc>
          <w:tcPr>
            <w:tcW w:w="2189" w:type="dxa"/>
          </w:tcPr>
          <w:p w14:paraId="13176435">
            <w:pPr>
              <w:jc w:val="center"/>
              <w:rPr>
                <w:color w:val="auto"/>
                <w:highlight w:val="none"/>
              </w:rPr>
            </w:pPr>
          </w:p>
        </w:tc>
      </w:tr>
      <w:tr w14:paraId="1879F8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A791276">
            <w:pPr>
              <w:jc w:val="center"/>
              <w:rPr>
                <w:color w:val="auto"/>
                <w:highlight w:val="none"/>
              </w:rPr>
            </w:pPr>
          </w:p>
        </w:tc>
        <w:tc>
          <w:tcPr>
            <w:tcW w:w="2189" w:type="dxa"/>
          </w:tcPr>
          <w:p w14:paraId="64875809">
            <w:pPr>
              <w:jc w:val="center"/>
              <w:rPr>
                <w:color w:val="auto"/>
                <w:highlight w:val="none"/>
              </w:rPr>
            </w:pPr>
          </w:p>
        </w:tc>
        <w:tc>
          <w:tcPr>
            <w:tcW w:w="2189" w:type="dxa"/>
          </w:tcPr>
          <w:p w14:paraId="69014508">
            <w:pPr>
              <w:jc w:val="center"/>
              <w:rPr>
                <w:color w:val="auto"/>
                <w:highlight w:val="none"/>
              </w:rPr>
            </w:pPr>
          </w:p>
        </w:tc>
        <w:tc>
          <w:tcPr>
            <w:tcW w:w="2189" w:type="dxa"/>
          </w:tcPr>
          <w:p w14:paraId="2DDFFE40">
            <w:pPr>
              <w:jc w:val="center"/>
              <w:rPr>
                <w:color w:val="auto"/>
                <w:highlight w:val="none"/>
              </w:rPr>
            </w:pPr>
          </w:p>
        </w:tc>
      </w:tr>
      <w:tr w14:paraId="596F8A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4F3E5B9A">
            <w:pPr>
              <w:jc w:val="center"/>
              <w:rPr>
                <w:color w:val="auto"/>
                <w:highlight w:val="none"/>
              </w:rPr>
            </w:pPr>
          </w:p>
        </w:tc>
        <w:tc>
          <w:tcPr>
            <w:tcW w:w="2189" w:type="dxa"/>
          </w:tcPr>
          <w:p w14:paraId="1899645A">
            <w:pPr>
              <w:jc w:val="center"/>
              <w:rPr>
                <w:color w:val="auto"/>
                <w:highlight w:val="none"/>
              </w:rPr>
            </w:pPr>
          </w:p>
        </w:tc>
        <w:tc>
          <w:tcPr>
            <w:tcW w:w="2189" w:type="dxa"/>
          </w:tcPr>
          <w:p w14:paraId="3A118F71">
            <w:pPr>
              <w:jc w:val="center"/>
              <w:rPr>
                <w:color w:val="auto"/>
                <w:highlight w:val="none"/>
              </w:rPr>
            </w:pPr>
          </w:p>
        </w:tc>
        <w:tc>
          <w:tcPr>
            <w:tcW w:w="2189" w:type="dxa"/>
          </w:tcPr>
          <w:p w14:paraId="4DF7E43A">
            <w:pPr>
              <w:jc w:val="center"/>
              <w:rPr>
                <w:color w:val="auto"/>
                <w:highlight w:val="none"/>
              </w:rPr>
            </w:pPr>
          </w:p>
        </w:tc>
      </w:tr>
    </w:tbl>
    <w:p w14:paraId="59C6068B">
      <w:pPr>
        <w:jc w:val="center"/>
        <w:rPr>
          <w:color w:val="auto"/>
          <w:highlight w:val="none"/>
        </w:rPr>
      </w:pPr>
    </w:p>
    <w:p w14:paraId="497583C8">
      <w:pPr>
        <w:jc w:val="center"/>
        <w:rPr>
          <w:color w:val="auto"/>
          <w:highlight w:val="none"/>
        </w:rPr>
      </w:pPr>
    </w:p>
    <w:p w14:paraId="18721907">
      <w:pPr>
        <w:jc w:val="center"/>
        <w:rPr>
          <w:color w:val="auto"/>
          <w:highlight w:val="none"/>
        </w:rPr>
      </w:pPr>
    </w:p>
    <w:p w14:paraId="018AED07">
      <w:pPr>
        <w:jc w:val="center"/>
        <w:rPr>
          <w:color w:val="auto"/>
          <w:highlight w:val="none"/>
        </w:rPr>
      </w:pPr>
    </w:p>
    <w:p w14:paraId="7FA4D7A6">
      <w:pPr>
        <w:jc w:val="center"/>
        <w:rPr>
          <w:color w:val="auto"/>
          <w:highlight w:val="none"/>
        </w:rPr>
      </w:pPr>
    </w:p>
    <w:p w14:paraId="02309332">
      <w:pPr>
        <w:jc w:val="center"/>
        <w:rPr>
          <w:color w:val="auto"/>
          <w:highlight w:val="none"/>
        </w:rPr>
      </w:pPr>
    </w:p>
    <w:p w14:paraId="0ACEE13B">
      <w:pPr>
        <w:jc w:val="center"/>
        <w:rPr>
          <w:color w:val="auto"/>
          <w:highlight w:val="none"/>
        </w:rPr>
      </w:pPr>
    </w:p>
    <w:p w14:paraId="4F314EA7">
      <w:pPr>
        <w:jc w:val="center"/>
        <w:rPr>
          <w:color w:val="auto"/>
          <w:highlight w:val="none"/>
        </w:rPr>
      </w:pPr>
    </w:p>
    <w:p w14:paraId="78B4808E">
      <w:pPr>
        <w:jc w:val="center"/>
        <w:rPr>
          <w:color w:val="auto"/>
          <w:highlight w:val="none"/>
        </w:rPr>
      </w:pPr>
    </w:p>
    <w:p w14:paraId="1830CF23">
      <w:pPr>
        <w:jc w:val="center"/>
        <w:rPr>
          <w:color w:val="auto"/>
          <w:highlight w:val="none"/>
        </w:rPr>
      </w:pPr>
    </w:p>
    <w:p w14:paraId="4FD8AE9F">
      <w:pPr>
        <w:jc w:val="center"/>
        <w:rPr>
          <w:color w:val="auto"/>
          <w:highlight w:val="none"/>
        </w:rPr>
      </w:pPr>
    </w:p>
    <w:p w14:paraId="2E91A1F6">
      <w:pPr>
        <w:jc w:val="center"/>
        <w:rPr>
          <w:color w:val="auto"/>
          <w:highlight w:val="none"/>
        </w:rPr>
      </w:pPr>
    </w:p>
    <w:p w14:paraId="54CB42EA">
      <w:pPr>
        <w:jc w:val="center"/>
        <w:rPr>
          <w:color w:val="auto"/>
          <w:highlight w:val="none"/>
        </w:rPr>
      </w:pPr>
    </w:p>
    <w:p w14:paraId="5F9CCF8E">
      <w:pPr>
        <w:jc w:val="center"/>
        <w:rPr>
          <w:color w:val="auto"/>
          <w:highlight w:val="none"/>
        </w:rPr>
      </w:pPr>
    </w:p>
    <w:p w14:paraId="5CEE6F87">
      <w:pPr>
        <w:jc w:val="center"/>
        <w:rPr>
          <w:color w:val="auto"/>
          <w:highlight w:val="none"/>
        </w:rPr>
      </w:pPr>
    </w:p>
    <w:p w14:paraId="1F7B966C">
      <w:pPr>
        <w:jc w:val="center"/>
        <w:rPr>
          <w:color w:val="auto"/>
          <w:highlight w:val="none"/>
        </w:rPr>
      </w:pPr>
    </w:p>
    <w:p w14:paraId="0F198177">
      <w:pPr>
        <w:widowControl/>
        <w:jc w:val="left"/>
        <w:rPr>
          <w:color w:val="auto"/>
          <w:highlight w:val="none"/>
        </w:rPr>
      </w:pPr>
      <w:r>
        <w:rPr>
          <w:color w:val="auto"/>
          <w:highlight w:val="none"/>
        </w:rPr>
        <w:br w:type="page"/>
      </w:r>
    </w:p>
    <w:p w14:paraId="62C456B0">
      <w:pPr>
        <w:widowControl/>
        <w:spacing w:line="360" w:lineRule="auto"/>
        <w:ind w:firstLine="643"/>
        <w:jc w:val="center"/>
        <w:rPr>
          <w:rFonts w:asciiTheme="minorEastAsia" w:hAnsiTheme="minorEastAsia"/>
          <w:b/>
          <w:bCs/>
          <w:color w:val="auto"/>
          <w:sz w:val="32"/>
          <w:szCs w:val="32"/>
          <w:highlight w:val="none"/>
        </w:rPr>
      </w:pPr>
      <w:r>
        <w:rPr>
          <w:rFonts w:hint="eastAsia" w:asciiTheme="minorEastAsia" w:hAnsiTheme="minorEastAsia"/>
          <w:b/>
          <w:bCs/>
          <w:color w:val="auto"/>
          <w:sz w:val="32"/>
          <w:szCs w:val="32"/>
          <w:highlight w:val="none"/>
        </w:rPr>
        <w:t>廉政合同</w:t>
      </w:r>
    </w:p>
    <w:p w14:paraId="7F53168C">
      <w:pPr>
        <w:pStyle w:val="4"/>
        <w:ind w:firstLine="723"/>
        <w:rPr>
          <w:color w:val="auto"/>
          <w:highlight w:val="none"/>
        </w:rPr>
      </w:pPr>
    </w:p>
    <w:p w14:paraId="62802299">
      <w:pPr>
        <w:widowControl/>
        <w:snapToGrid w:val="0"/>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为保证工程质量及进度，顺利完成合作项目，维护廉洁、高效、和谐、公正的工作机制，双方将严格遵照执行，共同监督以下的内容：</w:t>
      </w:r>
      <w:r>
        <w:rPr>
          <w:rFonts w:asciiTheme="minorEastAsia" w:hAnsiTheme="minorEastAsia" w:cstheme="minorEastAsia"/>
          <w:color w:val="auto"/>
          <w:sz w:val="24"/>
          <w:highlight w:val="none"/>
        </w:rPr>
        <w:t xml:space="preserve"> </w:t>
      </w:r>
    </w:p>
    <w:p w14:paraId="0E4C7273">
      <w:pPr>
        <w:widowControl/>
        <w:snapToGrid w:val="0"/>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一、甲、乙双方均应对本单位工作人员及工程项目管理人员进行廉洁从业教育，双方必须自觉遵守法律、法规及企业廉政建设相关规定。</w:t>
      </w:r>
      <w:r>
        <w:rPr>
          <w:rFonts w:asciiTheme="minorEastAsia" w:hAnsiTheme="minorEastAsia" w:cstheme="minorEastAsia"/>
          <w:color w:val="auto"/>
          <w:sz w:val="24"/>
          <w:highlight w:val="none"/>
        </w:rPr>
        <w:t xml:space="preserve"> </w:t>
      </w:r>
    </w:p>
    <w:p w14:paraId="070FF107">
      <w:pPr>
        <w:widowControl/>
        <w:snapToGrid w:val="0"/>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二、委托人在廉政建设方面的责任</w:t>
      </w:r>
      <w:r>
        <w:rPr>
          <w:rFonts w:asciiTheme="minorEastAsia" w:hAnsiTheme="minorEastAsia" w:cstheme="minorEastAsia"/>
          <w:color w:val="auto"/>
          <w:sz w:val="24"/>
          <w:highlight w:val="none"/>
        </w:rPr>
        <w:t xml:space="preserve"> </w:t>
      </w:r>
    </w:p>
    <w:p w14:paraId="5AB3B884">
      <w:pPr>
        <w:widowControl/>
        <w:snapToGrid w:val="0"/>
        <w:spacing w:line="360" w:lineRule="auto"/>
        <w:ind w:firstLine="48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 xml:space="preserve">1、委托人及委托人总部所属相关单位工作人员应当保持与咨询人的正常业务交往，不得以任何形式向咨询人索要和收受回扣等好处费，不得接受咨询人的礼金、有价证券和贵重物品，不得在咨询人报销任何应由委托人单位或个人支付的费用。 </w:t>
      </w:r>
    </w:p>
    <w:p w14:paraId="346BB52A">
      <w:pPr>
        <w:widowControl/>
        <w:snapToGrid w:val="0"/>
        <w:spacing w:line="360" w:lineRule="auto"/>
        <w:ind w:firstLine="48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rPr>
        <w:t>、委托人及委托人总部所属相关单位工作人员不得参加咨询人的可能对公正执行管理业务有影响的宴请、外出旅游和营业性娱乐活动。</w:t>
      </w:r>
      <w:r>
        <w:rPr>
          <w:rFonts w:asciiTheme="minorEastAsia" w:hAnsiTheme="minorEastAsia" w:cstheme="minorEastAsia"/>
          <w:color w:val="auto"/>
          <w:sz w:val="24"/>
          <w:highlight w:val="none"/>
        </w:rPr>
        <w:t xml:space="preserve"> </w:t>
      </w:r>
    </w:p>
    <w:p w14:paraId="591BA699">
      <w:pPr>
        <w:widowControl/>
        <w:snapToGrid w:val="0"/>
        <w:spacing w:line="360" w:lineRule="auto"/>
        <w:ind w:firstLine="48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w:t>
      </w:r>
      <w:r>
        <w:rPr>
          <w:rFonts w:hint="eastAsia" w:asciiTheme="minorEastAsia" w:hAnsiTheme="minorEastAsia" w:cstheme="minorEastAsia"/>
          <w:color w:val="auto"/>
          <w:sz w:val="24"/>
          <w:highlight w:val="none"/>
        </w:rPr>
        <w:t>、委托人及委托人总部所属相关单位工作人员不得要求、暗示和接受咨询人为其住房建设和装修、婚丧嫁娶、家属和子女的工作安排以及出国等提供方便。</w:t>
      </w:r>
      <w:r>
        <w:rPr>
          <w:rFonts w:asciiTheme="minorEastAsia" w:hAnsiTheme="minorEastAsia" w:cstheme="minorEastAsia"/>
          <w:color w:val="auto"/>
          <w:sz w:val="24"/>
          <w:highlight w:val="none"/>
        </w:rPr>
        <w:t xml:space="preserve"> </w:t>
      </w:r>
    </w:p>
    <w:p w14:paraId="35E1AD21">
      <w:pPr>
        <w:widowControl/>
        <w:snapToGrid w:val="0"/>
        <w:spacing w:line="360" w:lineRule="auto"/>
        <w:ind w:firstLine="48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4</w:t>
      </w:r>
      <w:r>
        <w:rPr>
          <w:rFonts w:hint="eastAsia" w:asciiTheme="minorEastAsia" w:hAnsiTheme="minorEastAsia" w:cstheme="minorEastAsia"/>
          <w:color w:val="auto"/>
          <w:sz w:val="24"/>
          <w:highlight w:val="none"/>
        </w:rPr>
        <w:t>、委托人及委托人总部所属相关单位工作人员不得向咨询人介绍自己的亲友从事委托人工程有关的材料设备供应、工程分包等经济活动。</w:t>
      </w:r>
      <w:r>
        <w:rPr>
          <w:rFonts w:asciiTheme="minorEastAsia" w:hAnsiTheme="minorEastAsia" w:cstheme="minorEastAsia"/>
          <w:color w:val="auto"/>
          <w:sz w:val="24"/>
          <w:highlight w:val="none"/>
        </w:rPr>
        <w:t xml:space="preserve"> </w:t>
      </w:r>
    </w:p>
    <w:p w14:paraId="00B650AA">
      <w:pPr>
        <w:widowControl/>
        <w:snapToGrid w:val="0"/>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三、咨询人在廉政建设方面的责任</w:t>
      </w:r>
      <w:r>
        <w:rPr>
          <w:rFonts w:asciiTheme="minorEastAsia" w:hAnsiTheme="minorEastAsia" w:cstheme="minorEastAsia"/>
          <w:color w:val="auto"/>
          <w:sz w:val="24"/>
          <w:highlight w:val="none"/>
        </w:rPr>
        <w:t xml:space="preserve"> </w:t>
      </w:r>
    </w:p>
    <w:p w14:paraId="07F8929A">
      <w:pPr>
        <w:widowControl/>
        <w:snapToGrid w:val="0"/>
        <w:spacing w:line="360" w:lineRule="auto"/>
        <w:ind w:firstLine="48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1</w:t>
      </w:r>
      <w:r>
        <w:rPr>
          <w:rFonts w:hint="eastAsia" w:asciiTheme="minorEastAsia" w:hAnsiTheme="minorEastAsia" w:cstheme="minorEastAsia"/>
          <w:color w:val="auto"/>
          <w:sz w:val="24"/>
          <w:highlight w:val="none"/>
        </w:rPr>
        <w:t>、咨询人不得以任何理由向委托人及委托人总部所属相关单位工作人员赠送礼金、有价证券和贵重物品等。</w:t>
      </w:r>
    </w:p>
    <w:p w14:paraId="6CCFAF57">
      <w:pPr>
        <w:widowControl/>
        <w:snapToGrid w:val="0"/>
        <w:spacing w:line="360" w:lineRule="auto"/>
        <w:ind w:firstLine="48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rPr>
        <w:t>、咨询人不得以任何理由为委托人及委托人总部所属相关单位工作人员组织有可能对公正执行管理业务有影响的宴请、外出旅游和营业性娱乐活动。</w:t>
      </w:r>
      <w:r>
        <w:rPr>
          <w:rFonts w:asciiTheme="minorEastAsia" w:hAnsiTheme="minorEastAsia" w:cstheme="minorEastAsia"/>
          <w:color w:val="auto"/>
          <w:sz w:val="24"/>
          <w:highlight w:val="none"/>
        </w:rPr>
        <w:t xml:space="preserve"> </w:t>
      </w:r>
    </w:p>
    <w:p w14:paraId="46B55478">
      <w:pPr>
        <w:widowControl/>
        <w:snapToGrid w:val="0"/>
        <w:spacing w:line="360" w:lineRule="auto"/>
        <w:ind w:firstLine="48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w:t>
      </w:r>
      <w:r>
        <w:rPr>
          <w:rFonts w:hint="eastAsia" w:asciiTheme="minorEastAsia" w:hAnsiTheme="minorEastAsia" w:cstheme="minorEastAsia"/>
          <w:color w:val="auto"/>
          <w:sz w:val="24"/>
          <w:highlight w:val="none"/>
        </w:rPr>
        <w:t>、咨询人不得接受、暗示为委托人及委托人总部所属相关单位工作人员住房建设和装修、婚丧嫁娶、家属和子女的工作安排以及出国等提供方便。</w:t>
      </w:r>
      <w:r>
        <w:rPr>
          <w:rFonts w:asciiTheme="minorEastAsia" w:hAnsiTheme="minorEastAsia" w:cstheme="minorEastAsia"/>
          <w:color w:val="auto"/>
          <w:sz w:val="24"/>
          <w:highlight w:val="none"/>
        </w:rPr>
        <w:t xml:space="preserve"> </w:t>
      </w:r>
    </w:p>
    <w:p w14:paraId="4FE34C20">
      <w:pPr>
        <w:widowControl/>
        <w:snapToGrid w:val="0"/>
        <w:spacing w:line="360" w:lineRule="auto"/>
        <w:ind w:firstLine="48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4</w:t>
      </w:r>
      <w:r>
        <w:rPr>
          <w:rFonts w:hint="eastAsia" w:asciiTheme="minorEastAsia" w:hAnsiTheme="minorEastAsia" w:cstheme="minorEastAsia"/>
          <w:color w:val="auto"/>
          <w:sz w:val="24"/>
          <w:highlight w:val="none"/>
        </w:rPr>
        <w:t>、咨询人不得为委托人及委托人总部所属相关单位工作人员购置或者提供通讯工具、交通工具、家电、高档办公用品等物品。</w:t>
      </w:r>
      <w:r>
        <w:rPr>
          <w:rFonts w:asciiTheme="minorEastAsia" w:hAnsiTheme="minorEastAsia" w:cstheme="minorEastAsia"/>
          <w:color w:val="auto"/>
          <w:sz w:val="24"/>
          <w:highlight w:val="none"/>
        </w:rPr>
        <w:t xml:space="preserve"> </w:t>
      </w:r>
    </w:p>
    <w:p w14:paraId="32D4A7E2">
      <w:pPr>
        <w:widowControl/>
        <w:snapToGrid w:val="0"/>
        <w:spacing w:line="360" w:lineRule="auto"/>
        <w:ind w:firstLine="48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5</w:t>
      </w:r>
      <w:r>
        <w:rPr>
          <w:rFonts w:hint="eastAsia" w:asciiTheme="minorEastAsia" w:hAnsiTheme="minorEastAsia" w:cstheme="minorEastAsia"/>
          <w:color w:val="auto"/>
          <w:sz w:val="24"/>
          <w:highlight w:val="none"/>
        </w:rPr>
        <w:t>、咨询人不得以任何理由为委托人及委托人总部所属相关单位工作人员报销任何应由委托人或个人支付的费用。</w:t>
      </w:r>
      <w:r>
        <w:rPr>
          <w:rFonts w:asciiTheme="minorEastAsia" w:hAnsiTheme="minorEastAsia" w:cstheme="minorEastAsia"/>
          <w:color w:val="auto"/>
          <w:sz w:val="24"/>
          <w:highlight w:val="none"/>
        </w:rPr>
        <w:t xml:space="preserve"> </w:t>
      </w:r>
    </w:p>
    <w:p w14:paraId="1C9884F4">
      <w:pPr>
        <w:widowControl/>
        <w:snapToGrid w:val="0"/>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四、相关责任</w:t>
      </w:r>
      <w:r>
        <w:rPr>
          <w:rFonts w:asciiTheme="minorEastAsia" w:hAnsiTheme="minorEastAsia" w:cstheme="minorEastAsia"/>
          <w:color w:val="auto"/>
          <w:sz w:val="24"/>
          <w:highlight w:val="none"/>
        </w:rPr>
        <w:t xml:space="preserve"> </w:t>
      </w:r>
    </w:p>
    <w:p w14:paraId="17CEA946">
      <w:pPr>
        <w:widowControl/>
        <w:snapToGrid w:val="0"/>
        <w:spacing w:line="360" w:lineRule="auto"/>
        <w:ind w:firstLine="48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1</w:t>
      </w:r>
      <w:r>
        <w:rPr>
          <w:rFonts w:hint="eastAsia" w:asciiTheme="minorEastAsia" w:hAnsiTheme="minorEastAsia" w:cstheme="minorEastAsia"/>
          <w:color w:val="auto"/>
          <w:sz w:val="24"/>
          <w:highlight w:val="none"/>
        </w:rPr>
        <w:t>、咨询人如发现委托人及委托人总部所属相关单位工作人员有违反上述协议者，应及时向审计</w:t>
      </w:r>
      <w:r>
        <w:rPr>
          <w:rFonts w:asciiTheme="minorEastAsia" w:hAnsiTheme="minorEastAsia" w:cstheme="minorEastAsia"/>
          <w:color w:val="auto"/>
          <w:sz w:val="24"/>
          <w:highlight w:val="none"/>
        </w:rPr>
        <w:t>法务部</w:t>
      </w:r>
      <w:r>
        <w:rPr>
          <w:rFonts w:hint="eastAsia" w:asciiTheme="minorEastAsia" w:hAnsiTheme="minorEastAsia" w:cstheme="minorEastAsia"/>
          <w:color w:val="auto"/>
          <w:sz w:val="24"/>
          <w:highlight w:val="none"/>
        </w:rPr>
        <w:t>反映情况，监督投诉电话：</w:t>
      </w:r>
      <w:r>
        <w:rPr>
          <w:rFonts w:asciiTheme="minorEastAsia" w:hAnsiTheme="minorEastAsia" w:cstheme="minorEastAsia"/>
          <w:color w:val="auto"/>
          <w:sz w:val="24"/>
          <w:highlight w:val="none"/>
        </w:rPr>
        <w:t>02362795377</w:t>
      </w:r>
      <w:r>
        <w:rPr>
          <w:rFonts w:hint="eastAsia" w:asciiTheme="minorEastAsia" w:hAnsiTheme="minorEastAsia" w:cstheme="minorEastAsia"/>
          <w:color w:val="auto"/>
          <w:sz w:val="24"/>
          <w:highlight w:val="none"/>
        </w:rPr>
        <w:t>；地址：重庆市</w:t>
      </w:r>
      <w:r>
        <w:rPr>
          <w:rFonts w:asciiTheme="minorEastAsia" w:hAnsiTheme="minorEastAsia" w:cstheme="minorEastAsia"/>
          <w:color w:val="auto"/>
          <w:sz w:val="24"/>
          <w:highlight w:val="none"/>
        </w:rPr>
        <w:t>南岸区行政服务中心B区3号楼1812法</w:t>
      </w:r>
      <w:r>
        <w:rPr>
          <w:rFonts w:hint="eastAsia" w:asciiTheme="minorEastAsia" w:hAnsiTheme="minorEastAsia" w:cstheme="minorEastAsia"/>
          <w:color w:val="auto"/>
          <w:sz w:val="24"/>
          <w:highlight w:val="none"/>
        </w:rPr>
        <w:t>务审计部。</w:t>
      </w:r>
    </w:p>
    <w:p w14:paraId="3B9F0590">
      <w:pPr>
        <w:widowControl/>
        <w:snapToGrid w:val="0"/>
        <w:spacing w:line="360" w:lineRule="auto"/>
        <w:ind w:firstLine="48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rPr>
        <w:t>、委托人发现咨询人有违反本协议行为的，将对咨询人处以涉及金额</w:t>
      </w:r>
      <w:r>
        <w:rPr>
          <w:rFonts w:asciiTheme="minorEastAsia" w:hAnsiTheme="minorEastAsia" w:cstheme="minorEastAsia"/>
          <w:color w:val="auto"/>
          <w:sz w:val="24"/>
          <w:highlight w:val="none"/>
        </w:rPr>
        <w:t xml:space="preserve"> 10 </w:t>
      </w:r>
      <w:r>
        <w:rPr>
          <w:rFonts w:hint="eastAsia" w:asciiTheme="minorEastAsia" w:hAnsiTheme="minorEastAsia" w:cstheme="minorEastAsia"/>
          <w:color w:val="auto"/>
          <w:sz w:val="24"/>
          <w:highlight w:val="none"/>
        </w:rPr>
        <w:t>倍的处罚，并保留追究相关责任的权利，对咨询人用不正当手段获取的非法所得予以追缴，并记入诚信档案，终止后期项目合作。咨询人接受在委托人网站或其他媒体进行情节公开披露。情况特别严重的，委托人有权立刻终止在建项目合作并移交司法机关处理。</w:t>
      </w:r>
      <w:r>
        <w:rPr>
          <w:rFonts w:asciiTheme="minorEastAsia" w:hAnsiTheme="minorEastAsia" w:cstheme="minorEastAsia"/>
          <w:color w:val="auto"/>
          <w:sz w:val="24"/>
          <w:highlight w:val="none"/>
        </w:rPr>
        <w:t xml:space="preserve"> </w:t>
      </w:r>
    </w:p>
    <w:p w14:paraId="202E8FE6">
      <w:pPr>
        <w:widowControl/>
        <w:snapToGrid w:val="0"/>
        <w:spacing w:line="360" w:lineRule="auto"/>
        <w:ind w:firstLine="48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w:t>
      </w:r>
      <w:r>
        <w:rPr>
          <w:rFonts w:hint="eastAsia" w:asciiTheme="minorEastAsia" w:hAnsiTheme="minorEastAsia" w:cstheme="minorEastAsia"/>
          <w:color w:val="auto"/>
          <w:sz w:val="24"/>
          <w:highlight w:val="none"/>
        </w:rPr>
        <w:t>、委托人对举报属实和严格遵守廉洁协议的咨询人，在同等条件下承接委托人其他工程项目予以优先考虑。</w:t>
      </w:r>
      <w:r>
        <w:rPr>
          <w:rFonts w:asciiTheme="minorEastAsia" w:hAnsiTheme="minorEastAsia" w:cstheme="minorEastAsia"/>
          <w:color w:val="auto"/>
          <w:sz w:val="24"/>
          <w:highlight w:val="none"/>
        </w:rPr>
        <w:t xml:space="preserve"> </w:t>
      </w:r>
    </w:p>
    <w:p w14:paraId="208B9922">
      <w:pPr>
        <w:widowControl/>
        <w:snapToGrid w:val="0"/>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五、本协议未尽事项，可在实际操作中，经双方协商予以完善。</w:t>
      </w:r>
      <w:r>
        <w:rPr>
          <w:rFonts w:asciiTheme="minorEastAsia" w:hAnsiTheme="minorEastAsia" w:cstheme="minorEastAsia"/>
          <w:color w:val="auto"/>
          <w:sz w:val="24"/>
          <w:highlight w:val="none"/>
        </w:rPr>
        <w:t xml:space="preserve"> </w:t>
      </w:r>
    </w:p>
    <w:p w14:paraId="02C1C21D">
      <w:pPr>
        <w:widowControl/>
        <w:snapToGrid w:val="0"/>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六、本协议在甲乙双方合作的协议、合同或其他具有约束力的文件成立时，自动成为该文件的组成部分。</w:t>
      </w:r>
      <w:r>
        <w:rPr>
          <w:rFonts w:asciiTheme="minorEastAsia" w:hAnsiTheme="minorEastAsia" w:cstheme="minorEastAsia"/>
          <w:color w:val="auto"/>
          <w:sz w:val="24"/>
          <w:highlight w:val="none"/>
        </w:rPr>
        <w:t xml:space="preserve"> </w:t>
      </w:r>
    </w:p>
    <w:p w14:paraId="08AF7987">
      <w:pPr>
        <w:widowControl/>
        <w:snapToGrid w:val="0"/>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七、本合同签订份数同主合同份数；</w:t>
      </w:r>
      <w:r>
        <w:rPr>
          <w:rFonts w:asciiTheme="minorEastAsia" w:hAnsiTheme="minorEastAsia" w:cstheme="minorEastAsia"/>
          <w:color w:val="auto"/>
          <w:sz w:val="24"/>
          <w:highlight w:val="none"/>
        </w:rPr>
        <w:t>本合同</w:t>
      </w:r>
      <w:r>
        <w:rPr>
          <w:rFonts w:hint="eastAsia" w:asciiTheme="minorEastAsia" w:hAnsiTheme="minorEastAsia" w:cstheme="minorEastAsia"/>
          <w:color w:val="auto"/>
          <w:sz w:val="24"/>
          <w:highlight w:val="none"/>
        </w:rPr>
        <w:t>与</w:t>
      </w:r>
      <w:r>
        <w:rPr>
          <w:rFonts w:asciiTheme="minorEastAsia" w:hAnsiTheme="minorEastAsia" w:cstheme="minorEastAsia"/>
          <w:color w:val="auto"/>
          <w:sz w:val="24"/>
          <w:highlight w:val="none"/>
        </w:rPr>
        <w:t>主合同同时签订。</w:t>
      </w:r>
    </w:p>
    <w:p w14:paraId="40815E59">
      <w:pPr>
        <w:pStyle w:val="4"/>
        <w:ind w:firstLine="723"/>
        <w:rPr>
          <w:color w:val="auto"/>
          <w:highlight w:val="none"/>
        </w:rPr>
      </w:pPr>
    </w:p>
    <w:p w14:paraId="4450C83F">
      <w:pPr>
        <w:rPr>
          <w:color w:val="auto"/>
          <w:highlight w:val="none"/>
        </w:rPr>
      </w:pPr>
    </w:p>
    <w:p w14:paraId="7E9C6E1B">
      <w:pPr>
        <w:rPr>
          <w:color w:val="auto"/>
          <w:highlight w:val="none"/>
        </w:rPr>
      </w:pPr>
    </w:p>
    <w:p w14:paraId="33C9A5E9">
      <w:pPr>
        <w:widowControl/>
        <w:spacing w:line="360" w:lineRule="auto"/>
        <w:ind w:left="6564" w:leftChars="200" w:hanging="6144" w:hangingChars="2550"/>
        <w:rPr>
          <w:rFonts w:asciiTheme="minorEastAsia" w:hAnsiTheme="minorEastAsia"/>
          <w:color w:val="auto"/>
          <w:sz w:val="24"/>
          <w:highlight w:val="none"/>
        </w:rPr>
      </w:pPr>
      <w:r>
        <w:rPr>
          <w:rFonts w:hint="eastAsia" w:asciiTheme="minorEastAsia" w:hAnsiTheme="minorEastAsia"/>
          <w:b/>
          <w:bCs/>
          <w:color w:val="auto"/>
          <w:sz w:val="24"/>
          <w:highlight w:val="none"/>
        </w:rPr>
        <w:t>委托人（盖章）：</w:t>
      </w:r>
      <w:r>
        <w:rPr>
          <w:rFonts w:asciiTheme="minorEastAsia" w:hAnsiTheme="minorEastAsia"/>
          <w:b/>
          <w:bCs/>
          <w:color w:val="auto"/>
          <w:sz w:val="24"/>
          <w:highlight w:val="none"/>
        </w:rPr>
        <w:t xml:space="preserve">                         </w:t>
      </w:r>
      <w:r>
        <w:rPr>
          <w:rFonts w:hint="eastAsia" w:asciiTheme="minorEastAsia" w:hAnsiTheme="minorEastAsia"/>
          <w:b/>
          <w:bCs/>
          <w:color w:val="auto"/>
          <w:sz w:val="24"/>
          <w:highlight w:val="none"/>
        </w:rPr>
        <w:t>咨询人（盖章）：</w:t>
      </w:r>
    </w:p>
    <w:p w14:paraId="40182EF5">
      <w:pPr>
        <w:jc w:val="center"/>
        <w:rPr>
          <w:color w:val="auto"/>
          <w:highlight w:val="none"/>
        </w:rPr>
      </w:pPr>
    </w:p>
    <w:p w14:paraId="3AC351B7">
      <w:pPr>
        <w:widowControl/>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w:t>
      </w:r>
      <w:r>
        <w:rPr>
          <w:rFonts w:asciiTheme="minorEastAsia" w:hAnsiTheme="minorEastAsia" w:cstheme="minorEastAsia"/>
          <w:color w:val="auto"/>
          <w:sz w:val="24"/>
          <w:highlight w:val="none"/>
        </w:rPr>
        <w:t xml:space="preserve">                 </w:t>
      </w:r>
      <w:r>
        <w:rPr>
          <w:rFonts w:hint="eastAsia" w:asciiTheme="minorEastAsia" w:hAnsiTheme="minorEastAsia" w:cstheme="minorEastAsia"/>
          <w:color w:val="auto"/>
          <w:sz w:val="24"/>
          <w:highlight w:val="none"/>
        </w:rPr>
        <w:t xml:space="preserve"> </w:t>
      </w:r>
      <w:r>
        <w:rPr>
          <w:rFonts w:asciiTheme="minorEastAsia" w:hAnsiTheme="minorEastAsia" w:cstheme="minorEastAsia"/>
          <w:color w:val="auto"/>
          <w:sz w:val="24"/>
          <w:highlight w:val="none"/>
        </w:rPr>
        <w:t xml:space="preserve">        </w:t>
      </w:r>
      <w:r>
        <w:rPr>
          <w:rFonts w:hint="eastAsia" w:asciiTheme="minorEastAsia" w:hAnsiTheme="minorEastAsia" w:cstheme="minorEastAsia"/>
          <w:color w:val="auto"/>
          <w:sz w:val="24"/>
          <w:highlight w:val="none"/>
        </w:rPr>
        <w:t>法定代表人：</w:t>
      </w:r>
    </w:p>
    <w:p w14:paraId="1A3B6649">
      <w:pPr>
        <w:widowControl/>
        <w:snapToGrid w:val="0"/>
        <w:spacing w:line="360" w:lineRule="auto"/>
        <w:ind w:firstLine="480"/>
        <w:rPr>
          <w:rFonts w:asciiTheme="minorEastAsia" w:hAnsiTheme="minorEastAsia" w:cstheme="minorEastAsia"/>
          <w:color w:val="auto"/>
          <w:sz w:val="24"/>
          <w:highlight w:val="none"/>
        </w:rPr>
      </w:pPr>
    </w:p>
    <w:p w14:paraId="556A896A">
      <w:pPr>
        <w:widowControl/>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或委托代理人：                        或委托代理人：</w:t>
      </w:r>
    </w:p>
    <w:p w14:paraId="2CB79BEC">
      <w:pPr>
        <w:widowControl/>
        <w:jc w:val="left"/>
        <w:rPr>
          <w:color w:val="auto"/>
          <w:highlight w:val="none"/>
        </w:rPr>
      </w:pPr>
      <w:r>
        <w:rPr>
          <w:color w:val="auto"/>
          <w:highlight w:val="none"/>
        </w:rPr>
        <w:br w:type="page"/>
      </w:r>
    </w:p>
    <w:p w14:paraId="7C5E1831">
      <w:pPr>
        <w:widowControl/>
        <w:ind w:firstLine="720"/>
        <w:jc w:val="center"/>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质量标准</w:t>
      </w:r>
    </w:p>
    <w:p w14:paraId="0B37FD3D">
      <w:pPr>
        <w:widowControl/>
        <w:jc w:val="left"/>
        <w:rPr>
          <w:rFonts w:asciiTheme="minorEastAsia" w:hAnsiTheme="minorEastAsia"/>
          <w:color w:val="auto"/>
          <w:szCs w:val="21"/>
          <w:highlight w:val="none"/>
        </w:rPr>
      </w:pPr>
    </w:p>
    <w:p w14:paraId="05D25D44">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全过程工程咨询服务管理标准T/CCIAT0024-2020</w:t>
      </w:r>
    </w:p>
    <w:p w14:paraId="0AC1F81F">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《建设项目施工图预算编审规程》CECA／GC 5—2010</w:t>
      </w:r>
    </w:p>
    <w:p w14:paraId="4A917CC3">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《建设工程造价鉴定规程》CECA/GC 8-2012</w:t>
      </w:r>
    </w:p>
    <w:p w14:paraId="0CC8ADBD">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《建设项目投资估算编审规程》CECA/GC 1-2015</w:t>
      </w:r>
    </w:p>
    <w:p w14:paraId="37DB45D6">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《建设项目投资估算编审规程》CECA/GC 1-2015</w:t>
      </w:r>
    </w:p>
    <w:p w14:paraId="30C37FF4">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《建设项目设计概算编审规程》CECA/GC 2-2015</w:t>
      </w:r>
    </w:p>
    <w:p w14:paraId="79BCC7E7">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《建设项目全过程造价咨询规程》（CECA/GC 4-2009）实施手册2021-12-11</w:t>
      </w:r>
    </w:p>
    <w:p w14:paraId="381F1873">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《建设项目工程结算编审规程》CECA/GC3-2007</w:t>
      </w:r>
    </w:p>
    <w:p w14:paraId="7455306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《建设工程招标控制价编审规程》CECA/GC6-2011</w:t>
      </w:r>
    </w:p>
    <w:p w14:paraId="2A2B0A48">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建设项目设计概算编审规程CECA／GC 2—2007</w:t>
      </w:r>
    </w:p>
    <w:p w14:paraId="1DE029FF">
      <w:pPr>
        <w:wordWrap w:val="0"/>
        <w:ind w:right="1440"/>
        <w:rPr>
          <w:rFonts w:asciiTheme="minorEastAsia" w:hAnsiTheme="minorEastAsia"/>
          <w:color w:val="auto"/>
          <w:szCs w:val="21"/>
          <w:highlight w:val="none"/>
        </w:rPr>
      </w:pPr>
      <w:r>
        <w:rPr>
          <w:rFonts w:hint="eastAsia" w:asciiTheme="minorEastAsia" w:hAnsiTheme="minorEastAsia"/>
          <w:color w:val="auto"/>
          <w:szCs w:val="21"/>
          <w:highlight w:val="none"/>
        </w:rPr>
        <w:t>《建设项目施工图预算编审规程》CECA／GC 5—2010</w:t>
      </w:r>
    </w:p>
    <w:p w14:paraId="3A4EC1DD">
      <w:pPr>
        <w:wordWrap w:val="0"/>
        <w:ind w:right="1440"/>
        <w:rPr>
          <w:rFonts w:asciiTheme="minorEastAsia" w:hAnsiTheme="minorEastAsia"/>
          <w:color w:val="auto"/>
          <w:szCs w:val="21"/>
          <w:highlight w:val="none"/>
        </w:rPr>
      </w:pPr>
      <w:r>
        <w:rPr>
          <w:rFonts w:hint="eastAsia" w:asciiTheme="minorEastAsia" w:hAnsiTheme="minorEastAsia"/>
          <w:color w:val="auto"/>
          <w:szCs w:val="21"/>
          <w:highlight w:val="none"/>
        </w:rPr>
        <w:t>《建设项目投资估算编审规程》CECA/GC 1-2015</w:t>
      </w:r>
    </w:p>
    <w:p w14:paraId="1ACED439">
      <w:pPr>
        <w:wordWrap w:val="0"/>
        <w:ind w:right="1440"/>
        <w:rPr>
          <w:rFonts w:asciiTheme="minorEastAsia" w:hAnsiTheme="minorEastAsia"/>
          <w:color w:val="auto"/>
          <w:szCs w:val="21"/>
          <w:highlight w:val="none"/>
        </w:rPr>
      </w:pPr>
      <w:r>
        <w:rPr>
          <w:rFonts w:hint="eastAsia" w:asciiTheme="minorEastAsia" w:hAnsiTheme="minorEastAsia"/>
          <w:color w:val="auto"/>
          <w:szCs w:val="21"/>
          <w:highlight w:val="none"/>
        </w:rPr>
        <w:t>《建设项目设计概算编审规程》CECA/GC 2-2015</w:t>
      </w:r>
    </w:p>
    <w:p w14:paraId="27C8B5DB">
      <w:pPr>
        <w:wordWrap w:val="0"/>
        <w:ind w:right="1440"/>
        <w:rPr>
          <w:rFonts w:asciiTheme="minorEastAsia" w:hAnsiTheme="minorEastAsia"/>
          <w:color w:val="auto"/>
          <w:szCs w:val="21"/>
          <w:highlight w:val="none"/>
        </w:rPr>
      </w:pPr>
      <w:r>
        <w:rPr>
          <w:rFonts w:hint="eastAsia" w:asciiTheme="minorEastAsia" w:hAnsiTheme="minorEastAsia"/>
          <w:color w:val="auto"/>
          <w:szCs w:val="21"/>
          <w:highlight w:val="none"/>
        </w:rPr>
        <w:t>《建设项目工程结算编审规程》CECA/</w:t>
      </w:r>
      <w:r>
        <w:rPr>
          <w:color w:val="auto"/>
          <w:highlight w:val="none"/>
        </w:rPr>
        <w:t xml:space="preserve"> </w:t>
      </w:r>
      <w:r>
        <w:rPr>
          <w:rFonts w:asciiTheme="minorEastAsia" w:hAnsiTheme="minorEastAsia"/>
          <w:color w:val="auto"/>
          <w:szCs w:val="21"/>
          <w:highlight w:val="none"/>
        </w:rPr>
        <w:t>3-2010</w:t>
      </w:r>
    </w:p>
    <w:p w14:paraId="0EA5C094">
      <w:pPr>
        <w:wordWrap w:val="0"/>
        <w:ind w:right="1440"/>
        <w:rPr>
          <w:rFonts w:asciiTheme="minorEastAsia" w:hAnsiTheme="minorEastAsia"/>
          <w:color w:val="auto"/>
          <w:szCs w:val="21"/>
          <w:highlight w:val="none"/>
        </w:rPr>
      </w:pPr>
      <w:r>
        <w:rPr>
          <w:rFonts w:hint="eastAsia" w:asciiTheme="minorEastAsia" w:hAnsiTheme="minorEastAsia"/>
          <w:color w:val="auto"/>
          <w:szCs w:val="21"/>
          <w:highlight w:val="none"/>
        </w:rPr>
        <w:t>《建设工程招标控制价编审规程》CECA/GC6-2011</w:t>
      </w:r>
    </w:p>
    <w:p w14:paraId="2A64713F">
      <w:pPr>
        <w:wordWrap w:val="0"/>
        <w:ind w:right="1440"/>
        <w:rPr>
          <w:rFonts w:asciiTheme="minorEastAsia" w:hAnsiTheme="minorEastAsia"/>
          <w:color w:val="auto"/>
          <w:szCs w:val="21"/>
          <w:highlight w:val="none"/>
        </w:rPr>
      </w:pPr>
      <w:r>
        <w:rPr>
          <w:rFonts w:hint="eastAsia" w:asciiTheme="minorEastAsia" w:hAnsiTheme="minorEastAsia"/>
          <w:color w:val="auto"/>
          <w:szCs w:val="21"/>
          <w:highlight w:val="none"/>
        </w:rPr>
        <w:t>《建设工程造价咨询成果文件质量标准》CECA/GC7-2012</w:t>
      </w:r>
    </w:p>
    <w:p w14:paraId="26F598C3">
      <w:pPr>
        <w:wordWrap w:val="0"/>
        <w:ind w:right="1440"/>
        <w:rPr>
          <w:rFonts w:asciiTheme="minorEastAsia" w:hAnsiTheme="minorEastAsia"/>
          <w:color w:val="auto"/>
          <w:szCs w:val="21"/>
          <w:highlight w:val="none"/>
        </w:rPr>
      </w:pPr>
      <w:r>
        <w:rPr>
          <w:rFonts w:hint="eastAsia" w:asciiTheme="minorEastAsia" w:hAnsiTheme="minorEastAsia"/>
          <w:color w:val="auto"/>
          <w:szCs w:val="21"/>
          <w:highlight w:val="none"/>
        </w:rPr>
        <w:t>建设项目投资估算编审规程CECA/GC1-2007</w:t>
      </w:r>
    </w:p>
    <w:p w14:paraId="3FAD7F08">
      <w:pPr>
        <w:wordWrap w:val="0"/>
        <w:ind w:right="1440"/>
        <w:rPr>
          <w:rFonts w:asciiTheme="minorEastAsia" w:hAnsiTheme="minorEastAsia"/>
          <w:color w:val="auto"/>
          <w:szCs w:val="21"/>
          <w:highlight w:val="none"/>
        </w:rPr>
      </w:pPr>
      <w:r>
        <w:rPr>
          <w:rFonts w:hint="eastAsia" w:asciiTheme="minorEastAsia" w:hAnsiTheme="minorEastAsia"/>
          <w:color w:val="auto"/>
          <w:szCs w:val="21"/>
          <w:highlight w:val="none"/>
        </w:rPr>
        <w:t>建设项目设计概算编审规程CECA／GC 2—2007</w:t>
      </w:r>
    </w:p>
    <w:p w14:paraId="3D2F76D7">
      <w:pPr>
        <w:wordWrap w:val="0"/>
        <w:ind w:right="1440"/>
        <w:rPr>
          <w:rFonts w:asciiTheme="minorEastAsia" w:hAnsiTheme="minorEastAsia"/>
          <w:color w:val="auto"/>
          <w:szCs w:val="21"/>
          <w:highlight w:val="none"/>
        </w:rPr>
      </w:pPr>
      <w:r>
        <w:rPr>
          <w:rFonts w:hint="eastAsia" w:asciiTheme="minorEastAsia" w:hAnsiTheme="minorEastAsia"/>
          <w:color w:val="auto"/>
          <w:szCs w:val="21"/>
          <w:highlight w:val="none"/>
        </w:rPr>
        <w:t>全过程工程咨询服务管理标准T/CCIAT0024-2020</w:t>
      </w:r>
    </w:p>
    <w:p w14:paraId="6F651E36">
      <w:pPr>
        <w:wordWrap w:val="0"/>
        <w:ind w:right="1440"/>
        <w:rPr>
          <w:rFonts w:asciiTheme="minorEastAsia" w:hAnsiTheme="minorEastAsia"/>
          <w:color w:val="auto"/>
          <w:szCs w:val="21"/>
          <w:highlight w:val="none"/>
        </w:rPr>
      </w:pPr>
      <w:r>
        <w:rPr>
          <w:rFonts w:hint="eastAsia" w:asciiTheme="minorEastAsia" w:hAnsiTheme="minorEastAsia"/>
          <w:color w:val="auto"/>
          <w:szCs w:val="21"/>
          <w:highlight w:val="none"/>
        </w:rPr>
        <w:t>《建设项目施工图预算编审规程》CECA／GC 5—2010</w:t>
      </w:r>
    </w:p>
    <w:p w14:paraId="18499D83">
      <w:pPr>
        <w:wordWrap w:val="0"/>
        <w:ind w:right="1440"/>
        <w:rPr>
          <w:rFonts w:asciiTheme="minorEastAsia" w:hAnsiTheme="minorEastAsia"/>
          <w:color w:val="auto"/>
          <w:szCs w:val="21"/>
          <w:highlight w:val="none"/>
        </w:rPr>
      </w:pPr>
      <w:r>
        <w:rPr>
          <w:rFonts w:hint="eastAsia" w:asciiTheme="minorEastAsia" w:hAnsiTheme="minorEastAsia"/>
          <w:color w:val="auto"/>
          <w:szCs w:val="21"/>
          <w:highlight w:val="none"/>
        </w:rPr>
        <w:t>《建设项目全过程造价咨询规程》（CECA/GC 4-2009）实施手册《建设项目工程结算编审规程》CECA/GC3-20072021-12-11</w:t>
      </w:r>
    </w:p>
    <w:p w14:paraId="2FDEA9D1">
      <w:pPr>
        <w:widowControl/>
        <w:ind w:firstLine="720"/>
        <w:jc w:val="left"/>
        <w:rPr>
          <w:color w:val="auto"/>
          <w:sz w:val="36"/>
          <w:szCs w:val="36"/>
          <w:highlight w:val="none"/>
        </w:rPr>
      </w:pPr>
      <w:r>
        <w:rPr>
          <w:color w:val="auto"/>
          <w:sz w:val="36"/>
          <w:szCs w:val="36"/>
          <w:highlight w:val="none"/>
        </w:rPr>
        <w:br w:type="page"/>
      </w:r>
    </w:p>
    <w:bookmarkEnd w:id="620"/>
    <w:bookmarkEnd w:id="621"/>
    <w:p w14:paraId="434CA73A">
      <w:pPr>
        <w:pStyle w:val="2"/>
        <w:numPr>
          <w:ilvl w:val="0"/>
          <w:numId w:val="2"/>
        </w:numPr>
        <w:spacing w:line="360" w:lineRule="auto"/>
        <w:jc w:val="center"/>
        <w:rPr>
          <w:rFonts w:hint="eastAsia" w:ascii="宋体" w:hAnsi="宋体"/>
          <w:color w:val="auto"/>
          <w:highlight w:val="none"/>
        </w:rPr>
      </w:pPr>
      <w:bookmarkStart w:id="743" w:name="招标文件06章图纸01"/>
      <w:bookmarkEnd w:id="743"/>
      <w:bookmarkStart w:id="744" w:name="_Toc30057"/>
      <w:bookmarkEnd w:id="744"/>
      <w:bookmarkStart w:id="745" w:name="baidusnap3"/>
      <w:bookmarkEnd w:id="745"/>
      <w:bookmarkStart w:id="746" w:name="招标文件06章图纸"/>
      <w:bookmarkEnd w:id="746"/>
      <w:bookmarkStart w:id="747" w:name="baidusnap7"/>
      <w:bookmarkEnd w:id="747"/>
      <w:bookmarkStart w:id="748" w:name="_Toc30930"/>
      <w:bookmarkStart w:id="749" w:name="_Toc6677"/>
      <w:bookmarkStart w:id="750" w:name="_Toc7551"/>
      <w:bookmarkStart w:id="751" w:name="_Toc430530520"/>
      <w:bookmarkStart w:id="752" w:name="_Toc287620804"/>
      <w:bookmarkStart w:id="753" w:name="_Toc296890982"/>
      <w:bookmarkStart w:id="754" w:name="_Toc351203480"/>
      <w:bookmarkStart w:id="755" w:name="_Toc296503025"/>
      <w:r>
        <w:rPr>
          <w:rFonts w:hint="eastAsia" w:ascii="宋体" w:hAnsi="宋体"/>
          <w:color w:val="auto"/>
          <w:highlight w:val="none"/>
        </w:rPr>
        <w:t>发包人要求</w:t>
      </w:r>
      <w:bookmarkEnd w:id="748"/>
      <w:bookmarkEnd w:id="749"/>
      <w:bookmarkEnd w:id="750"/>
    </w:p>
    <w:p w14:paraId="6EB83B9A">
      <w:pPr>
        <w:jc w:val="center"/>
        <w:rPr>
          <w:rFonts w:hint="eastAsia" w:ascii="宋体" w:hAnsi="宋体"/>
          <w:color w:val="auto"/>
          <w:szCs w:val="21"/>
          <w:highlight w:val="none"/>
        </w:rPr>
      </w:pPr>
      <w:r>
        <w:rPr>
          <w:rFonts w:hint="eastAsia" w:ascii="宋体" w:hAnsi="宋体" w:cs="仿宋_GB2312"/>
          <w:color w:val="auto"/>
          <w:szCs w:val="21"/>
          <w:highlight w:val="none"/>
        </w:rPr>
        <w:t>按现行技术标准和规范执行，</w:t>
      </w:r>
      <w:r>
        <w:rPr>
          <w:rFonts w:hint="eastAsia" w:ascii="宋体" w:hAnsi="宋体"/>
          <w:color w:val="auto"/>
          <w:szCs w:val="21"/>
          <w:highlight w:val="none"/>
        </w:rPr>
        <w:t>达到国家现行有关服务质量及技术的要求。</w:t>
      </w:r>
    </w:p>
    <w:p w14:paraId="2CD3737D">
      <w:pPr>
        <w:pStyle w:val="8"/>
        <w:rPr>
          <w:rFonts w:hint="eastAsia" w:ascii="宋体" w:hAnsi="宋体"/>
          <w:color w:val="auto"/>
          <w:szCs w:val="21"/>
          <w:highlight w:val="none"/>
        </w:rPr>
      </w:pPr>
    </w:p>
    <w:p w14:paraId="470255A8">
      <w:pPr>
        <w:rPr>
          <w:rFonts w:hint="eastAsia" w:ascii="宋体" w:hAnsi="宋体"/>
          <w:color w:val="auto"/>
          <w:szCs w:val="21"/>
          <w:highlight w:val="none"/>
        </w:rPr>
      </w:pPr>
    </w:p>
    <w:p w14:paraId="3F9CE04E">
      <w:pPr>
        <w:pStyle w:val="8"/>
        <w:rPr>
          <w:rFonts w:hint="eastAsia" w:ascii="宋体" w:hAnsi="宋体"/>
          <w:color w:val="auto"/>
          <w:szCs w:val="21"/>
          <w:highlight w:val="none"/>
        </w:rPr>
      </w:pPr>
    </w:p>
    <w:p w14:paraId="0055D4C0">
      <w:pPr>
        <w:rPr>
          <w:rFonts w:hint="eastAsia" w:ascii="宋体" w:hAnsi="宋体"/>
          <w:color w:val="auto"/>
          <w:szCs w:val="21"/>
          <w:highlight w:val="none"/>
        </w:rPr>
      </w:pPr>
    </w:p>
    <w:p w14:paraId="77CF7701">
      <w:pPr>
        <w:pStyle w:val="8"/>
        <w:rPr>
          <w:rFonts w:hint="eastAsia" w:ascii="宋体" w:hAnsi="宋体"/>
          <w:color w:val="auto"/>
          <w:szCs w:val="21"/>
          <w:highlight w:val="none"/>
        </w:rPr>
      </w:pPr>
    </w:p>
    <w:p w14:paraId="6D15567A">
      <w:pPr>
        <w:rPr>
          <w:rFonts w:hint="eastAsia" w:ascii="宋体" w:hAnsi="宋体"/>
          <w:color w:val="auto"/>
          <w:szCs w:val="21"/>
          <w:highlight w:val="none"/>
        </w:rPr>
      </w:pPr>
    </w:p>
    <w:p w14:paraId="66A36AF2">
      <w:pPr>
        <w:pStyle w:val="8"/>
        <w:rPr>
          <w:rFonts w:hint="eastAsia" w:ascii="宋体" w:hAnsi="宋体"/>
          <w:color w:val="auto"/>
          <w:szCs w:val="21"/>
          <w:highlight w:val="none"/>
        </w:rPr>
      </w:pPr>
    </w:p>
    <w:p w14:paraId="264AC405">
      <w:pPr>
        <w:rPr>
          <w:rFonts w:hint="eastAsia" w:ascii="宋体" w:hAnsi="宋体"/>
          <w:color w:val="auto"/>
          <w:szCs w:val="21"/>
          <w:highlight w:val="none"/>
        </w:rPr>
      </w:pPr>
    </w:p>
    <w:p w14:paraId="1D4EC232">
      <w:pPr>
        <w:pStyle w:val="8"/>
        <w:rPr>
          <w:rFonts w:hint="eastAsia" w:ascii="宋体" w:hAnsi="宋体"/>
          <w:color w:val="auto"/>
          <w:szCs w:val="21"/>
          <w:highlight w:val="none"/>
        </w:rPr>
      </w:pPr>
    </w:p>
    <w:p w14:paraId="717CAB7D">
      <w:pPr>
        <w:rPr>
          <w:rFonts w:hint="eastAsia" w:ascii="宋体" w:hAnsi="宋体"/>
          <w:color w:val="auto"/>
          <w:szCs w:val="21"/>
          <w:highlight w:val="none"/>
        </w:rPr>
      </w:pPr>
    </w:p>
    <w:p w14:paraId="56CBC482">
      <w:pPr>
        <w:pStyle w:val="8"/>
        <w:rPr>
          <w:rFonts w:hint="eastAsia" w:ascii="宋体" w:hAnsi="宋体"/>
          <w:color w:val="auto"/>
          <w:szCs w:val="21"/>
          <w:highlight w:val="none"/>
        </w:rPr>
      </w:pPr>
    </w:p>
    <w:p w14:paraId="623E90DB">
      <w:pPr>
        <w:rPr>
          <w:rFonts w:hint="eastAsia" w:ascii="宋体" w:hAnsi="宋体"/>
          <w:color w:val="auto"/>
          <w:szCs w:val="21"/>
          <w:highlight w:val="none"/>
        </w:rPr>
      </w:pPr>
    </w:p>
    <w:p w14:paraId="15481567">
      <w:pPr>
        <w:pStyle w:val="8"/>
        <w:rPr>
          <w:rFonts w:hint="eastAsia" w:ascii="宋体" w:hAnsi="宋体"/>
          <w:color w:val="auto"/>
          <w:szCs w:val="21"/>
          <w:highlight w:val="none"/>
        </w:rPr>
      </w:pPr>
    </w:p>
    <w:p w14:paraId="0969BCDB">
      <w:pPr>
        <w:rPr>
          <w:rFonts w:hint="eastAsia" w:ascii="宋体" w:hAnsi="宋体"/>
          <w:color w:val="auto"/>
          <w:szCs w:val="21"/>
          <w:highlight w:val="none"/>
        </w:rPr>
      </w:pPr>
    </w:p>
    <w:p w14:paraId="387EC605">
      <w:pPr>
        <w:pStyle w:val="8"/>
        <w:rPr>
          <w:rFonts w:hint="eastAsia" w:ascii="宋体" w:hAnsi="宋体"/>
          <w:color w:val="auto"/>
          <w:szCs w:val="21"/>
          <w:highlight w:val="none"/>
        </w:rPr>
      </w:pPr>
    </w:p>
    <w:p w14:paraId="727F8AF3">
      <w:pPr>
        <w:rPr>
          <w:rFonts w:hint="eastAsia" w:ascii="宋体" w:hAnsi="宋体"/>
          <w:color w:val="auto"/>
          <w:szCs w:val="21"/>
          <w:highlight w:val="none"/>
        </w:rPr>
      </w:pPr>
    </w:p>
    <w:p w14:paraId="22028404">
      <w:pPr>
        <w:pStyle w:val="8"/>
        <w:rPr>
          <w:rFonts w:hint="eastAsia" w:ascii="宋体" w:hAnsi="宋体"/>
          <w:color w:val="auto"/>
          <w:szCs w:val="21"/>
          <w:highlight w:val="none"/>
        </w:rPr>
      </w:pPr>
    </w:p>
    <w:p w14:paraId="558F4B1E">
      <w:pPr>
        <w:rPr>
          <w:rFonts w:hint="eastAsia" w:ascii="宋体" w:hAnsi="宋体"/>
          <w:color w:val="auto"/>
          <w:szCs w:val="21"/>
          <w:highlight w:val="none"/>
        </w:rPr>
      </w:pPr>
    </w:p>
    <w:p w14:paraId="7541AA8B">
      <w:pPr>
        <w:pStyle w:val="8"/>
        <w:rPr>
          <w:rFonts w:hint="eastAsia" w:ascii="宋体" w:hAnsi="宋体"/>
          <w:color w:val="auto"/>
          <w:szCs w:val="21"/>
          <w:highlight w:val="none"/>
        </w:rPr>
      </w:pPr>
    </w:p>
    <w:p w14:paraId="73387EDE">
      <w:pPr>
        <w:rPr>
          <w:rFonts w:hint="eastAsia" w:ascii="宋体" w:hAnsi="宋体"/>
          <w:color w:val="auto"/>
          <w:szCs w:val="21"/>
          <w:highlight w:val="none"/>
        </w:rPr>
      </w:pPr>
    </w:p>
    <w:p w14:paraId="59680BE6">
      <w:pPr>
        <w:pStyle w:val="8"/>
        <w:rPr>
          <w:rFonts w:hint="eastAsia" w:ascii="宋体" w:hAnsi="宋体"/>
          <w:color w:val="auto"/>
          <w:highlight w:val="none"/>
        </w:rPr>
      </w:pPr>
    </w:p>
    <w:p w14:paraId="079D5D23">
      <w:pPr>
        <w:rPr>
          <w:rFonts w:hint="eastAsia" w:ascii="宋体" w:hAnsi="宋体"/>
          <w:color w:val="auto"/>
          <w:szCs w:val="21"/>
          <w:highlight w:val="none"/>
        </w:rPr>
      </w:pPr>
    </w:p>
    <w:p w14:paraId="3B0AAE61">
      <w:pPr>
        <w:pStyle w:val="8"/>
        <w:rPr>
          <w:rFonts w:hint="eastAsia" w:ascii="宋体" w:hAnsi="宋体"/>
          <w:color w:val="auto"/>
          <w:szCs w:val="21"/>
          <w:highlight w:val="none"/>
        </w:rPr>
      </w:pPr>
    </w:p>
    <w:p w14:paraId="23D08E97">
      <w:pPr>
        <w:rPr>
          <w:rFonts w:hint="eastAsia" w:ascii="宋体" w:hAnsi="宋体"/>
          <w:color w:val="auto"/>
          <w:szCs w:val="21"/>
          <w:highlight w:val="none"/>
        </w:rPr>
      </w:pPr>
    </w:p>
    <w:p w14:paraId="12FAF80C">
      <w:pPr>
        <w:pStyle w:val="8"/>
        <w:rPr>
          <w:rFonts w:hint="eastAsia" w:ascii="宋体" w:hAnsi="宋体"/>
          <w:color w:val="auto"/>
          <w:szCs w:val="21"/>
          <w:highlight w:val="none"/>
        </w:rPr>
      </w:pPr>
    </w:p>
    <w:p w14:paraId="410A98E2">
      <w:pPr>
        <w:rPr>
          <w:rFonts w:hint="eastAsia" w:ascii="宋体" w:hAnsi="宋体"/>
          <w:color w:val="auto"/>
          <w:szCs w:val="21"/>
          <w:highlight w:val="none"/>
        </w:rPr>
      </w:pPr>
    </w:p>
    <w:p w14:paraId="4E97FC9A">
      <w:pPr>
        <w:pStyle w:val="8"/>
        <w:rPr>
          <w:rFonts w:hint="eastAsia" w:ascii="宋体" w:hAnsi="宋体"/>
          <w:color w:val="auto"/>
          <w:szCs w:val="21"/>
          <w:highlight w:val="none"/>
        </w:rPr>
      </w:pPr>
    </w:p>
    <w:p w14:paraId="37C28C5E">
      <w:pPr>
        <w:rPr>
          <w:rFonts w:hint="eastAsia" w:ascii="宋体" w:hAnsi="宋体"/>
          <w:color w:val="auto"/>
          <w:szCs w:val="21"/>
          <w:highlight w:val="none"/>
        </w:rPr>
      </w:pPr>
    </w:p>
    <w:p w14:paraId="3D8FC59E">
      <w:pPr>
        <w:pStyle w:val="8"/>
        <w:rPr>
          <w:rFonts w:hint="eastAsia" w:ascii="宋体" w:hAnsi="宋体"/>
          <w:color w:val="auto"/>
          <w:szCs w:val="21"/>
          <w:highlight w:val="none"/>
        </w:rPr>
      </w:pPr>
    </w:p>
    <w:p w14:paraId="4F9D2593">
      <w:pPr>
        <w:rPr>
          <w:rFonts w:hint="eastAsia" w:ascii="宋体" w:hAnsi="宋体"/>
          <w:color w:val="auto"/>
          <w:szCs w:val="21"/>
          <w:highlight w:val="none"/>
        </w:rPr>
      </w:pPr>
    </w:p>
    <w:bookmarkEnd w:id="751"/>
    <w:bookmarkEnd w:id="752"/>
    <w:p w14:paraId="5AB756D0">
      <w:pPr>
        <w:spacing w:line="360" w:lineRule="auto"/>
        <w:ind w:firstLine="1050" w:firstLineChars="500"/>
        <w:rPr>
          <w:rFonts w:hint="eastAsia" w:ascii="宋体" w:hAnsi="宋体" w:cs="宋体"/>
          <w:color w:val="auto"/>
          <w:highlight w:val="none"/>
        </w:rPr>
      </w:pPr>
      <w:bookmarkStart w:id="756" w:name="_Toc5129"/>
      <w:bookmarkStart w:id="757" w:name="_Toc14772"/>
      <w:bookmarkStart w:id="758" w:name="_Toc430530528"/>
      <w:bookmarkStart w:id="759" w:name="_Toc287607865"/>
      <w:bookmarkStart w:id="760" w:name="_Toc534185829"/>
      <w:bookmarkStart w:id="761" w:name="_Toc509218852"/>
      <w:bookmarkStart w:id="762" w:name="_Toc287620812"/>
    </w:p>
    <w:p w14:paraId="468A3E4E">
      <w:pPr>
        <w:pStyle w:val="2"/>
        <w:spacing w:line="360" w:lineRule="auto"/>
        <w:ind w:firstLine="2209" w:firstLineChars="500"/>
        <w:rPr>
          <w:rFonts w:hint="eastAsia" w:ascii="宋体" w:hAnsi="宋体" w:cs="宋体"/>
          <w:color w:val="auto"/>
          <w:highlight w:val="none"/>
        </w:rPr>
      </w:pPr>
      <w:r>
        <w:rPr>
          <w:rFonts w:hint="eastAsia" w:ascii="宋体" w:hAnsi="宋体" w:cs="宋体"/>
          <w:color w:val="auto"/>
          <w:highlight w:val="none"/>
        </w:rPr>
        <w:t>第六章  竞选文件格式</w:t>
      </w:r>
      <w:bookmarkEnd w:id="756"/>
      <w:bookmarkEnd w:id="757"/>
      <w:bookmarkEnd w:id="758"/>
      <w:bookmarkEnd w:id="759"/>
      <w:bookmarkEnd w:id="760"/>
      <w:bookmarkEnd w:id="761"/>
      <w:bookmarkEnd w:id="762"/>
    </w:p>
    <w:p w14:paraId="408520E2">
      <w:pPr>
        <w:spacing w:line="360" w:lineRule="auto"/>
        <w:rPr>
          <w:rFonts w:hint="eastAsia" w:ascii="宋体" w:hAnsi="宋体" w:cs="宋体"/>
          <w:color w:val="auto"/>
          <w:sz w:val="32"/>
          <w:szCs w:val="32"/>
          <w:highlight w:val="none"/>
        </w:rPr>
      </w:pPr>
    </w:p>
    <w:p w14:paraId="4E4B632E">
      <w:pPr>
        <w:rPr>
          <w:rFonts w:hint="eastAsia" w:ascii="宋体" w:hAnsi="宋体" w:cs="宋体"/>
          <w:color w:val="auto"/>
          <w:sz w:val="36"/>
          <w:szCs w:val="36"/>
          <w:highlight w:val="none"/>
        </w:rPr>
      </w:pPr>
    </w:p>
    <w:p w14:paraId="3D28B6D3">
      <w:pPr>
        <w:pStyle w:val="19"/>
        <w:rPr>
          <w:rFonts w:hint="eastAsia" w:ascii="宋体" w:hAnsi="宋体" w:cs="宋体"/>
          <w:color w:val="auto"/>
          <w:sz w:val="36"/>
          <w:szCs w:val="36"/>
          <w:highlight w:val="none"/>
        </w:rPr>
      </w:pPr>
    </w:p>
    <w:p w14:paraId="5DFA91B2">
      <w:pPr>
        <w:rPr>
          <w:rFonts w:hint="eastAsia" w:ascii="宋体" w:hAnsi="宋体" w:cs="宋体"/>
          <w:color w:val="auto"/>
          <w:sz w:val="36"/>
          <w:szCs w:val="36"/>
          <w:highlight w:val="none"/>
        </w:rPr>
      </w:pPr>
    </w:p>
    <w:p w14:paraId="70B439B8">
      <w:pPr>
        <w:pStyle w:val="8"/>
        <w:rPr>
          <w:rFonts w:hint="eastAsia" w:ascii="宋体" w:hAnsi="宋体" w:cs="宋体"/>
          <w:color w:val="auto"/>
          <w:sz w:val="36"/>
          <w:szCs w:val="36"/>
          <w:highlight w:val="none"/>
        </w:rPr>
      </w:pPr>
    </w:p>
    <w:p w14:paraId="4D1742CD">
      <w:pPr>
        <w:rPr>
          <w:rFonts w:hint="eastAsia" w:ascii="宋体" w:hAnsi="宋体" w:cs="宋体"/>
          <w:color w:val="auto"/>
          <w:sz w:val="36"/>
          <w:szCs w:val="36"/>
          <w:highlight w:val="none"/>
        </w:rPr>
      </w:pPr>
    </w:p>
    <w:p w14:paraId="106A8F2A">
      <w:pPr>
        <w:pStyle w:val="8"/>
        <w:rPr>
          <w:rFonts w:hint="eastAsia" w:ascii="宋体" w:hAnsi="宋体"/>
          <w:color w:val="auto"/>
          <w:highlight w:val="none"/>
        </w:rPr>
      </w:pPr>
    </w:p>
    <w:p w14:paraId="6302E5D1">
      <w:pPr>
        <w:rPr>
          <w:rFonts w:hint="eastAsia" w:ascii="宋体" w:hAnsi="宋体" w:cs="宋体"/>
          <w:color w:val="auto"/>
          <w:sz w:val="36"/>
          <w:szCs w:val="36"/>
          <w:highlight w:val="none"/>
        </w:rPr>
      </w:pPr>
    </w:p>
    <w:p w14:paraId="01377F89">
      <w:pPr>
        <w:spacing w:line="360" w:lineRule="auto"/>
        <w:jc w:val="center"/>
        <w:outlineLvl w:val="1"/>
        <w:rPr>
          <w:rFonts w:hint="eastAsia" w:ascii="宋体" w:hAnsi="宋体" w:cs="宋体"/>
          <w:color w:val="auto"/>
          <w:sz w:val="36"/>
          <w:szCs w:val="36"/>
          <w:highlight w:val="none"/>
        </w:rPr>
      </w:pPr>
    </w:p>
    <w:p w14:paraId="492460DE">
      <w:pPr>
        <w:spacing w:line="360" w:lineRule="auto"/>
        <w:jc w:val="center"/>
        <w:outlineLvl w:val="1"/>
        <w:rPr>
          <w:rFonts w:hint="eastAsia" w:ascii="宋体" w:hAnsi="宋体" w:cs="宋体"/>
          <w:color w:val="auto"/>
          <w:sz w:val="36"/>
          <w:szCs w:val="36"/>
          <w:highlight w:val="none"/>
        </w:rPr>
      </w:pPr>
    </w:p>
    <w:p w14:paraId="5FD493AC">
      <w:pPr>
        <w:spacing w:line="360" w:lineRule="auto"/>
        <w:jc w:val="center"/>
        <w:outlineLvl w:val="1"/>
        <w:rPr>
          <w:rFonts w:hint="eastAsia" w:ascii="宋体" w:hAnsi="宋体" w:cs="宋体"/>
          <w:color w:val="auto"/>
          <w:sz w:val="36"/>
          <w:szCs w:val="36"/>
          <w:highlight w:val="none"/>
        </w:rPr>
        <w:sectPr>
          <w:headerReference r:id="rId4" w:type="default"/>
          <w:footerReference r:id="rId5" w:type="default"/>
          <w:pgSz w:w="11905" w:h="16838"/>
          <w:pgMar w:top="1134" w:right="1134" w:bottom="1134" w:left="1134" w:header="0" w:footer="0" w:gutter="0"/>
          <w:cols w:space="0" w:num="1"/>
          <w:docGrid w:type="lines" w:linePitch="317" w:charSpace="0"/>
        </w:sectPr>
      </w:pPr>
    </w:p>
    <w:p w14:paraId="3C9894FA">
      <w:pPr>
        <w:spacing w:line="360" w:lineRule="auto"/>
        <w:jc w:val="center"/>
        <w:outlineLvl w:val="1"/>
        <w:rPr>
          <w:rFonts w:hint="eastAsia" w:ascii="宋体" w:hAnsi="宋体" w:cs="宋体"/>
          <w:color w:val="auto"/>
          <w:sz w:val="36"/>
          <w:szCs w:val="36"/>
          <w:highlight w:val="none"/>
        </w:rPr>
      </w:pPr>
      <w:r>
        <w:rPr>
          <w:rFonts w:hint="eastAsia"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0" b="0"/>
                <wp:wrapNone/>
                <wp:docPr id="118" name="矩形 12"/>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0EFA9139"/>
                        </w:txbxContent>
                      </wps:txbx>
                      <wps:bodyPr rot="0" vert="horz" wrap="square" lIns="91440" tIns="45720" rIns="91440" bIns="45720" anchor="t" anchorCtr="0" upright="1">
                        <a:noAutofit/>
                      </wps:bodyPr>
                    </wps:wsp>
                  </a:graphicData>
                </a:graphic>
              </wp:anchor>
            </w:drawing>
          </mc:Choice>
          <mc:Fallback>
            <w:pict>
              <v:rect id="矩形 12"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vl6p9oAAAANAQAADwAAAAAAAAABACAAAAAiAAAAZHJzL2Rvd25yZXYueG1sUEsBAhQAFAAAAAgA&#10;h07iQG51YNUjAgAAQQQAAA4AAAAAAAAAAQAgAAAAKQEAAGRycy9lMm9Eb2MueG1sUEsFBgAAAAAG&#10;AAYAWQEAAL4FAAAAAA==&#10;">
                <v:fill on="t" focussize="0,0"/>
                <v:stroke on="f"/>
                <v:imagedata o:title=""/>
                <o:lock v:ext="edit" aspectratio="f"/>
                <v:textbox>
                  <w:txbxContent>
                    <w:p w14:paraId="0EFA9139"/>
                  </w:txbxContent>
                </v:textbox>
              </v:rect>
            </w:pict>
          </mc:Fallback>
        </mc:AlternateContent>
      </w:r>
      <w:bookmarkStart w:id="763" w:name="_Toc224103493"/>
      <w:r>
        <w:rPr>
          <w:rFonts w:hint="eastAsia" w:ascii="宋体" w:hAnsi="宋体" w:cs="宋体"/>
          <w:color w:val="auto"/>
          <w:sz w:val="36"/>
          <w:szCs w:val="36"/>
          <w:highlight w:val="none"/>
        </w:rPr>
        <w:t>目  录</w:t>
      </w:r>
      <w:bookmarkEnd w:id="763"/>
    </w:p>
    <w:p w14:paraId="44980E24">
      <w:pPr>
        <w:pStyle w:val="8"/>
        <w:rPr>
          <w:rFonts w:hint="eastAsia" w:ascii="宋体" w:hAnsi="宋体"/>
          <w:color w:val="auto"/>
          <w:highlight w:val="none"/>
        </w:rPr>
      </w:pPr>
    </w:p>
    <w:p w14:paraId="18635452">
      <w:pPr>
        <w:spacing w:line="360" w:lineRule="auto"/>
        <w:rPr>
          <w:rFonts w:hint="eastAsia" w:ascii="宋体" w:hAnsi="宋体"/>
          <w:b/>
          <w:color w:val="auto"/>
          <w:highlight w:val="none"/>
        </w:rPr>
      </w:pPr>
      <w:r>
        <w:rPr>
          <w:rFonts w:hint="eastAsia" w:ascii="宋体" w:hAnsi="宋体"/>
          <w:b/>
          <w:color w:val="auto"/>
          <w:highlight w:val="none"/>
        </w:rPr>
        <w:t>一</w:t>
      </w:r>
      <w:r>
        <w:rPr>
          <w:rFonts w:ascii="宋体" w:hAnsi="宋体"/>
          <w:b/>
          <w:color w:val="auto"/>
          <w:highlight w:val="none"/>
        </w:rPr>
        <w:t>、投标函部分</w:t>
      </w:r>
    </w:p>
    <w:p w14:paraId="35A68E14">
      <w:pPr>
        <w:spacing w:line="360" w:lineRule="auto"/>
        <w:ind w:firstLine="420" w:firstLineChars="200"/>
        <w:rPr>
          <w:rFonts w:hint="eastAsia" w:ascii="宋体" w:hAnsi="宋体"/>
          <w:color w:val="auto"/>
          <w:highlight w:val="none"/>
        </w:rPr>
      </w:pPr>
      <w:r>
        <w:rPr>
          <w:rFonts w:ascii="宋体" w:hAnsi="宋体"/>
          <w:color w:val="auto"/>
          <w:highlight w:val="none"/>
        </w:rPr>
        <w:t>（一）</w:t>
      </w:r>
      <w:r>
        <w:rPr>
          <w:rFonts w:hint="eastAsia" w:ascii="宋体" w:hAnsi="宋体"/>
          <w:color w:val="auto"/>
          <w:highlight w:val="none"/>
        </w:rPr>
        <w:t>竞选</w:t>
      </w:r>
      <w:r>
        <w:rPr>
          <w:rFonts w:ascii="宋体" w:hAnsi="宋体"/>
          <w:color w:val="auto"/>
          <w:highlight w:val="none"/>
        </w:rPr>
        <w:t>函</w:t>
      </w:r>
    </w:p>
    <w:p w14:paraId="51A56942">
      <w:pPr>
        <w:spacing w:line="360" w:lineRule="auto"/>
        <w:ind w:firstLine="420" w:firstLineChars="200"/>
        <w:rPr>
          <w:rFonts w:hint="eastAsia" w:ascii="宋体" w:hAnsi="宋体"/>
          <w:color w:val="auto"/>
          <w:highlight w:val="none"/>
        </w:rPr>
      </w:pPr>
      <w:r>
        <w:rPr>
          <w:rFonts w:ascii="宋体" w:hAnsi="宋体"/>
          <w:color w:val="auto"/>
          <w:highlight w:val="none"/>
        </w:rPr>
        <w:t>（二）</w:t>
      </w:r>
      <w:r>
        <w:rPr>
          <w:rFonts w:hint="eastAsia" w:ascii="宋体" w:hAnsi="宋体"/>
          <w:color w:val="auto"/>
          <w:highlight w:val="none"/>
        </w:rPr>
        <w:t>法定代表人身份证明或附有法定代表人身份证明的授权委托书</w:t>
      </w:r>
    </w:p>
    <w:p w14:paraId="10A2ECA3">
      <w:pPr>
        <w:spacing w:line="360" w:lineRule="auto"/>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三</w:t>
      </w:r>
      <w:r>
        <w:rPr>
          <w:rFonts w:hint="eastAsia" w:ascii="宋体" w:hAnsi="宋体"/>
          <w:color w:val="auto"/>
          <w:highlight w:val="none"/>
        </w:rPr>
        <w:t>）低价风险担保提交承诺书（如有）</w:t>
      </w:r>
    </w:p>
    <w:p w14:paraId="51C3FA91">
      <w:pPr>
        <w:spacing w:line="360" w:lineRule="auto"/>
        <w:rPr>
          <w:rFonts w:hint="eastAsia" w:ascii="宋体" w:hAnsi="宋体"/>
          <w:b/>
          <w:color w:val="auto"/>
          <w:highlight w:val="none"/>
        </w:rPr>
      </w:pPr>
      <w:r>
        <w:rPr>
          <w:rFonts w:hint="eastAsia" w:ascii="宋体" w:hAnsi="宋体"/>
          <w:b/>
          <w:color w:val="auto"/>
          <w:highlight w:val="none"/>
        </w:rPr>
        <w:t>二</w:t>
      </w:r>
      <w:r>
        <w:rPr>
          <w:rFonts w:ascii="宋体" w:hAnsi="宋体"/>
          <w:b/>
          <w:color w:val="auto"/>
          <w:highlight w:val="none"/>
        </w:rPr>
        <w:t>、技术部分</w:t>
      </w:r>
    </w:p>
    <w:p w14:paraId="66707499">
      <w:pPr>
        <w:spacing w:line="360" w:lineRule="auto"/>
        <w:ind w:firstLine="420" w:firstLineChars="200"/>
        <w:rPr>
          <w:rFonts w:hint="eastAsia" w:ascii="宋体" w:hAnsi="宋体"/>
          <w:color w:val="auto"/>
          <w:highlight w:val="none"/>
        </w:rPr>
      </w:pPr>
      <w:r>
        <w:rPr>
          <w:rFonts w:hint="eastAsia" w:ascii="宋体" w:hAnsi="宋体"/>
          <w:color w:val="auto"/>
          <w:highlight w:val="none"/>
        </w:rPr>
        <w:t>服务方案</w:t>
      </w:r>
    </w:p>
    <w:p w14:paraId="03360F51">
      <w:pPr>
        <w:spacing w:line="360" w:lineRule="auto"/>
        <w:rPr>
          <w:rFonts w:hint="eastAsia" w:ascii="宋体" w:hAnsi="宋体"/>
          <w:b/>
          <w:color w:val="auto"/>
          <w:highlight w:val="none"/>
        </w:rPr>
      </w:pPr>
      <w:r>
        <w:rPr>
          <w:rFonts w:hint="eastAsia" w:ascii="宋体" w:hAnsi="宋体"/>
          <w:b/>
          <w:color w:val="auto"/>
          <w:highlight w:val="none"/>
        </w:rPr>
        <w:t>三</w:t>
      </w:r>
      <w:r>
        <w:rPr>
          <w:rFonts w:ascii="宋体" w:hAnsi="宋体"/>
          <w:b/>
          <w:color w:val="auto"/>
          <w:highlight w:val="none"/>
        </w:rPr>
        <w:t>、</w:t>
      </w:r>
      <w:r>
        <w:rPr>
          <w:rFonts w:hint="eastAsia" w:ascii="宋体" w:hAnsi="宋体"/>
          <w:b/>
          <w:color w:val="auto"/>
          <w:highlight w:val="none"/>
        </w:rPr>
        <w:t>资格审查部分</w:t>
      </w:r>
    </w:p>
    <w:p w14:paraId="4BF641F5">
      <w:pPr>
        <w:spacing w:line="360" w:lineRule="auto"/>
        <w:ind w:firstLine="420" w:firstLineChars="200"/>
        <w:rPr>
          <w:rFonts w:hint="eastAsia"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414D424D">
      <w:pPr>
        <w:spacing w:line="360" w:lineRule="auto"/>
        <w:ind w:firstLine="420" w:firstLineChars="200"/>
        <w:rPr>
          <w:rFonts w:hint="eastAsia" w:ascii="宋体" w:hAnsi="宋体"/>
          <w:color w:val="auto"/>
          <w:highlight w:val="none"/>
        </w:rPr>
      </w:pPr>
      <w:r>
        <w:rPr>
          <w:rFonts w:ascii="宋体" w:hAnsi="宋体"/>
          <w:color w:val="auto"/>
          <w:highlight w:val="none"/>
        </w:rPr>
        <w:t>（二）</w:t>
      </w:r>
      <w:r>
        <w:rPr>
          <w:rFonts w:hint="eastAsia" w:ascii="宋体" w:hAnsi="宋体"/>
          <w:color w:val="auto"/>
          <w:highlight w:val="none"/>
        </w:rPr>
        <w:t>竞选人</w:t>
      </w:r>
      <w:r>
        <w:rPr>
          <w:rFonts w:ascii="宋体" w:hAnsi="宋体"/>
          <w:color w:val="auto"/>
          <w:highlight w:val="none"/>
        </w:rPr>
        <w:t>基本情况表</w:t>
      </w:r>
    </w:p>
    <w:p w14:paraId="4BF55CD6">
      <w:pPr>
        <w:spacing w:line="360" w:lineRule="auto"/>
        <w:ind w:firstLine="420" w:firstLineChars="200"/>
        <w:rPr>
          <w:rFonts w:hint="eastAsia" w:ascii="宋体" w:hAnsi="宋体"/>
          <w:color w:val="auto"/>
          <w:highlight w:val="none"/>
        </w:rPr>
      </w:pPr>
      <w:r>
        <w:rPr>
          <w:rFonts w:ascii="宋体" w:hAnsi="宋体"/>
          <w:color w:val="auto"/>
          <w:highlight w:val="none"/>
        </w:rPr>
        <w:t>（三）项目管理机构</w:t>
      </w:r>
    </w:p>
    <w:p w14:paraId="1EF767EB">
      <w:pPr>
        <w:spacing w:line="360" w:lineRule="auto"/>
        <w:ind w:firstLine="420" w:firstLineChars="200"/>
        <w:rPr>
          <w:rFonts w:hint="eastAsia" w:ascii="宋体" w:hAnsi="宋体"/>
          <w:color w:val="auto"/>
          <w:highlight w:val="none"/>
        </w:rPr>
      </w:pPr>
      <w:r>
        <w:rPr>
          <w:rFonts w:ascii="宋体" w:hAnsi="宋体"/>
          <w:color w:val="auto"/>
          <w:highlight w:val="none"/>
        </w:rPr>
        <w:t>（四）近年财务状况表</w:t>
      </w:r>
    </w:p>
    <w:p w14:paraId="145A649C">
      <w:pPr>
        <w:spacing w:line="360" w:lineRule="auto"/>
        <w:ind w:firstLine="420" w:firstLineChars="200"/>
        <w:rPr>
          <w:rFonts w:hint="eastAsia" w:ascii="宋体" w:hAnsi="宋体"/>
          <w:color w:val="auto"/>
          <w:highlight w:val="none"/>
        </w:rPr>
      </w:pPr>
      <w:r>
        <w:rPr>
          <w:rFonts w:ascii="宋体" w:hAnsi="宋体"/>
          <w:color w:val="auto"/>
          <w:highlight w:val="none"/>
        </w:rPr>
        <w:t>（五）</w:t>
      </w:r>
      <w:r>
        <w:rPr>
          <w:rFonts w:hint="eastAsia" w:ascii="宋体" w:hAnsi="宋体"/>
          <w:color w:val="auto"/>
          <w:highlight w:val="none"/>
        </w:rPr>
        <w:t>业绩要求</w:t>
      </w:r>
    </w:p>
    <w:p w14:paraId="6AD27E06">
      <w:pPr>
        <w:spacing w:line="360" w:lineRule="auto"/>
        <w:ind w:firstLine="420" w:firstLineChars="200"/>
        <w:rPr>
          <w:rFonts w:hint="eastAsia" w:ascii="宋体" w:hAnsi="宋体"/>
          <w:color w:val="auto"/>
          <w:highlight w:val="none"/>
        </w:rPr>
      </w:pPr>
      <w:r>
        <w:rPr>
          <w:rFonts w:ascii="宋体" w:hAnsi="宋体"/>
          <w:color w:val="auto"/>
          <w:highlight w:val="none"/>
        </w:rPr>
        <w:t>（六）</w:t>
      </w:r>
      <w:r>
        <w:rPr>
          <w:rFonts w:hint="eastAsia" w:ascii="宋体" w:hAnsi="宋体"/>
          <w:color w:val="auto"/>
          <w:highlight w:val="none"/>
        </w:rPr>
        <w:t>承诺</w:t>
      </w:r>
    </w:p>
    <w:p w14:paraId="2839A5B7">
      <w:pPr>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七</w:t>
      </w:r>
      <w:r>
        <w:rPr>
          <w:rFonts w:ascii="宋体" w:hAnsi="宋体"/>
          <w:color w:val="auto"/>
          <w:highlight w:val="none"/>
        </w:rPr>
        <w:t>）其他资料</w:t>
      </w:r>
    </w:p>
    <w:p w14:paraId="469728EF">
      <w:pPr>
        <w:spacing w:line="360" w:lineRule="auto"/>
        <w:rPr>
          <w:rFonts w:hint="eastAsia" w:ascii="宋体" w:hAnsi="宋体" w:cs="宋体"/>
          <w:b/>
          <w:color w:val="auto"/>
          <w:highlight w:val="none"/>
        </w:rPr>
      </w:pPr>
    </w:p>
    <w:p w14:paraId="300A2F4B">
      <w:pPr>
        <w:spacing w:line="360" w:lineRule="auto"/>
        <w:jc w:val="center"/>
        <w:rPr>
          <w:rFonts w:hint="eastAsia" w:ascii="宋体" w:hAnsi="宋体" w:cs="宋体"/>
          <w:color w:val="auto"/>
          <w:kern w:val="0"/>
          <w:sz w:val="24"/>
          <w:highlight w:val="none"/>
        </w:rPr>
      </w:pPr>
      <w:bookmarkStart w:id="764" w:name="_Toc27983320"/>
      <w:bookmarkStart w:id="765" w:name="_Toc6306"/>
      <w:bookmarkStart w:id="766" w:name="_Toc534185830"/>
      <w:bookmarkStart w:id="767" w:name="_Toc15801"/>
      <w:bookmarkStart w:id="768" w:name="_Toc509218853"/>
    </w:p>
    <w:p w14:paraId="11C51B41">
      <w:pPr>
        <w:spacing w:line="360" w:lineRule="auto"/>
        <w:jc w:val="center"/>
        <w:rPr>
          <w:rFonts w:hint="eastAsia" w:ascii="宋体" w:hAnsi="宋体"/>
          <w:color w:val="auto"/>
          <w:sz w:val="44"/>
          <w:szCs w:val="44"/>
          <w:highlight w:val="none"/>
        </w:rPr>
      </w:pPr>
    </w:p>
    <w:p w14:paraId="51B33945">
      <w:pPr>
        <w:spacing w:line="360" w:lineRule="auto"/>
        <w:jc w:val="center"/>
        <w:rPr>
          <w:rFonts w:hint="eastAsia" w:ascii="宋体" w:hAnsi="宋体"/>
          <w:color w:val="auto"/>
          <w:sz w:val="44"/>
          <w:szCs w:val="44"/>
          <w:highlight w:val="none"/>
        </w:rPr>
      </w:pPr>
    </w:p>
    <w:p w14:paraId="63A8EFCB">
      <w:pPr>
        <w:spacing w:line="360" w:lineRule="auto"/>
        <w:jc w:val="center"/>
        <w:rPr>
          <w:rFonts w:hint="eastAsia" w:ascii="宋体" w:hAnsi="宋体"/>
          <w:color w:val="auto"/>
          <w:sz w:val="44"/>
          <w:szCs w:val="44"/>
          <w:highlight w:val="none"/>
        </w:rPr>
      </w:pPr>
    </w:p>
    <w:p w14:paraId="630435E1">
      <w:pPr>
        <w:spacing w:line="360" w:lineRule="auto"/>
        <w:jc w:val="center"/>
        <w:rPr>
          <w:rFonts w:hint="eastAsia" w:ascii="宋体" w:hAnsi="宋体"/>
          <w:color w:val="auto"/>
          <w:sz w:val="44"/>
          <w:szCs w:val="44"/>
          <w:highlight w:val="none"/>
        </w:rPr>
      </w:pPr>
    </w:p>
    <w:p w14:paraId="3393F199">
      <w:pPr>
        <w:spacing w:line="360" w:lineRule="auto"/>
        <w:jc w:val="center"/>
        <w:rPr>
          <w:rFonts w:hint="eastAsia" w:ascii="宋体" w:hAnsi="宋体"/>
          <w:color w:val="auto"/>
          <w:sz w:val="44"/>
          <w:szCs w:val="44"/>
          <w:highlight w:val="none"/>
        </w:rPr>
      </w:pPr>
    </w:p>
    <w:p w14:paraId="4DA853E5">
      <w:pPr>
        <w:spacing w:line="360" w:lineRule="auto"/>
        <w:jc w:val="center"/>
        <w:rPr>
          <w:rFonts w:hint="eastAsia" w:ascii="宋体" w:hAnsi="宋体"/>
          <w:color w:val="auto"/>
          <w:sz w:val="44"/>
          <w:szCs w:val="44"/>
          <w:highlight w:val="none"/>
        </w:rPr>
      </w:pPr>
    </w:p>
    <w:p w14:paraId="4DA765D0">
      <w:pPr>
        <w:spacing w:line="360" w:lineRule="auto"/>
        <w:jc w:val="center"/>
        <w:rPr>
          <w:rFonts w:hint="eastAsia" w:ascii="宋体" w:hAnsi="宋体"/>
          <w:color w:val="auto"/>
          <w:sz w:val="44"/>
          <w:szCs w:val="44"/>
          <w:highlight w:val="none"/>
        </w:rPr>
      </w:pPr>
    </w:p>
    <w:bookmarkEnd w:id="764"/>
    <w:bookmarkEnd w:id="765"/>
    <w:bookmarkEnd w:id="766"/>
    <w:bookmarkEnd w:id="767"/>
    <w:bookmarkEnd w:id="768"/>
    <w:p w14:paraId="29F9AC70">
      <w:pPr>
        <w:spacing w:line="360" w:lineRule="auto"/>
        <w:jc w:val="center"/>
        <w:rPr>
          <w:rFonts w:hint="eastAsia" w:ascii="宋体" w:hAnsi="宋体" w:cs="宋体"/>
          <w:color w:val="auto"/>
          <w:sz w:val="44"/>
          <w:szCs w:val="44"/>
          <w:highlight w:val="none"/>
        </w:rPr>
      </w:pPr>
      <w:bookmarkStart w:id="769" w:name="_Toc15678"/>
      <w:bookmarkStart w:id="770" w:name="_Toc287620821"/>
      <w:bookmarkStart w:id="771" w:name="_Toc430530536"/>
      <w:bookmarkStart w:id="772" w:name="_Toc28457"/>
      <w:bookmarkStart w:id="773" w:name="_Toc224103502"/>
      <w:bookmarkStart w:id="774" w:name="_Toc287607874"/>
      <w:bookmarkStart w:id="775" w:name="_Toc3391"/>
    </w:p>
    <w:p w14:paraId="6A59104A">
      <w:pPr>
        <w:spacing w:line="480" w:lineRule="auto"/>
        <w:ind w:right="-152"/>
        <w:jc w:val="center"/>
        <w:rPr>
          <w:rFonts w:hint="eastAsia" w:ascii="宋体" w:hAnsi="宋体" w:cs="宋体"/>
          <w:b/>
          <w:color w:val="auto"/>
          <w:sz w:val="52"/>
          <w:szCs w:val="72"/>
          <w:highlight w:val="none"/>
        </w:rPr>
      </w:pPr>
    </w:p>
    <w:bookmarkEnd w:id="753"/>
    <w:bookmarkEnd w:id="754"/>
    <w:bookmarkEnd w:id="755"/>
    <w:bookmarkEnd w:id="769"/>
    <w:bookmarkEnd w:id="770"/>
    <w:bookmarkEnd w:id="771"/>
    <w:bookmarkEnd w:id="772"/>
    <w:bookmarkEnd w:id="773"/>
    <w:bookmarkEnd w:id="774"/>
    <w:bookmarkEnd w:id="775"/>
    <w:p w14:paraId="75D2CB49">
      <w:pPr>
        <w:jc w:val="center"/>
        <w:outlineLvl w:val="1"/>
        <w:rPr>
          <w:rFonts w:hint="eastAsia" w:ascii="宋体" w:hAnsi="宋体"/>
          <w:b/>
          <w:color w:val="auto"/>
          <w:sz w:val="44"/>
          <w:szCs w:val="44"/>
          <w:highlight w:val="none"/>
        </w:rPr>
      </w:pPr>
      <w:bookmarkStart w:id="776" w:name="_Toc27983321"/>
    </w:p>
    <w:p w14:paraId="32CD98A5">
      <w:pPr>
        <w:jc w:val="center"/>
        <w:outlineLvl w:val="1"/>
        <w:rPr>
          <w:rFonts w:hint="eastAsia" w:ascii="宋体" w:hAnsi="宋体"/>
          <w:b/>
          <w:color w:val="auto"/>
          <w:sz w:val="44"/>
          <w:szCs w:val="44"/>
          <w:highlight w:val="none"/>
        </w:rPr>
      </w:pPr>
    </w:p>
    <w:p w14:paraId="1465C5CA">
      <w:pPr>
        <w:jc w:val="center"/>
        <w:outlineLvl w:val="1"/>
        <w:rPr>
          <w:rFonts w:hint="eastAsia" w:ascii="宋体" w:hAnsi="宋体"/>
          <w:color w:val="auto"/>
          <w:highlight w:val="none"/>
        </w:rPr>
      </w:pPr>
      <w:r>
        <w:rPr>
          <w:rFonts w:hint="eastAsia" w:ascii="宋体" w:hAnsi="宋体"/>
          <w:b/>
          <w:color w:val="auto"/>
          <w:sz w:val="44"/>
          <w:szCs w:val="44"/>
          <w:highlight w:val="none"/>
        </w:rPr>
        <w:t>一、竞选函部分</w:t>
      </w:r>
      <w:bookmarkEnd w:id="776"/>
    </w:p>
    <w:p w14:paraId="1F6193AD">
      <w:pPr>
        <w:pStyle w:val="8"/>
        <w:rPr>
          <w:rFonts w:hint="eastAsia" w:ascii="宋体" w:hAnsi="宋体"/>
          <w:color w:val="auto"/>
          <w:highlight w:val="none"/>
        </w:rPr>
      </w:pPr>
    </w:p>
    <w:p w14:paraId="7D6B1DA6">
      <w:pPr>
        <w:spacing w:line="480" w:lineRule="auto"/>
        <w:ind w:right="-152"/>
        <w:jc w:val="center"/>
        <w:rPr>
          <w:rFonts w:hint="eastAsia" w:ascii="宋体" w:hAnsi="宋体" w:cs="宋体"/>
          <w:b/>
          <w:color w:val="auto"/>
          <w:sz w:val="52"/>
          <w:szCs w:val="72"/>
          <w:highlight w:val="none"/>
        </w:rPr>
      </w:pPr>
      <w:r>
        <w:rPr>
          <w:rFonts w:ascii="宋体" w:hAnsi="宋体" w:cs="宋体"/>
          <w:b/>
          <w:color w:val="auto"/>
          <w:sz w:val="52"/>
          <w:szCs w:val="72"/>
          <w:highlight w:val="none"/>
        </w:rPr>
        <w:br w:type="page"/>
      </w:r>
    </w:p>
    <w:p w14:paraId="115D664A">
      <w:pPr>
        <w:spacing w:line="360" w:lineRule="auto"/>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4729D776">
      <w:pPr>
        <w:tabs>
          <w:tab w:val="left" w:pos="3600"/>
          <w:tab w:val="left" w:pos="4480"/>
          <w:tab w:val="left" w:pos="5360"/>
        </w:tabs>
        <w:autoSpaceDE w:val="0"/>
        <w:autoSpaceDN w:val="0"/>
        <w:adjustRightInd w:val="0"/>
        <w:snapToGrid w:val="0"/>
        <w:spacing w:line="360" w:lineRule="auto"/>
        <w:jc w:val="left"/>
        <w:rPr>
          <w:rFonts w:hint="eastAsia" w:ascii="宋体" w:hAnsi="宋体"/>
          <w:color w:val="auto"/>
          <w:kern w:val="0"/>
          <w:sz w:val="44"/>
          <w:szCs w:val="44"/>
          <w:highlight w:val="none"/>
        </w:rPr>
      </w:pPr>
    </w:p>
    <w:p w14:paraId="2B3B94A6">
      <w:pPr>
        <w:tabs>
          <w:tab w:val="left" w:pos="3600"/>
          <w:tab w:val="left" w:pos="4480"/>
          <w:tab w:val="left" w:pos="5360"/>
        </w:tabs>
        <w:autoSpaceDE w:val="0"/>
        <w:autoSpaceDN w:val="0"/>
        <w:adjustRightInd w:val="0"/>
        <w:snapToGrid w:val="0"/>
        <w:spacing w:line="360" w:lineRule="auto"/>
        <w:jc w:val="left"/>
        <w:rPr>
          <w:rFonts w:hint="eastAsia" w:ascii="宋体" w:hAnsi="宋体"/>
          <w:color w:val="auto"/>
          <w:kern w:val="0"/>
          <w:sz w:val="44"/>
          <w:szCs w:val="44"/>
          <w:highlight w:val="none"/>
        </w:rPr>
      </w:pPr>
    </w:p>
    <w:p w14:paraId="27C2626C">
      <w:pPr>
        <w:tabs>
          <w:tab w:val="left" w:pos="3600"/>
          <w:tab w:val="left" w:pos="4480"/>
          <w:tab w:val="left" w:pos="5360"/>
        </w:tabs>
        <w:autoSpaceDE w:val="0"/>
        <w:autoSpaceDN w:val="0"/>
        <w:adjustRightInd w:val="0"/>
        <w:snapToGrid w:val="0"/>
        <w:spacing w:line="360" w:lineRule="auto"/>
        <w:jc w:val="left"/>
        <w:rPr>
          <w:rFonts w:hint="eastAsia" w:ascii="宋体" w:hAnsi="宋体"/>
          <w:color w:val="auto"/>
          <w:kern w:val="0"/>
          <w:sz w:val="44"/>
          <w:szCs w:val="44"/>
          <w:highlight w:val="none"/>
        </w:rPr>
      </w:pPr>
    </w:p>
    <w:p w14:paraId="674692F6">
      <w:pPr>
        <w:tabs>
          <w:tab w:val="left" w:pos="3600"/>
          <w:tab w:val="left" w:pos="4480"/>
          <w:tab w:val="left" w:pos="5360"/>
        </w:tabs>
        <w:autoSpaceDE w:val="0"/>
        <w:autoSpaceDN w:val="0"/>
        <w:adjustRightInd w:val="0"/>
        <w:snapToGrid w:val="0"/>
        <w:spacing w:line="360" w:lineRule="auto"/>
        <w:jc w:val="left"/>
        <w:rPr>
          <w:rFonts w:hint="eastAsia" w:ascii="宋体" w:hAnsi="宋体"/>
          <w:color w:val="auto"/>
          <w:kern w:val="0"/>
          <w:sz w:val="44"/>
          <w:szCs w:val="44"/>
          <w:highlight w:val="none"/>
        </w:rPr>
      </w:pPr>
    </w:p>
    <w:p w14:paraId="1980DD62">
      <w:pPr>
        <w:tabs>
          <w:tab w:val="left" w:pos="3600"/>
          <w:tab w:val="left" w:pos="4480"/>
          <w:tab w:val="left" w:pos="5360"/>
        </w:tabs>
        <w:autoSpaceDE w:val="0"/>
        <w:autoSpaceDN w:val="0"/>
        <w:adjustRightInd w:val="0"/>
        <w:snapToGrid w:val="0"/>
        <w:spacing w:line="360" w:lineRule="auto"/>
        <w:jc w:val="left"/>
        <w:rPr>
          <w:rFonts w:hint="eastAsia" w:ascii="宋体" w:hAnsi="宋体"/>
          <w:color w:val="auto"/>
          <w:kern w:val="0"/>
          <w:sz w:val="44"/>
          <w:szCs w:val="44"/>
          <w:highlight w:val="none"/>
        </w:rPr>
      </w:pPr>
    </w:p>
    <w:p w14:paraId="7FB9AF4C">
      <w:pPr>
        <w:tabs>
          <w:tab w:val="left" w:pos="3600"/>
          <w:tab w:val="left" w:pos="4480"/>
          <w:tab w:val="left" w:pos="5360"/>
        </w:tabs>
        <w:autoSpaceDE w:val="0"/>
        <w:autoSpaceDN w:val="0"/>
        <w:adjustRightInd w:val="0"/>
        <w:snapToGrid w:val="0"/>
        <w:spacing w:line="360" w:lineRule="auto"/>
        <w:jc w:val="center"/>
        <w:rPr>
          <w:rFonts w:hint="eastAsia"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1186E761">
      <w:pPr>
        <w:autoSpaceDE w:val="0"/>
        <w:autoSpaceDN w:val="0"/>
        <w:adjustRightInd w:val="0"/>
        <w:snapToGrid w:val="0"/>
        <w:spacing w:line="360" w:lineRule="auto"/>
        <w:jc w:val="left"/>
        <w:rPr>
          <w:rFonts w:hint="eastAsia" w:ascii="宋体" w:hAnsi="宋体"/>
          <w:color w:val="auto"/>
          <w:kern w:val="0"/>
          <w:sz w:val="16"/>
          <w:szCs w:val="16"/>
          <w:highlight w:val="none"/>
        </w:rPr>
      </w:pPr>
    </w:p>
    <w:p w14:paraId="7F6735F2">
      <w:pPr>
        <w:autoSpaceDE w:val="0"/>
        <w:autoSpaceDN w:val="0"/>
        <w:adjustRightInd w:val="0"/>
        <w:snapToGrid w:val="0"/>
        <w:spacing w:line="360" w:lineRule="auto"/>
        <w:jc w:val="center"/>
        <w:rPr>
          <w:rFonts w:hint="eastAsia" w:ascii="宋体" w:hAnsi="宋体"/>
          <w:color w:val="auto"/>
          <w:kern w:val="0"/>
          <w:sz w:val="36"/>
          <w:szCs w:val="36"/>
          <w:highlight w:val="none"/>
        </w:rPr>
      </w:pPr>
      <w:r>
        <w:rPr>
          <w:rFonts w:hint="eastAsia" w:ascii="宋体" w:hAnsi="宋体"/>
          <w:color w:val="auto"/>
          <w:kern w:val="0"/>
          <w:sz w:val="36"/>
          <w:szCs w:val="36"/>
          <w:highlight w:val="none"/>
        </w:rPr>
        <w:t>竞选函部分</w:t>
      </w:r>
    </w:p>
    <w:p w14:paraId="358D9095">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12F06DC9">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2CB080B4">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0A463437">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424DC5A6">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3CA43677">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02CA3FD0">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23FEB41B">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7D50235C">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06697012">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15FD0888">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273D0068">
      <w:pPr>
        <w:tabs>
          <w:tab w:val="left" w:pos="6080"/>
          <w:tab w:val="left" w:pos="6640"/>
        </w:tabs>
        <w:autoSpaceDE w:val="0"/>
        <w:autoSpaceDN w:val="0"/>
        <w:adjustRightInd w:val="0"/>
        <w:snapToGrid w:val="0"/>
        <w:spacing w:after="158" w:afterLines="50" w:line="360" w:lineRule="auto"/>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6A4555B1">
      <w:pPr>
        <w:tabs>
          <w:tab w:val="left" w:pos="6080"/>
          <w:tab w:val="left" w:pos="6640"/>
        </w:tabs>
        <w:autoSpaceDE w:val="0"/>
        <w:autoSpaceDN w:val="0"/>
        <w:adjustRightInd w:val="0"/>
        <w:snapToGrid w:val="0"/>
        <w:spacing w:after="158" w:afterLines="50" w:line="360" w:lineRule="auto"/>
        <w:jc w:val="center"/>
        <w:rPr>
          <w:rFonts w:hint="eastAsia"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00F5652F">
      <w:pPr>
        <w:autoSpaceDE w:val="0"/>
        <w:autoSpaceDN w:val="0"/>
        <w:adjustRightInd w:val="0"/>
        <w:snapToGrid w:val="0"/>
        <w:spacing w:line="360" w:lineRule="auto"/>
        <w:ind w:firstLine="554"/>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rPr>
        <w:t>年月日</w:t>
      </w:r>
    </w:p>
    <w:p w14:paraId="6137758B">
      <w:pPr>
        <w:autoSpaceDE w:val="0"/>
        <w:autoSpaceDN w:val="0"/>
        <w:adjustRightInd w:val="0"/>
        <w:snapToGrid w:val="0"/>
        <w:spacing w:line="360" w:lineRule="auto"/>
        <w:ind w:firstLine="554"/>
        <w:jc w:val="center"/>
        <w:rPr>
          <w:rFonts w:hint="eastAsia" w:ascii="宋体" w:hAnsi="宋体"/>
          <w:color w:val="auto"/>
          <w:kern w:val="0"/>
          <w:sz w:val="24"/>
          <w:szCs w:val="21"/>
          <w:highlight w:val="none"/>
        </w:rPr>
      </w:pPr>
    </w:p>
    <w:p w14:paraId="27A53B8D">
      <w:pPr>
        <w:autoSpaceDE w:val="0"/>
        <w:autoSpaceDN w:val="0"/>
        <w:adjustRightInd w:val="0"/>
        <w:snapToGrid w:val="0"/>
        <w:spacing w:line="360" w:lineRule="auto"/>
        <w:ind w:firstLine="554"/>
        <w:jc w:val="center"/>
        <w:rPr>
          <w:rFonts w:hint="eastAsia" w:ascii="宋体" w:hAnsi="宋体"/>
          <w:color w:val="auto"/>
          <w:kern w:val="0"/>
          <w:sz w:val="24"/>
          <w:szCs w:val="21"/>
          <w:highlight w:val="none"/>
        </w:rPr>
      </w:pPr>
    </w:p>
    <w:p w14:paraId="08EA5E4D">
      <w:pPr>
        <w:autoSpaceDE w:val="0"/>
        <w:autoSpaceDN w:val="0"/>
        <w:adjustRightInd w:val="0"/>
        <w:snapToGrid w:val="0"/>
        <w:spacing w:line="360" w:lineRule="auto"/>
        <w:ind w:firstLine="554"/>
        <w:jc w:val="center"/>
        <w:rPr>
          <w:rFonts w:hint="eastAsia" w:ascii="宋体" w:hAnsi="宋体"/>
          <w:color w:val="auto"/>
          <w:kern w:val="0"/>
          <w:sz w:val="24"/>
          <w:szCs w:val="21"/>
          <w:highlight w:val="none"/>
        </w:rPr>
      </w:pPr>
    </w:p>
    <w:p w14:paraId="22306DCA">
      <w:pPr>
        <w:autoSpaceDE w:val="0"/>
        <w:autoSpaceDN w:val="0"/>
        <w:adjustRightInd w:val="0"/>
        <w:snapToGrid w:val="0"/>
        <w:spacing w:line="360" w:lineRule="auto"/>
        <w:jc w:val="center"/>
        <w:rPr>
          <w:rFonts w:hint="eastAsia" w:ascii="宋体" w:hAnsi="宋体"/>
          <w:color w:val="auto"/>
          <w:kern w:val="0"/>
          <w:sz w:val="36"/>
          <w:szCs w:val="36"/>
          <w:highlight w:val="none"/>
        </w:rPr>
      </w:pPr>
      <w:r>
        <w:rPr>
          <w:rFonts w:hint="eastAsia" w:ascii="宋体" w:hAnsi="宋体"/>
          <w:color w:val="auto"/>
          <w:kern w:val="0"/>
          <w:sz w:val="36"/>
          <w:szCs w:val="36"/>
          <w:highlight w:val="none"/>
        </w:rPr>
        <w:t>目  录</w:t>
      </w:r>
    </w:p>
    <w:p w14:paraId="36F0B29A">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ascii="宋体" w:hAnsi="宋体"/>
          <w:color w:val="auto"/>
          <w:kern w:val="0"/>
          <w:sz w:val="24"/>
          <w:highlight w:val="none"/>
        </w:rPr>
        <w:t>（一）</w:t>
      </w:r>
      <w:r>
        <w:rPr>
          <w:rFonts w:hint="eastAsia" w:ascii="宋体" w:hAnsi="宋体"/>
          <w:color w:val="auto"/>
          <w:kern w:val="0"/>
          <w:sz w:val="24"/>
          <w:highlight w:val="none"/>
        </w:rPr>
        <w:t>竞选</w:t>
      </w:r>
      <w:r>
        <w:rPr>
          <w:rFonts w:ascii="宋体" w:hAnsi="宋体"/>
          <w:color w:val="auto"/>
          <w:kern w:val="0"/>
          <w:sz w:val="24"/>
          <w:highlight w:val="none"/>
        </w:rPr>
        <w:t>函</w:t>
      </w:r>
    </w:p>
    <w:p w14:paraId="4B009E14">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ascii="宋体" w:hAnsi="宋体"/>
          <w:color w:val="auto"/>
          <w:kern w:val="0"/>
          <w:sz w:val="24"/>
          <w:highlight w:val="none"/>
        </w:rPr>
        <w:t>（</w:t>
      </w:r>
      <w:r>
        <w:rPr>
          <w:rFonts w:hint="eastAsia" w:ascii="宋体" w:hAnsi="宋体"/>
          <w:color w:val="auto"/>
          <w:kern w:val="0"/>
          <w:sz w:val="24"/>
          <w:highlight w:val="none"/>
        </w:rPr>
        <w:t>二</w:t>
      </w:r>
      <w:r>
        <w:rPr>
          <w:rFonts w:ascii="宋体" w:hAnsi="宋体"/>
          <w:color w:val="auto"/>
          <w:kern w:val="0"/>
          <w:sz w:val="24"/>
          <w:highlight w:val="none"/>
        </w:rPr>
        <w:t>）</w:t>
      </w:r>
      <w:r>
        <w:rPr>
          <w:rFonts w:hint="eastAsia" w:ascii="宋体" w:hAnsi="宋体"/>
          <w:color w:val="auto"/>
          <w:kern w:val="0"/>
          <w:sz w:val="24"/>
          <w:highlight w:val="none"/>
        </w:rPr>
        <w:t>法定代表人身份证明或附有法定代表人身份证明的授权委托书</w:t>
      </w:r>
    </w:p>
    <w:p w14:paraId="71BD40D3">
      <w:pPr>
        <w:autoSpaceDE w:val="0"/>
        <w:autoSpaceDN w:val="0"/>
        <w:adjustRightInd w:val="0"/>
        <w:spacing w:line="360" w:lineRule="auto"/>
        <w:ind w:firstLine="480" w:firstLineChars="200"/>
        <w:jc w:val="left"/>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三</w:t>
      </w:r>
      <w:r>
        <w:rPr>
          <w:rFonts w:hint="eastAsia" w:ascii="宋体" w:hAnsi="宋体" w:eastAsia="宋体" w:cs="Times New Roman"/>
          <w:color w:val="auto"/>
          <w:kern w:val="0"/>
          <w:sz w:val="24"/>
          <w:highlight w:val="none"/>
        </w:rPr>
        <w:t>）低价风险担保提交承诺书（如有）</w:t>
      </w:r>
      <w:r>
        <w:rPr>
          <w:rFonts w:ascii="宋体" w:hAnsi="宋体" w:eastAsia="宋体" w:cs="Times New Roman"/>
          <w:color w:val="auto"/>
          <w:kern w:val="0"/>
          <w:sz w:val="24"/>
          <w:highlight w:val="none"/>
        </w:rPr>
        <w:br w:type="page"/>
      </w:r>
    </w:p>
    <w:p w14:paraId="1F0B9B81">
      <w:pPr>
        <w:pStyle w:val="4"/>
        <w:tabs>
          <w:tab w:val="left" w:pos="720"/>
        </w:tabs>
        <w:spacing w:before="0" w:after="0" w:line="360" w:lineRule="auto"/>
        <w:ind w:left="720" w:hanging="720"/>
        <w:jc w:val="center"/>
        <w:rPr>
          <w:rFonts w:ascii="宋体" w:hAnsi="宋体" w:cs="宋体"/>
          <w:color w:val="auto"/>
          <w:sz w:val="28"/>
          <w:szCs w:val="28"/>
          <w:highlight w:val="none"/>
        </w:rPr>
      </w:pPr>
      <w:bookmarkStart w:id="777" w:name="_Toc25344"/>
      <w:bookmarkStart w:id="778" w:name="_Toc2365"/>
      <w:bookmarkStart w:id="779" w:name="_Toc14970"/>
      <w:bookmarkStart w:id="780" w:name="_Toc26985"/>
      <w:bookmarkStart w:id="781" w:name="_Toc40569214"/>
      <w:bookmarkStart w:id="782" w:name="_Toc423713178"/>
      <w:bookmarkStart w:id="783" w:name="_Toc423714449"/>
      <w:bookmarkStart w:id="784" w:name="_Toc423595219"/>
      <w:bookmarkStart w:id="785" w:name="_Toc445480130"/>
      <w:r>
        <w:rPr>
          <w:rFonts w:hint="eastAsia" w:ascii="宋体" w:hAnsi="宋体" w:cs="宋体"/>
          <w:color w:val="auto"/>
          <w:sz w:val="28"/>
          <w:szCs w:val="28"/>
          <w:highlight w:val="none"/>
        </w:rPr>
        <w:t xml:space="preserve">（一） </w:t>
      </w:r>
      <w:bookmarkEnd w:id="777"/>
      <w:bookmarkEnd w:id="778"/>
      <w:bookmarkEnd w:id="779"/>
      <w:bookmarkEnd w:id="780"/>
      <w:bookmarkEnd w:id="781"/>
      <w:bookmarkEnd w:id="782"/>
      <w:bookmarkEnd w:id="783"/>
      <w:bookmarkEnd w:id="784"/>
      <w:bookmarkEnd w:id="785"/>
      <w:r>
        <w:rPr>
          <w:rFonts w:hint="eastAsia" w:ascii="宋体" w:hAnsi="宋体" w:cs="宋体"/>
          <w:color w:val="auto"/>
          <w:sz w:val="28"/>
          <w:szCs w:val="28"/>
          <w:highlight w:val="none"/>
        </w:rPr>
        <w:t>竞选函</w:t>
      </w:r>
    </w:p>
    <w:p w14:paraId="7D7D181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（比选人名称）：</w:t>
      </w:r>
    </w:p>
    <w:p w14:paraId="1F6B4500">
      <w:pPr>
        <w:spacing w:line="360" w:lineRule="auto"/>
        <w:ind w:firstLine="420" w:firstLineChars="200"/>
        <w:rPr>
          <w:rFonts w:asciiTheme="minorEastAsia" w:hAnsiTheme="minorEastAsia" w:eastAsiaTheme="minorEastAsia"/>
          <w:color w:val="auto"/>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（项目名称）</w:t>
      </w:r>
      <w:r>
        <w:rPr>
          <w:rFonts w:hint="eastAsia" w:ascii="宋体" w:hAnsi="宋体"/>
          <w:snapToGrid w:val="0"/>
          <w:color w:val="auto"/>
          <w:kern w:val="0"/>
          <w:szCs w:val="21"/>
          <w:highlight w:val="none"/>
        </w:rPr>
        <w:t>比选文件（含答疑补遗及比选人提供所有资料文件）的全部内容</w:t>
      </w:r>
      <w:r>
        <w:rPr>
          <w:rFonts w:asciiTheme="minorEastAsia" w:hAnsiTheme="minorEastAsia" w:eastAsiaTheme="minorEastAsia"/>
          <w:color w:val="auto"/>
          <w:szCs w:val="21"/>
          <w:highlight w:val="none"/>
        </w:rPr>
        <w:t>，愿意以</w:t>
      </w:r>
      <w:r>
        <w:rPr>
          <w:rFonts w:hint="eastAsia" w:asciiTheme="minorEastAsia" w:hAnsiTheme="minorEastAsia" w:eastAsiaTheme="minorEastAsia"/>
          <w:color w:val="auto"/>
          <w:szCs w:val="21"/>
          <w:highlight w:val="none"/>
        </w:rPr>
        <w:t>下列方式对</w:t>
      </w:r>
      <w:r>
        <w:rPr>
          <w:rFonts w:hint="eastAsia" w:asciiTheme="minorEastAsia" w:hAnsiTheme="minorEastAsia" w:eastAsiaTheme="minorEastAsia"/>
          <w:color w:val="auto"/>
          <w:szCs w:val="21"/>
          <w:highlight w:val="none"/>
          <w:lang w:val="en-US" w:eastAsia="zh-CN"/>
        </w:rPr>
        <w:t>跟踪审计</w:t>
      </w:r>
      <w:r>
        <w:rPr>
          <w:rFonts w:hint="eastAsia" w:asciiTheme="minorEastAsia" w:hAnsiTheme="minorEastAsia" w:eastAsiaTheme="minorEastAsia"/>
          <w:color w:val="auto"/>
          <w:szCs w:val="21"/>
          <w:highlight w:val="none"/>
        </w:rPr>
        <w:t>费进行报价：</w:t>
      </w:r>
    </w:p>
    <w:p w14:paraId="04EB9E1A">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lang w:val="en-US" w:eastAsia="zh-CN"/>
        </w:rPr>
        <w:t>费率为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，计费基数</w:t>
      </w:r>
      <w:r>
        <w:rPr>
          <w:rFonts w:hint="eastAsia" w:asciiTheme="minorEastAsia" w:hAnsiTheme="minorEastAsia" w:eastAsiaTheme="minorEastAsia"/>
          <w:color w:val="auto"/>
          <w:szCs w:val="21"/>
          <w:highlight w:val="none"/>
          <w:u w:val="single"/>
        </w:rPr>
        <w:t xml:space="preserve">    元</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暂定</w:t>
      </w:r>
      <w:r>
        <w:rPr>
          <w:rFonts w:asciiTheme="minorEastAsia" w:hAnsiTheme="minorEastAsia" w:eastAsiaTheme="minorEastAsia"/>
          <w:color w:val="auto"/>
          <w:szCs w:val="21"/>
          <w:highlight w:val="none"/>
        </w:rPr>
        <w:t>投标总报价</w:t>
      </w:r>
      <w:r>
        <w:rPr>
          <w:rFonts w:asciiTheme="minorEastAsia" w:hAnsiTheme="minorEastAsia" w:eastAsiaTheme="minorEastAsia"/>
          <w:color w:val="auto"/>
          <w:szCs w:val="21"/>
          <w:highlight w:val="none"/>
          <w:u w:val="single"/>
        </w:rPr>
        <w:t>人民币（大写）</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p>
    <w:p w14:paraId="26E8271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增值税税率为</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，该项目</w:t>
      </w:r>
      <w:r>
        <w:rPr>
          <w:rFonts w:hint="eastAsia" w:asciiTheme="minorEastAsia" w:hAnsiTheme="minorEastAsia" w:eastAsiaTheme="minorEastAsia"/>
          <w:color w:val="auto"/>
          <w:szCs w:val="21"/>
          <w:highlight w:val="none"/>
        </w:rPr>
        <w:t>项目负责人</w:t>
      </w:r>
      <w:r>
        <w:rPr>
          <w:rFonts w:asciiTheme="minorEastAsia" w:hAnsiTheme="minorEastAsia" w:eastAsiaTheme="minorEastAsia"/>
          <w:color w:val="auto"/>
          <w:szCs w:val="21"/>
          <w:highlight w:val="none"/>
        </w:rPr>
        <w:t>为</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，委托代理人为：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服务期</w:t>
      </w:r>
      <w:r>
        <w:rPr>
          <w:rFonts w:hint="eastAsia" w:ascii="宋体" w:hAnsi="宋体"/>
          <w:snapToGrid w:val="0"/>
          <w:color w:val="auto"/>
          <w:kern w:val="0"/>
          <w:szCs w:val="21"/>
          <w:highlight w:val="none"/>
          <w:u w:val="single"/>
        </w:rPr>
        <w:t>达到招标文件的要求</w:t>
      </w:r>
      <w:r>
        <w:rPr>
          <w:rFonts w:hint="eastAsia" w:asciiTheme="minorEastAsia" w:hAnsiTheme="minorEastAsia" w:eastAsiaTheme="minorEastAsia"/>
          <w:color w:val="auto"/>
          <w:szCs w:val="21"/>
          <w:highlight w:val="none"/>
        </w:rPr>
        <w:t>，质量</w:t>
      </w:r>
      <w:r>
        <w:rPr>
          <w:rFonts w:hint="eastAsia" w:asciiTheme="minorEastAsia" w:hAnsiTheme="minorEastAsia" w:eastAsiaTheme="minorEastAsia"/>
          <w:color w:val="auto"/>
          <w:szCs w:val="21"/>
          <w:highlight w:val="none"/>
          <w:lang w:val="en-US" w:eastAsia="zh-CN"/>
        </w:rPr>
        <w:t>要求</w:t>
      </w:r>
      <w:r>
        <w:rPr>
          <w:rFonts w:hint="eastAsia" w:asciiTheme="minorEastAsia" w:hAnsiTheme="minorEastAsia" w:eastAsiaTheme="minorEastAsia"/>
          <w:color w:val="auto"/>
          <w:szCs w:val="21"/>
          <w:highlight w:val="none"/>
          <w:u w:val="single"/>
        </w:rPr>
        <w:t>达到招标文件的要求</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按合同约定完成</w:t>
      </w:r>
      <w:r>
        <w:rPr>
          <w:rFonts w:hint="eastAsia" w:asciiTheme="minorEastAsia" w:hAnsiTheme="minorEastAsia" w:eastAsiaTheme="minorEastAsia"/>
          <w:color w:val="auto"/>
          <w:szCs w:val="21"/>
          <w:highlight w:val="none"/>
        </w:rPr>
        <w:t>全部</w:t>
      </w:r>
      <w:r>
        <w:rPr>
          <w:rFonts w:hint="eastAsia" w:asciiTheme="minorEastAsia" w:hAnsiTheme="minorEastAsia" w:eastAsiaTheme="minorEastAsia"/>
          <w:color w:val="auto"/>
          <w:szCs w:val="21"/>
          <w:highlight w:val="none"/>
          <w:lang w:val="en-US" w:eastAsia="zh-CN"/>
        </w:rPr>
        <w:t>跟踪审计</w:t>
      </w:r>
      <w:r>
        <w:rPr>
          <w:rFonts w:hint="eastAsia" w:asciiTheme="minorEastAsia" w:hAnsiTheme="minorEastAsia" w:eastAsiaTheme="minorEastAsia"/>
          <w:color w:val="auto"/>
          <w:szCs w:val="21"/>
          <w:highlight w:val="none"/>
        </w:rPr>
        <w:t>费</w:t>
      </w:r>
      <w:r>
        <w:rPr>
          <w:rFonts w:asciiTheme="minorEastAsia" w:hAnsiTheme="minorEastAsia" w:eastAsiaTheme="minorEastAsia"/>
          <w:color w:val="auto"/>
          <w:szCs w:val="21"/>
          <w:highlight w:val="none"/>
        </w:rPr>
        <w:t>工作</w:t>
      </w:r>
      <w:r>
        <w:rPr>
          <w:rFonts w:hint="eastAsia" w:asciiTheme="minorEastAsia" w:hAnsiTheme="minorEastAsia" w:eastAsiaTheme="minorEastAsia"/>
          <w:color w:val="auto"/>
          <w:szCs w:val="21"/>
          <w:highlight w:val="none"/>
        </w:rPr>
        <w:t>内容</w:t>
      </w:r>
      <w:r>
        <w:rPr>
          <w:rFonts w:asciiTheme="minorEastAsia" w:hAnsiTheme="minorEastAsia" w:eastAsiaTheme="minorEastAsia"/>
          <w:color w:val="auto"/>
          <w:szCs w:val="21"/>
          <w:highlight w:val="none"/>
        </w:rPr>
        <w:t>。</w:t>
      </w:r>
    </w:p>
    <w:p w14:paraId="5520C28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．我方承诺</w:t>
      </w:r>
      <w:r>
        <w:rPr>
          <w:rFonts w:hint="eastAsia" w:ascii="宋体" w:hAnsi="宋体"/>
          <w:snapToGrid w:val="0"/>
          <w:color w:val="auto"/>
          <w:kern w:val="0"/>
          <w:szCs w:val="21"/>
          <w:highlight w:val="none"/>
        </w:rPr>
        <w:t>响应招标文件规定的投标有效期，</w:t>
      </w:r>
      <w:r>
        <w:rPr>
          <w:rFonts w:asciiTheme="minorEastAsia" w:hAnsiTheme="minorEastAsia" w:eastAsiaTheme="minorEastAsia"/>
          <w:color w:val="auto"/>
          <w:szCs w:val="21"/>
          <w:highlight w:val="none"/>
        </w:rPr>
        <w:t>在投标有效期内不</w:t>
      </w:r>
      <w:r>
        <w:rPr>
          <w:rFonts w:hint="eastAsia" w:asciiTheme="minorEastAsia" w:hAnsiTheme="minorEastAsia" w:eastAsiaTheme="minorEastAsia"/>
          <w:color w:val="auto"/>
          <w:szCs w:val="21"/>
          <w:highlight w:val="none"/>
        </w:rPr>
        <w:t>修改、</w:t>
      </w:r>
      <w:r>
        <w:rPr>
          <w:rFonts w:asciiTheme="minorEastAsia" w:hAnsiTheme="minorEastAsia" w:eastAsiaTheme="minorEastAsia"/>
          <w:color w:val="auto"/>
          <w:szCs w:val="21"/>
          <w:highlight w:val="none"/>
        </w:rPr>
        <w:t>撤销投标文件。</w:t>
      </w:r>
    </w:p>
    <w:p w14:paraId="7D4B3E2D">
      <w:pPr>
        <w:spacing w:line="360" w:lineRule="auto"/>
        <w:ind w:firstLine="420" w:firstLineChars="200"/>
        <w:rPr>
          <w:rFonts w:asciiTheme="minorEastAsia" w:hAnsiTheme="minorEastAsia" w:eastAsiaTheme="minorEastAsia"/>
          <w:color w:val="auto"/>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随同本投标函提交投标保证金一份，金额为人民币（大写）</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r>
        <w:rPr>
          <w:rFonts w:ascii="宋体" w:hAnsi="宋体"/>
          <w:snapToGrid w:val="0"/>
          <w:color w:val="auto"/>
          <w:kern w:val="0"/>
          <w:szCs w:val="21"/>
          <w:highlight w:val="none"/>
        </w:rPr>
        <w:t>。投标保证金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与投标</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一致，在此期间，若我方违反招投标有关法律、法规及本招标文件的相关规定，投标保证金的受益人为招标人。</w:t>
      </w:r>
    </w:p>
    <w:p w14:paraId="203826CC">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．如我方中标，我方承诺：</w:t>
      </w:r>
    </w:p>
    <w:p w14:paraId="0C2451AB">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（1）在收到中标通知书后，在中标通知书规定的期限内与你方签订合同；</w:t>
      </w:r>
    </w:p>
    <w:p w14:paraId="146FF132">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（2）在签订合同时不向你方提出附加条件；</w:t>
      </w:r>
    </w:p>
    <w:p w14:paraId="00E3F7B2">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（3）按照招标文件要求提交履约保证金；</w:t>
      </w:r>
      <w:bookmarkStart w:id="786" w:name="_Toc352691658"/>
      <w:bookmarkStart w:id="787" w:name="_Toc1187"/>
      <w:bookmarkStart w:id="788" w:name="_Toc369531694"/>
    </w:p>
    <w:p w14:paraId="3D916C5D">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（4）在合</w:t>
      </w:r>
      <w:bookmarkEnd w:id="786"/>
      <w:bookmarkEnd w:id="787"/>
      <w:bookmarkEnd w:id="788"/>
      <w:r>
        <w:rPr>
          <w:rFonts w:asciiTheme="minorEastAsia" w:hAnsiTheme="minorEastAsia" w:eastAsiaTheme="minorEastAsia"/>
          <w:color w:val="auto"/>
          <w:szCs w:val="21"/>
          <w:highlight w:val="none"/>
        </w:rPr>
        <w:t>同约定的期限内完成合同规定的全部义务。</w:t>
      </w:r>
    </w:p>
    <w:p w14:paraId="3FD06679">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5．我方在此声明，所递交的投标文件及有关资料内容完整、真实和准确，且不存在第二章“投标人须知”第1.4.3项规定的任何一种情形。</w:t>
      </w:r>
      <w:r>
        <w:rPr>
          <w:rFonts w:hint="eastAsia" w:asciiTheme="minorEastAsia" w:hAnsiTheme="minorEastAsia" w:eastAsiaTheme="minorEastAsia"/>
          <w:color w:val="auto"/>
          <w:szCs w:val="21"/>
          <w:highlight w:val="none"/>
        </w:rPr>
        <w:t>同时我方承诺接受招标文件及附件、澄清及修改通知中所有的内容。</w:t>
      </w:r>
    </w:p>
    <w:p w14:paraId="266914A4">
      <w:pPr>
        <w:spacing w:line="400" w:lineRule="exact"/>
        <w:ind w:firstLine="420" w:firstLineChars="200"/>
        <w:rPr>
          <w:rFonts w:ascii="宋体" w:hAnsi="宋体" w:cs="宋体"/>
          <w:color w:val="auto"/>
          <w:szCs w:val="21"/>
          <w:highlight w:val="none"/>
        </w:rPr>
      </w:pPr>
      <w:r>
        <w:rPr>
          <w:rFonts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ab/>
      </w:r>
      <w:r>
        <w:rPr>
          <w:rFonts w:asciiTheme="minorEastAsia" w:hAnsiTheme="minorEastAsia" w:eastAsiaTheme="minorEastAsia"/>
          <w:color w:val="auto"/>
          <w:szCs w:val="21"/>
          <w:highlight w:val="none"/>
          <w:u w:val="single"/>
        </w:rPr>
        <w:t>（其他补充说明）</w:t>
      </w:r>
      <w:r>
        <w:rPr>
          <w:rFonts w:asciiTheme="minorEastAsia" w:hAnsiTheme="minorEastAsia" w:eastAsiaTheme="minorEastAsia"/>
          <w:color w:val="auto"/>
          <w:szCs w:val="21"/>
          <w:highlight w:val="none"/>
        </w:rPr>
        <w:t>。</w:t>
      </w:r>
    </w:p>
    <w:p w14:paraId="19B2B28A">
      <w:pPr>
        <w:spacing w:line="400" w:lineRule="exact"/>
        <w:ind w:firstLine="3675" w:firstLineChars="1750"/>
        <w:rPr>
          <w:rFonts w:ascii="宋体" w:hAnsi="宋体" w:cs="宋体"/>
          <w:color w:val="auto"/>
          <w:szCs w:val="21"/>
          <w:highlight w:val="none"/>
        </w:rPr>
      </w:pPr>
    </w:p>
    <w:p w14:paraId="5CE69B1B">
      <w:pPr>
        <w:pStyle w:val="8"/>
        <w:rPr>
          <w:color w:val="auto"/>
          <w:highlight w:val="none"/>
        </w:rPr>
      </w:pPr>
    </w:p>
    <w:p w14:paraId="36098FDC">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竞  选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3E91DB9B">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14:paraId="1A68E6C9">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63AE85E9">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14:paraId="79DDB7B7">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14:paraId="1EBB5DC2">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279A7DC3">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4F2BD29">
      <w:pPr>
        <w:pStyle w:val="8"/>
        <w:rPr>
          <w:color w:val="auto"/>
          <w:highlight w:val="none"/>
        </w:rPr>
      </w:pPr>
    </w:p>
    <w:p w14:paraId="1CC5CE17">
      <w:pPr>
        <w:spacing w:line="360" w:lineRule="auto"/>
        <w:jc w:val="center"/>
        <w:rPr>
          <w:rFonts w:hint="eastAsia" w:ascii="宋体" w:hAnsi="宋体" w:cs="宋体"/>
          <w:b/>
          <w:snapToGrid w:val="0"/>
          <w:color w:val="auto"/>
          <w:w w:val="99"/>
          <w:sz w:val="36"/>
          <w:szCs w:val="32"/>
          <w:highlight w:val="none"/>
        </w:rPr>
      </w:pPr>
      <w:r>
        <w:rPr>
          <w:rFonts w:hint="eastAsia" w:ascii="宋体" w:hAnsi="宋体" w:cs="宋体"/>
          <w:b/>
          <w:snapToGrid w:val="0"/>
          <w:color w:val="auto"/>
          <w:w w:val="99"/>
          <w:sz w:val="36"/>
          <w:szCs w:val="32"/>
          <w:highlight w:val="none"/>
        </w:rPr>
        <w:br w:type="page"/>
      </w:r>
    </w:p>
    <w:p w14:paraId="6B7FFFCD">
      <w:pPr>
        <w:pStyle w:val="4"/>
        <w:jc w:val="center"/>
        <w:rPr>
          <w:rFonts w:hint="eastAsia" w:ascii="宋体" w:hAnsi="宋体"/>
          <w:b w:val="0"/>
          <w:snapToGrid w:val="0"/>
          <w:color w:val="auto"/>
          <w:kern w:val="0"/>
          <w:sz w:val="30"/>
          <w:szCs w:val="30"/>
          <w:highlight w:val="none"/>
        </w:rPr>
      </w:pPr>
      <w:bookmarkStart w:id="789" w:name="_Toc277082645"/>
      <w:bookmarkStart w:id="790" w:name="_Toc224103497"/>
      <w:bookmarkStart w:id="791" w:name="_Toc8650"/>
      <w:bookmarkStart w:id="792" w:name="_Toc287607869"/>
      <w:bookmarkStart w:id="793" w:name="_Toc287620816"/>
      <w:bookmarkStart w:id="794" w:name="_Toc430530532"/>
      <w:bookmarkStart w:id="795" w:name="_Toc57905921"/>
      <w:r>
        <w:rPr>
          <w:rFonts w:ascii="宋体" w:hAnsi="宋体"/>
          <w:color w:val="auto"/>
          <w:sz w:val="30"/>
          <w:szCs w:val="30"/>
          <w:highlight w:val="none"/>
        </w:rPr>
        <w:t>（</w:t>
      </w:r>
      <w:r>
        <w:rPr>
          <w:rFonts w:hint="eastAsia" w:ascii="宋体" w:hAnsi="宋体"/>
          <w:color w:val="auto"/>
          <w:sz w:val="30"/>
          <w:szCs w:val="30"/>
          <w:highlight w:val="none"/>
        </w:rPr>
        <w:t>二</w:t>
      </w:r>
      <w:r>
        <w:rPr>
          <w:rFonts w:ascii="宋体" w:hAnsi="宋体"/>
          <w:color w:val="auto"/>
          <w:sz w:val="30"/>
          <w:szCs w:val="30"/>
          <w:highlight w:val="none"/>
        </w:rPr>
        <w:t>）</w:t>
      </w:r>
      <w:r>
        <w:rPr>
          <w:rFonts w:hint="eastAsia" w:ascii="宋体" w:hAnsi="宋体"/>
          <w:color w:val="auto"/>
          <w:sz w:val="30"/>
          <w:szCs w:val="30"/>
          <w:highlight w:val="none"/>
        </w:rPr>
        <w:t>法定代表人身份证明或附有法定代表人身份证明的授权委托书</w:t>
      </w:r>
      <w:bookmarkEnd w:id="789"/>
      <w:bookmarkEnd w:id="790"/>
      <w:bookmarkEnd w:id="791"/>
      <w:bookmarkEnd w:id="792"/>
      <w:bookmarkEnd w:id="793"/>
      <w:bookmarkEnd w:id="794"/>
      <w:bookmarkEnd w:id="795"/>
    </w:p>
    <w:p w14:paraId="28854533">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14:paraId="1BBC7465">
      <w:pPr>
        <w:spacing w:line="480" w:lineRule="auto"/>
        <w:jc w:val="center"/>
        <w:rPr>
          <w:rFonts w:hint="eastAsia" w:ascii="宋体" w:hAnsi="宋体"/>
          <w:color w:val="auto"/>
          <w:highlight w:val="none"/>
        </w:rPr>
      </w:pPr>
    </w:p>
    <w:p w14:paraId="27CA0961">
      <w:pPr>
        <w:tabs>
          <w:tab w:val="left" w:pos="5565"/>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p>
    <w:p w14:paraId="0CD69B0B">
      <w:pPr>
        <w:tabs>
          <w:tab w:val="left" w:pos="5475"/>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单位性质：</w:t>
      </w:r>
    </w:p>
    <w:p w14:paraId="2006AF71">
      <w:pPr>
        <w:tabs>
          <w:tab w:val="left" w:pos="5475"/>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地址：</w:t>
      </w:r>
    </w:p>
    <w:p w14:paraId="3B854F9A">
      <w:pPr>
        <w:tabs>
          <w:tab w:val="left" w:pos="2520"/>
          <w:tab w:val="left" w:pos="3836"/>
        </w:tabs>
        <w:autoSpaceDE w:val="0"/>
        <w:autoSpaceDN w:val="0"/>
        <w:adjustRightInd w:val="0"/>
        <w:snapToGrid w:val="0"/>
        <w:spacing w:line="480" w:lineRule="auto"/>
        <w:ind w:firstLine="390" w:firstLineChars="186"/>
        <w:jc w:val="left"/>
        <w:rPr>
          <w:rFonts w:hint="eastAsia" w:ascii="宋体" w:hAnsi="宋体"/>
          <w:color w:val="auto"/>
          <w:kern w:val="0"/>
          <w:sz w:val="10"/>
          <w:szCs w:val="10"/>
          <w:highlight w:val="none"/>
        </w:rPr>
      </w:pPr>
      <w:r>
        <w:rPr>
          <w:rFonts w:ascii="宋体" w:hAnsi="宋体"/>
          <w:color w:val="auto"/>
          <w:kern w:val="0"/>
          <w:szCs w:val="21"/>
          <w:highlight w:val="none"/>
        </w:rPr>
        <w:t>成立时间：年月日</w:t>
      </w:r>
    </w:p>
    <w:p w14:paraId="044BA0B7">
      <w:pPr>
        <w:tabs>
          <w:tab w:val="left" w:pos="5475"/>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经营期限：</w:t>
      </w:r>
    </w:p>
    <w:p w14:paraId="646130D2">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姓名：性别</w:t>
      </w:r>
      <w:r>
        <w:rPr>
          <w:rFonts w:ascii="宋体" w:hAnsi="宋体"/>
          <w:color w:val="auto"/>
          <w:spacing w:val="-1"/>
          <w:kern w:val="0"/>
          <w:szCs w:val="21"/>
          <w:highlight w:val="none"/>
        </w:rPr>
        <w:t>：年</w:t>
      </w:r>
      <w:r>
        <w:rPr>
          <w:rFonts w:ascii="宋体" w:hAnsi="宋体"/>
          <w:color w:val="auto"/>
          <w:kern w:val="0"/>
          <w:szCs w:val="21"/>
          <w:highlight w:val="none"/>
        </w:rPr>
        <w:t>龄：职务：</w:t>
      </w:r>
    </w:p>
    <w:p w14:paraId="7F9AC5CC">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6FA31752">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特此证明。</w:t>
      </w:r>
    </w:p>
    <w:p w14:paraId="5EC29A80">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6AAE0820">
      <w:pPr>
        <w:pStyle w:val="8"/>
        <w:spacing w:after="0" w:line="360" w:lineRule="auto"/>
        <w:rPr>
          <w:rFonts w:hint="eastAsia" w:ascii="宋体" w:hAnsi="宋体"/>
          <w:color w:val="auto"/>
          <w:szCs w:val="21"/>
          <w:highlight w:val="none"/>
        </w:rPr>
      </w:pPr>
    </w:p>
    <w:p w14:paraId="317A957C">
      <w:pPr>
        <w:pStyle w:val="8"/>
        <w:spacing w:after="0" w:line="360" w:lineRule="auto"/>
        <w:rPr>
          <w:rFonts w:hint="eastAsia" w:ascii="宋体" w:hAnsi="宋体"/>
          <w:color w:val="auto"/>
          <w:szCs w:val="21"/>
          <w:highlight w:val="none"/>
        </w:rPr>
      </w:pPr>
    </w:p>
    <w:p w14:paraId="46C57210">
      <w:pPr>
        <w:pStyle w:val="8"/>
        <w:spacing w:after="0" w:line="360" w:lineRule="auto"/>
        <w:rPr>
          <w:rFonts w:hint="eastAsia" w:ascii="宋体" w:hAnsi="宋体"/>
          <w:color w:val="auto"/>
          <w:szCs w:val="21"/>
          <w:highlight w:val="none"/>
        </w:rPr>
      </w:pPr>
    </w:p>
    <w:p w14:paraId="1FB5BC9C">
      <w:pPr>
        <w:pStyle w:val="8"/>
        <w:spacing w:after="0" w:line="360" w:lineRule="auto"/>
        <w:rPr>
          <w:rFonts w:hint="eastAsia" w:ascii="宋体" w:hAnsi="宋体"/>
          <w:color w:val="auto"/>
          <w:szCs w:val="21"/>
          <w:highlight w:val="none"/>
        </w:rPr>
      </w:pPr>
    </w:p>
    <w:p w14:paraId="1A117C9F">
      <w:pPr>
        <w:pStyle w:val="8"/>
        <w:spacing w:after="0" w:line="360" w:lineRule="auto"/>
        <w:rPr>
          <w:rFonts w:hint="eastAsia" w:ascii="宋体" w:hAnsi="宋体"/>
          <w:color w:val="auto"/>
          <w:szCs w:val="21"/>
          <w:highlight w:val="none"/>
        </w:rPr>
      </w:pPr>
    </w:p>
    <w:p w14:paraId="2BE6B256">
      <w:pPr>
        <w:pStyle w:val="8"/>
        <w:spacing w:after="0" w:line="360" w:lineRule="auto"/>
        <w:rPr>
          <w:rFonts w:hint="eastAsia" w:ascii="宋体" w:hAnsi="宋体"/>
          <w:color w:val="auto"/>
          <w:szCs w:val="21"/>
          <w:highlight w:val="none"/>
        </w:rPr>
      </w:pPr>
    </w:p>
    <w:p w14:paraId="4C544729">
      <w:pPr>
        <w:autoSpaceDE w:val="0"/>
        <w:autoSpaceDN w:val="0"/>
        <w:adjustRightInd w:val="0"/>
        <w:snapToGrid w:val="0"/>
        <w:spacing w:line="480" w:lineRule="auto"/>
        <w:ind w:firstLine="420" w:firstLineChars="200"/>
        <w:jc w:val="right"/>
        <w:rPr>
          <w:rFonts w:hint="eastAsia"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583AD964">
      <w:pPr>
        <w:autoSpaceDE w:val="0"/>
        <w:autoSpaceDN w:val="0"/>
        <w:adjustRightInd w:val="0"/>
        <w:snapToGrid w:val="0"/>
        <w:spacing w:line="480" w:lineRule="auto"/>
        <w:jc w:val="left"/>
        <w:rPr>
          <w:rFonts w:hint="eastAsia" w:ascii="宋体" w:hAnsi="宋体"/>
          <w:color w:val="auto"/>
          <w:kern w:val="0"/>
          <w:sz w:val="20"/>
          <w:szCs w:val="20"/>
          <w:highlight w:val="none"/>
        </w:rPr>
      </w:pPr>
    </w:p>
    <w:p w14:paraId="64B2C7F0">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ascii="宋体" w:hAnsi="宋体"/>
          <w:color w:val="auto"/>
          <w:kern w:val="0"/>
          <w:szCs w:val="21"/>
          <w:highlight w:val="none"/>
        </w:rPr>
        <w:t>年月日</w:t>
      </w:r>
    </w:p>
    <w:p w14:paraId="39AD30A2">
      <w:pPr>
        <w:autoSpaceDE w:val="0"/>
        <w:autoSpaceDN w:val="0"/>
        <w:adjustRightInd w:val="0"/>
        <w:snapToGrid w:val="0"/>
        <w:spacing w:line="360" w:lineRule="auto"/>
        <w:jc w:val="left"/>
        <w:rPr>
          <w:rFonts w:hint="eastAsia" w:ascii="宋体" w:hAnsi="宋体"/>
          <w:color w:val="auto"/>
          <w:kern w:val="0"/>
          <w:highlight w:val="none"/>
        </w:rPr>
      </w:pPr>
    </w:p>
    <w:p w14:paraId="442F86A6">
      <w:pPr>
        <w:autoSpaceDE w:val="0"/>
        <w:autoSpaceDN w:val="0"/>
        <w:adjustRightInd w:val="0"/>
        <w:snapToGrid w:val="0"/>
        <w:spacing w:line="360" w:lineRule="auto"/>
        <w:jc w:val="left"/>
        <w:rPr>
          <w:rFonts w:hint="eastAsia" w:ascii="宋体" w:hAnsi="宋体"/>
          <w:color w:val="auto"/>
          <w:kern w:val="0"/>
          <w:highlight w:val="none"/>
        </w:rPr>
      </w:pPr>
    </w:p>
    <w:p w14:paraId="6E4D794D">
      <w:pPr>
        <w:spacing w:line="360" w:lineRule="auto"/>
        <w:ind w:firstLine="420" w:firstLineChars="200"/>
        <w:rPr>
          <w:rFonts w:hint="eastAsia"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D336780">
      <w:pPr>
        <w:autoSpaceDE w:val="0"/>
        <w:autoSpaceDN w:val="0"/>
        <w:adjustRightInd w:val="0"/>
        <w:snapToGrid w:val="0"/>
        <w:spacing w:line="360" w:lineRule="auto"/>
        <w:jc w:val="left"/>
        <w:rPr>
          <w:rFonts w:hint="eastAsia" w:ascii="宋体" w:hAnsi="宋体"/>
          <w:color w:val="auto"/>
          <w:kern w:val="0"/>
          <w:highlight w:val="none"/>
        </w:rPr>
      </w:pPr>
    </w:p>
    <w:p w14:paraId="28165BF7">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7CD2CAA0">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color w:val="auto"/>
          <w:kern w:val="0"/>
          <w:szCs w:val="21"/>
          <w:highlight w:val="none"/>
        </w:rPr>
      </w:pPr>
      <w:r>
        <w:rPr>
          <w:rFonts w:ascii="宋体" w:hAnsi="宋体"/>
          <w:color w:val="auto"/>
          <w:kern w:val="0"/>
          <w:szCs w:val="21"/>
          <w:highlight w:val="none"/>
        </w:rPr>
        <w:t>本人</w:t>
      </w:r>
      <w:r>
        <w:rPr>
          <w:rFonts w:ascii="宋体" w:hAnsi="宋体"/>
          <w:color w:val="auto"/>
          <w:kern w:val="0"/>
          <w:szCs w:val="21"/>
          <w:highlight w:val="none"/>
          <w:u w:val="single"/>
        </w:rPr>
        <w:t>（姓名）</w:t>
      </w:r>
      <w:r>
        <w:rPr>
          <w:rFonts w:ascii="宋体" w:hAnsi="宋体"/>
          <w:color w:val="auto"/>
          <w:kern w:val="0"/>
          <w:szCs w:val="21"/>
          <w:highlight w:val="none"/>
        </w:rPr>
        <w:t>系</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竞选文件</w:t>
      </w:r>
      <w:r>
        <w:rPr>
          <w:rFonts w:ascii="宋体" w:hAnsi="宋体"/>
          <w:color w:val="auto"/>
          <w:kern w:val="0"/>
          <w:szCs w:val="21"/>
          <w:highlight w:val="none"/>
        </w:rPr>
        <w:t>、签订合同和处理有关事宜， 其法律后果由我方承担。</w:t>
      </w:r>
    </w:p>
    <w:p w14:paraId="3DB4494C">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 xml:space="preserve">限：。 </w:t>
      </w:r>
    </w:p>
    <w:p w14:paraId="486CB51C">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auto"/>
          <w:kern w:val="0"/>
          <w:szCs w:val="21"/>
          <w:highlight w:val="none"/>
        </w:rPr>
      </w:pPr>
      <w:r>
        <w:rPr>
          <w:rFonts w:ascii="宋体" w:hAnsi="宋体"/>
          <w:color w:val="auto"/>
          <w:kern w:val="0"/>
          <w:szCs w:val="21"/>
          <w:highlight w:val="none"/>
        </w:rPr>
        <w:t>代理人无转委托权。</w:t>
      </w:r>
    </w:p>
    <w:p w14:paraId="0D6CDE79">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auto"/>
          <w:kern w:val="0"/>
          <w:szCs w:val="21"/>
          <w:highlight w:val="none"/>
        </w:rPr>
      </w:pPr>
    </w:p>
    <w:p w14:paraId="249F7FA1">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auto"/>
          <w:kern w:val="0"/>
          <w:szCs w:val="21"/>
          <w:highlight w:val="none"/>
        </w:rPr>
      </w:pPr>
      <w:r>
        <w:rPr>
          <w:rFonts w:hint="eastAsia" w:ascii="宋体" w:hAnsi="宋体"/>
          <w:color w:val="auto"/>
          <w:kern w:val="0"/>
          <w:szCs w:val="21"/>
          <w:highlight w:val="none"/>
        </w:rPr>
        <w:t>竞选</w:t>
      </w:r>
      <w:r>
        <w:rPr>
          <w:rFonts w:ascii="宋体" w:hAnsi="宋体"/>
          <w:color w:val="auto"/>
          <w:kern w:val="0"/>
          <w:szCs w:val="21"/>
          <w:highlight w:val="none"/>
        </w:rPr>
        <w:t>人：（</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15F01BC2">
      <w:pPr>
        <w:tabs>
          <w:tab w:val="left" w:pos="630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法定代表人：（</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376593E7">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p>
    <w:p w14:paraId="4EE7E81F">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委托代理人：（</w:t>
      </w:r>
      <w:r>
        <w:rPr>
          <w:rFonts w:hint="eastAsia" w:ascii="宋体" w:hAnsi="宋体"/>
          <w:color w:val="auto"/>
          <w:kern w:val="0"/>
          <w:szCs w:val="21"/>
          <w:highlight w:val="none"/>
        </w:rPr>
        <w:t>签名</w:t>
      </w:r>
      <w:r>
        <w:rPr>
          <w:rFonts w:ascii="宋体" w:hAnsi="宋体"/>
          <w:color w:val="auto"/>
          <w:kern w:val="0"/>
          <w:szCs w:val="21"/>
          <w:highlight w:val="none"/>
        </w:rPr>
        <w:t>）</w:t>
      </w:r>
    </w:p>
    <w:p w14:paraId="31C0D9FC">
      <w:pPr>
        <w:tabs>
          <w:tab w:val="left" w:pos="6825"/>
        </w:tabs>
        <w:autoSpaceDE w:val="0"/>
        <w:autoSpaceDN w:val="0"/>
        <w:adjustRightInd w:val="0"/>
        <w:snapToGrid w:val="0"/>
        <w:spacing w:line="480" w:lineRule="auto"/>
        <w:ind w:firstLine="420" w:firstLineChars="200"/>
        <w:jc w:val="left"/>
        <w:rPr>
          <w:rFonts w:hint="eastAsia" w:ascii="宋体" w:hAnsi="宋体"/>
          <w:color w:val="auto"/>
          <w:w w:val="200"/>
          <w:kern w:val="0"/>
          <w:szCs w:val="21"/>
          <w:highlight w:val="none"/>
          <w:u w:val="single"/>
        </w:rPr>
      </w:pPr>
      <w:r>
        <w:rPr>
          <w:rFonts w:ascii="宋体" w:hAnsi="宋体"/>
          <w:color w:val="auto"/>
          <w:kern w:val="0"/>
          <w:szCs w:val="21"/>
          <w:highlight w:val="none"/>
        </w:rPr>
        <w:t>身份证号码：</w:t>
      </w:r>
    </w:p>
    <w:p w14:paraId="4E776187">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54E54EBC">
      <w:pPr>
        <w:autoSpaceDE w:val="0"/>
        <w:autoSpaceDN w:val="0"/>
        <w:adjustRightInd w:val="0"/>
        <w:snapToGrid w:val="0"/>
        <w:spacing w:line="48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7C0A6234">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356651E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31613C93">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7A5DA093">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74E62B0C">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3D0E711B">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E15FB7D">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5C5DCCB7">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15836E50">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szCs w:val="21"/>
          <w:highlight w:val="none"/>
        </w:rPr>
      </w:pPr>
      <w:r>
        <w:rPr>
          <w:rFonts w:ascii="宋体" w:hAnsi="宋体"/>
          <w:color w:val="auto"/>
          <w:kern w:val="0"/>
          <w:szCs w:val="21"/>
          <w:highlight w:val="none"/>
        </w:rPr>
        <w:t>年月日</w:t>
      </w:r>
    </w:p>
    <w:p w14:paraId="6E2BA0C4">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kern w:val="0"/>
          <w:szCs w:val="21"/>
          <w:highlight w:val="none"/>
        </w:rPr>
      </w:pPr>
    </w:p>
    <w:p w14:paraId="1AC377C4">
      <w:pPr>
        <w:tabs>
          <w:tab w:val="left" w:pos="4005"/>
          <w:tab w:val="left" w:pos="4100"/>
          <w:tab w:val="left" w:pos="5040"/>
        </w:tabs>
        <w:autoSpaceDE w:val="0"/>
        <w:autoSpaceDN w:val="0"/>
        <w:adjustRightInd w:val="0"/>
        <w:snapToGrid w:val="0"/>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57D657B8">
      <w:pPr>
        <w:tabs>
          <w:tab w:val="left" w:pos="5760"/>
        </w:tabs>
        <w:autoSpaceDE w:val="0"/>
        <w:autoSpaceDN w:val="0"/>
        <w:adjustRightInd w:val="0"/>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竞选文件</w:t>
      </w:r>
      <w:r>
        <w:rPr>
          <w:rFonts w:ascii="宋体" w:hAnsi="宋体"/>
          <w:color w:val="auto"/>
          <w:kern w:val="0"/>
          <w:szCs w:val="21"/>
          <w:highlight w:val="none"/>
        </w:rPr>
        <w:t>一并递交。另外须准备一份授权委托书原件在开标现场出具。</w:t>
      </w:r>
    </w:p>
    <w:p w14:paraId="54F00C8D">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69F8C1F4">
      <w:pPr>
        <w:spacing w:line="360" w:lineRule="auto"/>
        <w:ind w:firstLine="420" w:firstLineChars="200"/>
        <w:jc w:val="left"/>
        <w:rPr>
          <w:rFonts w:ascii="宋体" w:hAnsi="宋体"/>
          <w:color w:val="auto"/>
          <w:highlight w:val="none"/>
        </w:rPr>
      </w:pPr>
    </w:p>
    <w:p w14:paraId="0976A8DA">
      <w:pPr>
        <w:pStyle w:val="4"/>
        <w:spacing w:before="0" w:after="0" w:line="240" w:lineRule="auto"/>
        <w:jc w:val="center"/>
        <w:rPr>
          <w:rFonts w:ascii="宋体" w:hAnsi="宋体"/>
          <w:b w:val="0"/>
          <w:bCs w:val="0"/>
          <w:color w:val="auto"/>
          <w:highlight w:val="none"/>
        </w:rPr>
      </w:pPr>
      <w:bookmarkStart w:id="796" w:name="_Toc287607870"/>
      <w:bookmarkStart w:id="797" w:name="_Toc287620817"/>
      <w:bookmarkStart w:id="798" w:name="_Toc277082646"/>
      <w:bookmarkStart w:id="799" w:name="_Toc224103498"/>
      <w:bookmarkStart w:id="800" w:name="_Toc57820651"/>
      <w:r>
        <w:rPr>
          <w:rFonts w:ascii="宋体" w:hAnsi="宋体"/>
          <w:b w:val="0"/>
          <w:bCs w:val="0"/>
          <w:color w:val="auto"/>
          <w:highlight w:val="none"/>
        </w:rPr>
        <w:t>（</w:t>
      </w:r>
      <w:r>
        <w:rPr>
          <w:rFonts w:hint="eastAsia" w:ascii="宋体" w:hAnsi="宋体"/>
          <w:b w:val="0"/>
          <w:bCs w:val="0"/>
          <w:color w:val="auto"/>
          <w:highlight w:val="none"/>
          <w:lang w:val="en-US" w:eastAsia="zh-CN"/>
        </w:rPr>
        <w:t>三</w:t>
      </w:r>
      <w:r>
        <w:rPr>
          <w:rFonts w:ascii="宋体" w:hAnsi="宋体"/>
          <w:b w:val="0"/>
          <w:bCs w:val="0"/>
          <w:color w:val="auto"/>
          <w:highlight w:val="none"/>
        </w:rPr>
        <w:t>）</w:t>
      </w:r>
      <w:bookmarkEnd w:id="796"/>
      <w:bookmarkEnd w:id="797"/>
      <w:bookmarkEnd w:id="798"/>
      <w:bookmarkEnd w:id="799"/>
      <w:r>
        <w:rPr>
          <w:rFonts w:hint="eastAsia" w:ascii="宋体" w:hAnsi="宋体"/>
          <w:b w:val="0"/>
          <w:bCs w:val="0"/>
          <w:color w:val="auto"/>
          <w:highlight w:val="none"/>
        </w:rPr>
        <w:t>低价风险担保提交承诺书</w:t>
      </w:r>
      <w:bookmarkEnd w:id="800"/>
    </w:p>
    <w:p w14:paraId="2972B31B">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30C1C9C9">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14:paraId="50A2661D">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3BBB9FD0">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14:paraId="616E9748">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0EEFA572">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14:paraId="0F6A5626">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0FE9229C">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666D1D9A">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4373F96E">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07545732">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026E0B56">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01873737">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w:t>
      </w:r>
      <w:r>
        <w:rPr>
          <w:rFonts w:ascii="宋体" w:hAnsi="宋体"/>
          <w:color w:val="auto"/>
          <w:kern w:val="0"/>
          <w:szCs w:val="21"/>
          <w:highlight w:val="none"/>
        </w:rPr>
        <w:t xml:space="preserve">  </w:t>
      </w:r>
      <w:r>
        <w:rPr>
          <w:rFonts w:hint="eastAsia" w:ascii="宋体" w:hAnsi="宋体"/>
          <w:color w:val="auto"/>
          <w:kern w:val="0"/>
          <w:szCs w:val="21"/>
          <w:highlight w:val="none"/>
        </w:rPr>
        <w:t>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69F5E5DB">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5AE3994">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14:paraId="527535AB">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2257B466">
      <w:pPr>
        <w:spacing w:line="360" w:lineRule="auto"/>
        <w:ind w:firstLine="420" w:firstLineChars="200"/>
        <w:jc w:val="left"/>
        <w:rPr>
          <w:rFonts w:hint="eastAsia" w:ascii="宋体" w:hAnsi="宋体"/>
          <w:color w:val="auto"/>
          <w:highlight w:val="none"/>
        </w:rPr>
      </w:pPr>
    </w:p>
    <w:p w14:paraId="49B778BB">
      <w:pPr>
        <w:jc w:val="center"/>
        <w:outlineLvl w:val="1"/>
        <w:rPr>
          <w:rFonts w:hint="eastAsia" w:ascii="宋体" w:hAnsi="宋体"/>
          <w:b/>
          <w:color w:val="auto"/>
          <w:sz w:val="44"/>
          <w:szCs w:val="44"/>
          <w:highlight w:val="none"/>
        </w:rPr>
      </w:pPr>
    </w:p>
    <w:p w14:paraId="31D2F9E3">
      <w:pPr>
        <w:jc w:val="center"/>
        <w:outlineLvl w:val="1"/>
        <w:rPr>
          <w:rFonts w:hint="eastAsia" w:ascii="宋体" w:hAnsi="宋体"/>
          <w:b/>
          <w:color w:val="auto"/>
          <w:sz w:val="44"/>
          <w:szCs w:val="44"/>
          <w:highlight w:val="none"/>
        </w:rPr>
      </w:pPr>
    </w:p>
    <w:p w14:paraId="7BB40E07">
      <w:pPr>
        <w:jc w:val="center"/>
        <w:outlineLvl w:val="1"/>
        <w:rPr>
          <w:rFonts w:hint="eastAsia" w:ascii="宋体" w:hAnsi="宋体"/>
          <w:b/>
          <w:color w:val="auto"/>
          <w:sz w:val="44"/>
          <w:szCs w:val="44"/>
          <w:highlight w:val="none"/>
        </w:rPr>
      </w:pPr>
    </w:p>
    <w:p w14:paraId="52FA672E">
      <w:pPr>
        <w:jc w:val="center"/>
        <w:outlineLvl w:val="1"/>
        <w:rPr>
          <w:rFonts w:hint="eastAsia" w:ascii="宋体" w:hAnsi="宋体"/>
          <w:b/>
          <w:color w:val="auto"/>
          <w:sz w:val="44"/>
          <w:szCs w:val="44"/>
          <w:highlight w:val="none"/>
        </w:rPr>
      </w:pPr>
    </w:p>
    <w:p w14:paraId="39199F08">
      <w:pPr>
        <w:jc w:val="center"/>
        <w:outlineLvl w:val="1"/>
        <w:rPr>
          <w:rFonts w:hint="eastAsia" w:ascii="宋体" w:hAnsi="宋体"/>
          <w:b/>
          <w:color w:val="auto"/>
          <w:sz w:val="44"/>
          <w:szCs w:val="44"/>
          <w:highlight w:val="none"/>
        </w:rPr>
      </w:pPr>
    </w:p>
    <w:p w14:paraId="181E6DD8">
      <w:pPr>
        <w:jc w:val="center"/>
        <w:outlineLvl w:val="1"/>
        <w:rPr>
          <w:rFonts w:hint="eastAsia" w:ascii="宋体" w:hAnsi="宋体"/>
          <w:b/>
          <w:color w:val="auto"/>
          <w:sz w:val="44"/>
          <w:szCs w:val="44"/>
          <w:highlight w:val="none"/>
        </w:rPr>
      </w:pPr>
      <w:r>
        <w:rPr>
          <w:rFonts w:hint="eastAsia" w:ascii="宋体" w:hAnsi="宋体"/>
          <w:b/>
          <w:color w:val="auto"/>
          <w:sz w:val="44"/>
          <w:szCs w:val="44"/>
          <w:highlight w:val="none"/>
        </w:rPr>
        <w:t>二、</w:t>
      </w:r>
      <w:r>
        <w:rPr>
          <w:rFonts w:hint="eastAsia" w:ascii="宋体" w:hAnsi="宋体"/>
          <w:color w:val="auto"/>
          <w:sz w:val="44"/>
          <w:szCs w:val="44"/>
          <w:highlight w:val="none"/>
        </w:rPr>
        <w:t>技术部分</w:t>
      </w:r>
    </w:p>
    <w:p w14:paraId="6268AB2B">
      <w:pPr>
        <w:pStyle w:val="8"/>
        <w:rPr>
          <w:rFonts w:hint="eastAsia" w:ascii="宋体" w:hAnsi="宋体"/>
          <w:b/>
          <w:color w:val="auto"/>
          <w:sz w:val="44"/>
          <w:szCs w:val="44"/>
          <w:highlight w:val="none"/>
        </w:rPr>
      </w:pPr>
    </w:p>
    <w:p w14:paraId="647B7732">
      <w:pPr>
        <w:spacing w:line="360" w:lineRule="auto"/>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6F98AC8D">
      <w:pPr>
        <w:tabs>
          <w:tab w:val="left" w:pos="3600"/>
          <w:tab w:val="left" w:pos="4480"/>
          <w:tab w:val="left" w:pos="5360"/>
        </w:tabs>
        <w:autoSpaceDE w:val="0"/>
        <w:autoSpaceDN w:val="0"/>
        <w:adjustRightInd w:val="0"/>
        <w:snapToGrid w:val="0"/>
        <w:spacing w:line="360" w:lineRule="auto"/>
        <w:jc w:val="left"/>
        <w:rPr>
          <w:rFonts w:hint="eastAsia" w:ascii="宋体" w:hAnsi="宋体"/>
          <w:color w:val="auto"/>
          <w:kern w:val="0"/>
          <w:sz w:val="44"/>
          <w:szCs w:val="44"/>
          <w:highlight w:val="none"/>
        </w:rPr>
      </w:pPr>
    </w:p>
    <w:p w14:paraId="4F2092EF">
      <w:pPr>
        <w:tabs>
          <w:tab w:val="left" w:pos="3600"/>
          <w:tab w:val="left" w:pos="4480"/>
          <w:tab w:val="left" w:pos="5360"/>
        </w:tabs>
        <w:autoSpaceDE w:val="0"/>
        <w:autoSpaceDN w:val="0"/>
        <w:adjustRightInd w:val="0"/>
        <w:snapToGrid w:val="0"/>
        <w:spacing w:line="360" w:lineRule="auto"/>
        <w:jc w:val="left"/>
        <w:rPr>
          <w:rFonts w:hint="eastAsia" w:ascii="宋体" w:hAnsi="宋体"/>
          <w:color w:val="auto"/>
          <w:kern w:val="0"/>
          <w:sz w:val="44"/>
          <w:szCs w:val="44"/>
          <w:highlight w:val="none"/>
        </w:rPr>
      </w:pPr>
    </w:p>
    <w:p w14:paraId="2FB1C274">
      <w:pPr>
        <w:tabs>
          <w:tab w:val="left" w:pos="3600"/>
          <w:tab w:val="left" w:pos="4480"/>
          <w:tab w:val="left" w:pos="5360"/>
        </w:tabs>
        <w:autoSpaceDE w:val="0"/>
        <w:autoSpaceDN w:val="0"/>
        <w:adjustRightInd w:val="0"/>
        <w:snapToGrid w:val="0"/>
        <w:spacing w:line="360" w:lineRule="auto"/>
        <w:jc w:val="left"/>
        <w:rPr>
          <w:rFonts w:hint="eastAsia" w:ascii="宋体" w:hAnsi="宋体"/>
          <w:color w:val="auto"/>
          <w:kern w:val="0"/>
          <w:sz w:val="44"/>
          <w:szCs w:val="44"/>
          <w:highlight w:val="none"/>
        </w:rPr>
      </w:pPr>
    </w:p>
    <w:p w14:paraId="517D97A2">
      <w:pPr>
        <w:tabs>
          <w:tab w:val="left" w:pos="3600"/>
          <w:tab w:val="left" w:pos="4480"/>
          <w:tab w:val="left" w:pos="5360"/>
        </w:tabs>
        <w:autoSpaceDE w:val="0"/>
        <w:autoSpaceDN w:val="0"/>
        <w:adjustRightInd w:val="0"/>
        <w:snapToGrid w:val="0"/>
        <w:spacing w:line="360" w:lineRule="auto"/>
        <w:jc w:val="left"/>
        <w:rPr>
          <w:rFonts w:hint="eastAsia" w:ascii="宋体" w:hAnsi="宋体"/>
          <w:color w:val="auto"/>
          <w:kern w:val="0"/>
          <w:sz w:val="44"/>
          <w:szCs w:val="44"/>
          <w:highlight w:val="none"/>
        </w:rPr>
      </w:pPr>
    </w:p>
    <w:p w14:paraId="5A2F043B">
      <w:pPr>
        <w:tabs>
          <w:tab w:val="left" w:pos="3600"/>
          <w:tab w:val="left" w:pos="4480"/>
          <w:tab w:val="left" w:pos="5360"/>
        </w:tabs>
        <w:autoSpaceDE w:val="0"/>
        <w:autoSpaceDN w:val="0"/>
        <w:adjustRightInd w:val="0"/>
        <w:snapToGrid w:val="0"/>
        <w:spacing w:line="360" w:lineRule="auto"/>
        <w:jc w:val="center"/>
        <w:rPr>
          <w:rFonts w:hint="eastAsia"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58C2383A">
      <w:pPr>
        <w:autoSpaceDE w:val="0"/>
        <w:autoSpaceDN w:val="0"/>
        <w:adjustRightInd w:val="0"/>
        <w:snapToGrid w:val="0"/>
        <w:spacing w:line="360" w:lineRule="auto"/>
        <w:jc w:val="left"/>
        <w:rPr>
          <w:rFonts w:hint="eastAsia" w:ascii="宋体" w:hAnsi="宋体"/>
          <w:color w:val="auto"/>
          <w:kern w:val="0"/>
          <w:sz w:val="16"/>
          <w:szCs w:val="16"/>
          <w:highlight w:val="none"/>
        </w:rPr>
      </w:pPr>
    </w:p>
    <w:p w14:paraId="2DF3FF62">
      <w:pPr>
        <w:autoSpaceDE w:val="0"/>
        <w:autoSpaceDN w:val="0"/>
        <w:adjustRightInd w:val="0"/>
        <w:snapToGrid w:val="0"/>
        <w:spacing w:line="360" w:lineRule="auto"/>
        <w:jc w:val="center"/>
        <w:rPr>
          <w:rFonts w:hint="eastAsia" w:ascii="宋体" w:hAnsi="宋体"/>
          <w:color w:val="auto"/>
          <w:kern w:val="0"/>
          <w:sz w:val="36"/>
          <w:szCs w:val="36"/>
          <w:highlight w:val="none"/>
        </w:rPr>
      </w:pPr>
      <w:r>
        <w:rPr>
          <w:rFonts w:hint="eastAsia" w:ascii="宋体" w:hAnsi="宋体"/>
          <w:color w:val="auto"/>
          <w:kern w:val="0"/>
          <w:sz w:val="36"/>
          <w:szCs w:val="36"/>
          <w:highlight w:val="none"/>
        </w:rPr>
        <w:t>技术部分</w:t>
      </w:r>
    </w:p>
    <w:p w14:paraId="0499252D">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0233E945">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1C88BF34">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451BFE24">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5DF18A29">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164E33FE">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512D5CBB">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544B5A62">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69D74361">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0240E205">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0E2B7E03">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358DE24E">
      <w:pPr>
        <w:tabs>
          <w:tab w:val="left" w:pos="6080"/>
          <w:tab w:val="left" w:pos="6640"/>
        </w:tabs>
        <w:autoSpaceDE w:val="0"/>
        <w:autoSpaceDN w:val="0"/>
        <w:adjustRightInd w:val="0"/>
        <w:snapToGrid w:val="0"/>
        <w:spacing w:after="158" w:afterLines="50" w:line="360" w:lineRule="auto"/>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1F2F9112">
      <w:pPr>
        <w:tabs>
          <w:tab w:val="left" w:pos="6080"/>
          <w:tab w:val="left" w:pos="6640"/>
        </w:tabs>
        <w:autoSpaceDE w:val="0"/>
        <w:autoSpaceDN w:val="0"/>
        <w:adjustRightInd w:val="0"/>
        <w:snapToGrid w:val="0"/>
        <w:spacing w:after="158" w:afterLines="50" w:line="360" w:lineRule="auto"/>
        <w:jc w:val="center"/>
        <w:rPr>
          <w:rFonts w:hint="eastAsia"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7EDD24FE">
      <w:pPr>
        <w:autoSpaceDE w:val="0"/>
        <w:autoSpaceDN w:val="0"/>
        <w:adjustRightInd w:val="0"/>
        <w:snapToGrid w:val="0"/>
        <w:spacing w:line="360" w:lineRule="auto"/>
        <w:ind w:firstLine="554"/>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rPr>
        <w:t>年月日</w:t>
      </w:r>
    </w:p>
    <w:p w14:paraId="04E13317">
      <w:pPr>
        <w:pStyle w:val="8"/>
        <w:rPr>
          <w:rFonts w:hint="eastAsia" w:ascii="宋体" w:hAnsi="宋体"/>
          <w:b/>
          <w:color w:val="auto"/>
          <w:sz w:val="44"/>
          <w:szCs w:val="44"/>
          <w:highlight w:val="none"/>
        </w:rPr>
      </w:pPr>
    </w:p>
    <w:p w14:paraId="4E71B4EC">
      <w:pPr>
        <w:autoSpaceDE w:val="0"/>
        <w:autoSpaceDN w:val="0"/>
        <w:adjustRightInd w:val="0"/>
        <w:snapToGrid w:val="0"/>
        <w:spacing w:line="360" w:lineRule="auto"/>
        <w:jc w:val="center"/>
        <w:rPr>
          <w:rFonts w:hint="eastAsia" w:ascii="宋体" w:hAnsi="宋体"/>
          <w:color w:val="auto"/>
          <w:kern w:val="0"/>
          <w:sz w:val="32"/>
          <w:szCs w:val="32"/>
          <w:highlight w:val="none"/>
        </w:rPr>
      </w:pPr>
      <w:r>
        <w:rPr>
          <w:rFonts w:hint="eastAsia" w:ascii="宋体" w:hAnsi="宋体"/>
          <w:color w:val="auto"/>
          <w:kern w:val="0"/>
          <w:sz w:val="36"/>
          <w:szCs w:val="36"/>
          <w:highlight w:val="none"/>
        </w:rPr>
        <w:t>目  录</w:t>
      </w:r>
    </w:p>
    <w:p w14:paraId="7B36AB15">
      <w:pPr>
        <w:autoSpaceDE w:val="0"/>
        <w:autoSpaceDN w:val="0"/>
        <w:adjustRightInd w:val="0"/>
        <w:snapToGrid w:val="0"/>
        <w:spacing w:line="360" w:lineRule="auto"/>
        <w:jc w:val="left"/>
        <w:rPr>
          <w:rFonts w:hint="eastAsia" w:ascii="宋体" w:hAnsi="宋体"/>
          <w:color w:val="auto"/>
          <w:kern w:val="0"/>
          <w:sz w:val="32"/>
          <w:szCs w:val="32"/>
          <w:highlight w:val="none"/>
        </w:rPr>
      </w:pPr>
    </w:p>
    <w:p w14:paraId="7B4E2D4D">
      <w:pPr>
        <w:autoSpaceDE w:val="0"/>
        <w:autoSpaceDN w:val="0"/>
        <w:adjustRightInd w:val="0"/>
        <w:snapToGrid w:val="0"/>
        <w:spacing w:line="360" w:lineRule="auto"/>
        <w:jc w:val="center"/>
        <w:rPr>
          <w:rFonts w:hint="eastAsia"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rPr>
        <w:t>竞选人</w:t>
      </w:r>
      <w:r>
        <w:rPr>
          <w:rFonts w:ascii="宋体" w:hAnsi="宋体"/>
          <w:i/>
          <w:iCs/>
          <w:color w:val="auto"/>
          <w:kern w:val="0"/>
          <w:szCs w:val="21"/>
          <w:highlight w:val="none"/>
        </w:rPr>
        <w:t>自行编制]</w:t>
      </w:r>
    </w:p>
    <w:p w14:paraId="012CD9BD">
      <w:pPr>
        <w:autoSpaceDE w:val="0"/>
        <w:autoSpaceDN w:val="0"/>
        <w:adjustRightInd w:val="0"/>
        <w:snapToGrid w:val="0"/>
        <w:spacing w:line="360" w:lineRule="auto"/>
        <w:jc w:val="left"/>
        <w:rPr>
          <w:rFonts w:hint="eastAsia" w:ascii="宋体" w:hAnsi="宋体"/>
          <w:color w:val="auto"/>
          <w:w w:val="99"/>
          <w:kern w:val="0"/>
          <w:sz w:val="28"/>
          <w:szCs w:val="28"/>
          <w:highlight w:val="none"/>
        </w:rPr>
      </w:pPr>
    </w:p>
    <w:p w14:paraId="30A9D764">
      <w:pPr>
        <w:rPr>
          <w:rFonts w:hint="eastAsia" w:ascii="宋体" w:hAnsi="宋体"/>
          <w:color w:val="auto"/>
          <w:highlight w:val="none"/>
        </w:rPr>
      </w:pPr>
    </w:p>
    <w:p w14:paraId="7EB8E5DA">
      <w:pPr>
        <w:pStyle w:val="8"/>
        <w:rPr>
          <w:rFonts w:hint="eastAsia" w:ascii="宋体" w:hAnsi="宋体"/>
          <w:color w:val="auto"/>
          <w:highlight w:val="none"/>
        </w:rPr>
      </w:pPr>
    </w:p>
    <w:p w14:paraId="1656CF53">
      <w:pPr>
        <w:rPr>
          <w:rFonts w:hint="eastAsia" w:ascii="宋体" w:hAnsi="宋体"/>
          <w:color w:val="auto"/>
          <w:highlight w:val="none"/>
        </w:rPr>
      </w:pPr>
    </w:p>
    <w:p w14:paraId="1B5C6D69">
      <w:pPr>
        <w:pStyle w:val="8"/>
        <w:rPr>
          <w:rFonts w:hint="eastAsia" w:ascii="宋体" w:hAnsi="宋体"/>
          <w:color w:val="auto"/>
          <w:highlight w:val="none"/>
        </w:rPr>
      </w:pPr>
    </w:p>
    <w:p w14:paraId="43DE08D8">
      <w:pPr>
        <w:rPr>
          <w:rFonts w:hint="eastAsia" w:ascii="宋体" w:hAnsi="宋体"/>
          <w:color w:val="auto"/>
          <w:highlight w:val="none"/>
        </w:rPr>
      </w:pPr>
    </w:p>
    <w:p w14:paraId="38062D0C">
      <w:pPr>
        <w:pStyle w:val="8"/>
        <w:rPr>
          <w:rFonts w:hint="eastAsia" w:ascii="宋体" w:hAnsi="宋体"/>
          <w:color w:val="auto"/>
          <w:highlight w:val="none"/>
        </w:rPr>
      </w:pPr>
    </w:p>
    <w:p w14:paraId="5FFAF262">
      <w:pPr>
        <w:rPr>
          <w:rFonts w:hint="eastAsia" w:ascii="宋体" w:hAnsi="宋体"/>
          <w:color w:val="auto"/>
          <w:highlight w:val="none"/>
        </w:rPr>
      </w:pPr>
    </w:p>
    <w:p w14:paraId="39318F51">
      <w:pPr>
        <w:pStyle w:val="8"/>
        <w:rPr>
          <w:rFonts w:hint="eastAsia" w:ascii="宋体" w:hAnsi="宋体"/>
          <w:color w:val="auto"/>
          <w:highlight w:val="none"/>
        </w:rPr>
      </w:pPr>
    </w:p>
    <w:p w14:paraId="3D53D79D">
      <w:pPr>
        <w:rPr>
          <w:rFonts w:hint="eastAsia" w:ascii="宋体" w:hAnsi="宋体"/>
          <w:color w:val="auto"/>
          <w:highlight w:val="none"/>
        </w:rPr>
      </w:pPr>
    </w:p>
    <w:p w14:paraId="54837CEC">
      <w:pPr>
        <w:pStyle w:val="8"/>
        <w:rPr>
          <w:rFonts w:hint="eastAsia" w:ascii="宋体" w:hAnsi="宋体"/>
          <w:color w:val="auto"/>
          <w:highlight w:val="none"/>
        </w:rPr>
      </w:pPr>
    </w:p>
    <w:p w14:paraId="535C503C">
      <w:pPr>
        <w:rPr>
          <w:rFonts w:hint="eastAsia" w:ascii="宋体" w:hAnsi="宋体"/>
          <w:color w:val="auto"/>
          <w:highlight w:val="none"/>
        </w:rPr>
      </w:pPr>
    </w:p>
    <w:p w14:paraId="177EFA39">
      <w:pPr>
        <w:pStyle w:val="8"/>
        <w:rPr>
          <w:rFonts w:hint="eastAsia" w:ascii="宋体" w:hAnsi="宋体"/>
          <w:color w:val="auto"/>
          <w:highlight w:val="none"/>
        </w:rPr>
      </w:pPr>
    </w:p>
    <w:p w14:paraId="7D5209CF">
      <w:pPr>
        <w:rPr>
          <w:rFonts w:hint="eastAsia" w:ascii="宋体" w:hAnsi="宋体"/>
          <w:color w:val="auto"/>
          <w:highlight w:val="none"/>
        </w:rPr>
      </w:pPr>
    </w:p>
    <w:p w14:paraId="4F4F57BD">
      <w:pPr>
        <w:pStyle w:val="8"/>
        <w:rPr>
          <w:rFonts w:hint="eastAsia" w:ascii="宋体" w:hAnsi="宋体"/>
          <w:color w:val="auto"/>
          <w:highlight w:val="none"/>
        </w:rPr>
      </w:pPr>
    </w:p>
    <w:p w14:paraId="31E5CC25">
      <w:pPr>
        <w:rPr>
          <w:rFonts w:hint="eastAsia" w:ascii="宋体" w:hAnsi="宋体"/>
          <w:color w:val="auto"/>
          <w:highlight w:val="none"/>
        </w:rPr>
      </w:pPr>
    </w:p>
    <w:p w14:paraId="57D58327">
      <w:pPr>
        <w:pStyle w:val="8"/>
        <w:rPr>
          <w:rFonts w:hint="eastAsia" w:ascii="宋体" w:hAnsi="宋体"/>
          <w:color w:val="auto"/>
          <w:highlight w:val="none"/>
        </w:rPr>
      </w:pPr>
    </w:p>
    <w:p w14:paraId="35155599">
      <w:pPr>
        <w:rPr>
          <w:rFonts w:hint="eastAsia" w:ascii="宋体" w:hAnsi="宋体"/>
          <w:color w:val="auto"/>
          <w:highlight w:val="none"/>
        </w:rPr>
      </w:pPr>
    </w:p>
    <w:p w14:paraId="0E818DAD">
      <w:pPr>
        <w:pStyle w:val="8"/>
        <w:rPr>
          <w:rFonts w:hint="eastAsia" w:ascii="宋体" w:hAnsi="宋体"/>
          <w:color w:val="auto"/>
          <w:highlight w:val="none"/>
        </w:rPr>
      </w:pPr>
    </w:p>
    <w:p w14:paraId="1B24D714">
      <w:pPr>
        <w:rPr>
          <w:rFonts w:hint="eastAsia" w:ascii="宋体" w:hAnsi="宋体"/>
          <w:color w:val="auto"/>
          <w:highlight w:val="none"/>
        </w:rPr>
      </w:pPr>
    </w:p>
    <w:p w14:paraId="6F5BDAB4">
      <w:pPr>
        <w:pStyle w:val="8"/>
        <w:rPr>
          <w:rFonts w:hint="eastAsia" w:ascii="宋体" w:hAnsi="宋体"/>
          <w:color w:val="auto"/>
          <w:highlight w:val="none"/>
        </w:rPr>
      </w:pPr>
    </w:p>
    <w:p w14:paraId="31E20D53">
      <w:pPr>
        <w:rPr>
          <w:rFonts w:hint="eastAsia" w:ascii="宋体" w:hAnsi="宋体"/>
          <w:color w:val="auto"/>
          <w:highlight w:val="none"/>
        </w:rPr>
      </w:pPr>
    </w:p>
    <w:p w14:paraId="4825EC37">
      <w:pPr>
        <w:rPr>
          <w:rFonts w:hint="eastAsia" w:ascii="宋体" w:hAnsi="宋体"/>
          <w:color w:val="auto"/>
          <w:highlight w:val="none"/>
        </w:rPr>
      </w:pPr>
    </w:p>
    <w:p w14:paraId="71E3C342">
      <w:pPr>
        <w:pStyle w:val="8"/>
        <w:rPr>
          <w:rFonts w:hint="eastAsia" w:ascii="宋体" w:hAnsi="宋体"/>
          <w:color w:val="auto"/>
          <w:highlight w:val="none"/>
        </w:rPr>
      </w:pPr>
    </w:p>
    <w:p w14:paraId="49C6AD8B">
      <w:pPr>
        <w:rPr>
          <w:rFonts w:hint="eastAsia" w:ascii="宋体" w:hAnsi="宋体"/>
          <w:color w:val="auto"/>
          <w:highlight w:val="none"/>
        </w:rPr>
      </w:pPr>
    </w:p>
    <w:p w14:paraId="65FC7CFE">
      <w:pPr>
        <w:pStyle w:val="8"/>
        <w:rPr>
          <w:rFonts w:hint="eastAsia" w:ascii="宋体" w:hAnsi="宋体"/>
          <w:color w:val="auto"/>
          <w:highlight w:val="none"/>
        </w:rPr>
      </w:pPr>
    </w:p>
    <w:p w14:paraId="225411C3">
      <w:pPr>
        <w:rPr>
          <w:rFonts w:hint="eastAsia" w:ascii="宋体" w:hAnsi="宋体"/>
          <w:color w:val="auto"/>
          <w:highlight w:val="none"/>
        </w:rPr>
      </w:pPr>
    </w:p>
    <w:p w14:paraId="0E3A387D">
      <w:pPr>
        <w:pStyle w:val="8"/>
        <w:rPr>
          <w:rFonts w:hint="eastAsia" w:ascii="宋体" w:hAnsi="宋体"/>
          <w:color w:val="auto"/>
          <w:highlight w:val="none"/>
        </w:rPr>
      </w:pPr>
    </w:p>
    <w:p w14:paraId="6A95D44C">
      <w:pPr>
        <w:rPr>
          <w:rFonts w:hint="eastAsia" w:ascii="宋体" w:hAnsi="宋体"/>
          <w:color w:val="auto"/>
          <w:highlight w:val="none"/>
        </w:rPr>
      </w:pPr>
    </w:p>
    <w:p w14:paraId="10FE4CFE">
      <w:pPr>
        <w:pStyle w:val="8"/>
        <w:rPr>
          <w:rFonts w:hint="eastAsia" w:ascii="宋体" w:hAnsi="宋体"/>
          <w:color w:val="auto"/>
          <w:highlight w:val="none"/>
        </w:rPr>
      </w:pPr>
    </w:p>
    <w:p w14:paraId="06DC5689">
      <w:pPr>
        <w:pStyle w:val="8"/>
        <w:rPr>
          <w:rFonts w:hint="eastAsia" w:ascii="宋体" w:hAnsi="宋体"/>
          <w:color w:val="auto"/>
          <w:highlight w:val="none"/>
        </w:rPr>
      </w:pPr>
    </w:p>
    <w:p w14:paraId="561DFCA0">
      <w:pPr>
        <w:jc w:val="center"/>
        <w:outlineLvl w:val="1"/>
        <w:rPr>
          <w:rFonts w:hint="eastAsia" w:ascii="宋体" w:hAnsi="宋体"/>
          <w:b/>
          <w:color w:val="auto"/>
          <w:sz w:val="44"/>
          <w:szCs w:val="44"/>
          <w:highlight w:val="none"/>
        </w:rPr>
        <w:sectPr>
          <w:pgSz w:w="11905" w:h="16838"/>
          <w:pgMar w:top="1134" w:right="1134" w:bottom="1134" w:left="1134" w:header="0" w:footer="0" w:gutter="0"/>
          <w:cols w:space="0" w:num="1"/>
          <w:docGrid w:type="lines" w:linePitch="317" w:charSpace="0"/>
        </w:sectPr>
      </w:pPr>
    </w:p>
    <w:p w14:paraId="1FF79A13">
      <w:pPr>
        <w:jc w:val="center"/>
        <w:outlineLvl w:val="1"/>
        <w:rPr>
          <w:rFonts w:hint="eastAsia" w:ascii="宋体" w:hAnsi="宋体"/>
          <w:b/>
          <w:color w:val="auto"/>
          <w:sz w:val="44"/>
          <w:szCs w:val="44"/>
          <w:highlight w:val="none"/>
        </w:rPr>
      </w:pPr>
      <w:r>
        <w:rPr>
          <w:rFonts w:hint="eastAsia" w:ascii="宋体" w:hAnsi="宋体"/>
          <w:b/>
          <w:color w:val="auto"/>
          <w:sz w:val="44"/>
          <w:szCs w:val="44"/>
          <w:highlight w:val="none"/>
        </w:rPr>
        <w:t>三、资格审查部分</w:t>
      </w:r>
    </w:p>
    <w:p w14:paraId="78DE9168">
      <w:pPr>
        <w:spacing w:line="480" w:lineRule="auto"/>
        <w:ind w:right="-152"/>
        <w:jc w:val="center"/>
        <w:rPr>
          <w:rFonts w:hint="eastAsia" w:ascii="宋体" w:hAnsi="宋体" w:cs="宋体"/>
          <w:b/>
          <w:color w:val="auto"/>
          <w:sz w:val="52"/>
          <w:szCs w:val="72"/>
          <w:highlight w:val="none"/>
        </w:rPr>
      </w:pPr>
      <w:r>
        <w:rPr>
          <w:rFonts w:ascii="宋体" w:hAnsi="宋体"/>
          <w:color w:val="auto"/>
          <w:highlight w:val="none"/>
        </w:rPr>
        <w:br w:type="page"/>
      </w:r>
    </w:p>
    <w:p w14:paraId="0D7D4011">
      <w:pPr>
        <w:spacing w:line="360" w:lineRule="auto"/>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190F7444">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auto"/>
          <w:kern w:val="0"/>
          <w:sz w:val="44"/>
          <w:szCs w:val="44"/>
          <w:highlight w:val="none"/>
        </w:rPr>
      </w:pPr>
    </w:p>
    <w:p w14:paraId="00EC0F00">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auto"/>
          <w:kern w:val="0"/>
          <w:sz w:val="44"/>
          <w:szCs w:val="44"/>
          <w:highlight w:val="none"/>
        </w:rPr>
      </w:pPr>
    </w:p>
    <w:p w14:paraId="7B08329C">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auto"/>
          <w:kern w:val="0"/>
          <w:sz w:val="44"/>
          <w:szCs w:val="44"/>
          <w:highlight w:val="none"/>
        </w:rPr>
      </w:pPr>
    </w:p>
    <w:p w14:paraId="048A930C">
      <w:pPr>
        <w:tabs>
          <w:tab w:val="left" w:pos="3600"/>
          <w:tab w:val="left" w:pos="4480"/>
          <w:tab w:val="left" w:pos="5360"/>
        </w:tabs>
        <w:autoSpaceDE w:val="0"/>
        <w:autoSpaceDN w:val="0"/>
        <w:adjustRightInd w:val="0"/>
        <w:snapToGrid w:val="0"/>
        <w:spacing w:line="360" w:lineRule="auto"/>
        <w:jc w:val="center"/>
        <w:rPr>
          <w:rFonts w:hint="eastAsia"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5337E27D">
      <w:pPr>
        <w:autoSpaceDE w:val="0"/>
        <w:autoSpaceDN w:val="0"/>
        <w:adjustRightInd w:val="0"/>
        <w:snapToGrid w:val="0"/>
        <w:spacing w:line="360" w:lineRule="auto"/>
        <w:jc w:val="left"/>
        <w:rPr>
          <w:rFonts w:hint="eastAsia" w:ascii="宋体" w:hAnsi="宋体"/>
          <w:color w:val="auto"/>
          <w:kern w:val="0"/>
          <w:sz w:val="16"/>
          <w:szCs w:val="16"/>
          <w:highlight w:val="none"/>
        </w:rPr>
      </w:pPr>
    </w:p>
    <w:p w14:paraId="21F8B8EB">
      <w:pPr>
        <w:autoSpaceDE w:val="0"/>
        <w:autoSpaceDN w:val="0"/>
        <w:adjustRightInd w:val="0"/>
        <w:snapToGrid w:val="0"/>
        <w:spacing w:line="360" w:lineRule="auto"/>
        <w:jc w:val="center"/>
        <w:rPr>
          <w:rFonts w:hint="eastAsia"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5DDACB3D">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2DB3C205">
      <w:pPr>
        <w:adjustRightInd w:val="0"/>
        <w:snapToGrid w:val="0"/>
        <w:spacing w:line="264" w:lineRule="auto"/>
        <w:rPr>
          <w:rFonts w:hint="eastAsia" w:ascii="宋体" w:hAnsi="宋体"/>
          <w:color w:val="auto"/>
          <w:szCs w:val="21"/>
          <w:highlight w:val="none"/>
        </w:rPr>
      </w:pPr>
    </w:p>
    <w:p w14:paraId="64271201">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49EAA88C">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4A50EA2F">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1D34F96C">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145170BD">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135EC799">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361BF041">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68DCC5E0">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78A02186">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32331B40">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6DA92C9B">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0E2125A8">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28AE4E83">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4206BF12">
      <w:pPr>
        <w:tabs>
          <w:tab w:val="left" w:pos="6080"/>
          <w:tab w:val="left" w:pos="6640"/>
        </w:tabs>
        <w:autoSpaceDE w:val="0"/>
        <w:autoSpaceDN w:val="0"/>
        <w:adjustRightInd w:val="0"/>
        <w:snapToGrid w:val="0"/>
        <w:spacing w:line="480" w:lineRule="auto"/>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17DCFA52">
      <w:pPr>
        <w:tabs>
          <w:tab w:val="left" w:pos="6080"/>
          <w:tab w:val="left" w:pos="6640"/>
        </w:tabs>
        <w:autoSpaceDE w:val="0"/>
        <w:autoSpaceDN w:val="0"/>
        <w:adjustRightInd w:val="0"/>
        <w:snapToGrid w:val="0"/>
        <w:spacing w:line="480" w:lineRule="auto"/>
        <w:jc w:val="center"/>
        <w:rPr>
          <w:rFonts w:hint="eastAsia"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137BDB08">
      <w:pPr>
        <w:tabs>
          <w:tab w:val="left" w:pos="3280"/>
          <w:tab w:val="left" w:pos="4680"/>
          <w:tab w:val="left" w:pos="6080"/>
        </w:tabs>
        <w:autoSpaceDE w:val="0"/>
        <w:autoSpaceDN w:val="0"/>
        <w:adjustRightInd w:val="0"/>
        <w:snapToGrid w:val="0"/>
        <w:spacing w:line="480" w:lineRule="auto"/>
        <w:jc w:val="center"/>
        <w:rPr>
          <w:rFonts w:hint="eastAsia" w:ascii="宋体" w:hAnsi="宋体"/>
          <w:b/>
          <w:color w:val="auto"/>
          <w:kern w:val="0"/>
          <w:sz w:val="28"/>
          <w:szCs w:val="28"/>
          <w:highlight w:val="none"/>
        </w:rPr>
      </w:pPr>
      <w:r>
        <w:rPr>
          <w:rFonts w:ascii="宋体" w:hAnsi="宋体"/>
          <w:color w:val="auto"/>
          <w:w w:val="99"/>
          <w:kern w:val="0"/>
          <w:sz w:val="28"/>
          <w:szCs w:val="28"/>
          <w:highlight w:val="none"/>
        </w:rPr>
        <w:t>年月日</w:t>
      </w:r>
    </w:p>
    <w:p w14:paraId="118E8113">
      <w:pPr>
        <w:jc w:val="center"/>
        <w:rPr>
          <w:rFonts w:hint="eastAsia" w:ascii="宋体" w:hAnsi="宋体" w:cs="宋体"/>
          <w:b/>
          <w:color w:val="auto"/>
          <w:kern w:val="0"/>
          <w:sz w:val="48"/>
          <w:szCs w:val="48"/>
          <w:highlight w:val="none"/>
        </w:rPr>
      </w:pPr>
    </w:p>
    <w:p w14:paraId="22FA6E1A">
      <w:pPr>
        <w:autoSpaceDE w:val="0"/>
        <w:autoSpaceDN w:val="0"/>
        <w:adjustRightInd w:val="0"/>
        <w:snapToGrid w:val="0"/>
        <w:jc w:val="center"/>
        <w:rPr>
          <w:rFonts w:hint="eastAsia" w:ascii="宋体" w:hAnsi="宋体"/>
          <w:color w:val="auto"/>
          <w:kern w:val="0"/>
          <w:sz w:val="36"/>
          <w:szCs w:val="36"/>
          <w:highlight w:val="none"/>
        </w:rPr>
      </w:pPr>
      <w:r>
        <w:rPr>
          <w:rFonts w:hint="eastAsia" w:ascii="宋体" w:hAnsi="宋体"/>
          <w:color w:val="auto"/>
          <w:kern w:val="0"/>
          <w:sz w:val="36"/>
          <w:szCs w:val="36"/>
          <w:highlight w:val="none"/>
        </w:rPr>
        <w:t>目  录</w:t>
      </w:r>
    </w:p>
    <w:p w14:paraId="7C5E97C2">
      <w:pPr>
        <w:spacing w:line="360" w:lineRule="auto"/>
        <w:jc w:val="center"/>
        <w:rPr>
          <w:rFonts w:hint="eastAsia" w:ascii="宋体" w:hAnsi="宋体"/>
          <w:b/>
          <w:color w:val="auto"/>
          <w:kern w:val="0"/>
          <w:sz w:val="32"/>
          <w:szCs w:val="32"/>
          <w:highlight w:val="none"/>
        </w:rPr>
      </w:pPr>
    </w:p>
    <w:p w14:paraId="53F0F625">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5E1FCF44">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（二）</w:t>
      </w:r>
      <w:r>
        <w:rPr>
          <w:rFonts w:hint="eastAsia" w:ascii="宋体" w:hAnsi="宋体"/>
          <w:color w:val="auto"/>
          <w:szCs w:val="21"/>
          <w:highlight w:val="none"/>
        </w:rPr>
        <w:t>竞选人</w:t>
      </w:r>
      <w:r>
        <w:rPr>
          <w:rFonts w:ascii="宋体" w:hAnsi="宋体"/>
          <w:color w:val="auto"/>
          <w:szCs w:val="21"/>
          <w:highlight w:val="none"/>
        </w:rPr>
        <w:t>基本情况表</w:t>
      </w:r>
    </w:p>
    <w:p w14:paraId="055F5E24">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（三）项目管理机构</w:t>
      </w:r>
    </w:p>
    <w:p w14:paraId="36AB36E9">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（四）近年财务状况表</w:t>
      </w:r>
    </w:p>
    <w:p w14:paraId="61666C73">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（五）</w:t>
      </w:r>
      <w:r>
        <w:rPr>
          <w:rFonts w:hint="eastAsia" w:ascii="宋体" w:hAnsi="宋体"/>
          <w:color w:val="auto"/>
          <w:szCs w:val="21"/>
          <w:highlight w:val="none"/>
        </w:rPr>
        <w:t>业绩要求</w:t>
      </w:r>
    </w:p>
    <w:p w14:paraId="315B4F85">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（六）</w:t>
      </w:r>
      <w:r>
        <w:rPr>
          <w:rFonts w:hint="eastAsia" w:ascii="宋体" w:hAnsi="宋体"/>
          <w:color w:val="auto"/>
          <w:szCs w:val="21"/>
          <w:highlight w:val="none"/>
        </w:rPr>
        <w:t>承诺</w:t>
      </w:r>
    </w:p>
    <w:p w14:paraId="17066FB2">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七</w:t>
      </w:r>
      <w:r>
        <w:rPr>
          <w:rFonts w:ascii="宋体" w:hAnsi="宋体"/>
          <w:color w:val="auto"/>
          <w:szCs w:val="21"/>
          <w:highlight w:val="none"/>
        </w:rPr>
        <w:t>）其他资料</w:t>
      </w:r>
    </w:p>
    <w:p w14:paraId="6CF7B2FD">
      <w:pPr>
        <w:pStyle w:val="8"/>
        <w:rPr>
          <w:rFonts w:hint="eastAsia" w:ascii="宋体" w:hAnsi="宋体"/>
          <w:color w:val="auto"/>
          <w:highlight w:val="none"/>
        </w:rPr>
      </w:pPr>
    </w:p>
    <w:p w14:paraId="759A7E01">
      <w:pPr>
        <w:pStyle w:val="4"/>
        <w:jc w:val="center"/>
        <w:rPr>
          <w:rFonts w:hint="eastAsia" w:ascii="宋体" w:hAnsi="宋体"/>
          <w:snapToGrid w:val="0"/>
          <w:color w:val="auto"/>
          <w:kern w:val="0"/>
          <w:sz w:val="30"/>
          <w:szCs w:val="30"/>
          <w:highlight w:val="none"/>
        </w:rPr>
      </w:pPr>
      <w:r>
        <w:rPr>
          <w:rFonts w:ascii="宋体" w:hAnsi="宋体" w:cs="宋体"/>
          <w:color w:val="auto"/>
          <w:sz w:val="44"/>
          <w:highlight w:val="none"/>
        </w:rPr>
        <w:br w:type="page"/>
      </w:r>
      <w:bookmarkStart w:id="801" w:name="_Toc57905929"/>
      <w:bookmarkStart w:id="802" w:name="_Toc5633"/>
      <w:bookmarkStart w:id="803" w:name="_Toc277082657"/>
      <w:bookmarkStart w:id="804" w:name="_Toc287607883"/>
      <w:bookmarkStart w:id="805" w:name="_Toc224103511"/>
      <w:bookmarkStart w:id="806" w:name="_Toc430530546"/>
      <w:bookmarkStart w:id="807" w:name="_Toc287620830"/>
      <w:r>
        <w:rPr>
          <w:rFonts w:ascii="宋体" w:hAnsi="宋体"/>
          <w:color w:val="auto"/>
          <w:sz w:val="30"/>
          <w:szCs w:val="30"/>
          <w:highlight w:val="none"/>
        </w:rPr>
        <w:t>（一）</w:t>
      </w:r>
      <w:r>
        <w:rPr>
          <w:rFonts w:hint="eastAsia" w:ascii="宋体" w:hAnsi="宋体"/>
          <w:color w:val="auto"/>
          <w:sz w:val="30"/>
          <w:szCs w:val="30"/>
          <w:highlight w:val="none"/>
        </w:rPr>
        <w:t>法定代表人身份证明或附有法定代表人身份证明的授权委托书</w:t>
      </w:r>
      <w:bookmarkEnd w:id="801"/>
      <w:bookmarkEnd w:id="802"/>
    </w:p>
    <w:p w14:paraId="42E0F45C">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14:paraId="4B0B3AF9">
      <w:pPr>
        <w:spacing w:line="480" w:lineRule="auto"/>
        <w:jc w:val="center"/>
        <w:rPr>
          <w:rFonts w:hint="eastAsia" w:ascii="宋体" w:hAnsi="宋体"/>
          <w:color w:val="auto"/>
          <w:highlight w:val="none"/>
        </w:rPr>
      </w:pPr>
    </w:p>
    <w:p w14:paraId="08E23C3A">
      <w:pPr>
        <w:tabs>
          <w:tab w:val="left" w:pos="5565"/>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p>
    <w:p w14:paraId="6A2D2169">
      <w:pPr>
        <w:tabs>
          <w:tab w:val="left" w:pos="5475"/>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单位性质：</w:t>
      </w:r>
    </w:p>
    <w:p w14:paraId="606796A7">
      <w:pPr>
        <w:tabs>
          <w:tab w:val="left" w:pos="5475"/>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地址：</w:t>
      </w:r>
    </w:p>
    <w:p w14:paraId="010B78E3">
      <w:pPr>
        <w:tabs>
          <w:tab w:val="left" w:pos="2520"/>
          <w:tab w:val="left" w:pos="3836"/>
        </w:tabs>
        <w:autoSpaceDE w:val="0"/>
        <w:autoSpaceDN w:val="0"/>
        <w:adjustRightInd w:val="0"/>
        <w:snapToGrid w:val="0"/>
        <w:spacing w:line="480" w:lineRule="auto"/>
        <w:ind w:firstLine="390" w:firstLineChars="186"/>
        <w:jc w:val="left"/>
        <w:rPr>
          <w:rFonts w:hint="eastAsia" w:ascii="宋体" w:hAnsi="宋体"/>
          <w:color w:val="auto"/>
          <w:kern w:val="0"/>
          <w:sz w:val="10"/>
          <w:szCs w:val="10"/>
          <w:highlight w:val="none"/>
        </w:rPr>
      </w:pPr>
      <w:r>
        <w:rPr>
          <w:rFonts w:ascii="宋体" w:hAnsi="宋体"/>
          <w:color w:val="auto"/>
          <w:kern w:val="0"/>
          <w:szCs w:val="21"/>
          <w:highlight w:val="none"/>
        </w:rPr>
        <w:t>成立时间：年月日</w:t>
      </w:r>
    </w:p>
    <w:p w14:paraId="30294561">
      <w:pPr>
        <w:tabs>
          <w:tab w:val="left" w:pos="5475"/>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经营期限：</w:t>
      </w:r>
    </w:p>
    <w:p w14:paraId="3A57547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姓名：性别</w:t>
      </w:r>
      <w:r>
        <w:rPr>
          <w:rFonts w:ascii="宋体" w:hAnsi="宋体"/>
          <w:color w:val="auto"/>
          <w:spacing w:val="-1"/>
          <w:kern w:val="0"/>
          <w:szCs w:val="21"/>
          <w:highlight w:val="none"/>
        </w:rPr>
        <w:t>：年</w:t>
      </w:r>
      <w:r>
        <w:rPr>
          <w:rFonts w:ascii="宋体" w:hAnsi="宋体"/>
          <w:color w:val="auto"/>
          <w:kern w:val="0"/>
          <w:szCs w:val="21"/>
          <w:highlight w:val="none"/>
        </w:rPr>
        <w:t>龄：职务：</w:t>
      </w:r>
    </w:p>
    <w:p w14:paraId="434FF704">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6DC422D3">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特此证明。</w:t>
      </w:r>
    </w:p>
    <w:p w14:paraId="1878F8B5">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73E9FB90">
      <w:pPr>
        <w:autoSpaceDE w:val="0"/>
        <w:autoSpaceDN w:val="0"/>
        <w:adjustRightInd w:val="0"/>
        <w:snapToGrid w:val="0"/>
        <w:spacing w:line="360" w:lineRule="auto"/>
        <w:jc w:val="left"/>
        <w:rPr>
          <w:rFonts w:hint="eastAsia" w:ascii="宋体" w:hAnsi="宋体"/>
          <w:color w:val="auto"/>
          <w:szCs w:val="21"/>
          <w:highlight w:val="none"/>
        </w:rPr>
      </w:pPr>
    </w:p>
    <w:p w14:paraId="7264ABE9">
      <w:pPr>
        <w:pStyle w:val="8"/>
        <w:spacing w:after="0" w:line="360" w:lineRule="auto"/>
        <w:rPr>
          <w:rFonts w:hint="eastAsia" w:ascii="宋体" w:hAnsi="宋体"/>
          <w:color w:val="auto"/>
          <w:szCs w:val="21"/>
          <w:highlight w:val="none"/>
        </w:rPr>
      </w:pPr>
    </w:p>
    <w:p w14:paraId="1B23F95D">
      <w:pPr>
        <w:pStyle w:val="8"/>
        <w:spacing w:after="0" w:line="360" w:lineRule="auto"/>
        <w:rPr>
          <w:rFonts w:hint="eastAsia" w:ascii="宋体" w:hAnsi="宋体"/>
          <w:color w:val="auto"/>
          <w:szCs w:val="21"/>
          <w:highlight w:val="none"/>
        </w:rPr>
      </w:pPr>
    </w:p>
    <w:p w14:paraId="4E223808">
      <w:pPr>
        <w:pStyle w:val="8"/>
        <w:spacing w:after="0" w:line="360" w:lineRule="auto"/>
        <w:rPr>
          <w:rFonts w:hint="eastAsia" w:ascii="宋体" w:hAnsi="宋体"/>
          <w:color w:val="auto"/>
          <w:szCs w:val="21"/>
          <w:highlight w:val="none"/>
        </w:rPr>
      </w:pPr>
    </w:p>
    <w:p w14:paraId="11CC5D2E">
      <w:pPr>
        <w:pStyle w:val="8"/>
        <w:spacing w:after="0" w:line="360" w:lineRule="auto"/>
        <w:rPr>
          <w:rFonts w:hint="eastAsia" w:ascii="宋体" w:hAnsi="宋体"/>
          <w:color w:val="auto"/>
          <w:szCs w:val="21"/>
          <w:highlight w:val="none"/>
        </w:rPr>
      </w:pPr>
    </w:p>
    <w:p w14:paraId="681F721E">
      <w:pPr>
        <w:pStyle w:val="8"/>
        <w:spacing w:after="0" w:line="360" w:lineRule="auto"/>
        <w:rPr>
          <w:rFonts w:hint="eastAsia" w:ascii="宋体" w:hAnsi="宋体"/>
          <w:color w:val="auto"/>
          <w:szCs w:val="21"/>
          <w:highlight w:val="none"/>
        </w:rPr>
      </w:pPr>
    </w:p>
    <w:p w14:paraId="1969E2E2">
      <w:pPr>
        <w:autoSpaceDE w:val="0"/>
        <w:autoSpaceDN w:val="0"/>
        <w:adjustRightInd w:val="0"/>
        <w:snapToGrid w:val="0"/>
        <w:spacing w:line="480" w:lineRule="auto"/>
        <w:ind w:firstLine="810" w:firstLineChars="386"/>
        <w:jc w:val="right"/>
        <w:rPr>
          <w:rFonts w:hint="eastAsia"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E31C6DB">
      <w:pPr>
        <w:autoSpaceDE w:val="0"/>
        <w:autoSpaceDN w:val="0"/>
        <w:adjustRightInd w:val="0"/>
        <w:snapToGrid w:val="0"/>
        <w:spacing w:line="480" w:lineRule="auto"/>
        <w:jc w:val="left"/>
        <w:rPr>
          <w:rFonts w:hint="eastAsia" w:ascii="宋体" w:hAnsi="宋体"/>
          <w:color w:val="auto"/>
          <w:kern w:val="0"/>
          <w:sz w:val="20"/>
          <w:szCs w:val="20"/>
          <w:highlight w:val="none"/>
        </w:rPr>
      </w:pPr>
    </w:p>
    <w:p w14:paraId="26A66F5D">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ascii="宋体" w:hAnsi="宋体"/>
          <w:color w:val="auto"/>
          <w:kern w:val="0"/>
          <w:szCs w:val="21"/>
          <w:highlight w:val="none"/>
        </w:rPr>
        <w:t>年月日</w:t>
      </w:r>
    </w:p>
    <w:p w14:paraId="5A0B1847">
      <w:pPr>
        <w:autoSpaceDE w:val="0"/>
        <w:autoSpaceDN w:val="0"/>
        <w:adjustRightInd w:val="0"/>
        <w:snapToGrid w:val="0"/>
        <w:spacing w:line="360" w:lineRule="auto"/>
        <w:jc w:val="left"/>
        <w:rPr>
          <w:rFonts w:hint="eastAsia" w:ascii="宋体" w:hAnsi="宋体"/>
          <w:color w:val="auto"/>
          <w:kern w:val="0"/>
          <w:highlight w:val="none"/>
        </w:rPr>
      </w:pPr>
    </w:p>
    <w:p w14:paraId="76AF3F4B">
      <w:pPr>
        <w:autoSpaceDE w:val="0"/>
        <w:autoSpaceDN w:val="0"/>
        <w:adjustRightInd w:val="0"/>
        <w:snapToGrid w:val="0"/>
        <w:spacing w:line="360" w:lineRule="auto"/>
        <w:jc w:val="left"/>
        <w:rPr>
          <w:rFonts w:hint="eastAsia" w:ascii="宋体" w:hAnsi="宋体"/>
          <w:color w:val="auto"/>
          <w:kern w:val="0"/>
          <w:highlight w:val="none"/>
        </w:rPr>
      </w:pPr>
    </w:p>
    <w:p w14:paraId="3C1C28D7">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bookmarkEnd w:id="803"/>
      <w:bookmarkEnd w:id="804"/>
      <w:bookmarkEnd w:id="805"/>
      <w:bookmarkEnd w:id="806"/>
      <w:bookmarkEnd w:id="807"/>
      <w:r>
        <w:rPr>
          <w:rFonts w:hint="eastAsia" w:ascii="宋体" w:hAnsi="宋体"/>
          <w:color w:val="auto"/>
          <w:kern w:val="0"/>
          <w:szCs w:val="21"/>
          <w:highlight w:val="none"/>
        </w:rPr>
        <w:t>。</w:t>
      </w:r>
    </w:p>
    <w:p w14:paraId="1F579F0B">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7F7D21CA">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color w:val="auto"/>
          <w:kern w:val="0"/>
          <w:szCs w:val="21"/>
          <w:highlight w:val="none"/>
        </w:rPr>
      </w:pPr>
      <w:r>
        <w:rPr>
          <w:rFonts w:ascii="宋体" w:hAnsi="宋体"/>
          <w:color w:val="auto"/>
          <w:kern w:val="0"/>
          <w:szCs w:val="21"/>
          <w:highlight w:val="none"/>
        </w:rPr>
        <w:t>本人</w:t>
      </w:r>
      <w:r>
        <w:rPr>
          <w:rFonts w:ascii="宋体" w:hAnsi="宋体"/>
          <w:color w:val="auto"/>
          <w:kern w:val="0"/>
          <w:szCs w:val="21"/>
          <w:highlight w:val="none"/>
          <w:u w:val="single"/>
        </w:rPr>
        <w:t>（姓名）</w:t>
      </w:r>
      <w:r>
        <w:rPr>
          <w:rFonts w:ascii="宋体" w:hAnsi="宋体"/>
          <w:color w:val="auto"/>
          <w:kern w:val="0"/>
          <w:szCs w:val="21"/>
          <w:highlight w:val="none"/>
        </w:rPr>
        <w:t>系</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竞选文件</w:t>
      </w:r>
      <w:r>
        <w:rPr>
          <w:rFonts w:ascii="宋体" w:hAnsi="宋体"/>
          <w:color w:val="auto"/>
          <w:kern w:val="0"/>
          <w:szCs w:val="21"/>
          <w:highlight w:val="none"/>
        </w:rPr>
        <w:t>、签订合同和处理有关事宜， 其法律后果由我方承担。</w:t>
      </w:r>
    </w:p>
    <w:p w14:paraId="7E863671">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 xml:space="preserve">限：。 </w:t>
      </w:r>
    </w:p>
    <w:p w14:paraId="7DE39B30">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auto"/>
          <w:kern w:val="0"/>
          <w:szCs w:val="21"/>
          <w:highlight w:val="none"/>
        </w:rPr>
      </w:pPr>
      <w:r>
        <w:rPr>
          <w:rFonts w:ascii="宋体" w:hAnsi="宋体"/>
          <w:color w:val="auto"/>
          <w:kern w:val="0"/>
          <w:szCs w:val="21"/>
          <w:highlight w:val="none"/>
        </w:rPr>
        <w:t>代理人无转委托权。</w:t>
      </w:r>
    </w:p>
    <w:p w14:paraId="1FC5704F">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auto"/>
          <w:kern w:val="0"/>
          <w:szCs w:val="21"/>
          <w:highlight w:val="none"/>
        </w:rPr>
      </w:pPr>
    </w:p>
    <w:p w14:paraId="74724184">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auto"/>
          <w:kern w:val="0"/>
          <w:szCs w:val="21"/>
          <w:highlight w:val="none"/>
        </w:rPr>
      </w:pPr>
      <w:r>
        <w:rPr>
          <w:rFonts w:hint="eastAsia" w:ascii="宋体" w:hAnsi="宋体"/>
          <w:color w:val="auto"/>
          <w:kern w:val="0"/>
          <w:szCs w:val="21"/>
          <w:highlight w:val="none"/>
        </w:rPr>
        <w:t>竞选</w:t>
      </w:r>
      <w:r>
        <w:rPr>
          <w:rFonts w:ascii="宋体" w:hAnsi="宋体"/>
          <w:color w:val="auto"/>
          <w:kern w:val="0"/>
          <w:szCs w:val="21"/>
          <w:highlight w:val="none"/>
        </w:rPr>
        <w:t>人：（</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5E485558">
      <w:pPr>
        <w:tabs>
          <w:tab w:val="left" w:pos="630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法定代表人：（</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7FEFC7E">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p>
    <w:p w14:paraId="2C293A5A">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委托代理人：（</w:t>
      </w:r>
      <w:r>
        <w:rPr>
          <w:rFonts w:hint="eastAsia" w:ascii="宋体" w:hAnsi="宋体"/>
          <w:color w:val="auto"/>
          <w:kern w:val="0"/>
          <w:szCs w:val="21"/>
          <w:highlight w:val="none"/>
        </w:rPr>
        <w:t>签名</w:t>
      </w:r>
      <w:r>
        <w:rPr>
          <w:rFonts w:ascii="宋体" w:hAnsi="宋体"/>
          <w:color w:val="auto"/>
          <w:kern w:val="0"/>
          <w:szCs w:val="21"/>
          <w:highlight w:val="none"/>
        </w:rPr>
        <w:t>）</w:t>
      </w:r>
    </w:p>
    <w:p w14:paraId="44B05A99">
      <w:pPr>
        <w:tabs>
          <w:tab w:val="left" w:pos="6825"/>
        </w:tabs>
        <w:autoSpaceDE w:val="0"/>
        <w:autoSpaceDN w:val="0"/>
        <w:adjustRightInd w:val="0"/>
        <w:snapToGrid w:val="0"/>
        <w:spacing w:line="480" w:lineRule="auto"/>
        <w:ind w:firstLine="420" w:firstLineChars="200"/>
        <w:jc w:val="left"/>
        <w:rPr>
          <w:rFonts w:hint="eastAsia" w:ascii="宋体" w:hAnsi="宋体"/>
          <w:color w:val="auto"/>
          <w:w w:val="200"/>
          <w:kern w:val="0"/>
          <w:szCs w:val="21"/>
          <w:highlight w:val="none"/>
          <w:u w:val="single"/>
        </w:rPr>
      </w:pPr>
      <w:r>
        <w:rPr>
          <w:rFonts w:ascii="宋体" w:hAnsi="宋体"/>
          <w:color w:val="auto"/>
          <w:kern w:val="0"/>
          <w:szCs w:val="21"/>
          <w:highlight w:val="none"/>
        </w:rPr>
        <w:t>身份证号码：</w:t>
      </w:r>
    </w:p>
    <w:p w14:paraId="3C90797F">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0D91D5C8">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2EC30890">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0B2C4AE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3D42BB3D">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415F0E5">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18C763F3">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34522430">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E432725">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rPr>
      </w:pPr>
    </w:p>
    <w:p w14:paraId="01418AE4">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szCs w:val="21"/>
          <w:highlight w:val="none"/>
        </w:rPr>
      </w:pPr>
      <w:r>
        <w:rPr>
          <w:rFonts w:ascii="宋体" w:hAnsi="宋体"/>
          <w:color w:val="auto"/>
          <w:kern w:val="0"/>
          <w:szCs w:val="21"/>
          <w:highlight w:val="none"/>
        </w:rPr>
        <w:t>年月日</w:t>
      </w:r>
    </w:p>
    <w:p w14:paraId="4A79F524">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kern w:val="0"/>
          <w:szCs w:val="21"/>
          <w:highlight w:val="none"/>
        </w:rPr>
      </w:pPr>
    </w:p>
    <w:p w14:paraId="43BE3547">
      <w:pPr>
        <w:tabs>
          <w:tab w:val="left" w:pos="5760"/>
        </w:tabs>
        <w:autoSpaceDE w:val="0"/>
        <w:autoSpaceDN w:val="0"/>
        <w:adjustRightIn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730EC9DE">
      <w:pPr>
        <w:tabs>
          <w:tab w:val="left" w:pos="5760"/>
        </w:tabs>
        <w:autoSpaceDE w:val="0"/>
        <w:autoSpaceDN w:val="0"/>
        <w:adjustRightIn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竞选文件</w:t>
      </w:r>
      <w:r>
        <w:rPr>
          <w:rFonts w:ascii="宋体" w:hAnsi="宋体"/>
          <w:color w:val="auto"/>
          <w:kern w:val="0"/>
          <w:szCs w:val="21"/>
          <w:highlight w:val="none"/>
        </w:rPr>
        <w:t>一并递交。另外须准备一份授权委托书原件在开标现场出具。</w:t>
      </w:r>
    </w:p>
    <w:p w14:paraId="19634B21">
      <w:pPr>
        <w:spacing w:line="360" w:lineRule="auto"/>
        <w:ind w:firstLine="420" w:firstLineChars="200"/>
        <w:rPr>
          <w:rFonts w:hint="eastAsia"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1145DFAC">
      <w:pPr>
        <w:pStyle w:val="4"/>
        <w:spacing w:before="0" w:after="0" w:line="240" w:lineRule="auto"/>
        <w:jc w:val="center"/>
        <w:rPr>
          <w:rFonts w:hint="eastAsia" w:ascii="宋体" w:hAnsi="宋体"/>
          <w:color w:val="auto"/>
          <w:highlight w:val="none"/>
        </w:rPr>
      </w:pPr>
      <w:bookmarkStart w:id="808" w:name="_Toc57905931"/>
      <w:r>
        <w:rPr>
          <w:rFonts w:hint="eastAsia" w:ascii="宋体" w:hAnsi="宋体"/>
          <w:color w:val="auto"/>
          <w:highlight w:val="none"/>
        </w:rPr>
        <w:t>（二）竞选人基本情况表</w:t>
      </w:r>
      <w:bookmarkEnd w:id="808"/>
    </w:p>
    <w:tbl>
      <w:tblPr>
        <w:tblStyle w:val="29"/>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56089C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0A2832E">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竞选人名称</w:t>
            </w:r>
          </w:p>
        </w:tc>
        <w:tc>
          <w:tcPr>
            <w:tcW w:w="7607" w:type="dxa"/>
            <w:gridSpan w:val="9"/>
            <w:vAlign w:val="center"/>
          </w:tcPr>
          <w:p w14:paraId="358F504E">
            <w:pPr>
              <w:autoSpaceDE w:val="0"/>
              <w:autoSpaceDN w:val="0"/>
              <w:adjustRightInd w:val="0"/>
              <w:snapToGrid w:val="0"/>
              <w:jc w:val="center"/>
              <w:rPr>
                <w:rFonts w:hint="eastAsia" w:ascii="宋体" w:hAnsi="宋体"/>
                <w:color w:val="auto"/>
                <w:kern w:val="0"/>
                <w:szCs w:val="21"/>
                <w:highlight w:val="none"/>
              </w:rPr>
            </w:pPr>
          </w:p>
        </w:tc>
      </w:tr>
      <w:tr w14:paraId="02E968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379DD3D">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1529212A">
            <w:pPr>
              <w:autoSpaceDE w:val="0"/>
              <w:autoSpaceDN w:val="0"/>
              <w:adjustRightInd w:val="0"/>
              <w:snapToGrid w:val="0"/>
              <w:jc w:val="center"/>
              <w:rPr>
                <w:rFonts w:hint="eastAsia" w:ascii="宋体" w:hAnsi="宋体"/>
                <w:color w:val="auto"/>
                <w:kern w:val="0"/>
                <w:szCs w:val="21"/>
                <w:highlight w:val="none"/>
              </w:rPr>
            </w:pPr>
          </w:p>
        </w:tc>
        <w:tc>
          <w:tcPr>
            <w:tcW w:w="1392" w:type="dxa"/>
            <w:vAlign w:val="center"/>
          </w:tcPr>
          <w:p w14:paraId="65E9FDFB">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5CC16916">
            <w:pPr>
              <w:autoSpaceDE w:val="0"/>
              <w:autoSpaceDN w:val="0"/>
              <w:adjustRightInd w:val="0"/>
              <w:snapToGrid w:val="0"/>
              <w:jc w:val="center"/>
              <w:rPr>
                <w:rFonts w:hint="eastAsia" w:ascii="宋体" w:hAnsi="宋体"/>
                <w:color w:val="auto"/>
                <w:kern w:val="0"/>
                <w:szCs w:val="21"/>
                <w:highlight w:val="none"/>
              </w:rPr>
            </w:pPr>
          </w:p>
        </w:tc>
      </w:tr>
      <w:tr w14:paraId="0A5BD1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4F4F6C5B">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34FCB441">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5D9C003F">
            <w:pPr>
              <w:autoSpaceDE w:val="0"/>
              <w:autoSpaceDN w:val="0"/>
              <w:adjustRightInd w:val="0"/>
              <w:snapToGrid w:val="0"/>
              <w:jc w:val="center"/>
              <w:rPr>
                <w:rFonts w:hint="eastAsia" w:ascii="宋体" w:hAnsi="宋体"/>
                <w:color w:val="auto"/>
                <w:kern w:val="0"/>
                <w:szCs w:val="21"/>
                <w:highlight w:val="none"/>
              </w:rPr>
            </w:pPr>
          </w:p>
        </w:tc>
        <w:tc>
          <w:tcPr>
            <w:tcW w:w="1392" w:type="dxa"/>
            <w:vAlign w:val="center"/>
          </w:tcPr>
          <w:p w14:paraId="44C25A89">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6F1817F4">
            <w:pPr>
              <w:autoSpaceDE w:val="0"/>
              <w:autoSpaceDN w:val="0"/>
              <w:adjustRightInd w:val="0"/>
              <w:snapToGrid w:val="0"/>
              <w:jc w:val="center"/>
              <w:rPr>
                <w:rFonts w:hint="eastAsia" w:ascii="宋体" w:hAnsi="宋体"/>
                <w:color w:val="auto"/>
                <w:kern w:val="0"/>
                <w:szCs w:val="21"/>
                <w:highlight w:val="none"/>
              </w:rPr>
            </w:pPr>
          </w:p>
        </w:tc>
      </w:tr>
      <w:tr w14:paraId="371CBB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7F8E1C03">
            <w:pPr>
              <w:autoSpaceDE w:val="0"/>
              <w:autoSpaceDN w:val="0"/>
              <w:adjustRightInd w:val="0"/>
              <w:snapToGrid w:val="0"/>
              <w:jc w:val="center"/>
              <w:rPr>
                <w:rFonts w:hint="eastAsia" w:ascii="宋体" w:hAnsi="宋体"/>
                <w:color w:val="auto"/>
                <w:kern w:val="0"/>
                <w:szCs w:val="21"/>
                <w:highlight w:val="none"/>
              </w:rPr>
            </w:pPr>
          </w:p>
        </w:tc>
        <w:tc>
          <w:tcPr>
            <w:tcW w:w="967" w:type="dxa"/>
            <w:vAlign w:val="center"/>
          </w:tcPr>
          <w:p w14:paraId="09D5A969">
            <w:pPr>
              <w:tabs>
                <w:tab w:val="left" w:pos="540"/>
              </w:tabs>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64D0E09B">
            <w:pPr>
              <w:autoSpaceDE w:val="0"/>
              <w:autoSpaceDN w:val="0"/>
              <w:adjustRightInd w:val="0"/>
              <w:snapToGrid w:val="0"/>
              <w:jc w:val="center"/>
              <w:rPr>
                <w:rFonts w:hint="eastAsia" w:ascii="宋体" w:hAnsi="宋体"/>
                <w:color w:val="auto"/>
                <w:kern w:val="0"/>
                <w:szCs w:val="21"/>
                <w:highlight w:val="none"/>
              </w:rPr>
            </w:pPr>
          </w:p>
        </w:tc>
        <w:tc>
          <w:tcPr>
            <w:tcW w:w="1392" w:type="dxa"/>
            <w:vAlign w:val="center"/>
          </w:tcPr>
          <w:p w14:paraId="3C4594BE">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54680F38">
            <w:pPr>
              <w:autoSpaceDE w:val="0"/>
              <w:autoSpaceDN w:val="0"/>
              <w:adjustRightInd w:val="0"/>
              <w:snapToGrid w:val="0"/>
              <w:jc w:val="center"/>
              <w:rPr>
                <w:rFonts w:hint="eastAsia" w:ascii="宋体" w:hAnsi="宋体"/>
                <w:color w:val="auto"/>
                <w:kern w:val="0"/>
                <w:szCs w:val="21"/>
                <w:highlight w:val="none"/>
              </w:rPr>
            </w:pPr>
          </w:p>
        </w:tc>
      </w:tr>
      <w:tr w14:paraId="488C14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444788B">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31D1613C">
            <w:pPr>
              <w:autoSpaceDE w:val="0"/>
              <w:autoSpaceDN w:val="0"/>
              <w:adjustRightInd w:val="0"/>
              <w:snapToGrid w:val="0"/>
              <w:jc w:val="center"/>
              <w:rPr>
                <w:rFonts w:hint="eastAsia" w:ascii="宋体" w:hAnsi="宋体"/>
                <w:color w:val="auto"/>
                <w:kern w:val="0"/>
                <w:szCs w:val="21"/>
                <w:highlight w:val="none"/>
              </w:rPr>
            </w:pPr>
          </w:p>
        </w:tc>
      </w:tr>
      <w:tr w14:paraId="05C02A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0FAC325">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6F1D4412">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50C95A61">
            <w:pPr>
              <w:autoSpaceDE w:val="0"/>
              <w:autoSpaceDN w:val="0"/>
              <w:adjustRightInd w:val="0"/>
              <w:snapToGrid w:val="0"/>
              <w:jc w:val="center"/>
              <w:rPr>
                <w:rFonts w:hint="eastAsia" w:ascii="宋体" w:hAnsi="宋体"/>
                <w:color w:val="auto"/>
                <w:kern w:val="0"/>
                <w:szCs w:val="21"/>
                <w:highlight w:val="none"/>
              </w:rPr>
            </w:pPr>
          </w:p>
        </w:tc>
        <w:tc>
          <w:tcPr>
            <w:tcW w:w="1356" w:type="dxa"/>
            <w:gridSpan w:val="2"/>
            <w:vAlign w:val="center"/>
          </w:tcPr>
          <w:p w14:paraId="579D0E2F">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3F35FDD6">
            <w:pPr>
              <w:autoSpaceDE w:val="0"/>
              <w:autoSpaceDN w:val="0"/>
              <w:adjustRightInd w:val="0"/>
              <w:snapToGrid w:val="0"/>
              <w:jc w:val="center"/>
              <w:rPr>
                <w:rFonts w:hint="eastAsia" w:ascii="宋体" w:hAnsi="宋体"/>
                <w:color w:val="auto"/>
                <w:kern w:val="0"/>
                <w:szCs w:val="21"/>
                <w:highlight w:val="none"/>
              </w:rPr>
            </w:pPr>
          </w:p>
        </w:tc>
        <w:tc>
          <w:tcPr>
            <w:tcW w:w="925" w:type="dxa"/>
            <w:vAlign w:val="center"/>
          </w:tcPr>
          <w:p w14:paraId="1557CFA4">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64C57256">
            <w:pPr>
              <w:autoSpaceDE w:val="0"/>
              <w:autoSpaceDN w:val="0"/>
              <w:adjustRightInd w:val="0"/>
              <w:snapToGrid w:val="0"/>
              <w:jc w:val="center"/>
              <w:rPr>
                <w:rFonts w:hint="eastAsia" w:ascii="宋体" w:hAnsi="宋体"/>
                <w:color w:val="auto"/>
                <w:kern w:val="0"/>
                <w:szCs w:val="21"/>
                <w:highlight w:val="none"/>
              </w:rPr>
            </w:pPr>
          </w:p>
        </w:tc>
      </w:tr>
      <w:tr w14:paraId="11323D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1B1D21">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033948FE">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47B1EF1F">
            <w:pPr>
              <w:autoSpaceDE w:val="0"/>
              <w:autoSpaceDN w:val="0"/>
              <w:adjustRightInd w:val="0"/>
              <w:snapToGrid w:val="0"/>
              <w:jc w:val="center"/>
              <w:rPr>
                <w:rFonts w:hint="eastAsia" w:ascii="宋体" w:hAnsi="宋体"/>
                <w:color w:val="auto"/>
                <w:kern w:val="0"/>
                <w:szCs w:val="21"/>
                <w:highlight w:val="none"/>
              </w:rPr>
            </w:pPr>
          </w:p>
        </w:tc>
        <w:tc>
          <w:tcPr>
            <w:tcW w:w="1356" w:type="dxa"/>
            <w:gridSpan w:val="2"/>
            <w:vAlign w:val="center"/>
          </w:tcPr>
          <w:p w14:paraId="102F509C">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02341AB6">
            <w:pPr>
              <w:autoSpaceDE w:val="0"/>
              <w:autoSpaceDN w:val="0"/>
              <w:adjustRightInd w:val="0"/>
              <w:snapToGrid w:val="0"/>
              <w:jc w:val="center"/>
              <w:rPr>
                <w:rFonts w:hint="eastAsia" w:ascii="宋体" w:hAnsi="宋体"/>
                <w:color w:val="auto"/>
                <w:kern w:val="0"/>
                <w:szCs w:val="21"/>
                <w:highlight w:val="none"/>
              </w:rPr>
            </w:pPr>
          </w:p>
        </w:tc>
        <w:tc>
          <w:tcPr>
            <w:tcW w:w="925" w:type="dxa"/>
            <w:vAlign w:val="center"/>
          </w:tcPr>
          <w:p w14:paraId="23F167C6">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7F26DE7C">
            <w:pPr>
              <w:autoSpaceDE w:val="0"/>
              <w:autoSpaceDN w:val="0"/>
              <w:adjustRightInd w:val="0"/>
              <w:snapToGrid w:val="0"/>
              <w:jc w:val="center"/>
              <w:rPr>
                <w:rFonts w:hint="eastAsia" w:ascii="宋体" w:hAnsi="宋体"/>
                <w:color w:val="auto"/>
                <w:kern w:val="0"/>
                <w:szCs w:val="21"/>
                <w:highlight w:val="none"/>
              </w:rPr>
            </w:pPr>
          </w:p>
        </w:tc>
      </w:tr>
      <w:tr w14:paraId="4CD658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F799399">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06204248">
            <w:pPr>
              <w:autoSpaceDE w:val="0"/>
              <w:autoSpaceDN w:val="0"/>
              <w:adjustRightInd w:val="0"/>
              <w:snapToGrid w:val="0"/>
              <w:jc w:val="center"/>
              <w:rPr>
                <w:rFonts w:hint="eastAsia" w:ascii="宋体" w:hAnsi="宋体"/>
                <w:color w:val="auto"/>
                <w:kern w:val="0"/>
                <w:szCs w:val="21"/>
                <w:highlight w:val="none"/>
              </w:rPr>
            </w:pPr>
          </w:p>
        </w:tc>
        <w:tc>
          <w:tcPr>
            <w:tcW w:w="5616" w:type="dxa"/>
            <w:gridSpan w:val="7"/>
            <w:vAlign w:val="center"/>
          </w:tcPr>
          <w:p w14:paraId="1E9B74A3">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员工总人数：</w:t>
            </w:r>
          </w:p>
        </w:tc>
      </w:tr>
      <w:tr w14:paraId="5F28F6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6158971">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134699A8">
            <w:pPr>
              <w:autoSpaceDE w:val="0"/>
              <w:autoSpaceDN w:val="0"/>
              <w:adjustRightInd w:val="0"/>
              <w:snapToGrid w:val="0"/>
              <w:jc w:val="center"/>
              <w:rPr>
                <w:rFonts w:hint="eastAsia" w:ascii="宋体" w:hAnsi="宋体"/>
                <w:color w:val="auto"/>
                <w:kern w:val="0"/>
                <w:szCs w:val="21"/>
                <w:highlight w:val="none"/>
              </w:rPr>
            </w:pPr>
          </w:p>
        </w:tc>
        <w:tc>
          <w:tcPr>
            <w:tcW w:w="904" w:type="dxa"/>
            <w:vMerge w:val="restart"/>
            <w:vAlign w:val="center"/>
          </w:tcPr>
          <w:p w14:paraId="16818133">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014639BA">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7E2150E2">
            <w:pPr>
              <w:autoSpaceDE w:val="0"/>
              <w:autoSpaceDN w:val="0"/>
              <w:adjustRightInd w:val="0"/>
              <w:snapToGrid w:val="0"/>
              <w:jc w:val="center"/>
              <w:rPr>
                <w:rFonts w:hint="eastAsia" w:ascii="宋体" w:hAnsi="宋体"/>
                <w:color w:val="auto"/>
                <w:kern w:val="0"/>
                <w:szCs w:val="21"/>
                <w:highlight w:val="none"/>
              </w:rPr>
            </w:pPr>
          </w:p>
        </w:tc>
      </w:tr>
      <w:tr w14:paraId="10A4BE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18FD4EF">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45E8A7D8">
            <w:pPr>
              <w:autoSpaceDE w:val="0"/>
              <w:autoSpaceDN w:val="0"/>
              <w:adjustRightInd w:val="0"/>
              <w:snapToGrid w:val="0"/>
              <w:jc w:val="center"/>
              <w:rPr>
                <w:rFonts w:hint="eastAsia" w:ascii="宋体" w:hAnsi="宋体"/>
                <w:color w:val="auto"/>
                <w:kern w:val="0"/>
                <w:szCs w:val="21"/>
                <w:highlight w:val="none"/>
              </w:rPr>
            </w:pPr>
          </w:p>
        </w:tc>
        <w:tc>
          <w:tcPr>
            <w:tcW w:w="904" w:type="dxa"/>
            <w:vMerge w:val="continue"/>
            <w:vAlign w:val="center"/>
          </w:tcPr>
          <w:p w14:paraId="097BED34">
            <w:pPr>
              <w:autoSpaceDE w:val="0"/>
              <w:autoSpaceDN w:val="0"/>
              <w:adjustRightInd w:val="0"/>
              <w:snapToGrid w:val="0"/>
              <w:jc w:val="center"/>
              <w:rPr>
                <w:rFonts w:hint="eastAsia" w:ascii="宋体" w:hAnsi="宋体"/>
                <w:color w:val="auto"/>
                <w:kern w:val="0"/>
                <w:szCs w:val="21"/>
                <w:highlight w:val="none"/>
              </w:rPr>
            </w:pPr>
          </w:p>
        </w:tc>
        <w:tc>
          <w:tcPr>
            <w:tcW w:w="2476" w:type="dxa"/>
            <w:gridSpan w:val="4"/>
            <w:vAlign w:val="center"/>
          </w:tcPr>
          <w:p w14:paraId="72478E4C">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3E2AF278">
            <w:pPr>
              <w:autoSpaceDE w:val="0"/>
              <w:autoSpaceDN w:val="0"/>
              <w:adjustRightInd w:val="0"/>
              <w:snapToGrid w:val="0"/>
              <w:jc w:val="center"/>
              <w:rPr>
                <w:rFonts w:hint="eastAsia" w:ascii="宋体" w:hAnsi="宋体"/>
                <w:color w:val="auto"/>
                <w:kern w:val="0"/>
                <w:szCs w:val="21"/>
                <w:highlight w:val="none"/>
              </w:rPr>
            </w:pPr>
          </w:p>
        </w:tc>
      </w:tr>
      <w:tr w14:paraId="0A2F3C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B3F97C6">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71AE52AE">
            <w:pPr>
              <w:autoSpaceDE w:val="0"/>
              <w:autoSpaceDN w:val="0"/>
              <w:adjustRightInd w:val="0"/>
              <w:snapToGrid w:val="0"/>
              <w:jc w:val="center"/>
              <w:rPr>
                <w:rFonts w:hint="eastAsia" w:ascii="宋体" w:hAnsi="宋体"/>
                <w:color w:val="auto"/>
                <w:kern w:val="0"/>
                <w:szCs w:val="21"/>
                <w:highlight w:val="none"/>
              </w:rPr>
            </w:pPr>
          </w:p>
        </w:tc>
        <w:tc>
          <w:tcPr>
            <w:tcW w:w="904" w:type="dxa"/>
            <w:vMerge w:val="continue"/>
            <w:vAlign w:val="center"/>
          </w:tcPr>
          <w:p w14:paraId="47A6CF8D">
            <w:pPr>
              <w:autoSpaceDE w:val="0"/>
              <w:autoSpaceDN w:val="0"/>
              <w:adjustRightInd w:val="0"/>
              <w:snapToGrid w:val="0"/>
              <w:jc w:val="center"/>
              <w:rPr>
                <w:rFonts w:hint="eastAsia" w:ascii="宋体" w:hAnsi="宋体"/>
                <w:color w:val="auto"/>
                <w:kern w:val="0"/>
                <w:szCs w:val="21"/>
                <w:highlight w:val="none"/>
              </w:rPr>
            </w:pPr>
          </w:p>
        </w:tc>
        <w:tc>
          <w:tcPr>
            <w:tcW w:w="2476" w:type="dxa"/>
            <w:gridSpan w:val="4"/>
            <w:vAlign w:val="center"/>
          </w:tcPr>
          <w:p w14:paraId="65753541">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5C88E111">
            <w:pPr>
              <w:autoSpaceDE w:val="0"/>
              <w:autoSpaceDN w:val="0"/>
              <w:adjustRightInd w:val="0"/>
              <w:snapToGrid w:val="0"/>
              <w:jc w:val="center"/>
              <w:rPr>
                <w:rFonts w:hint="eastAsia" w:ascii="宋体" w:hAnsi="宋体"/>
                <w:color w:val="auto"/>
                <w:kern w:val="0"/>
                <w:szCs w:val="21"/>
                <w:highlight w:val="none"/>
              </w:rPr>
            </w:pPr>
          </w:p>
        </w:tc>
      </w:tr>
      <w:tr w14:paraId="320069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141B561">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60D81D2F">
            <w:pPr>
              <w:autoSpaceDE w:val="0"/>
              <w:autoSpaceDN w:val="0"/>
              <w:adjustRightInd w:val="0"/>
              <w:snapToGrid w:val="0"/>
              <w:jc w:val="center"/>
              <w:rPr>
                <w:rFonts w:hint="eastAsia" w:ascii="宋体" w:hAnsi="宋体"/>
                <w:color w:val="auto"/>
                <w:kern w:val="0"/>
                <w:szCs w:val="21"/>
                <w:highlight w:val="none"/>
              </w:rPr>
            </w:pPr>
          </w:p>
        </w:tc>
        <w:tc>
          <w:tcPr>
            <w:tcW w:w="904" w:type="dxa"/>
            <w:vMerge w:val="continue"/>
            <w:vAlign w:val="center"/>
          </w:tcPr>
          <w:p w14:paraId="5DE470D5">
            <w:pPr>
              <w:autoSpaceDE w:val="0"/>
              <w:autoSpaceDN w:val="0"/>
              <w:adjustRightInd w:val="0"/>
              <w:snapToGrid w:val="0"/>
              <w:jc w:val="center"/>
              <w:rPr>
                <w:rFonts w:hint="eastAsia" w:ascii="宋体" w:hAnsi="宋体"/>
                <w:color w:val="auto"/>
                <w:kern w:val="0"/>
                <w:szCs w:val="21"/>
                <w:highlight w:val="none"/>
              </w:rPr>
            </w:pPr>
          </w:p>
        </w:tc>
        <w:tc>
          <w:tcPr>
            <w:tcW w:w="2476" w:type="dxa"/>
            <w:gridSpan w:val="4"/>
            <w:vAlign w:val="center"/>
          </w:tcPr>
          <w:p w14:paraId="1FC996A3">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13A4BD57">
            <w:pPr>
              <w:autoSpaceDE w:val="0"/>
              <w:autoSpaceDN w:val="0"/>
              <w:adjustRightInd w:val="0"/>
              <w:snapToGrid w:val="0"/>
              <w:jc w:val="center"/>
              <w:rPr>
                <w:rFonts w:hint="eastAsia" w:ascii="宋体" w:hAnsi="宋体"/>
                <w:color w:val="auto"/>
                <w:kern w:val="0"/>
                <w:szCs w:val="21"/>
                <w:highlight w:val="none"/>
              </w:rPr>
            </w:pPr>
          </w:p>
        </w:tc>
      </w:tr>
      <w:tr w14:paraId="60F516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4CC0020">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312DBFFD">
            <w:pPr>
              <w:autoSpaceDE w:val="0"/>
              <w:autoSpaceDN w:val="0"/>
              <w:adjustRightInd w:val="0"/>
              <w:snapToGrid w:val="0"/>
              <w:jc w:val="center"/>
              <w:rPr>
                <w:rFonts w:hint="eastAsia" w:ascii="宋体" w:hAnsi="宋体"/>
                <w:color w:val="auto"/>
                <w:kern w:val="0"/>
                <w:szCs w:val="21"/>
                <w:highlight w:val="none"/>
              </w:rPr>
            </w:pPr>
          </w:p>
        </w:tc>
        <w:tc>
          <w:tcPr>
            <w:tcW w:w="904" w:type="dxa"/>
            <w:vMerge w:val="continue"/>
            <w:vAlign w:val="center"/>
          </w:tcPr>
          <w:p w14:paraId="432B2A1F">
            <w:pPr>
              <w:autoSpaceDE w:val="0"/>
              <w:autoSpaceDN w:val="0"/>
              <w:adjustRightInd w:val="0"/>
              <w:snapToGrid w:val="0"/>
              <w:jc w:val="center"/>
              <w:rPr>
                <w:rFonts w:hint="eastAsia" w:ascii="宋体" w:hAnsi="宋体"/>
                <w:color w:val="auto"/>
                <w:kern w:val="0"/>
                <w:szCs w:val="21"/>
                <w:highlight w:val="none"/>
              </w:rPr>
            </w:pPr>
          </w:p>
        </w:tc>
        <w:tc>
          <w:tcPr>
            <w:tcW w:w="2476" w:type="dxa"/>
            <w:gridSpan w:val="4"/>
            <w:vAlign w:val="center"/>
          </w:tcPr>
          <w:p w14:paraId="69FBBF9A">
            <w:pPr>
              <w:tabs>
                <w:tab w:val="left" w:pos="1240"/>
              </w:tabs>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79F256B3">
            <w:pPr>
              <w:autoSpaceDE w:val="0"/>
              <w:autoSpaceDN w:val="0"/>
              <w:adjustRightInd w:val="0"/>
              <w:snapToGrid w:val="0"/>
              <w:jc w:val="center"/>
              <w:rPr>
                <w:rFonts w:hint="eastAsia" w:ascii="宋体" w:hAnsi="宋体"/>
                <w:color w:val="auto"/>
                <w:kern w:val="0"/>
                <w:szCs w:val="21"/>
                <w:highlight w:val="none"/>
              </w:rPr>
            </w:pPr>
          </w:p>
        </w:tc>
      </w:tr>
      <w:tr w14:paraId="7D3201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56C0D21">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0D40776B">
            <w:pPr>
              <w:autoSpaceDE w:val="0"/>
              <w:autoSpaceDN w:val="0"/>
              <w:adjustRightInd w:val="0"/>
              <w:snapToGrid w:val="0"/>
              <w:jc w:val="center"/>
              <w:rPr>
                <w:rFonts w:hint="eastAsia" w:ascii="宋体" w:hAnsi="宋体"/>
                <w:color w:val="auto"/>
                <w:kern w:val="0"/>
                <w:szCs w:val="21"/>
                <w:highlight w:val="none"/>
              </w:rPr>
            </w:pPr>
          </w:p>
        </w:tc>
      </w:tr>
      <w:tr w14:paraId="298134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27D50E7">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1C955F99">
            <w:pPr>
              <w:autoSpaceDE w:val="0"/>
              <w:autoSpaceDN w:val="0"/>
              <w:adjustRightInd w:val="0"/>
              <w:snapToGrid w:val="0"/>
              <w:jc w:val="center"/>
              <w:rPr>
                <w:rFonts w:hint="eastAsia" w:ascii="宋体" w:hAnsi="宋体"/>
                <w:color w:val="auto"/>
                <w:kern w:val="0"/>
                <w:szCs w:val="21"/>
                <w:highlight w:val="none"/>
              </w:rPr>
            </w:pPr>
          </w:p>
        </w:tc>
      </w:tr>
    </w:tbl>
    <w:p w14:paraId="5CC6BFCD">
      <w:pPr>
        <w:spacing w:line="340" w:lineRule="exact"/>
        <w:rPr>
          <w:rFonts w:hint="eastAsia" w:ascii="宋体" w:hAnsi="宋体"/>
          <w:color w:val="auto"/>
          <w:szCs w:val="21"/>
          <w:highlight w:val="none"/>
        </w:rPr>
      </w:pPr>
    </w:p>
    <w:p w14:paraId="4FB8FE01">
      <w:pPr>
        <w:pStyle w:val="4"/>
        <w:spacing w:before="0" w:after="0" w:line="240" w:lineRule="auto"/>
        <w:jc w:val="center"/>
        <w:rPr>
          <w:rFonts w:hint="eastAsia" w:ascii="宋体" w:hAnsi="宋体"/>
          <w:color w:val="auto"/>
          <w:highlight w:val="none"/>
        </w:rPr>
      </w:pPr>
      <w:r>
        <w:rPr>
          <w:rFonts w:ascii="宋体" w:hAnsi="宋体"/>
          <w:color w:val="auto"/>
          <w:szCs w:val="21"/>
          <w:highlight w:val="none"/>
        </w:rPr>
        <w:br w:type="page"/>
      </w:r>
      <w:bookmarkStart w:id="809" w:name="_Toc534185840"/>
      <w:bookmarkStart w:id="810" w:name="_Toc57905932"/>
      <w:bookmarkStart w:id="811" w:name="_Toc509218863"/>
      <w:r>
        <w:rPr>
          <w:rFonts w:hint="eastAsia" w:ascii="宋体" w:hAnsi="宋体"/>
          <w:color w:val="auto"/>
          <w:highlight w:val="none"/>
        </w:rPr>
        <w:t>（三）项目管理机构</w:t>
      </w:r>
      <w:bookmarkEnd w:id="809"/>
      <w:bookmarkEnd w:id="810"/>
      <w:bookmarkEnd w:id="811"/>
    </w:p>
    <w:p w14:paraId="06F540BD">
      <w:pPr>
        <w:spacing w:line="360" w:lineRule="auto"/>
        <w:rPr>
          <w:rFonts w:hint="eastAsia" w:ascii="宋体" w:hAnsi="宋体"/>
          <w:color w:val="auto"/>
          <w:highlight w:val="none"/>
        </w:rPr>
      </w:pPr>
    </w:p>
    <w:p w14:paraId="09C13402">
      <w:pPr>
        <w:autoSpaceDE w:val="0"/>
        <w:autoSpaceDN w:val="0"/>
        <w:adjustRightInd w:val="0"/>
        <w:snapToGrid w:val="0"/>
        <w:spacing w:line="360" w:lineRule="auto"/>
        <w:jc w:val="center"/>
        <w:rPr>
          <w:rFonts w:hint="eastAsia"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29"/>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21"/>
        <w:gridCol w:w="627"/>
        <w:gridCol w:w="851"/>
        <w:gridCol w:w="1134"/>
        <w:gridCol w:w="992"/>
        <w:gridCol w:w="992"/>
        <w:gridCol w:w="992"/>
        <w:gridCol w:w="1777"/>
        <w:gridCol w:w="896"/>
      </w:tblGrid>
      <w:tr w14:paraId="7FCD80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Merge w:val="restart"/>
            <w:vAlign w:val="center"/>
          </w:tcPr>
          <w:p w14:paraId="53F4DDAF">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职务</w:t>
            </w:r>
          </w:p>
        </w:tc>
        <w:tc>
          <w:tcPr>
            <w:tcW w:w="627" w:type="dxa"/>
            <w:vMerge w:val="restart"/>
            <w:vAlign w:val="center"/>
          </w:tcPr>
          <w:p w14:paraId="73E95BD0">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姓名</w:t>
            </w:r>
          </w:p>
        </w:tc>
        <w:tc>
          <w:tcPr>
            <w:tcW w:w="851" w:type="dxa"/>
            <w:vMerge w:val="restart"/>
            <w:vAlign w:val="center"/>
          </w:tcPr>
          <w:p w14:paraId="5A742137">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职称</w:t>
            </w:r>
          </w:p>
        </w:tc>
        <w:tc>
          <w:tcPr>
            <w:tcW w:w="5887" w:type="dxa"/>
            <w:gridSpan w:val="5"/>
            <w:vAlign w:val="center"/>
          </w:tcPr>
          <w:p w14:paraId="342B0F20">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72F017C9">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备注</w:t>
            </w:r>
          </w:p>
        </w:tc>
      </w:tr>
      <w:tr w14:paraId="51A457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Merge w:val="continue"/>
          </w:tcPr>
          <w:p w14:paraId="09B6E45F">
            <w:pPr>
              <w:autoSpaceDE w:val="0"/>
              <w:autoSpaceDN w:val="0"/>
              <w:adjustRightInd w:val="0"/>
              <w:snapToGrid w:val="0"/>
              <w:jc w:val="left"/>
              <w:rPr>
                <w:rFonts w:hint="eastAsia" w:ascii="宋体" w:hAnsi="宋体"/>
                <w:color w:val="auto"/>
                <w:kern w:val="0"/>
                <w:szCs w:val="21"/>
                <w:highlight w:val="none"/>
              </w:rPr>
            </w:pPr>
          </w:p>
        </w:tc>
        <w:tc>
          <w:tcPr>
            <w:tcW w:w="627" w:type="dxa"/>
            <w:vMerge w:val="continue"/>
          </w:tcPr>
          <w:p w14:paraId="4863BC0B">
            <w:pPr>
              <w:autoSpaceDE w:val="0"/>
              <w:autoSpaceDN w:val="0"/>
              <w:adjustRightInd w:val="0"/>
              <w:snapToGrid w:val="0"/>
              <w:jc w:val="left"/>
              <w:rPr>
                <w:rFonts w:hint="eastAsia" w:ascii="宋体" w:hAnsi="宋体"/>
                <w:color w:val="auto"/>
                <w:kern w:val="0"/>
                <w:szCs w:val="21"/>
                <w:highlight w:val="none"/>
              </w:rPr>
            </w:pPr>
          </w:p>
        </w:tc>
        <w:tc>
          <w:tcPr>
            <w:tcW w:w="851" w:type="dxa"/>
            <w:vMerge w:val="continue"/>
          </w:tcPr>
          <w:p w14:paraId="3531E04B">
            <w:pPr>
              <w:autoSpaceDE w:val="0"/>
              <w:autoSpaceDN w:val="0"/>
              <w:adjustRightInd w:val="0"/>
              <w:snapToGrid w:val="0"/>
              <w:jc w:val="left"/>
              <w:rPr>
                <w:rFonts w:hint="eastAsia" w:ascii="宋体" w:hAnsi="宋体"/>
                <w:color w:val="auto"/>
                <w:kern w:val="0"/>
                <w:szCs w:val="21"/>
                <w:highlight w:val="none"/>
              </w:rPr>
            </w:pPr>
          </w:p>
        </w:tc>
        <w:tc>
          <w:tcPr>
            <w:tcW w:w="1134" w:type="dxa"/>
            <w:vAlign w:val="center"/>
          </w:tcPr>
          <w:p w14:paraId="55765F1B">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证书名称</w:t>
            </w:r>
          </w:p>
        </w:tc>
        <w:tc>
          <w:tcPr>
            <w:tcW w:w="992" w:type="dxa"/>
            <w:vAlign w:val="center"/>
          </w:tcPr>
          <w:p w14:paraId="392B820D">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级别</w:t>
            </w:r>
          </w:p>
        </w:tc>
        <w:tc>
          <w:tcPr>
            <w:tcW w:w="992" w:type="dxa"/>
            <w:vAlign w:val="center"/>
          </w:tcPr>
          <w:p w14:paraId="5528EE22">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证号</w:t>
            </w:r>
          </w:p>
        </w:tc>
        <w:tc>
          <w:tcPr>
            <w:tcW w:w="992" w:type="dxa"/>
            <w:vAlign w:val="center"/>
          </w:tcPr>
          <w:p w14:paraId="1E447E26">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专业</w:t>
            </w:r>
          </w:p>
        </w:tc>
        <w:tc>
          <w:tcPr>
            <w:tcW w:w="1777" w:type="dxa"/>
            <w:vAlign w:val="center"/>
          </w:tcPr>
          <w:p w14:paraId="44A82B95">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029CBA51">
            <w:pPr>
              <w:autoSpaceDE w:val="0"/>
              <w:autoSpaceDN w:val="0"/>
              <w:adjustRightInd w:val="0"/>
              <w:snapToGrid w:val="0"/>
              <w:jc w:val="left"/>
              <w:rPr>
                <w:rFonts w:hint="eastAsia" w:ascii="宋体" w:hAnsi="宋体"/>
                <w:color w:val="auto"/>
                <w:kern w:val="0"/>
                <w:szCs w:val="21"/>
                <w:highlight w:val="none"/>
              </w:rPr>
            </w:pPr>
          </w:p>
        </w:tc>
      </w:tr>
      <w:tr w14:paraId="6EE097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Align w:val="center"/>
          </w:tcPr>
          <w:p w14:paraId="28CF94D2">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olor w:val="auto"/>
                <w:kern w:val="0"/>
                <w:szCs w:val="21"/>
                <w:highlight w:val="none"/>
              </w:rPr>
              <w:t>项目负责人</w:t>
            </w:r>
          </w:p>
        </w:tc>
        <w:tc>
          <w:tcPr>
            <w:tcW w:w="627" w:type="dxa"/>
          </w:tcPr>
          <w:p w14:paraId="3E8D10F5">
            <w:pPr>
              <w:autoSpaceDE w:val="0"/>
              <w:autoSpaceDN w:val="0"/>
              <w:adjustRightInd w:val="0"/>
              <w:snapToGrid w:val="0"/>
              <w:jc w:val="left"/>
              <w:rPr>
                <w:rFonts w:hint="eastAsia" w:ascii="宋体" w:hAnsi="宋体"/>
                <w:color w:val="auto"/>
                <w:kern w:val="0"/>
                <w:szCs w:val="21"/>
                <w:highlight w:val="none"/>
              </w:rPr>
            </w:pPr>
          </w:p>
        </w:tc>
        <w:tc>
          <w:tcPr>
            <w:tcW w:w="851" w:type="dxa"/>
          </w:tcPr>
          <w:p w14:paraId="44D06A95">
            <w:pPr>
              <w:autoSpaceDE w:val="0"/>
              <w:autoSpaceDN w:val="0"/>
              <w:adjustRightInd w:val="0"/>
              <w:snapToGrid w:val="0"/>
              <w:jc w:val="left"/>
              <w:rPr>
                <w:rFonts w:hint="eastAsia" w:ascii="宋体" w:hAnsi="宋体"/>
                <w:color w:val="auto"/>
                <w:kern w:val="0"/>
                <w:szCs w:val="21"/>
                <w:highlight w:val="none"/>
              </w:rPr>
            </w:pPr>
          </w:p>
        </w:tc>
        <w:tc>
          <w:tcPr>
            <w:tcW w:w="1134" w:type="dxa"/>
          </w:tcPr>
          <w:p w14:paraId="0A95BF55">
            <w:pPr>
              <w:autoSpaceDE w:val="0"/>
              <w:autoSpaceDN w:val="0"/>
              <w:adjustRightInd w:val="0"/>
              <w:snapToGrid w:val="0"/>
              <w:jc w:val="left"/>
              <w:rPr>
                <w:rFonts w:hint="eastAsia" w:ascii="宋体" w:hAnsi="宋体"/>
                <w:color w:val="auto"/>
                <w:kern w:val="0"/>
                <w:szCs w:val="21"/>
                <w:highlight w:val="none"/>
              </w:rPr>
            </w:pPr>
          </w:p>
        </w:tc>
        <w:tc>
          <w:tcPr>
            <w:tcW w:w="992" w:type="dxa"/>
          </w:tcPr>
          <w:p w14:paraId="2DD9D441">
            <w:pPr>
              <w:autoSpaceDE w:val="0"/>
              <w:autoSpaceDN w:val="0"/>
              <w:adjustRightInd w:val="0"/>
              <w:snapToGrid w:val="0"/>
              <w:jc w:val="left"/>
              <w:rPr>
                <w:rFonts w:hint="eastAsia" w:ascii="宋体" w:hAnsi="宋体"/>
                <w:color w:val="auto"/>
                <w:kern w:val="0"/>
                <w:szCs w:val="21"/>
                <w:highlight w:val="none"/>
              </w:rPr>
            </w:pPr>
          </w:p>
        </w:tc>
        <w:tc>
          <w:tcPr>
            <w:tcW w:w="992" w:type="dxa"/>
          </w:tcPr>
          <w:p w14:paraId="18B09A2E">
            <w:pPr>
              <w:autoSpaceDE w:val="0"/>
              <w:autoSpaceDN w:val="0"/>
              <w:adjustRightInd w:val="0"/>
              <w:snapToGrid w:val="0"/>
              <w:jc w:val="left"/>
              <w:rPr>
                <w:rFonts w:hint="eastAsia" w:ascii="宋体" w:hAnsi="宋体"/>
                <w:color w:val="auto"/>
                <w:kern w:val="0"/>
                <w:szCs w:val="21"/>
                <w:highlight w:val="none"/>
              </w:rPr>
            </w:pPr>
          </w:p>
        </w:tc>
        <w:tc>
          <w:tcPr>
            <w:tcW w:w="992" w:type="dxa"/>
          </w:tcPr>
          <w:p w14:paraId="4A17A503">
            <w:pPr>
              <w:autoSpaceDE w:val="0"/>
              <w:autoSpaceDN w:val="0"/>
              <w:adjustRightInd w:val="0"/>
              <w:snapToGrid w:val="0"/>
              <w:jc w:val="left"/>
              <w:rPr>
                <w:rFonts w:hint="eastAsia" w:ascii="宋体" w:hAnsi="宋体"/>
                <w:color w:val="auto"/>
                <w:kern w:val="0"/>
                <w:szCs w:val="21"/>
                <w:highlight w:val="none"/>
              </w:rPr>
            </w:pPr>
          </w:p>
        </w:tc>
        <w:tc>
          <w:tcPr>
            <w:tcW w:w="1777" w:type="dxa"/>
          </w:tcPr>
          <w:p w14:paraId="082236D0">
            <w:pPr>
              <w:autoSpaceDE w:val="0"/>
              <w:autoSpaceDN w:val="0"/>
              <w:adjustRightInd w:val="0"/>
              <w:snapToGrid w:val="0"/>
              <w:jc w:val="left"/>
              <w:rPr>
                <w:rFonts w:hint="eastAsia" w:ascii="宋体" w:hAnsi="宋体"/>
                <w:color w:val="auto"/>
                <w:kern w:val="0"/>
                <w:szCs w:val="21"/>
                <w:highlight w:val="none"/>
              </w:rPr>
            </w:pPr>
          </w:p>
        </w:tc>
        <w:tc>
          <w:tcPr>
            <w:tcW w:w="896" w:type="dxa"/>
          </w:tcPr>
          <w:p w14:paraId="239D916C">
            <w:pPr>
              <w:autoSpaceDE w:val="0"/>
              <w:autoSpaceDN w:val="0"/>
              <w:adjustRightInd w:val="0"/>
              <w:snapToGrid w:val="0"/>
              <w:jc w:val="left"/>
              <w:rPr>
                <w:rFonts w:hint="eastAsia" w:ascii="宋体" w:hAnsi="宋体"/>
                <w:color w:val="auto"/>
                <w:kern w:val="0"/>
                <w:szCs w:val="21"/>
                <w:highlight w:val="none"/>
              </w:rPr>
            </w:pPr>
          </w:p>
        </w:tc>
      </w:tr>
      <w:tr w14:paraId="2E704F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221" w:type="dxa"/>
          </w:tcPr>
          <w:p w14:paraId="39129DFD">
            <w:pPr>
              <w:autoSpaceDE w:val="0"/>
              <w:autoSpaceDN w:val="0"/>
              <w:adjustRightInd w:val="0"/>
              <w:snapToGrid w:val="0"/>
              <w:jc w:val="left"/>
              <w:rPr>
                <w:rFonts w:hint="eastAsia" w:ascii="宋体" w:hAnsi="宋体"/>
                <w:color w:val="auto"/>
                <w:kern w:val="0"/>
                <w:szCs w:val="21"/>
                <w:highlight w:val="none"/>
              </w:rPr>
            </w:pPr>
            <w:r>
              <w:rPr>
                <w:rFonts w:hint="eastAsia" w:ascii="宋体" w:hAnsi="宋体"/>
                <w:color w:val="auto"/>
                <w:kern w:val="0"/>
                <w:szCs w:val="21"/>
                <w:highlight w:val="none"/>
              </w:rPr>
              <w:t>土建专业负责人</w:t>
            </w:r>
          </w:p>
        </w:tc>
        <w:tc>
          <w:tcPr>
            <w:tcW w:w="627" w:type="dxa"/>
          </w:tcPr>
          <w:p w14:paraId="1A43B407">
            <w:pPr>
              <w:autoSpaceDE w:val="0"/>
              <w:autoSpaceDN w:val="0"/>
              <w:adjustRightInd w:val="0"/>
              <w:snapToGrid w:val="0"/>
              <w:jc w:val="left"/>
              <w:rPr>
                <w:rFonts w:hint="eastAsia" w:ascii="宋体" w:hAnsi="宋体"/>
                <w:color w:val="auto"/>
                <w:kern w:val="0"/>
                <w:szCs w:val="21"/>
                <w:highlight w:val="none"/>
              </w:rPr>
            </w:pPr>
          </w:p>
        </w:tc>
        <w:tc>
          <w:tcPr>
            <w:tcW w:w="851" w:type="dxa"/>
          </w:tcPr>
          <w:p w14:paraId="325E1E1A">
            <w:pPr>
              <w:autoSpaceDE w:val="0"/>
              <w:autoSpaceDN w:val="0"/>
              <w:adjustRightInd w:val="0"/>
              <w:snapToGrid w:val="0"/>
              <w:jc w:val="left"/>
              <w:rPr>
                <w:rFonts w:hint="eastAsia" w:ascii="宋体" w:hAnsi="宋体"/>
                <w:color w:val="auto"/>
                <w:kern w:val="0"/>
                <w:szCs w:val="21"/>
                <w:highlight w:val="none"/>
              </w:rPr>
            </w:pPr>
          </w:p>
        </w:tc>
        <w:tc>
          <w:tcPr>
            <w:tcW w:w="1134" w:type="dxa"/>
          </w:tcPr>
          <w:p w14:paraId="5FB58FB4">
            <w:pPr>
              <w:autoSpaceDE w:val="0"/>
              <w:autoSpaceDN w:val="0"/>
              <w:adjustRightInd w:val="0"/>
              <w:snapToGrid w:val="0"/>
              <w:jc w:val="left"/>
              <w:rPr>
                <w:rFonts w:hint="eastAsia" w:ascii="宋体" w:hAnsi="宋体"/>
                <w:color w:val="auto"/>
                <w:kern w:val="0"/>
                <w:szCs w:val="21"/>
                <w:highlight w:val="none"/>
              </w:rPr>
            </w:pPr>
          </w:p>
        </w:tc>
        <w:tc>
          <w:tcPr>
            <w:tcW w:w="992" w:type="dxa"/>
          </w:tcPr>
          <w:p w14:paraId="5356D870">
            <w:pPr>
              <w:autoSpaceDE w:val="0"/>
              <w:autoSpaceDN w:val="0"/>
              <w:adjustRightInd w:val="0"/>
              <w:snapToGrid w:val="0"/>
              <w:jc w:val="left"/>
              <w:rPr>
                <w:rFonts w:hint="eastAsia" w:ascii="宋体" w:hAnsi="宋体"/>
                <w:color w:val="auto"/>
                <w:kern w:val="0"/>
                <w:szCs w:val="21"/>
                <w:highlight w:val="none"/>
              </w:rPr>
            </w:pPr>
          </w:p>
        </w:tc>
        <w:tc>
          <w:tcPr>
            <w:tcW w:w="992" w:type="dxa"/>
          </w:tcPr>
          <w:p w14:paraId="45BA17AE">
            <w:pPr>
              <w:autoSpaceDE w:val="0"/>
              <w:autoSpaceDN w:val="0"/>
              <w:adjustRightInd w:val="0"/>
              <w:snapToGrid w:val="0"/>
              <w:jc w:val="left"/>
              <w:rPr>
                <w:rFonts w:hint="eastAsia" w:ascii="宋体" w:hAnsi="宋体"/>
                <w:color w:val="auto"/>
                <w:kern w:val="0"/>
                <w:szCs w:val="21"/>
                <w:highlight w:val="none"/>
              </w:rPr>
            </w:pPr>
          </w:p>
        </w:tc>
        <w:tc>
          <w:tcPr>
            <w:tcW w:w="992" w:type="dxa"/>
          </w:tcPr>
          <w:p w14:paraId="0F2B43A2">
            <w:pPr>
              <w:autoSpaceDE w:val="0"/>
              <w:autoSpaceDN w:val="0"/>
              <w:adjustRightInd w:val="0"/>
              <w:snapToGrid w:val="0"/>
              <w:jc w:val="left"/>
              <w:rPr>
                <w:rFonts w:hint="eastAsia" w:ascii="宋体" w:hAnsi="宋体"/>
                <w:color w:val="auto"/>
                <w:kern w:val="0"/>
                <w:szCs w:val="21"/>
                <w:highlight w:val="none"/>
              </w:rPr>
            </w:pPr>
          </w:p>
        </w:tc>
        <w:tc>
          <w:tcPr>
            <w:tcW w:w="1777" w:type="dxa"/>
          </w:tcPr>
          <w:p w14:paraId="09CE5407">
            <w:pPr>
              <w:autoSpaceDE w:val="0"/>
              <w:autoSpaceDN w:val="0"/>
              <w:adjustRightInd w:val="0"/>
              <w:snapToGrid w:val="0"/>
              <w:jc w:val="left"/>
              <w:rPr>
                <w:rFonts w:hint="eastAsia" w:ascii="宋体" w:hAnsi="宋体"/>
                <w:color w:val="auto"/>
                <w:kern w:val="0"/>
                <w:szCs w:val="21"/>
                <w:highlight w:val="none"/>
              </w:rPr>
            </w:pPr>
          </w:p>
        </w:tc>
        <w:tc>
          <w:tcPr>
            <w:tcW w:w="896" w:type="dxa"/>
          </w:tcPr>
          <w:p w14:paraId="4B7A5088">
            <w:pPr>
              <w:autoSpaceDE w:val="0"/>
              <w:autoSpaceDN w:val="0"/>
              <w:adjustRightInd w:val="0"/>
              <w:snapToGrid w:val="0"/>
              <w:jc w:val="left"/>
              <w:rPr>
                <w:rFonts w:hint="eastAsia" w:ascii="宋体" w:hAnsi="宋体"/>
                <w:color w:val="auto"/>
                <w:kern w:val="0"/>
                <w:szCs w:val="21"/>
                <w:highlight w:val="none"/>
              </w:rPr>
            </w:pPr>
          </w:p>
        </w:tc>
      </w:tr>
      <w:tr w14:paraId="3842D3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trPr>
        <w:tc>
          <w:tcPr>
            <w:tcW w:w="1221" w:type="dxa"/>
          </w:tcPr>
          <w:p w14:paraId="25B5B98B">
            <w:pPr>
              <w:autoSpaceDE w:val="0"/>
              <w:autoSpaceDN w:val="0"/>
              <w:adjustRightInd w:val="0"/>
              <w:snapToGrid w:val="0"/>
              <w:jc w:val="left"/>
              <w:rPr>
                <w:rFonts w:hint="eastAsia" w:ascii="宋体" w:hAnsi="宋体"/>
                <w:color w:val="auto"/>
                <w:kern w:val="0"/>
                <w:szCs w:val="21"/>
                <w:highlight w:val="none"/>
              </w:rPr>
            </w:pPr>
            <w:r>
              <w:rPr>
                <w:rFonts w:hint="eastAsia" w:ascii="宋体" w:hAnsi="宋体"/>
                <w:color w:val="auto"/>
                <w:kern w:val="0"/>
                <w:szCs w:val="21"/>
                <w:highlight w:val="none"/>
              </w:rPr>
              <w:t>安装专业负责人</w:t>
            </w:r>
          </w:p>
        </w:tc>
        <w:tc>
          <w:tcPr>
            <w:tcW w:w="627" w:type="dxa"/>
          </w:tcPr>
          <w:p w14:paraId="479BC98F">
            <w:pPr>
              <w:autoSpaceDE w:val="0"/>
              <w:autoSpaceDN w:val="0"/>
              <w:adjustRightInd w:val="0"/>
              <w:snapToGrid w:val="0"/>
              <w:jc w:val="left"/>
              <w:rPr>
                <w:rFonts w:hint="eastAsia" w:ascii="宋体" w:hAnsi="宋体"/>
                <w:color w:val="auto"/>
                <w:kern w:val="0"/>
                <w:szCs w:val="21"/>
                <w:highlight w:val="none"/>
              </w:rPr>
            </w:pPr>
          </w:p>
        </w:tc>
        <w:tc>
          <w:tcPr>
            <w:tcW w:w="851" w:type="dxa"/>
          </w:tcPr>
          <w:p w14:paraId="3E905867">
            <w:pPr>
              <w:autoSpaceDE w:val="0"/>
              <w:autoSpaceDN w:val="0"/>
              <w:adjustRightInd w:val="0"/>
              <w:snapToGrid w:val="0"/>
              <w:jc w:val="left"/>
              <w:rPr>
                <w:rFonts w:hint="eastAsia" w:ascii="宋体" w:hAnsi="宋体"/>
                <w:color w:val="auto"/>
                <w:kern w:val="0"/>
                <w:szCs w:val="21"/>
                <w:highlight w:val="none"/>
              </w:rPr>
            </w:pPr>
          </w:p>
        </w:tc>
        <w:tc>
          <w:tcPr>
            <w:tcW w:w="1134" w:type="dxa"/>
          </w:tcPr>
          <w:p w14:paraId="429C3F02">
            <w:pPr>
              <w:autoSpaceDE w:val="0"/>
              <w:autoSpaceDN w:val="0"/>
              <w:adjustRightInd w:val="0"/>
              <w:snapToGrid w:val="0"/>
              <w:jc w:val="left"/>
              <w:rPr>
                <w:rFonts w:hint="eastAsia" w:ascii="宋体" w:hAnsi="宋体"/>
                <w:color w:val="auto"/>
                <w:kern w:val="0"/>
                <w:szCs w:val="21"/>
                <w:highlight w:val="none"/>
              </w:rPr>
            </w:pPr>
          </w:p>
        </w:tc>
        <w:tc>
          <w:tcPr>
            <w:tcW w:w="992" w:type="dxa"/>
          </w:tcPr>
          <w:p w14:paraId="7F2A1686">
            <w:pPr>
              <w:autoSpaceDE w:val="0"/>
              <w:autoSpaceDN w:val="0"/>
              <w:adjustRightInd w:val="0"/>
              <w:snapToGrid w:val="0"/>
              <w:jc w:val="left"/>
              <w:rPr>
                <w:rFonts w:hint="eastAsia" w:ascii="宋体" w:hAnsi="宋体"/>
                <w:color w:val="auto"/>
                <w:kern w:val="0"/>
                <w:szCs w:val="21"/>
                <w:highlight w:val="none"/>
              </w:rPr>
            </w:pPr>
          </w:p>
        </w:tc>
        <w:tc>
          <w:tcPr>
            <w:tcW w:w="992" w:type="dxa"/>
          </w:tcPr>
          <w:p w14:paraId="0CAF1AFA">
            <w:pPr>
              <w:autoSpaceDE w:val="0"/>
              <w:autoSpaceDN w:val="0"/>
              <w:adjustRightInd w:val="0"/>
              <w:snapToGrid w:val="0"/>
              <w:jc w:val="left"/>
              <w:rPr>
                <w:rFonts w:hint="eastAsia" w:ascii="宋体" w:hAnsi="宋体"/>
                <w:color w:val="auto"/>
                <w:kern w:val="0"/>
                <w:szCs w:val="21"/>
                <w:highlight w:val="none"/>
              </w:rPr>
            </w:pPr>
          </w:p>
        </w:tc>
        <w:tc>
          <w:tcPr>
            <w:tcW w:w="992" w:type="dxa"/>
          </w:tcPr>
          <w:p w14:paraId="34AAABE2">
            <w:pPr>
              <w:autoSpaceDE w:val="0"/>
              <w:autoSpaceDN w:val="0"/>
              <w:adjustRightInd w:val="0"/>
              <w:snapToGrid w:val="0"/>
              <w:jc w:val="left"/>
              <w:rPr>
                <w:rFonts w:hint="eastAsia" w:ascii="宋体" w:hAnsi="宋体"/>
                <w:color w:val="auto"/>
                <w:kern w:val="0"/>
                <w:szCs w:val="21"/>
                <w:highlight w:val="none"/>
              </w:rPr>
            </w:pPr>
          </w:p>
        </w:tc>
        <w:tc>
          <w:tcPr>
            <w:tcW w:w="1777" w:type="dxa"/>
          </w:tcPr>
          <w:p w14:paraId="1290C662">
            <w:pPr>
              <w:autoSpaceDE w:val="0"/>
              <w:autoSpaceDN w:val="0"/>
              <w:adjustRightInd w:val="0"/>
              <w:snapToGrid w:val="0"/>
              <w:jc w:val="left"/>
              <w:rPr>
                <w:rFonts w:hint="eastAsia" w:ascii="宋体" w:hAnsi="宋体"/>
                <w:color w:val="auto"/>
                <w:kern w:val="0"/>
                <w:szCs w:val="21"/>
                <w:highlight w:val="none"/>
              </w:rPr>
            </w:pPr>
          </w:p>
        </w:tc>
        <w:tc>
          <w:tcPr>
            <w:tcW w:w="896" w:type="dxa"/>
          </w:tcPr>
          <w:p w14:paraId="571769CD">
            <w:pPr>
              <w:autoSpaceDE w:val="0"/>
              <w:autoSpaceDN w:val="0"/>
              <w:adjustRightInd w:val="0"/>
              <w:snapToGrid w:val="0"/>
              <w:jc w:val="left"/>
              <w:rPr>
                <w:rFonts w:hint="eastAsia" w:ascii="宋体" w:hAnsi="宋体"/>
                <w:color w:val="auto"/>
                <w:kern w:val="0"/>
                <w:szCs w:val="21"/>
                <w:highlight w:val="none"/>
              </w:rPr>
            </w:pPr>
          </w:p>
        </w:tc>
      </w:tr>
      <w:tr w14:paraId="7F7733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14:paraId="76AF797E">
            <w:pPr>
              <w:autoSpaceDE w:val="0"/>
              <w:autoSpaceDN w:val="0"/>
              <w:adjustRightInd w:val="0"/>
              <w:snapToGrid w:val="0"/>
              <w:jc w:val="left"/>
              <w:rPr>
                <w:rFonts w:hint="eastAsia" w:ascii="宋体" w:hAnsi="宋体"/>
                <w:color w:val="auto"/>
                <w:kern w:val="0"/>
                <w:szCs w:val="21"/>
                <w:highlight w:val="none"/>
              </w:rPr>
            </w:pPr>
            <w:r>
              <w:rPr>
                <w:rFonts w:hint="eastAsia" w:ascii="宋体" w:hAnsi="宋体"/>
                <w:color w:val="auto"/>
                <w:kern w:val="0"/>
                <w:szCs w:val="21"/>
                <w:highlight w:val="none"/>
              </w:rPr>
              <w:t>其他成员</w:t>
            </w:r>
          </w:p>
        </w:tc>
        <w:tc>
          <w:tcPr>
            <w:tcW w:w="627" w:type="dxa"/>
          </w:tcPr>
          <w:p w14:paraId="44D4D3E7">
            <w:pPr>
              <w:autoSpaceDE w:val="0"/>
              <w:autoSpaceDN w:val="0"/>
              <w:adjustRightInd w:val="0"/>
              <w:snapToGrid w:val="0"/>
              <w:jc w:val="left"/>
              <w:rPr>
                <w:rFonts w:hint="eastAsia" w:ascii="宋体" w:hAnsi="宋体"/>
                <w:color w:val="auto"/>
                <w:kern w:val="0"/>
                <w:szCs w:val="21"/>
                <w:highlight w:val="none"/>
              </w:rPr>
            </w:pPr>
          </w:p>
        </w:tc>
        <w:tc>
          <w:tcPr>
            <w:tcW w:w="851" w:type="dxa"/>
          </w:tcPr>
          <w:p w14:paraId="33D22BF2">
            <w:pPr>
              <w:autoSpaceDE w:val="0"/>
              <w:autoSpaceDN w:val="0"/>
              <w:adjustRightInd w:val="0"/>
              <w:snapToGrid w:val="0"/>
              <w:jc w:val="left"/>
              <w:rPr>
                <w:rFonts w:hint="eastAsia" w:ascii="宋体" w:hAnsi="宋体"/>
                <w:color w:val="auto"/>
                <w:kern w:val="0"/>
                <w:szCs w:val="21"/>
                <w:highlight w:val="none"/>
              </w:rPr>
            </w:pPr>
          </w:p>
        </w:tc>
        <w:tc>
          <w:tcPr>
            <w:tcW w:w="1134" w:type="dxa"/>
          </w:tcPr>
          <w:p w14:paraId="20ECB364">
            <w:pPr>
              <w:autoSpaceDE w:val="0"/>
              <w:autoSpaceDN w:val="0"/>
              <w:adjustRightInd w:val="0"/>
              <w:snapToGrid w:val="0"/>
              <w:jc w:val="left"/>
              <w:rPr>
                <w:rFonts w:hint="eastAsia" w:ascii="宋体" w:hAnsi="宋体"/>
                <w:color w:val="auto"/>
                <w:kern w:val="0"/>
                <w:szCs w:val="21"/>
                <w:highlight w:val="none"/>
              </w:rPr>
            </w:pPr>
          </w:p>
        </w:tc>
        <w:tc>
          <w:tcPr>
            <w:tcW w:w="992" w:type="dxa"/>
          </w:tcPr>
          <w:p w14:paraId="33AAB9F4">
            <w:pPr>
              <w:autoSpaceDE w:val="0"/>
              <w:autoSpaceDN w:val="0"/>
              <w:adjustRightInd w:val="0"/>
              <w:snapToGrid w:val="0"/>
              <w:jc w:val="left"/>
              <w:rPr>
                <w:rFonts w:hint="eastAsia" w:ascii="宋体" w:hAnsi="宋体"/>
                <w:color w:val="auto"/>
                <w:kern w:val="0"/>
                <w:szCs w:val="21"/>
                <w:highlight w:val="none"/>
              </w:rPr>
            </w:pPr>
          </w:p>
        </w:tc>
        <w:tc>
          <w:tcPr>
            <w:tcW w:w="992" w:type="dxa"/>
          </w:tcPr>
          <w:p w14:paraId="37AC8914">
            <w:pPr>
              <w:autoSpaceDE w:val="0"/>
              <w:autoSpaceDN w:val="0"/>
              <w:adjustRightInd w:val="0"/>
              <w:snapToGrid w:val="0"/>
              <w:jc w:val="left"/>
              <w:rPr>
                <w:rFonts w:hint="eastAsia" w:ascii="宋体" w:hAnsi="宋体"/>
                <w:color w:val="auto"/>
                <w:kern w:val="0"/>
                <w:szCs w:val="21"/>
                <w:highlight w:val="none"/>
              </w:rPr>
            </w:pPr>
          </w:p>
        </w:tc>
        <w:tc>
          <w:tcPr>
            <w:tcW w:w="992" w:type="dxa"/>
          </w:tcPr>
          <w:p w14:paraId="71138A05">
            <w:pPr>
              <w:autoSpaceDE w:val="0"/>
              <w:autoSpaceDN w:val="0"/>
              <w:adjustRightInd w:val="0"/>
              <w:snapToGrid w:val="0"/>
              <w:jc w:val="left"/>
              <w:rPr>
                <w:rFonts w:hint="eastAsia" w:ascii="宋体" w:hAnsi="宋体"/>
                <w:color w:val="auto"/>
                <w:kern w:val="0"/>
                <w:szCs w:val="21"/>
                <w:highlight w:val="none"/>
              </w:rPr>
            </w:pPr>
          </w:p>
        </w:tc>
        <w:tc>
          <w:tcPr>
            <w:tcW w:w="1777" w:type="dxa"/>
          </w:tcPr>
          <w:p w14:paraId="15A2E625">
            <w:pPr>
              <w:autoSpaceDE w:val="0"/>
              <w:autoSpaceDN w:val="0"/>
              <w:adjustRightInd w:val="0"/>
              <w:snapToGrid w:val="0"/>
              <w:jc w:val="left"/>
              <w:rPr>
                <w:rFonts w:hint="eastAsia" w:ascii="宋体" w:hAnsi="宋体"/>
                <w:color w:val="auto"/>
                <w:kern w:val="0"/>
                <w:szCs w:val="21"/>
                <w:highlight w:val="none"/>
              </w:rPr>
            </w:pPr>
          </w:p>
        </w:tc>
        <w:tc>
          <w:tcPr>
            <w:tcW w:w="896" w:type="dxa"/>
          </w:tcPr>
          <w:p w14:paraId="2563C487">
            <w:pPr>
              <w:autoSpaceDE w:val="0"/>
              <w:autoSpaceDN w:val="0"/>
              <w:adjustRightInd w:val="0"/>
              <w:snapToGrid w:val="0"/>
              <w:jc w:val="left"/>
              <w:rPr>
                <w:rFonts w:hint="eastAsia" w:ascii="宋体" w:hAnsi="宋体"/>
                <w:color w:val="auto"/>
                <w:kern w:val="0"/>
                <w:szCs w:val="21"/>
                <w:highlight w:val="none"/>
              </w:rPr>
            </w:pPr>
          </w:p>
        </w:tc>
      </w:tr>
      <w:tr w14:paraId="293ADB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14:paraId="1B009CA2">
            <w:pPr>
              <w:autoSpaceDE w:val="0"/>
              <w:autoSpaceDN w:val="0"/>
              <w:adjustRightInd w:val="0"/>
              <w:snapToGrid w:val="0"/>
              <w:jc w:val="left"/>
              <w:rPr>
                <w:rFonts w:hint="eastAsia" w:ascii="宋体" w:hAnsi="宋体"/>
                <w:color w:val="auto"/>
                <w:kern w:val="0"/>
                <w:szCs w:val="21"/>
                <w:highlight w:val="none"/>
              </w:rPr>
            </w:pPr>
            <w:r>
              <w:rPr>
                <w:rFonts w:hint="eastAsia" w:ascii="宋体" w:hAnsi="宋体"/>
                <w:color w:val="auto"/>
                <w:kern w:val="0"/>
                <w:szCs w:val="21"/>
                <w:highlight w:val="none"/>
              </w:rPr>
              <w:t>其他成员</w:t>
            </w:r>
          </w:p>
        </w:tc>
        <w:tc>
          <w:tcPr>
            <w:tcW w:w="627" w:type="dxa"/>
          </w:tcPr>
          <w:p w14:paraId="0185BD8F">
            <w:pPr>
              <w:autoSpaceDE w:val="0"/>
              <w:autoSpaceDN w:val="0"/>
              <w:adjustRightInd w:val="0"/>
              <w:snapToGrid w:val="0"/>
              <w:jc w:val="left"/>
              <w:rPr>
                <w:rFonts w:hint="eastAsia" w:ascii="宋体" w:hAnsi="宋体"/>
                <w:color w:val="auto"/>
                <w:kern w:val="0"/>
                <w:szCs w:val="21"/>
                <w:highlight w:val="none"/>
              </w:rPr>
            </w:pPr>
          </w:p>
        </w:tc>
        <w:tc>
          <w:tcPr>
            <w:tcW w:w="851" w:type="dxa"/>
          </w:tcPr>
          <w:p w14:paraId="02C5CE1A">
            <w:pPr>
              <w:autoSpaceDE w:val="0"/>
              <w:autoSpaceDN w:val="0"/>
              <w:adjustRightInd w:val="0"/>
              <w:snapToGrid w:val="0"/>
              <w:jc w:val="left"/>
              <w:rPr>
                <w:rFonts w:hint="eastAsia" w:ascii="宋体" w:hAnsi="宋体"/>
                <w:color w:val="auto"/>
                <w:kern w:val="0"/>
                <w:szCs w:val="21"/>
                <w:highlight w:val="none"/>
              </w:rPr>
            </w:pPr>
          </w:p>
        </w:tc>
        <w:tc>
          <w:tcPr>
            <w:tcW w:w="1134" w:type="dxa"/>
          </w:tcPr>
          <w:p w14:paraId="798062EE">
            <w:pPr>
              <w:autoSpaceDE w:val="0"/>
              <w:autoSpaceDN w:val="0"/>
              <w:adjustRightInd w:val="0"/>
              <w:snapToGrid w:val="0"/>
              <w:jc w:val="left"/>
              <w:rPr>
                <w:rFonts w:hint="eastAsia" w:ascii="宋体" w:hAnsi="宋体"/>
                <w:color w:val="auto"/>
                <w:kern w:val="0"/>
                <w:szCs w:val="21"/>
                <w:highlight w:val="none"/>
              </w:rPr>
            </w:pPr>
          </w:p>
        </w:tc>
        <w:tc>
          <w:tcPr>
            <w:tcW w:w="992" w:type="dxa"/>
          </w:tcPr>
          <w:p w14:paraId="4D604599">
            <w:pPr>
              <w:autoSpaceDE w:val="0"/>
              <w:autoSpaceDN w:val="0"/>
              <w:adjustRightInd w:val="0"/>
              <w:snapToGrid w:val="0"/>
              <w:jc w:val="left"/>
              <w:rPr>
                <w:rFonts w:hint="eastAsia" w:ascii="宋体" w:hAnsi="宋体"/>
                <w:color w:val="auto"/>
                <w:kern w:val="0"/>
                <w:szCs w:val="21"/>
                <w:highlight w:val="none"/>
              </w:rPr>
            </w:pPr>
          </w:p>
        </w:tc>
        <w:tc>
          <w:tcPr>
            <w:tcW w:w="992" w:type="dxa"/>
          </w:tcPr>
          <w:p w14:paraId="015AD6ED">
            <w:pPr>
              <w:autoSpaceDE w:val="0"/>
              <w:autoSpaceDN w:val="0"/>
              <w:adjustRightInd w:val="0"/>
              <w:snapToGrid w:val="0"/>
              <w:jc w:val="left"/>
              <w:rPr>
                <w:rFonts w:hint="eastAsia" w:ascii="宋体" w:hAnsi="宋体"/>
                <w:color w:val="auto"/>
                <w:kern w:val="0"/>
                <w:szCs w:val="21"/>
                <w:highlight w:val="none"/>
              </w:rPr>
            </w:pPr>
          </w:p>
        </w:tc>
        <w:tc>
          <w:tcPr>
            <w:tcW w:w="992" w:type="dxa"/>
          </w:tcPr>
          <w:p w14:paraId="14F3FB7F">
            <w:pPr>
              <w:autoSpaceDE w:val="0"/>
              <w:autoSpaceDN w:val="0"/>
              <w:adjustRightInd w:val="0"/>
              <w:snapToGrid w:val="0"/>
              <w:jc w:val="left"/>
              <w:rPr>
                <w:rFonts w:hint="eastAsia" w:ascii="宋体" w:hAnsi="宋体"/>
                <w:color w:val="auto"/>
                <w:kern w:val="0"/>
                <w:szCs w:val="21"/>
                <w:highlight w:val="none"/>
              </w:rPr>
            </w:pPr>
          </w:p>
        </w:tc>
        <w:tc>
          <w:tcPr>
            <w:tcW w:w="1777" w:type="dxa"/>
          </w:tcPr>
          <w:p w14:paraId="6F03EFDB">
            <w:pPr>
              <w:autoSpaceDE w:val="0"/>
              <w:autoSpaceDN w:val="0"/>
              <w:adjustRightInd w:val="0"/>
              <w:snapToGrid w:val="0"/>
              <w:jc w:val="left"/>
              <w:rPr>
                <w:rFonts w:hint="eastAsia" w:ascii="宋体" w:hAnsi="宋体"/>
                <w:color w:val="auto"/>
                <w:kern w:val="0"/>
                <w:szCs w:val="21"/>
                <w:highlight w:val="none"/>
              </w:rPr>
            </w:pPr>
          </w:p>
        </w:tc>
        <w:tc>
          <w:tcPr>
            <w:tcW w:w="896" w:type="dxa"/>
          </w:tcPr>
          <w:p w14:paraId="05159D29">
            <w:pPr>
              <w:autoSpaceDE w:val="0"/>
              <w:autoSpaceDN w:val="0"/>
              <w:adjustRightInd w:val="0"/>
              <w:snapToGrid w:val="0"/>
              <w:jc w:val="left"/>
              <w:rPr>
                <w:rFonts w:hint="eastAsia" w:ascii="宋体" w:hAnsi="宋体"/>
                <w:color w:val="auto"/>
                <w:kern w:val="0"/>
                <w:szCs w:val="21"/>
                <w:highlight w:val="none"/>
              </w:rPr>
            </w:pPr>
          </w:p>
        </w:tc>
      </w:tr>
      <w:tr w14:paraId="3FE07B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68" w:hRule="exact"/>
        </w:trPr>
        <w:tc>
          <w:tcPr>
            <w:tcW w:w="1221" w:type="dxa"/>
          </w:tcPr>
          <w:p w14:paraId="520A5503">
            <w:pPr>
              <w:autoSpaceDE w:val="0"/>
              <w:autoSpaceDN w:val="0"/>
              <w:adjustRightInd w:val="0"/>
              <w:snapToGrid w:val="0"/>
              <w:jc w:val="left"/>
              <w:rPr>
                <w:rFonts w:hint="eastAsia" w:ascii="宋体" w:hAnsi="宋体"/>
                <w:color w:val="auto"/>
                <w:kern w:val="0"/>
                <w:szCs w:val="21"/>
                <w:highlight w:val="none"/>
              </w:rPr>
            </w:pPr>
            <w:r>
              <w:rPr>
                <w:rFonts w:hint="eastAsia" w:ascii="宋体" w:hAnsi="宋体"/>
                <w:color w:val="auto"/>
                <w:kern w:val="0"/>
                <w:szCs w:val="21"/>
                <w:highlight w:val="none"/>
              </w:rPr>
              <w:t>……</w:t>
            </w:r>
          </w:p>
        </w:tc>
        <w:tc>
          <w:tcPr>
            <w:tcW w:w="627" w:type="dxa"/>
          </w:tcPr>
          <w:p w14:paraId="716C33C5">
            <w:pPr>
              <w:autoSpaceDE w:val="0"/>
              <w:autoSpaceDN w:val="0"/>
              <w:adjustRightInd w:val="0"/>
              <w:snapToGrid w:val="0"/>
              <w:jc w:val="left"/>
              <w:rPr>
                <w:rFonts w:hint="eastAsia" w:ascii="宋体" w:hAnsi="宋体"/>
                <w:color w:val="auto"/>
                <w:kern w:val="0"/>
                <w:szCs w:val="21"/>
                <w:highlight w:val="none"/>
              </w:rPr>
            </w:pPr>
          </w:p>
        </w:tc>
        <w:tc>
          <w:tcPr>
            <w:tcW w:w="851" w:type="dxa"/>
          </w:tcPr>
          <w:p w14:paraId="5F0B0B0B">
            <w:pPr>
              <w:autoSpaceDE w:val="0"/>
              <w:autoSpaceDN w:val="0"/>
              <w:adjustRightInd w:val="0"/>
              <w:snapToGrid w:val="0"/>
              <w:jc w:val="left"/>
              <w:rPr>
                <w:rFonts w:hint="eastAsia" w:ascii="宋体" w:hAnsi="宋体"/>
                <w:color w:val="auto"/>
                <w:kern w:val="0"/>
                <w:szCs w:val="21"/>
                <w:highlight w:val="none"/>
              </w:rPr>
            </w:pPr>
          </w:p>
        </w:tc>
        <w:tc>
          <w:tcPr>
            <w:tcW w:w="1134" w:type="dxa"/>
          </w:tcPr>
          <w:p w14:paraId="45B39636">
            <w:pPr>
              <w:autoSpaceDE w:val="0"/>
              <w:autoSpaceDN w:val="0"/>
              <w:adjustRightInd w:val="0"/>
              <w:snapToGrid w:val="0"/>
              <w:jc w:val="left"/>
              <w:rPr>
                <w:rFonts w:hint="eastAsia" w:ascii="宋体" w:hAnsi="宋体"/>
                <w:color w:val="auto"/>
                <w:kern w:val="0"/>
                <w:szCs w:val="21"/>
                <w:highlight w:val="none"/>
              </w:rPr>
            </w:pPr>
          </w:p>
        </w:tc>
        <w:tc>
          <w:tcPr>
            <w:tcW w:w="992" w:type="dxa"/>
          </w:tcPr>
          <w:p w14:paraId="15968111">
            <w:pPr>
              <w:autoSpaceDE w:val="0"/>
              <w:autoSpaceDN w:val="0"/>
              <w:adjustRightInd w:val="0"/>
              <w:snapToGrid w:val="0"/>
              <w:jc w:val="left"/>
              <w:rPr>
                <w:rFonts w:hint="eastAsia" w:ascii="宋体" w:hAnsi="宋体"/>
                <w:color w:val="auto"/>
                <w:kern w:val="0"/>
                <w:szCs w:val="21"/>
                <w:highlight w:val="none"/>
              </w:rPr>
            </w:pPr>
          </w:p>
        </w:tc>
        <w:tc>
          <w:tcPr>
            <w:tcW w:w="992" w:type="dxa"/>
          </w:tcPr>
          <w:p w14:paraId="49E22EC9">
            <w:pPr>
              <w:autoSpaceDE w:val="0"/>
              <w:autoSpaceDN w:val="0"/>
              <w:adjustRightInd w:val="0"/>
              <w:snapToGrid w:val="0"/>
              <w:jc w:val="left"/>
              <w:rPr>
                <w:rFonts w:hint="eastAsia" w:ascii="宋体" w:hAnsi="宋体"/>
                <w:color w:val="auto"/>
                <w:kern w:val="0"/>
                <w:szCs w:val="21"/>
                <w:highlight w:val="none"/>
              </w:rPr>
            </w:pPr>
          </w:p>
        </w:tc>
        <w:tc>
          <w:tcPr>
            <w:tcW w:w="992" w:type="dxa"/>
          </w:tcPr>
          <w:p w14:paraId="0529A50C">
            <w:pPr>
              <w:autoSpaceDE w:val="0"/>
              <w:autoSpaceDN w:val="0"/>
              <w:adjustRightInd w:val="0"/>
              <w:snapToGrid w:val="0"/>
              <w:jc w:val="left"/>
              <w:rPr>
                <w:rFonts w:hint="eastAsia" w:ascii="宋体" w:hAnsi="宋体"/>
                <w:color w:val="auto"/>
                <w:kern w:val="0"/>
                <w:szCs w:val="21"/>
                <w:highlight w:val="none"/>
              </w:rPr>
            </w:pPr>
          </w:p>
        </w:tc>
        <w:tc>
          <w:tcPr>
            <w:tcW w:w="1777" w:type="dxa"/>
          </w:tcPr>
          <w:p w14:paraId="29AD7089">
            <w:pPr>
              <w:autoSpaceDE w:val="0"/>
              <w:autoSpaceDN w:val="0"/>
              <w:adjustRightInd w:val="0"/>
              <w:snapToGrid w:val="0"/>
              <w:jc w:val="left"/>
              <w:rPr>
                <w:rFonts w:hint="eastAsia" w:ascii="宋体" w:hAnsi="宋体"/>
                <w:color w:val="auto"/>
                <w:kern w:val="0"/>
                <w:szCs w:val="21"/>
                <w:highlight w:val="none"/>
              </w:rPr>
            </w:pPr>
          </w:p>
        </w:tc>
        <w:tc>
          <w:tcPr>
            <w:tcW w:w="896" w:type="dxa"/>
          </w:tcPr>
          <w:p w14:paraId="7DC313EE">
            <w:pPr>
              <w:autoSpaceDE w:val="0"/>
              <w:autoSpaceDN w:val="0"/>
              <w:adjustRightInd w:val="0"/>
              <w:snapToGrid w:val="0"/>
              <w:jc w:val="left"/>
              <w:rPr>
                <w:rFonts w:hint="eastAsia" w:ascii="宋体" w:hAnsi="宋体"/>
                <w:color w:val="auto"/>
                <w:kern w:val="0"/>
                <w:szCs w:val="21"/>
                <w:highlight w:val="none"/>
              </w:rPr>
            </w:pPr>
          </w:p>
        </w:tc>
      </w:tr>
      <w:tr w14:paraId="3F0998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14:paraId="21E85F0C">
            <w:pPr>
              <w:autoSpaceDE w:val="0"/>
              <w:autoSpaceDN w:val="0"/>
              <w:adjustRightInd w:val="0"/>
              <w:snapToGrid w:val="0"/>
              <w:jc w:val="left"/>
              <w:rPr>
                <w:rFonts w:hint="eastAsia" w:ascii="宋体" w:hAnsi="宋体"/>
                <w:color w:val="auto"/>
                <w:kern w:val="0"/>
                <w:szCs w:val="21"/>
                <w:highlight w:val="none"/>
              </w:rPr>
            </w:pPr>
          </w:p>
        </w:tc>
        <w:tc>
          <w:tcPr>
            <w:tcW w:w="627" w:type="dxa"/>
          </w:tcPr>
          <w:p w14:paraId="6A9309CD">
            <w:pPr>
              <w:autoSpaceDE w:val="0"/>
              <w:autoSpaceDN w:val="0"/>
              <w:adjustRightInd w:val="0"/>
              <w:snapToGrid w:val="0"/>
              <w:jc w:val="left"/>
              <w:rPr>
                <w:rFonts w:hint="eastAsia" w:ascii="宋体" w:hAnsi="宋体"/>
                <w:color w:val="auto"/>
                <w:kern w:val="0"/>
                <w:szCs w:val="21"/>
                <w:highlight w:val="none"/>
              </w:rPr>
            </w:pPr>
          </w:p>
        </w:tc>
        <w:tc>
          <w:tcPr>
            <w:tcW w:w="851" w:type="dxa"/>
          </w:tcPr>
          <w:p w14:paraId="25EBF163">
            <w:pPr>
              <w:autoSpaceDE w:val="0"/>
              <w:autoSpaceDN w:val="0"/>
              <w:adjustRightInd w:val="0"/>
              <w:snapToGrid w:val="0"/>
              <w:jc w:val="left"/>
              <w:rPr>
                <w:rFonts w:hint="eastAsia" w:ascii="宋体" w:hAnsi="宋体"/>
                <w:color w:val="auto"/>
                <w:kern w:val="0"/>
                <w:szCs w:val="21"/>
                <w:highlight w:val="none"/>
              </w:rPr>
            </w:pPr>
          </w:p>
        </w:tc>
        <w:tc>
          <w:tcPr>
            <w:tcW w:w="1134" w:type="dxa"/>
          </w:tcPr>
          <w:p w14:paraId="67983CBA">
            <w:pPr>
              <w:autoSpaceDE w:val="0"/>
              <w:autoSpaceDN w:val="0"/>
              <w:adjustRightInd w:val="0"/>
              <w:snapToGrid w:val="0"/>
              <w:jc w:val="left"/>
              <w:rPr>
                <w:rFonts w:hint="eastAsia" w:ascii="宋体" w:hAnsi="宋体"/>
                <w:color w:val="auto"/>
                <w:kern w:val="0"/>
                <w:szCs w:val="21"/>
                <w:highlight w:val="none"/>
              </w:rPr>
            </w:pPr>
          </w:p>
        </w:tc>
        <w:tc>
          <w:tcPr>
            <w:tcW w:w="992" w:type="dxa"/>
          </w:tcPr>
          <w:p w14:paraId="565E9CA3">
            <w:pPr>
              <w:autoSpaceDE w:val="0"/>
              <w:autoSpaceDN w:val="0"/>
              <w:adjustRightInd w:val="0"/>
              <w:snapToGrid w:val="0"/>
              <w:jc w:val="left"/>
              <w:rPr>
                <w:rFonts w:hint="eastAsia" w:ascii="宋体" w:hAnsi="宋体"/>
                <w:color w:val="auto"/>
                <w:kern w:val="0"/>
                <w:szCs w:val="21"/>
                <w:highlight w:val="none"/>
              </w:rPr>
            </w:pPr>
          </w:p>
        </w:tc>
        <w:tc>
          <w:tcPr>
            <w:tcW w:w="992" w:type="dxa"/>
          </w:tcPr>
          <w:p w14:paraId="06ABF6BB">
            <w:pPr>
              <w:autoSpaceDE w:val="0"/>
              <w:autoSpaceDN w:val="0"/>
              <w:adjustRightInd w:val="0"/>
              <w:snapToGrid w:val="0"/>
              <w:jc w:val="left"/>
              <w:rPr>
                <w:rFonts w:hint="eastAsia" w:ascii="宋体" w:hAnsi="宋体"/>
                <w:color w:val="auto"/>
                <w:kern w:val="0"/>
                <w:szCs w:val="21"/>
                <w:highlight w:val="none"/>
              </w:rPr>
            </w:pPr>
          </w:p>
        </w:tc>
        <w:tc>
          <w:tcPr>
            <w:tcW w:w="992" w:type="dxa"/>
          </w:tcPr>
          <w:p w14:paraId="0E250B6D">
            <w:pPr>
              <w:autoSpaceDE w:val="0"/>
              <w:autoSpaceDN w:val="0"/>
              <w:adjustRightInd w:val="0"/>
              <w:snapToGrid w:val="0"/>
              <w:jc w:val="left"/>
              <w:rPr>
                <w:rFonts w:hint="eastAsia" w:ascii="宋体" w:hAnsi="宋体"/>
                <w:color w:val="auto"/>
                <w:kern w:val="0"/>
                <w:szCs w:val="21"/>
                <w:highlight w:val="none"/>
              </w:rPr>
            </w:pPr>
          </w:p>
        </w:tc>
        <w:tc>
          <w:tcPr>
            <w:tcW w:w="1777" w:type="dxa"/>
          </w:tcPr>
          <w:p w14:paraId="3E33FD82">
            <w:pPr>
              <w:autoSpaceDE w:val="0"/>
              <w:autoSpaceDN w:val="0"/>
              <w:adjustRightInd w:val="0"/>
              <w:snapToGrid w:val="0"/>
              <w:jc w:val="left"/>
              <w:rPr>
                <w:rFonts w:hint="eastAsia" w:ascii="宋体" w:hAnsi="宋体"/>
                <w:color w:val="auto"/>
                <w:kern w:val="0"/>
                <w:szCs w:val="21"/>
                <w:highlight w:val="none"/>
              </w:rPr>
            </w:pPr>
          </w:p>
        </w:tc>
        <w:tc>
          <w:tcPr>
            <w:tcW w:w="896" w:type="dxa"/>
          </w:tcPr>
          <w:p w14:paraId="6B9144CF">
            <w:pPr>
              <w:autoSpaceDE w:val="0"/>
              <w:autoSpaceDN w:val="0"/>
              <w:adjustRightInd w:val="0"/>
              <w:snapToGrid w:val="0"/>
              <w:jc w:val="left"/>
              <w:rPr>
                <w:rFonts w:hint="eastAsia" w:ascii="宋体" w:hAnsi="宋体"/>
                <w:color w:val="auto"/>
                <w:kern w:val="0"/>
                <w:szCs w:val="21"/>
                <w:highlight w:val="none"/>
              </w:rPr>
            </w:pPr>
          </w:p>
        </w:tc>
      </w:tr>
    </w:tbl>
    <w:p w14:paraId="6E210F61">
      <w:pPr>
        <w:spacing w:line="20" w:lineRule="exact"/>
        <w:jc w:val="center"/>
        <w:rPr>
          <w:rFonts w:hint="eastAsia" w:ascii="宋体" w:hAnsi="宋体"/>
          <w:color w:val="auto"/>
          <w:szCs w:val="21"/>
          <w:highlight w:val="none"/>
        </w:rPr>
      </w:pPr>
    </w:p>
    <w:p w14:paraId="0557EC2F">
      <w:pPr>
        <w:spacing w:line="480" w:lineRule="auto"/>
        <w:rPr>
          <w:rFonts w:hint="eastAsia" w:ascii="宋体" w:hAnsi="宋体"/>
          <w:color w:val="auto"/>
          <w:szCs w:val="21"/>
          <w:highlight w:val="none"/>
        </w:rPr>
      </w:pPr>
      <w:r>
        <w:rPr>
          <w:rFonts w:hint="eastAsia" w:ascii="宋体" w:hAnsi="宋体"/>
          <w:color w:val="auto"/>
          <w:szCs w:val="21"/>
          <w:highlight w:val="none"/>
        </w:rPr>
        <w:t>备注：本表按“第二篇 竞选人须知前附表  1.4.1”规定的“拟派项目人员”要求列明人员信息</w:t>
      </w:r>
    </w:p>
    <w:p w14:paraId="190C88F0">
      <w:pPr>
        <w:autoSpaceDE w:val="0"/>
        <w:autoSpaceDN w:val="0"/>
        <w:adjustRightInd w:val="0"/>
        <w:snapToGrid w:val="0"/>
        <w:spacing w:line="360" w:lineRule="auto"/>
        <w:jc w:val="center"/>
        <w:rPr>
          <w:rFonts w:hint="eastAsia" w:ascii="宋体" w:hAnsi="宋体"/>
          <w:color w:val="auto"/>
          <w:sz w:val="32"/>
          <w:szCs w:val="32"/>
          <w:highlight w:val="none"/>
        </w:rPr>
      </w:pPr>
      <w:r>
        <w:rPr>
          <w:rFonts w:ascii="宋体" w:hAnsi="宋体"/>
          <w:color w:val="auto"/>
          <w:szCs w:val="21"/>
          <w:highlight w:val="none"/>
        </w:rPr>
        <w:br w:type="page"/>
      </w:r>
      <w:r>
        <w:rPr>
          <w:rFonts w:hint="eastAsia" w:ascii="宋体" w:hAnsi="宋体" w:cs="宋体"/>
          <w:b/>
          <w:color w:val="auto"/>
          <w:kern w:val="0"/>
          <w:sz w:val="32"/>
          <w:szCs w:val="32"/>
          <w:highlight w:val="none"/>
        </w:rPr>
        <w:t>主要人员简历表</w:t>
      </w:r>
    </w:p>
    <w:tbl>
      <w:tblPr>
        <w:tblStyle w:val="29"/>
        <w:tblW w:w="0" w:type="auto"/>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69096F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0EE2C11">
            <w:pPr>
              <w:tabs>
                <w:tab w:val="left" w:pos="520"/>
              </w:tabs>
              <w:autoSpaceDE w:val="0"/>
              <w:autoSpaceDN w:val="0"/>
              <w:adjustRightInd w:val="0"/>
              <w:snapToGrid w:val="0"/>
              <w:jc w:val="center"/>
              <w:rPr>
                <w:rFonts w:hint="eastAsia"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1C1D4997">
            <w:pPr>
              <w:autoSpaceDE w:val="0"/>
              <w:autoSpaceDN w:val="0"/>
              <w:adjustRightInd w:val="0"/>
              <w:snapToGrid w:val="0"/>
              <w:jc w:val="center"/>
              <w:rPr>
                <w:rFonts w:hint="eastAsia" w:ascii="宋体" w:hAnsi="宋体"/>
                <w:color w:val="auto"/>
                <w:kern w:val="0"/>
                <w:szCs w:val="21"/>
                <w:highlight w:val="none"/>
              </w:rPr>
            </w:pPr>
          </w:p>
        </w:tc>
        <w:tc>
          <w:tcPr>
            <w:tcW w:w="1020" w:type="dxa"/>
            <w:vAlign w:val="center"/>
          </w:tcPr>
          <w:p w14:paraId="2A9CEF49">
            <w:pPr>
              <w:autoSpaceDE w:val="0"/>
              <w:autoSpaceDN w:val="0"/>
              <w:adjustRightInd w:val="0"/>
              <w:snapToGrid w:val="0"/>
              <w:jc w:val="center"/>
              <w:rPr>
                <w:rFonts w:hint="eastAsia"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61949DA8">
            <w:pPr>
              <w:autoSpaceDE w:val="0"/>
              <w:autoSpaceDN w:val="0"/>
              <w:adjustRightInd w:val="0"/>
              <w:snapToGrid w:val="0"/>
              <w:jc w:val="center"/>
              <w:rPr>
                <w:rFonts w:hint="eastAsia" w:ascii="宋体" w:hAnsi="宋体"/>
                <w:color w:val="auto"/>
                <w:kern w:val="0"/>
                <w:szCs w:val="21"/>
                <w:highlight w:val="none"/>
              </w:rPr>
            </w:pPr>
          </w:p>
        </w:tc>
        <w:tc>
          <w:tcPr>
            <w:tcW w:w="2346" w:type="dxa"/>
            <w:gridSpan w:val="3"/>
            <w:vAlign w:val="center"/>
          </w:tcPr>
          <w:p w14:paraId="1D712394">
            <w:pPr>
              <w:autoSpaceDE w:val="0"/>
              <w:autoSpaceDN w:val="0"/>
              <w:adjustRightInd w:val="0"/>
              <w:snapToGrid w:val="0"/>
              <w:jc w:val="center"/>
              <w:rPr>
                <w:rFonts w:hint="eastAsia"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186EADAC">
            <w:pPr>
              <w:autoSpaceDE w:val="0"/>
              <w:autoSpaceDN w:val="0"/>
              <w:adjustRightInd w:val="0"/>
              <w:snapToGrid w:val="0"/>
              <w:jc w:val="center"/>
              <w:rPr>
                <w:rFonts w:hint="eastAsia" w:ascii="宋体" w:hAnsi="宋体"/>
                <w:color w:val="auto"/>
                <w:kern w:val="0"/>
                <w:szCs w:val="21"/>
                <w:highlight w:val="none"/>
              </w:rPr>
            </w:pPr>
          </w:p>
        </w:tc>
      </w:tr>
      <w:tr w14:paraId="43638D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9FC2849">
            <w:pPr>
              <w:tabs>
                <w:tab w:val="left" w:pos="520"/>
              </w:tabs>
              <w:autoSpaceDE w:val="0"/>
              <w:autoSpaceDN w:val="0"/>
              <w:adjustRightInd w:val="0"/>
              <w:snapToGrid w:val="0"/>
              <w:jc w:val="center"/>
              <w:rPr>
                <w:rFonts w:hint="eastAsia"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49A23ECD">
            <w:pPr>
              <w:autoSpaceDE w:val="0"/>
              <w:autoSpaceDN w:val="0"/>
              <w:adjustRightInd w:val="0"/>
              <w:snapToGrid w:val="0"/>
              <w:jc w:val="center"/>
              <w:rPr>
                <w:rFonts w:hint="eastAsia" w:ascii="宋体" w:hAnsi="宋体"/>
                <w:color w:val="auto"/>
                <w:kern w:val="0"/>
                <w:szCs w:val="21"/>
                <w:highlight w:val="none"/>
              </w:rPr>
            </w:pPr>
          </w:p>
        </w:tc>
        <w:tc>
          <w:tcPr>
            <w:tcW w:w="1020" w:type="dxa"/>
            <w:vAlign w:val="center"/>
          </w:tcPr>
          <w:p w14:paraId="705026D8">
            <w:pPr>
              <w:autoSpaceDE w:val="0"/>
              <w:autoSpaceDN w:val="0"/>
              <w:adjustRightInd w:val="0"/>
              <w:snapToGrid w:val="0"/>
              <w:jc w:val="center"/>
              <w:rPr>
                <w:rFonts w:hint="eastAsia"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4DEF2DA5">
            <w:pPr>
              <w:autoSpaceDE w:val="0"/>
              <w:autoSpaceDN w:val="0"/>
              <w:adjustRightInd w:val="0"/>
              <w:snapToGrid w:val="0"/>
              <w:jc w:val="center"/>
              <w:rPr>
                <w:rFonts w:hint="eastAsia" w:ascii="宋体" w:hAnsi="宋体"/>
                <w:color w:val="auto"/>
                <w:kern w:val="0"/>
                <w:szCs w:val="21"/>
                <w:highlight w:val="none"/>
              </w:rPr>
            </w:pPr>
          </w:p>
        </w:tc>
        <w:tc>
          <w:tcPr>
            <w:tcW w:w="2346" w:type="dxa"/>
            <w:gridSpan w:val="3"/>
            <w:vAlign w:val="center"/>
          </w:tcPr>
          <w:p w14:paraId="6BB6F279">
            <w:pPr>
              <w:autoSpaceDE w:val="0"/>
              <w:autoSpaceDN w:val="0"/>
              <w:adjustRightInd w:val="0"/>
              <w:snapToGrid w:val="0"/>
              <w:jc w:val="center"/>
              <w:rPr>
                <w:rFonts w:hint="eastAsia"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6480FC7F">
            <w:pPr>
              <w:autoSpaceDE w:val="0"/>
              <w:autoSpaceDN w:val="0"/>
              <w:adjustRightInd w:val="0"/>
              <w:snapToGrid w:val="0"/>
              <w:jc w:val="center"/>
              <w:rPr>
                <w:rFonts w:hint="eastAsia" w:ascii="宋体" w:hAnsi="宋体"/>
                <w:color w:val="auto"/>
                <w:kern w:val="0"/>
                <w:szCs w:val="21"/>
                <w:highlight w:val="none"/>
              </w:rPr>
            </w:pPr>
          </w:p>
        </w:tc>
      </w:tr>
      <w:tr w14:paraId="287C87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5D41AAA8">
            <w:pPr>
              <w:autoSpaceDE w:val="0"/>
              <w:autoSpaceDN w:val="0"/>
              <w:adjustRightInd w:val="0"/>
              <w:snapToGrid w:val="0"/>
              <w:jc w:val="center"/>
              <w:rPr>
                <w:rFonts w:hint="eastAsia"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3B3CD9CE">
            <w:pPr>
              <w:tabs>
                <w:tab w:val="left" w:pos="2820"/>
                <w:tab w:val="left" w:pos="4080"/>
              </w:tabs>
              <w:autoSpaceDE w:val="0"/>
              <w:autoSpaceDN w:val="0"/>
              <w:adjustRightInd w:val="0"/>
              <w:snapToGrid w:val="0"/>
              <w:jc w:val="center"/>
              <w:rPr>
                <w:rFonts w:hint="eastAsia"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68772D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4C656241">
            <w:pPr>
              <w:autoSpaceDE w:val="0"/>
              <w:autoSpaceDN w:val="0"/>
              <w:adjustRightInd w:val="0"/>
              <w:snapToGrid w:val="0"/>
              <w:jc w:val="center"/>
              <w:rPr>
                <w:rFonts w:hint="eastAsia" w:ascii="宋体" w:hAnsi="宋体"/>
                <w:color w:val="auto"/>
                <w:kern w:val="0"/>
                <w:szCs w:val="21"/>
                <w:highlight w:val="none"/>
              </w:rPr>
            </w:pPr>
            <w:r>
              <w:rPr>
                <w:rFonts w:ascii="宋体" w:hAnsi="宋体"/>
                <w:color w:val="auto"/>
                <w:kern w:val="0"/>
                <w:szCs w:val="21"/>
                <w:highlight w:val="none"/>
              </w:rPr>
              <w:t>主要工作经历</w:t>
            </w:r>
          </w:p>
        </w:tc>
      </w:tr>
      <w:tr w14:paraId="514B1E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F242726">
            <w:pPr>
              <w:tabs>
                <w:tab w:val="left" w:pos="520"/>
              </w:tabs>
              <w:autoSpaceDE w:val="0"/>
              <w:autoSpaceDN w:val="0"/>
              <w:adjustRightInd w:val="0"/>
              <w:snapToGrid w:val="0"/>
              <w:jc w:val="center"/>
              <w:rPr>
                <w:rFonts w:hint="eastAsia"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68FEC04F">
            <w:pPr>
              <w:autoSpaceDE w:val="0"/>
              <w:autoSpaceDN w:val="0"/>
              <w:adjustRightInd w:val="0"/>
              <w:snapToGrid w:val="0"/>
              <w:jc w:val="center"/>
              <w:rPr>
                <w:rFonts w:hint="eastAsia"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102478EF">
            <w:pPr>
              <w:autoSpaceDE w:val="0"/>
              <w:autoSpaceDN w:val="0"/>
              <w:adjustRightInd w:val="0"/>
              <w:snapToGrid w:val="0"/>
              <w:jc w:val="center"/>
              <w:rPr>
                <w:rFonts w:hint="eastAsia"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62402152">
            <w:pPr>
              <w:autoSpaceDE w:val="0"/>
              <w:autoSpaceDN w:val="0"/>
              <w:adjustRightInd w:val="0"/>
              <w:snapToGrid w:val="0"/>
              <w:jc w:val="center"/>
              <w:rPr>
                <w:rFonts w:hint="eastAsia" w:ascii="宋体" w:hAnsi="宋体"/>
                <w:color w:val="auto"/>
                <w:kern w:val="0"/>
                <w:szCs w:val="21"/>
                <w:highlight w:val="none"/>
              </w:rPr>
            </w:pPr>
            <w:r>
              <w:rPr>
                <w:rFonts w:ascii="宋体" w:hAnsi="宋体"/>
                <w:color w:val="auto"/>
                <w:kern w:val="0"/>
                <w:szCs w:val="21"/>
                <w:highlight w:val="none"/>
              </w:rPr>
              <w:t>发包人及联系电话</w:t>
            </w:r>
          </w:p>
        </w:tc>
      </w:tr>
      <w:tr w14:paraId="2183A6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9F05501">
            <w:pPr>
              <w:autoSpaceDE w:val="0"/>
              <w:autoSpaceDN w:val="0"/>
              <w:adjustRightInd w:val="0"/>
              <w:snapToGrid w:val="0"/>
              <w:jc w:val="center"/>
              <w:rPr>
                <w:rFonts w:hint="eastAsia" w:ascii="宋体" w:hAnsi="宋体"/>
                <w:color w:val="auto"/>
                <w:kern w:val="0"/>
                <w:szCs w:val="21"/>
                <w:highlight w:val="none"/>
              </w:rPr>
            </w:pPr>
          </w:p>
        </w:tc>
        <w:tc>
          <w:tcPr>
            <w:tcW w:w="3768" w:type="dxa"/>
            <w:gridSpan w:val="4"/>
            <w:vAlign w:val="center"/>
          </w:tcPr>
          <w:p w14:paraId="23F9EEB1">
            <w:pPr>
              <w:autoSpaceDE w:val="0"/>
              <w:autoSpaceDN w:val="0"/>
              <w:adjustRightInd w:val="0"/>
              <w:snapToGrid w:val="0"/>
              <w:jc w:val="center"/>
              <w:rPr>
                <w:rFonts w:hint="eastAsia" w:ascii="宋体" w:hAnsi="宋体"/>
                <w:color w:val="auto"/>
                <w:kern w:val="0"/>
                <w:szCs w:val="21"/>
                <w:highlight w:val="none"/>
              </w:rPr>
            </w:pPr>
          </w:p>
        </w:tc>
        <w:tc>
          <w:tcPr>
            <w:tcW w:w="1388" w:type="dxa"/>
            <w:vAlign w:val="center"/>
          </w:tcPr>
          <w:p w14:paraId="4646C249">
            <w:pPr>
              <w:autoSpaceDE w:val="0"/>
              <w:autoSpaceDN w:val="0"/>
              <w:adjustRightInd w:val="0"/>
              <w:snapToGrid w:val="0"/>
              <w:jc w:val="center"/>
              <w:rPr>
                <w:rFonts w:hint="eastAsia" w:ascii="宋体" w:hAnsi="宋体"/>
                <w:color w:val="auto"/>
                <w:kern w:val="0"/>
                <w:szCs w:val="21"/>
                <w:highlight w:val="none"/>
              </w:rPr>
            </w:pPr>
          </w:p>
        </w:tc>
        <w:tc>
          <w:tcPr>
            <w:tcW w:w="2706" w:type="dxa"/>
            <w:gridSpan w:val="2"/>
            <w:vAlign w:val="center"/>
          </w:tcPr>
          <w:p w14:paraId="23983706">
            <w:pPr>
              <w:autoSpaceDE w:val="0"/>
              <w:autoSpaceDN w:val="0"/>
              <w:adjustRightInd w:val="0"/>
              <w:snapToGrid w:val="0"/>
              <w:jc w:val="center"/>
              <w:rPr>
                <w:rFonts w:hint="eastAsia" w:ascii="宋体" w:hAnsi="宋体"/>
                <w:color w:val="auto"/>
                <w:kern w:val="0"/>
                <w:szCs w:val="21"/>
                <w:highlight w:val="none"/>
              </w:rPr>
            </w:pPr>
          </w:p>
        </w:tc>
      </w:tr>
      <w:tr w14:paraId="1C9AD9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2888492">
            <w:pPr>
              <w:autoSpaceDE w:val="0"/>
              <w:autoSpaceDN w:val="0"/>
              <w:adjustRightInd w:val="0"/>
              <w:snapToGrid w:val="0"/>
              <w:jc w:val="center"/>
              <w:rPr>
                <w:rFonts w:hint="eastAsia" w:ascii="宋体" w:hAnsi="宋体"/>
                <w:color w:val="auto"/>
                <w:kern w:val="0"/>
                <w:szCs w:val="21"/>
                <w:highlight w:val="none"/>
              </w:rPr>
            </w:pPr>
          </w:p>
        </w:tc>
        <w:tc>
          <w:tcPr>
            <w:tcW w:w="3768" w:type="dxa"/>
            <w:gridSpan w:val="4"/>
            <w:vAlign w:val="center"/>
          </w:tcPr>
          <w:p w14:paraId="5A52AD4E">
            <w:pPr>
              <w:autoSpaceDE w:val="0"/>
              <w:autoSpaceDN w:val="0"/>
              <w:adjustRightInd w:val="0"/>
              <w:snapToGrid w:val="0"/>
              <w:jc w:val="center"/>
              <w:rPr>
                <w:rFonts w:hint="eastAsia" w:ascii="宋体" w:hAnsi="宋体"/>
                <w:color w:val="auto"/>
                <w:kern w:val="0"/>
                <w:szCs w:val="21"/>
                <w:highlight w:val="none"/>
              </w:rPr>
            </w:pPr>
          </w:p>
        </w:tc>
        <w:tc>
          <w:tcPr>
            <w:tcW w:w="1388" w:type="dxa"/>
            <w:vAlign w:val="center"/>
          </w:tcPr>
          <w:p w14:paraId="30CF6221">
            <w:pPr>
              <w:autoSpaceDE w:val="0"/>
              <w:autoSpaceDN w:val="0"/>
              <w:adjustRightInd w:val="0"/>
              <w:snapToGrid w:val="0"/>
              <w:jc w:val="center"/>
              <w:rPr>
                <w:rFonts w:hint="eastAsia" w:ascii="宋体" w:hAnsi="宋体"/>
                <w:color w:val="auto"/>
                <w:kern w:val="0"/>
                <w:szCs w:val="21"/>
                <w:highlight w:val="none"/>
              </w:rPr>
            </w:pPr>
          </w:p>
        </w:tc>
        <w:tc>
          <w:tcPr>
            <w:tcW w:w="2706" w:type="dxa"/>
            <w:gridSpan w:val="2"/>
            <w:vAlign w:val="center"/>
          </w:tcPr>
          <w:p w14:paraId="1EF448D5">
            <w:pPr>
              <w:autoSpaceDE w:val="0"/>
              <w:autoSpaceDN w:val="0"/>
              <w:adjustRightInd w:val="0"/>
              <w:snapToGrid w:val="0"/>
              <w:jc w:val="center"/>
              <w:rPr>
                <w:rFonts w:hint="eastAsia" w:ascii="宋体" w:hAnsi="宋体"/>
                <w:color w:val="auto"/>
                <w:kern w:val="0"/>
                <w:szCs w:val="21"/>
                <w:highlight w:val="none"/>
              </w:rPr>
            </w:pPr>
          </w:p>
        </w:tc>
      </w:tr>
      <w:tr w14:paraId="797928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B9FF0A3">
            <w:pPr>
              <w:autoSpaceDE w:val="0"/>
              <w:autoSpaceDN w:val="0"/>
              <w:adjustRightInd w:val="0"/>
              <w:snapToGrid w:val="0"/>
              <w:jc w:val="center"/>
              <w:rPr>
                <w:rFonts w:hint="eastAsia" w:ascii="宋体" w:hAnsi="宋体"/>
                <w:color w:val="auto"/>
                <w:kern w:val="0"/>
                <w:szCs w:val="21"/>
                <w:highlight w:val="none"/>
              </w:rPr>
            </w:pPr>
          </w:p>
        </w:tc>
        <w:tc>
          <w:tcPr>
            <w:tcW w:w="3768" w:type="dxa"/>
            <w:gridSpan w:val="4"/>
            <w:vAlign w:val="center"/>
          </w:tcPr>
          <w:p w14:paraId="41DF9A45">
            <w:pPr>
              <w:autoSpaceDE w:val="0"/>
              <w:autoSpaceDN w:val="0"/>
              <w:adjustRightInd w:val="0"/>
              <w:snapToGrid w:val="0"/>
              <w:jc w:val="center"/>
              <w:rPr>
                <w:rFonts w:hint="eastAsia" w:ascii="宋体" w:hAnsi="宋体"/>
                <w:color w:val="auto"/>
                <w:kern w:val="0"/>
                <w:szCs w:val="21"/>
                <w:highlight w:val="none"/>
              </w:rPr>
            </w:pPr>
          </w:p>
        </w:tc>
        <w:tc>
          <w:tcPr>
            <w:tcW w:w="1388" w:type="dxa"/>
            <w:vAlign w:val="center"/>
          </w:tcPr>
          <w:p w14:paraId="3A2E290D">
            <w:pPr>
              <w:autoSpaceDE w:val="0"/>
              <w:autoSpaceDN w:val="0"/>
              <w:adjustRightInd w:val="0"/>
              <w:snapToGrid w:val="0"/>
              <w:jc w:val="center"/>
              <w:rPr>
                <w:rFonts w:hint="eastAsia" w:ascii="宋体" w:hAnsi="宋体"/>
                <w:color w:val="auto"/>
                <w:kern w:val="0"/>
                <w:szCs w:val="21"/>
                <w:highlight w:val="none"/>
              </w:rPr>
            </w:pPr>
          </w:p>
        </w:tc>
        <w:tc>
          <w:tcPr>
            <w:tcW w:w="2706" w:type="dxa"/>
            <w:gridSpan w:val="2"/>
            <w:vAlign w:val="center"/>
          </w:tcPr>
          <w:p w14:paraId="17E9A55A">
            <w:pPr>
              <w:autoSpaceDE w:val="0"/>
              <w:autoSpaceDN w:val="0"/>
              <w:adjustRightInd w:val="0"/>
              <w:snapToGrid w:val="0"/>
              <w:jc w:val="center"/>
              <w:rPr>
                <w:rFonts w:hint="eastAsia" w:ascii="宋体" w:hAnsi="宋体"/>
                <w:color w:val="auto"/>
                <w:kern w:val="0"/>
                <w:szCs w:val="21"/>
                <w:highlight w:val="none"/>
              </w:rPr>
            </w:pPr>
          </w:p>
        </w:tc>
      </w:tr>
      <w:tr w14:paraId="0A1CA6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802DAC2">
            <w:pPr>
              <w:autoSpaceDE w:val="0"/>
              <w:autoSpaceDN w:val="0"/>
              <w:adjustRightInd w:val="0"/>
              <w:snapToGrid w:val="0"/>
              <w:jc w:val="center"/>
              <w:rPr>
                <w:rFonts w:hint="eastAsia" w:ascii="宋体" w:hAnsi="宋体"/>
                <w:color w:val="auto"/>
                <w:kern w:val="0"/>
                <w:szCs w:val="21"/>
                <w:highlight w:val="none"/>
              </w:rPr>
            </w:pPr>
          </w:p>
        </w:tc>
        <w:tc>
          <w:tcPr>
            <w:tcW w:w="3768" w:type="dxa"/>
            <w:gridSpan w:val="4"/>
            <w:vAlign w:val="center"/>
          </w:tcPr>
          <w:p w14:paraId="608F2283">
            <w:pPr>
              <w:autoSpaceDE w:val="0"/>
              <w:autoSpaceDN w:val="0"/>
              <w:adjustRightInd w:val="0"/>
              <w:snapToGrid w:val="0"/>
              <w:jc w:val="center"/>
              <w:rPr>
                <w:rFonts w:hint="eastAsia" w:ascii="宋体" w:hAnsi="宋体"/>
                <w:color w:val="auto"/>
                <w:kern w:val="0"/>
                <w:szCs w:val="21"/>
                <w:highlight w:val="none"/>
              </w:rPr>
            </w:pPr>
          </w:p>
        </w:tc>
        <w:tc>
          <w:tcPr>
            <w:tcW w:w="1388" w:type="dxa"/>
            <w:vAlign w:val="center"/>
          </w:tcPr>
          <w:p w14:paraId="6E2BD3DA">
            <w:pPr>
              <w:autoSpaceDE w:val="0"/>
              <w:autoSpaceDN w:val="0"/>
              <w:adjustRightInd w:val="0"/>
              <w:snapToGrid w:val="0"/>
              <w:jc w:val="center"/>
              <w:rPr>
                <w:rFonts w:hint="eastAsia" w:ascii="宋体" w:hAnsi="宋体"/>
                <w:color w:val="auto"/>
                <w:kern w:val="0"/>
                <w:szCs w:val="21"/>
                <w:highlight w:val="none"/>
              </w:rPr>
            </w:pPr>
          </w:p>
        </w:tc>
        <w:tc>
          <w:tcPr>
            <w:tcW w:w="2706" w:type="dxa"/>
            <w:gridSpan w:val="2"/>
            <w:vAlign w:val="center"/>
          </w:tcPr>
          <w:p w14:paraId="226B515A">
            <w:pPr>
              <w:autoSpaceDE w:val="0"/>
              <w:autoSpaceDN w:val="0"/>
              <w:adjustRightInd w:val="0"/>
              <w:snapToGrid w:val="0"/>
              <w:jc w:val="center"/>
              <w:rPr>
                <w:rFonts w:hint="eastAsia" w:ascii="宋体" w:hAnsi="宋体"/>
                <w:color w:val="auto"/>
                <w:kern w:val="0"/>
                <w:szCs w:val="21"/>
                <w:highlight w:val="none"/>
              </w:rPr>
            </w:pPr>
          </w:p>
        </w:tc>
      </w:tr>
      <w:tr w14:paraId="5F82B4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830A25D">
            <w:pPr>
              <w:autoSpaceDE w:val="0"/>
              <w:autoSpaceDN w:val="0"/>
              <w:adjustRightInd w:val="0"/>
              <w:snapToGrid w:val="0"/>
              <w:jc w:val="center"/>
              <w:rPr>
                <w:rFonts w:hint="eastAsia" w:ascii="宋体" w:hAnsi="宋体"/>
                <w:color w:val="auto"/>
                <w:kern w:val="0"/>
                <w:szCs w:val="21"/>
                <w:highlight w:val="none"/>
              </w:rPr>
            </w:pPr>
          </w:p>
        </w:tc>
        <w:tc>
          <w:tcPr>
            <w:tcW w:w="3768" w:type="dxa"/>
            <w:gridSpan w:val="4"/>
            <w:vAlign w:val="center"/>
          </w:tcPr>
          <w:p w14:paraId="4CD18EA5">
            <w:pPr>
              <w:autoSpaceDE w:val="0"/>
              <w:autoSpaceDN w:val="0"/>
              <w:adjustRightInd w:val="0"/>
              <w:snapToGrid w:val="0"/>
              <w:jc w:val="center"/>
              <w:rPr>
                <w:rFonts w:hint="eastAsia" w:ascii="宋体" w:hAnsi="宋体"/>
                <w:color w:val="auto"/>
                <w:kern w:val="0"/>
                <w:szCs w:val="21"/>
                <w:highlight w:val="none"/>
              </w:rPr>
            </w:pPr>
          </w:p>
        </w:tc>
        <w:tc>
          <w:tcPr>
            <w:tcW w:w="1388" w:type="dxa"/>
            <w:vAlign w:val="center"/>
          </w:tcPr>
          <w:p w14:paraId="1E5A2703">
            <w:pPr>
              <w:autoSpaceDE w:val="0"/>
              <w:autoSpaceDN w:val="0"/>
              <w:adjustRightInd w:val="0"/>
              <w:snapToGrid w:val="0"/>
              <w:jc w:val="center"/>
              <w:rPr>
                <w:rFonts w:hint="eastAsia" w:ascii="宋体" w:hAnsi="宋体"/>
                <w:color w:val="auto"/>
                <w:kern w:val="0"/>
                <w:szCs w:val="21"/>
                <w:highlight w:val="none"/>
              </w:rPr>
            </w:pPr>
          </w:p>
        </w:tc>
        <w:tc>
          <w:tcPr>
            <w:tcW w:w="2706" w:type="dxa"/>
            <w:gridSpan w:val="2"/>
            <w:vAlign w:val="center"/>
          </w:tcPr>
          <w:p w14:paraId="0397541E">
            <w:pPr>
              <w:autoSpaceDE w:val="0"/>
              <w:autoSpaceDN w:val="0"/>
              <w:adjustRightInd w:val="0"/>
              <w:snapToGrid w:val="0"/>
              <w:jc w:val="center"/>
              <w:rPr>
                <w:rFonts w:hint="eastAsia" w:ascii="宋体" w:hAnsi="宋体"/>
                <w:color w:val="auto"/>
                <w:kern w:val="0"/>
                <w:szCs w:val="21"/>
                <w:highlight w:val="none"/>
              </w:rPr>
            </w:pPr>
          </w:p>
        </w:tc>
      </w:tr>
      <w:tr w14:paraId="3CF654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464B501">
            <w:pPr>
              <w:autoSpaceDE w:val="0"/>
              <w:autoSpaceDN w:val="0"/>
              <w:adjustRightInd w:val="0"/>
              <w:snapToGrid w:val="0"/>
              <w:jc w:val="center"/>
              <w:rPr>
                <w:rFonts w:hint="eastAsia" w:ascii="宋体" w:hAnsi="宋体"/>
                <w:color w:val="auto"/>
                <w:kern w:val="0"/>
                <w:szCs w:val="21"/>
                <w:highlight w:val="none"/>
              </w:rPr>
            </w:pPr>
          </w:p>
        </w:tc>
        <w:tc>
          <w:tcPr>
            <w:tcW w:w="3768" w:type="dxa"/>
            <w:gridSpan w:val="4"/>
            <w:vAlign w:val="center"/>
          </w:tcPr>
          <w:p w14:paraId="1680C254">
            <w:pPr>
              <w:autoSpaceDE w:val="0"/>
              <w:autoSpaceDN w:val="0"/>
              <w:adjustRightInd w:val="0"/>
              <w:snapToGrid w:val="0"/>
              <w:jc w:val="center"/>
              <w:rPr>
                <w:rFonts w:hint="eastAsia" w:ascii="宋体" w:hAnsi="宋体"/>
                <w:color w:val="auto"/>
                <w:kern w:val="0"/>
                <w:szCs w:val="21"/>
                <w:highlight w:val="none"/>
              </w:rPr>
            </w:pPr>
          </w:p>
        </w:tc>
        <w:tc>
          <w:tcPr>
            <w:tcW w:w="1388" w:type="dxa"/>
            <w:vAlign w:val="center"/>
          </w:tcPr>
          <w:p w14:paraId="64ABD79F">
            <w:pPr>
              <w:autoSpaceDE w:val="0"/>
              <w:autoSpaceDN w:val="0"/>
              <w:adjustRightInd w:val="0"/>
              <w:snapToGrid w:val="0"/>
              <w:jc w:val="center"/>
              <w:rPr>
                <w:rFonts w:hint="eastAsia" w:ascii="宋体" w:hAnsi="宋体"/>
                <w:color w:val="auto"/>
                <w:kern w:val="0"/>
                <w:szCs w:val="21"/>
                <w:highlight w:val="none"/>
              </w:rPr>
            </w:pPr>
          </w:p>
        </w:tc>
        <w:tc>
          <w:tcPr>
            <w:tcW w:w="2706" w:type="dxa"/>
            <w:gridSpan w:val="2"/>
            <w:vAlign w:val="center"/>
          </w:tcPr>
          <w:p w14:paraId="2F7BD710">
            <w:pPr>
              <w:autoSpaceDE w:val="0"/>
              <w:autoSpaceDN w:val="0"/>
              <w:adjustRightInd w:val="0"/>
              <w:snapToGrid w:val="0"/>
              <w:jc w:val="center"/>
              <w:rPr>
                <w:rFonts w:hint="eastAsia" w:ascii="宋体" w:hAnsi="宋体"/>
                <w:color w:val="auto"/>
                <w:kern w:val="0"/>
                <w:szCs w:val="21"/>
                <w:highlight w:val="none"/>
              </w:rPr>
            </w:pPr>
          </w:p>
        </w:tc>
      </w:tr>
      <w:tr w14:paraId="1C8D9D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11A94AF">
            <w:pPr>
              <w:autoSpaceDE w:val="0"/>
              <w:autoSpaceDN w:val="0"/>
              <w:adjustRightInd w:val="0"/>
              <w:snapToGrid w:val="0"/>
              <w:jc w:val="center"/>
              <w:rPr>
                <w:rFonts w:hint="eastAsia" w:ascii="宋体" w:hAnsi="宋体"/>
                <w:color w:val="auto"/>
                <w:kern w:val="0"/>
                <w:szCs w:val="21"/>
                <w:highlight w:val="none"/>
              </w:rPr>
            </w:pPr>
          </w:p>
        </w:tc>
        <w:tc>
          <w:tcPr>
            <w:tcW w:w="3768" w:type="dxa"/>
            <w:gridSpan w:val="4"/>
            <w:vAlign w:val="center"/>
          </w:tcPr>
          <w:p w14:paraId="03C6EDBF">
            <w:pPr>
              <w:autoSpaceDE w:val="0"/>
              <w:autoSpaceDN w:val="0"/>
              <w:adjustRightInd w:val="0"/>
              <w:snapToGrid w:val="0"/>
              <w:jc w:val="center"/>
              <w:rPr>
                <w:rFonts w:hint="eastAsia" w:ascii="宋体" w:hAnsi="宋体"/>
                <w:color w:val="auto"/>
                <w:kern w:val="0"/>
                <w:szCs w:val="21"/>
                <w:highlight w:val="none"/>
              </w:rPr>
            </w:pPr>
          </w:p>
        </w:tc>
        <w:tc>
          <w:tcPr>
            <w:tcW w:w="1388" w:type="dxa"/>
            <w:vAlign w:val="center"/>
          </w:tcPr>
          <w:p w14:paraId="019B68A5">
            <w:pPr>
              <w:autoSpaceDE w:val="0"/>
              <w:autoSpaceDN w:val="0"/>
              <w:adjustRightInd w:val="0"/>
              <w:snapToGrid w:val="0"/>
              <w:jc w:val="center"/>
              <w:rPr>
                <w:rFonts w:hint="eastAsia" w:ascii="宋体" w:hAnsi="宋体"/>
                <w:color w:val="auto"/>
                <w:kern w:val="0"/>
                <w:szCs w:val="21"/>
                <w:highlight w:val="none"/>
              </w:rPr>
            </w:pPr>
          </w:p>
        </w:tc>
        <w:tc>
          <w:tcPr>
            <w:tcW w:w="2706" w:type="dxa"/>
            <w:gridSpan w:val="2"/>
            <w:vAlign w:val="center"/>
          </w:tcPr>
          <w:p w14:paraId="420A3485">
            <w:pPr>
              <w:autoSpaceDE w:val="0"/>
              <w:autoSpaceDN w:val="0"/>
              <w:adjustRightInd w:val="0"/>
              <w:snapToGrid w:val="0"/>
              <w:jc w:val="center"/>
              <w:rPr>
                <w:rFonts w:hint="eastAsia" w:ascii="宋体" w:hAnsi="宋体"/>
                <w:color w:val="auto"/>
                <w:kern w:val="0"/>
                <w:szCs w:val="21"/>
                <w:highlight w:val="none"/>
              </w:rPr>
            </w:pPr>
          </w:p>
        </w:tc>
      </w:tr>
      <w:tr w14:paraId="0E412F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FD091A8">
            <w:pPr>
              <w:autoSpaceDE w:val="0"/>
              <w:autoSpaceDN w:val="0"/>
              <w:adjustRightInd w:val="0"/>
              <w:snapToGrid w:val="0"/>
              <w:jc w:val="center"/>
              <w:rPr>
                <w:rFonts w:hint="eastAsia" w:ascii="宋体" w:hAnsi="宋体"/>
                <w:color w:val="auto"/>
                <w:kern w:val="0"/>
                <w:szCs w:val="21"/>
                <w:highlight w:val="none"/>
              </w:rPr>
            </w:pPr>
          </w:p>
        </w:tc>
        <w:tc>
          <w:tcPr>
            <w:tcW w:w="3768" w:type="dxa"/>
            <w:gridSpan w:val="4"/>
            <w:vAlign w:val="center"/>
          </w:tcPr>
          <w:p w14:paraId="7F70E877">
            <w:pPr>
              <w:autoSpaceDE w:val="0"/>
              <w:autoSpaceDN w:val="0"/>
              <w:adjustRightInd w:val="0"/>
              <w:snapToGrid w:val="0"/>
              <w:jc w:val="center"/>
              <w:rPr>
                <w:rFonts w:hint="eastAsia" w:ascii="宋体" w:hAnsi="宋体"/>
                <w:color w:val="auto"/>
                <w:kern w:val="0"/>
                <w:szCs w:val="21"/>
                <w:highlight w:val="none"/>
              </w:rPr>
            </w:pPr>
          </w:p>
        </w:tc>
        <w:tc>
          <w:tcPr>
            <w:tcW w:w="1388" w:type="dxa"/>
            <w:vAlign w:val="center"/>
          </w:tcPr>
          <w:p w14:paraId="299328F9">
            <w:pPr>
              <w:autoSpaceDE w:val="0"/>
              <w:autoSpaceDN w:val="0"/>
              <w:adjustRightInd w:val="0"/>
              <w:snapToGrid w:val="0"/>
              <w:jc w:val="center"/>
              <w:rPr>
                <w:rFonts w:hint="eastAsia" w:ascii="宋体" w:hAnsi="宋体"/>
                <w:color w:val="auto"/>
                <w:kern w:val="0"/>
                <w:szCs w:val="21"/>
                <w:highlight w:val="none"/>
              </w:rPr>
            </w:pPr>
          </w:p>
        </w:tc>
        <w:tc>
          <w:tcPr>
            <w:tcW w:w="2706" w:type="dxa"/>
            <w:gridSpan w:val="2"/>
            <w:vAlign w:val="center"/>
          </w:tcPr>
          <w:p w14:paraId="0D97A929">
            <w:pPr>
              <w:autoSpaceDE w:val="0"/>
              <w:autoSpaceDN w:val="0"/>
              <w:adjustRightInd w:val="0"/>
              <w:snapToGrid w:val="0"/>
              <w:jc w:val="center"/>
              <w:rPr>
                <w:rFonts w:hint="eastAsia" w:ascii="宋体" w:hAnsi="宋体"/>
                <w:color w:val="auto"/>
                <w:kern w:val="0"/>
                <w:szCs w:val="21"/>
                <w:highlight w:val="none"/>
              </w:rPr>
            </w:pPr>
          </w:p>
        </w:tc>
      </w:tr>
      <w:tr w14:paraId="26A672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5B72FE2">
            <w:pPr>
              <w:autoSpaceDE w:val="0"/>
              <w:autoSpaceDN w:val="0"/>
              <w:adjustRightInd w:val="0"/>
              <w:snapToGrid w:val="0"/>
              <w:jc w:val="center"/>
              <w:rPr>
                <w:rFonts w:hint="eastAsia" w:ascii="宋体" w:hAnsi="宋体"/>
                <w:color w:val="auto"/>
                <w:kern w:val="0"/>
                <w:szCs w:val="21"/>
                <w:highlight w:val="none"/>
              </w:rPr>
            </w:pPr>
          </w:p>
        </w:tc>
        <w:tc>
          <w:tcPr>
            <w:tcW w:w="3768" w:type="dxa"/>
            <w:gridSpan w:val="4"/>
            <w:vAlign w:val="center"/>
          </w:tcPr>
          <w:p w14:paraId="0FB4DE5A">
            <w:pPr>
              <w:autoSpaceDE w:val="0"/>
              <w:autoSpaceDN w:val="0"/>
              <w:adjustRightInd w:val="0"/>
              <w:snapToGrid w:val="0"/>
              <w:jc w:val="center"/>
              <w:rPr>
                <w:rFonts w:hint="eastAsia" w:ascii="宋体" w:hAnsi="宋体"/>
                <w:color w:val="auto"/>
                <w:kern w:val="0"/>
                <w:szCs w:val="21"/>
                <w:highlight w:val="none"/>
              </w:rPr>
            </w:pPr>
          </w:p>
        </w:tc>
        <w:tc>
          <w:tcPr>
            <w:tcW w:w="1388" w:type="dxa"/>
            <w:vAlign w:val="center"/>
          </w:tcPr>
          <w:p w14:paraId="28C2CFE1">
            <w:pPr>
              <w:autoSpaceDE w:val="0"/>
              <w:autoSpaceDN w:val="0"/>
              <w:adjustRightInd w:val="0"/>
              <w:snapToGrid w:val="0"/>
              <w:jc w:val="center"/>
              <w:rPr>
                <w:rFonts w:hint="eastAsia" w:ascii="宋体" w:hAnsi="宋体"/>
                <w:color w:val="auto"/>
                <w:kern w:val="0"/>
                <w:szCs w:val="21"/>
                <w:highlight w:val="none"/>
              </w:rPr>
            </w:pPr>
          </w:p>
        </w:tc>
        <w:tc>
          <w:tcPr>
            <w:tcW w:w="2706" w:type="dxa"/>
            <w:gridSpan w:val="2"/>
            <w:vAlign w:val="center"/>
          </w:tcPr>
          <w:p w14:paraId="54ADB285">
            <w:pPr>
              <w:autoSpaceDE w:val="0"/>
              <w:autoSpaceDN w:val="0"/>
              <w:adjustRightInd w:val="0"/>
              <w:snapToGrid w:val="0"/>
              <w:jc w:val="center"/>
              <w:rPr>
                <w:rFonts w:hint="eastAsia" w:ascii="宋体" w:hAnsi="宋体"/>
                <w:color w:val="auto"/>
                <w:kern w:val="0"/>
                <w:szCs w:val="21"/>
                <w:highlight w:val="none"/>
              </w:rPr>
            </w:pPr>
          </w:p>
        </w:tc>
      </w:tr>
    </w:tbl>
    <w:p w14:paraId="5A87796D">
      <w:pPr>
        <w:spacing w:line="360" w:lineRule="auto"/>
        <w:rPr>
          <w:rFonts w:hint="eastAsia" w:ascii="宋体" w:hAnsi="宋体" w:cs="仿宋_GB2312"/>
          <w:color w:val="auto"/>
          <w:kern w:val="0"/>
          <w:szCs w:val="21"/>
          <w:highlight w:val="none"/>
        </w:rPr>
      </w:pPr>
      <w:r>
        <w:rPr>
          <w:rFonts w:hint="eastAsia" w:ascii="宋体" w:hAnsi="宋体" w:cs="仿宋_GB2312"/>
          <w:color w:val="auto"/>
          <w:kern w:val="0"/>
          <w:highlight w:val="none"/>
        </w:rPr>
        <w:t>注：本表格式用于填写</w:t>
      </w:r>
      <w:r>
        <w:rPr>
          <w:rFonts w:hint="eastAsia" w:ascii="宋体" w:hAnsi="宋体"/>
          <w:color w:val="auto"/>
          <w:szCs w:val="21"/>
          <w:highlight w:val="none"/>
        </w:rPr>
        <w:t>“第二篇 竞选人须知前附表  1.4.1”规定的“拟派项目人员”详细情况</w:t>
      </w:r>
      <w:r>
        <w:rPr>
          <w:rFonts w:hint="eastAsia" w:ascii="宋体" w:hAnsi="宋体" w:cs="仿宋_GB2312"/>
          <w:color w:val="auto"/>
          <w:kern w:val="0"/>
          <w:szCs w:val="21"/>
          <w:highlight w:val="none"/>
        </w:rPr>
        <w:t>，每名人员单独填写一张表格，并按竞选人须知前附表1.4.1条规定提供相关证明资料复印件附在表后。</w:t>
      </w:r>
    </w:p>
    <w:p w14:paraId="1A4A31A0">
      <w:pPr>
        <w:spacing w:line="360" w:lineRule="auto"/>
        <w:rPr>
          <w:rFonts w:hint="eastAsia" w:ascii="宋体" w:hAnsi="宋体" w:cs="仿宋_GB2312"/>
          <w:color w:val="auto"/>
          <w:kern w:val="0"/>
          <w:szCs w:val="21"/>
          <w:highlight w:val="none"/>
        </w:rPr>
      </w:pPr>
    </w:p>
    <w:p w14:paraId="2B5E9799">
      <w:pPr>
        <w:spacing w:line="360" w:lineRule="exact"/>
        <w:ind w:firstLine="8312" w:firstLineChars="2300"/>
        <w:rPr>
          <w:rFonts w:hint="eastAsia" w:ascii="宋体" w:hAnsi="宋体" w:cs="宋体"/>
          <w:color w:val="auto"/>
          <w:szCs w:val="21"/>
          <w:highlight w:val="none"/>
          <w:u w:val="single"/>
        </w:rPr>
      </w:pPr>
      <w:r>
        <w:rPr>
          <w:rFonts w:ascii="宋体" w:hAnsi="宋体"/>
          <w:b/>
          <w:snapToGrid w:val="0"/>
          <w:color w:val="auto"/>
          <w:kern w:val="0"/>
          <w:sz w:val="36"/>
          <w:szCs w:val="32"/>
          <w:highlight w:val="none"/>
        </w:rPr>
        <w:br w:type="page"/>
      </w:r>
    </w:p>
    <w:p w14:paraId="66EAA591">
      <w:pPr>
        <w:pStyle w:val="8"/>
        <w:spacing w:after="0" w:line="360" w:lineRule="auto"/>
        <w:jc w:val="center"/>
        <w:rPr>
          <w:rFonts w:hint="eastAsia" w:ascii="宋体" w:hAnsi="宋体" w:cs="宋体"/>
          <w:b/>
          <w:bCs/>
          <w:color w:val="auto"/>
          <w:sz w:val="32"/>
          <w:szCs w:val="32"/>
          <w:highlight w:val="none"/>
        </w:rPr>
      </w:pPr>
      <w:bookmarkStart w:id="812" w:name="_Toc277082660"/>
      <w:bookmarkStart w:id="813" w:name="_Toc57905933"/>
      <w:bookmarkStart w:id="814" w:name="_Toc534185841"/>
      <w:bookmarkStart w:id="815" w:name="_Toc509218864"/>
      <w:bookmarkStart w:id="816" w:name="_Toc287607888"/>
      <w:bookmarkStart w:id="817" w:name="_Toc287620834"/>
      <w:bookmarkStart w:id="818" w:name="_Toc430530550"/>
      <w:r>
        <w:rPr>
          <w:rFonts w:hint="eastAsia" w:ascii="宋体" w:hAnsi="宋体"/>
          <w:b/>
          <w:bCs/>
          <w:color w:val="auto"/>
          <w:sz w:val="32"/>
          <w:szCs w:val="32"/>
          <w:highlight w:val="none"/>
        </w:rPr>
        <w:t>（四）近年财务状况表</w:t>
      </w:r>
      <w:bookmarkEnd w:id="812"/>
      <w:bookmarkEnd w:id="813"/>
      <w:bookmarkEnd w:id="814"/>
      <w:bookmarkEnd w:id="815"/>
      <w:bookmarkEnd w:id="816"/>
      <w:bookmarkEnd w:id="817"/>
      <w:bookmarkEnd w:id="818"/>
    </w:p>
    <w:p w14:paraId="0707CCC2">
      <w:pPr>
        <w:pStyle w:val="8"/>
        <w:spacing w:after="0" w:line="360" w:lineRule="auto"/>
        <w:ind w:firstLine="5783" w:firstLineChars="1600"/>
        <w:jc w:val="center"/>
        <w:outlineLvl w:val="2"/>
        <w:rPr>
          <w:rFonts w:hint="eastAsia" w:ascii="宋体" w:hAnsi="宋体" w:cs="宋体"/>
          <w:b/>
          <w:bCs/>
          <w:color w:val="auto"/>
          <w:sz w:val="36"/>
          <w:szCs w:val="36"/>
          <w:highlight w:val="none"/>
        </w:rPr>
        <w:sectPr>
          <w:pgSz w:w="11905" w:h="16838"/>
          <w:pgMar w:top="1134" w:right="1134" w:bottom="1134" w:left="1134" w:header="0" w:footer="0" w:gutter="0"/>
          <w:cols w:space="0" w:num="1"/>
          <w:docGrid w:type="lines" w:linePitch="317" w:charSpace="0"/>
        </w:sectPr>
      </w:pPr>
    </w:p>
    <w:p w14:paraId="40192F14">
      <w:pPr>
        <w:pStyle w:val="8"/>
        <w:spacing w:after="0"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（五）业绩要求</w:t>
      </w:r>
    </w:p>
    <w:p w14:paraId="212FF03A">
      <w:pPr>
        <w:pStyle w:val="8"/>
        <w:spacing w:after="0" w:line="360" w:lineRule="auto"/>
        <w:ind w:firstLine="5783" w:firstLineChars="1600"/>
        <w:outlineLvl w:val="2"/>
        <w:rPr>
          <w:rFonts w:hint="eastAsia" w:ascii="宋体" w:hAnsi="宋体" w:cs="宋体"/>
          <w:b/>
          <w:bCs/>
          <w:color w:val="auto"/>
          <w:sz w:val="36"/>
          <w:szCs w:val="36"/>
          <w:highlight w:val="none"/>
        </w:rPr>
      </w:pPr>
    </w:p>
    <w:p w14:paraId="471FB25E">
      <w:pPr>
        <w:jc w:val="center"/>
        <w:rPr>
          <w:rFonts w:hint="eastAsia" w:ascii="宋体" w:hAnsi="宋体"/>
          <w:color w:val="auto"/>
          <w:sz w:val="15"/>
          <w:szCs w:val="18"/>
          <w:highlight w:val="none"/>
        </w:rPr>
      </w:pPr>
    </w:p>
    <w:p w14:paraId="6EBE98E3">
      <w:pPr>
        <w:pStyle w:val="8"/>
        <w:spacing w:after="0" w:line="360" w:lineRule="auto"/>
        <w:ind w:firstLine="5783" w:firstLineChars="1600"/>
        <w:jc w:val="center"/>
        <w:outlineLvl w:val="2"/>
        <w:rPr>
          <w:rFonts w:hint="eastAsia" w:ascii="宋体" w:hAnsi="宋体" w:cs="宋体"/>
          <w:b/>
          <w:bCs/>
          <w:color w:val="auto"/>
          <w:sz w:val="36"/>
          <w:szCs w:val="36"/>
          <w:highlight w:val="none"/>
        </w:rPr>
        <w:sectPr>
          <w:pgSz w:w="11905" w:h="16838"/>
          <w:pgMar w:top="1134" w:right="1134" w:bottom="1134" w:left="1134" w:header="0" w:footer="0" w:gutter="0"/>
          <w:cols w:space="0" w:num="1"/>
          <w:docGrid w:type="lines" w:linePitch="317" w:charSpace="0"/>
        </w:sectPr>
      </w:pPr>
    </w:p>
    <w:p w14:paraId="00382B49">
      <w:pPr>
        <w:pStyle w:val="8"/>
        <w:spacing w:after="0"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（六）承诺</w:t>
      </w:r>
    </w:p>
    <w:p w14:paraId="05E1330A">
      <w:pPr>
        <w:snapToGrid w:val="0"/>
        <w:spacing w:line="360" w:lineRule="exact"/>
        <w:rPr>
          <w:rFonts w:hint="eastAsia" w:ascii="宋体" w:hAnsi="宋体"/>
          <w:color w:val="auto"/>
          <w:szCs w:val="21"/>
          <w:highlight w:val="none"/>
          <w:u w:val="single"/>
        </w:rPr>
      </w:pPr>
      <w:r>
        <w:rPr>
          <w:rFonts w:hint="eastAsia" w:ascii="宋体" w:hAnsi="宋体"/>
          <w:color w:val="auto"/>
          <w:szCs w:val="21"/>
          <w:highlight w:val="none"/>
          <w:u w:val="single"/>
        </w:rPr>
        <w:t xml:space="preserve">        （比选人名称）</w:t>
      </w:r>
      <w:r>
        <w:rPr>
          <w:rFonts w:hint="eastAsia" w:ascii="宋体" w:hAnsi="宋体"/>
          <w:color w:val="auto"/>
          <w:szCs w:val="21"/>
          <w:highlight w:val="none"/>
        </w:rPr>
        <w:t>：</w:t>
      </w:r>
    </w:p>
    <w:p w14:paraId="2B6FBDDC">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（竞选人名称）  </w:t>
      </w:r>
      <w:r>
        <w:rPr>
          <w:rFonts w:hint="eastAsia" w:ascii="宋体" w:hAnsi="宋体"/>
          <w:color w:val="auto"/>
          <w:szCs w:val="21"/>
          <w:highlight w:val="none"/>
        </w:rPr>
        <w:t>申请了贵单位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的比选，自愿作出以下承诺：</w:t>
      </w:r>
    </w:p>
    <w:p w14:paraId="78D35DBF">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1、我公司比选截止日比选资格情况不存在下列情形之一：</w:t>
      </w:r>
    </w:p>
    <w:p w14:paraId="5FC06494">
      <w:pPr>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（1）被人民法院在“信用中国”网站（www.creditchina.gov.cn）列入失信被执行人名单且在被执行期内；</w:t>
      </w:r>
    </w:p>
    <w:p w14:paraId="72DF717B">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（2）被列入《重庆市工程建设领域招标投标信用管理暂行办法》规定的重点关注名单且记分达到12分且在记分有效期内；</w:t>
      </w:r>
    </w:p>
    <w:p w14:paraId="01117539">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（3）被列入《重庆市工程建设领域招标投标信用管理暂行办法》规定的重庆市工程建设领域招标投标失信惩戒对象名单（以下称黑名单）且在记分有效期内；</w:t>
      </w:r>
    </w:p>
    <w:p w14:paraId="15CAB0CD">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（4）被国家、重庆市（含市或任意区县）有关行政部门处以暂停投标资格行政处罚，且在处罚期限内；</w:t>
      </w:r>
    </w:p>
    <w:p w14:paraId="1BED5895">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（5）被重庆市住房和城乡建设主管部门暂停在渝承揽新业务且在暂停期内；</w:t>
      </w:r>
    </w:p>
    <w:p w14:paraId="7B6BFC44">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2、我公司不存在第二章 竞选人须知第 1.4.3 项规定的任何一种情形。</w:t>
      </w:r>
    </w:p>
    <w:p w14:paraId="78B9C4BB">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3、我公司的竞选文件符合第四章 合同条款及格式规定，竞选文件中没有贵单位不能接受的条件。</w:t>
      </w:r>
    </w:p>
    <w:p w14:paraId="09BD447B">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4、我公司的竞选文件符合第二章 竞选人须知第 1.3.1 项的规定。</w:t>
      </w:r>
    </w:p>
    <w:p w14:paraId="3CF8D09D">
      <w:pPr>
        <w:pStyle w:val="8"/>
        <w:rPr>
          <w:rFonts w:hint="eastAsia" w:ascii="宋体" w:hAnsi="宋体"/>
          <w:color w:val="auto"/>
          <w:highlight w:val="none"/>
        </w:rPr>
      </w:pPr>
    </w:p>
    <w:p w14:paraId="3067FE23">
      <w:pPr>
        <w:tabs>
          <w:tab w:val="left" w:pos="4200"/>
          <w:tab w:val="left" w:pos="4620"/>
        </w:tabs>
        <w:autoSpaceDE w:val="0"/>
        <w:autoSpaceDN w:val="0"/>
        <w:adjustRightInd w:val="0"/>
        <w:snapToGrid w:val="0"/>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208D5C29">
      <w:pPr>
        <w:tabs>
          <w:tab w:val="left" w:pos="6300"/>
        </w:tabs>
        <w:autoSpaceDE w:val="0"/>
        <w:autoSpaceDN w:val="0"/>
        <w:adjustRightInd w:val="0"/>
        <w:snapToGrid w:val="0"/>
        <w:spacing w:line="360" w:lineRule="exact"/>
        <w:ind w:firstLine="420" w:firstLineChars="200"/>
        <w:jc w:val="left"/>
        <w:rPr>
          <w:rFonts w:hint="eastAsia" w:ascii="宋体" w:hAnsi="宋体"/>
          <w:color w:val="auto"/>
          <w:kern w:val="0"/>
          <w:szCs w:val="21"/>
          <w:highlight w:val="none"/>
        </w:rPr>
      </w:pPr>
    </w:p>
    <w:p w14:paraId="6A154365">
      <w:pPr>
        <w:tabs>
          <w:tab w:val="left" w:pos="6300"/>
        </w:tabs>
        <w:autoSpaceDE w:val="0"/>
        <w:autoSpaceDN w:val="0"/>
        <w:adjustRightInd w:val="0"/>
        <w:snapToGrid w:val="0"/>
        <w:spacing w:line="360" w:lineRule="exact"/>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法定代表人</w:t>
      </w:r>
      <w:r>
        <w:rPr>
          <w:rFonts w:hint="eastAsia" w:ascii="宋体" w:hAnsi="宋体"/>
          <w:color w:val="auto"/>
          <w:kern w:val="0"/>
          <w:szCs w:val="21"/>
          <w:highlight w:val="none"/>
        </w:rPr>
        <w:t>或委托代理人</w:t>
      </w:r>
      <w:r>
        <w:rPr>
          <w:rFonts w:ascii="宋体" w:hAnsi="宋体"/>
          <w:color w:val="auto"/>
          <w:kern w:val="0"/>
          <w:szCs w:val="21"/>
          <w:highlight w:val="none"/>
        </w:rPr>
        <w:t>：（签字或盖章）</w:t>
      </w:r>
    </w:p>
    <w:p w14:paraId="4CC763DD">
      <w:pPr>
        <w:pStyle w:val="8"/>
        <w:spacing w:after="0" w:line="360" w:lineRule="exact"/>
        <w:jc w:val="right"/>
        <w:rPr>
          <w:rFonts w:hint="eastAsia" w:ascii="宋体" w:hAnsi="宋体"/>
          <w:color w:val="auto"/>
          <w:kern w:val="0"/>
          <w:szCs w:val="21"/>
          <w:highlight w:val="none"/>
          <w:u w:val="single"/>
        </w:rPr>
      </w:pPr>
    </w:p>
    <w:p w14:paraId="184EFDE3">
      <w:pPr>
        <w:pStyle w:val="8"/>
        <w:spacing w:after="0" w:line="360" w:lineRule="exact"/>
        <w:jc w:val="right"/>
        <w:rPr>
          <w:rFonts w:hint="eastAsia" w:ascii="宋体" w:hAnsi="宋体" w:cs="宋体"/>
          <w:b/>
          <w:bCs/>
          <w:color w:val="auto"/>
          <w:sz w:val="36"/>
          <w:szCs w:val="36"/>
          <w:highlight w:val="none"/>
        </w:rPr>
      </w:pPr>
      <w:r>
        <w:rPr>
          <w:rFonts w:ascii="宋体" w:hAnsi="宋体"/>
          <w:color w:val="auto"/>
          <w:kern w:val="0"/>
          <w:szCs w:val="21"/>
          <w:highlight w:val="none"/>
        </w:rPr>
        <w:t>年月</w:t>
      </w:r>
      <w:r>
        <w:rPr>
          <w:rFonts w:hint="eastAsia" w:ascii="宋体" w:hAnsi="宋体"/>
          <w:color w:val="auto"/>
          <w:kern w:val="0"/>
          <w:szCs w:val="21"/>
          <w:highlight w:val="none"/>
          <w:u w:val="single"/>
        </w:rPr>
        <w:t xml:space="preserve">    日</w:t>
      </w:r>
    </w:p>
    <w:p w14:paraId="296EB6D2">
      <w:pPr>
        <w:rPr>
          <w:rFonts w:hint="eastAsia" w:ascii="宋体" w:hAnsi="宋体"/>
          <w:color w:val="auto"/>
          <w:highlight w:val="none"/>
        </w:rPr>
      </w:pPr>
      <w:r>
        <w:rPr>
          <w:rFonts w:ascii="宋体" w:hAnsi="宋体"/>
          <w:color w:val="auto"/>
          <w:highlight w:val="none"/>
        </w:rPr>
        <w:br w:type="page"/>
      </w:r>
    </w:p>
    <w:p w14:paraId="17686976">
      <w:pPr>
        <w:pStyle w:val="8"/>
        <w:rPr>
          <w:rFonts w:hint="eastAsia" w:ascii="宋体" w:hAnsi="宋体"/>
          <w:color w:val="auto"/>
          <w:highlight w:val="none"/>
        </w:rPr>
      </w:pPr>
    </w:p>
    <w:p w14:paraId="1BA29F2C">
      <w:pPr>
        <w:pStyle w:val="8"/>
        <w:numPr>
          <w:ilvl w:val="0"/>
          <w:numId w:val="3"/>
        </w:numPr>
        <w:spacing w:after="0" w:line="360" w:lineRule="auto"/>
        <w:jc w:val="center"/>
        <w:rPr>
          <w:rFonts w:hint="eastAsia" w:ascii="宋体" w:hAnsi="宋体"/>
          <w:b/>
          <w:bCs/>
          <w:color w:val="auto"/>
          <w:sz w:val="32"/>
          <w:szCs w:val="32"/>
          <w:highlight w:val="none"/>
        </w:rPr>
      </w:pPr>
      <w:bookmarkStart w:id="819" w:name="_Toc57905936"/>
      <w:r>
        <w:rPr>
          <w:rFonts w:hint="eastAsia" w:ascii="宋体" w:hAnsi="宋体"/>
          <w:b/>
          <w:bCs/>
          <w:color w:val="auto"/>
          <w:sz w:val="32"/>
          <w:szCs w:val="32"/>
          <w:highlight w:val="none"/>
        </w:rPr>
        <w:t>其他资料</w:t>
      </w:r>
      <w:bookmarkEnd w:id="819"/>
    </w:p>
    <w:p w14:paraId="48C12384">
      <w:pPr>
        <w:rPr>
          <w:rFonts w:hint="eastAsia" w:ascii="宋体" w:hAnsi="宋体"/>
          <w:color w:val="auto"/>
          <w:highlight w:val="none"/>
        </w:rPr>
      </w:pPr>
    </w:p>
    <w:p w14:paraId="347C5233">
      <w:pPr>
        <w:pStyle w:val="8"/>
        <w:rPr>
          <w:rFonts w:hint="eastAsia" w:ascii="宋体" w:hAnsi="宋体"/>
          <w:color w:val="auto"/>
          <w:highlight w:val="none"/>
        </w:rPr>
      </w:pPr>
    </w:p>
    <w:p w14:paraId="206A40CD">
      <w:pPr>
        <w:rPr>
          <w:rFonts w:hint="eastAsia" w:ascii="宋体" w:hAnsi="宋体"/>
          <w:color w:val="auto"/>
          <w:highlight w:val="none"/>
        </w:rPr>
      </w:pPr>
    </w:p>
    <w:p w14:paraId="2744BCE2">
      <w:pPr>
        <w:pStyle w:val="8"/>
        <w:rPr>
          <w:rFonts w:hint="eastAsia" w:ascii="宋体" w:hAnsi="宋体"/>
          <w:color w:val="auto"/>
          <w:highlight w:val="none"/>
        </w:rPr>
      </w:pPr>
    </w:p>
    <w:p w14:paraId="130EFDB9">
      <w:pPr>
        <w:rPr>
          <w:rFonts w:hint="eastAsia" w:ascii="宋体" w:hAnsi="宋体"/>
          <w:color w:val="auto"/>
          <w:highlight w:val="none"/>
        </w:rPr>
      </w:pPr>
    </w:p>
    <w:p w14:paraId="412870F5">
      <w:pPr>
        <w:pStyle w:val="8"/>
        <w:rPr>
          <w:rFonts w:hint="eastAsia" w:ascii="宋体" w:hAnsi="宋体"/>
          <w:color w:val="auto"/>
          <w:highlight w:val="none"/>
        </w:rPr>
      </w:pPr>
    </w:p>
    <w:p w14:paraId="47823D2C">
      <w:pPr>
        <w:rPr>
          <w:rFonts w:hint="eastAsia" w:ascii="宋体" w:hAnsi="宋体"/>
          <w:color w:val="auto"/>
          <w:highlight w:val="none"/>
        </w:rPr>
      </w:pPr>
    </w:p>
    <w:p w14:paraId="6A71967A">
      <w:pPr>
        <w:pStyle w:val="8"/>
        <w:rPr>
          <w:rFonts w:hint="eastAsia" w:ascii="宋体" w:hAnsi="宋体"/>
          <w:color w:val="auto"/>
          <w:highlight w:val="none"/>
        </w:rPr>
      </w:pPr>
    </w:p>
    <w:p w14:paraId="22A6A9D4">
      <w:pPr>
        <w:rPr>
          <w:rFonts w:hint="eastAsia" w:ascii="宋体" w:hAnsi="宋体"/>
          <w:color w:val="auto"/>
          <w:highlight w:val="none"/>
        </w:rPr>
      </w:pPr>
    </w:p>
    <w:p w14:paraId="6ECDE5E1">
      <w:pPr>
        <w:pStyle w:val="8"/>
        <w:rPr>
          <w:rFonts w:hint="eastAsia" w:ascii="宋体" w:hAnsi="宋体"/>
          <w:color w:val="auto"/>
          <w:highlight w:val="none"/>
        </w:rPr>
      </w:pPr>
    </w:p>
    <w:p w14:paraId="6BF8EDF5">
      <w:pPr>
        <w:rPr>
          <w:rFonts w:hint="eastAsia" w:ascii="宋体" w:hAnsi="宋体"/>
          <w:color w:val="auto"/>
          <w:highlight w:val="none"/>
        </w:rPr>
      </w:pPr>
    </w:p>
    <w:p w14:paraId="47CDCEB5">
      <w:pPr>
        <w:pStyle w:val="8"/>
        <w:rPr>
          <w:rFonts w:hint="eastAsia" w:ascii="宋体" w:hAnsi="宋体"/>
          <w:color w:val="auto"/>
          <w:highlight w:val="none"/>
        </w:rPr>
      </w:pPr>
    </w:p>
    <w:p w14:paraId="3D7FD596">
      <w:pPr>
        <w:rPr>
          <w:rFonts w:hint="eastAsia" w:ascii="宋体" w:hAnsi="宋体"/>
          <w:color w:val="auto"/>
          <w:highlight w:val="none"/>
        </w:rPr>
      </w:pPr>
    </w:p>
    <w:p w14:paraId="6C31C18B">
      <w:pPr>
        <w:pStyle w:val="8"/>
        <w:rPr>
          <w:rFonts w:hint="eastAsia" w:ascii="宋体" w:hAnsi="宋体"/>
          <w:color w:val="auto"/>
          <w:highlight w:val="none"/>
        </w:rPr>
      </w:pPr>
    </w:p>
    <w:p w14:paraId="4BDADA78">
      <w:pPr>
        <w:rPr>
          <w:rFonts w:hint="eastAsia" w:ascii="宋体" w:hAnsi="宋体"/>
          <w:color w:val="auto"/>
          <w:highlight w:val="none"/>
        </w:rPr>
      </w:pPr>
    </w:p>
    <w:p w14:paraId="25FC19DE">
      <w:pPr>
        <w:pStyle w:val="8"/>
        <w:rPr>
          <w:rFonts w:hint="eastAsia" w:ascii="宋体" w:hAnsi="宋体"/>
          <w:color w:val="auto"/>
          <w:highlight w:val="none"/>
        </w:rPr>
      </w:pPr>
    </w:p>
    <w:p w14:paraId="53791F2E">
      <w:pPr>
        <w:rPr>
          <w:rFonts w:hint="eastAsia" w:ascii="宋体" w:hAnsi="宋体"/>
          <w:color w:val="auto"/>
          <w:highlight w:val="none"/>
        </w:rPr>
      </w:pPr>
    </w:p>
    <w:p w14:paraId="68AE1721">
      <w:pPr>
        <w:pStyle w:val="8"/>
        <w:rPr>
          <w:rFonts w:hint="eastAsia" w:ascii="宋体" w:hAnsi="宋体"/>
          <w:color w:val="auto"/>
          <w:highlight w:val="none"/>
        </w:rPr>
      </w:pPr>
    </w:p>
    <w:p w14:paraId="79BA2AA5">
      <w:pPr>
        <w:rPr>
          <w:rFonts w:hint="eastAsia" w:ascii="宋体" w:hAnsi="宋体"/>
          <w:color w:val="auto"/>
          <w:highlight w:val="none"/>
        </w:rPr>
      </w:pPr>
    </w:p>
    <w:p w14:paraId="7602FE17">
      <w:pPr>
        <w:pStyle w:val="8"/>
        <w:rPr>
          <w:rFonts w:hint="eastAsia" w:ascii="宋体" w:hAnsi="宋体"/>
          <w:color w:val="auto"/>
          <w:highlight w:val="none"/>
        </w:rPr>
      </w:pPr>
    </w:p>
    <w:p w14:paraId="6BDAA5D3">
      <w:pPr>
        <w:rPr>
          <w:rFonts w:hint="eastAsia" w:ascii="宋体" w:hAnsi="宋体"/>
          <w:color w:val="auto"/>
          <w:highlight w:val="none"/>
        </w:rPr>
      </w:pPr>
    </w:p>
    <w:p w14:paraId="3E187807">
      <w:pPr>
        <w:pStyle w:val="8"/>
        <w:rPr>
          <w:rFonts w:hint="eastAsia" w:ascii="宋体" w:hAnsi="宋体"/>
          <w:color w:val="auto"/>
          <w:highlight w:val="none"/>
        </w:rPr>
      </w:pPr>
    </w:p>
    <w:p w14:paraId="4BC17F6E">
      <w:pPr>
        <w:rPr>
          <w:rFonts w:hint="eastAsia" w:ascii="宋体" w:hAnsi="宋体"/>
          <w:color w:val="auto"/>
          <w:highlight w:val="none"/>
        </w:rPr>
      </w:pPr>
    </w:p>
    <w:p w14:paraId="59428576">
      <w:pPr>
        <w:pStyle w:val="8"/>
        <w:rPr>
          <w:rFonts w:hint="eastAsia" w:ascii="宋体" w:hAnsi="宋体"/>
          <w:color w:val="auto"/>
          <w:highlight w:val="none"/>
        </w:rPr>
      </w:pPr>
    </w:p>
    <w:p w14:paraId="6806EC49">
      <w:pPr>
        <w:rPr>
          <w:rFonts w:hint="eastAsia" w:ascii="宋体" w:hAnsi="宋体"/>
          <w:color w:val="auto"/>
          <w:highlight w:val="none"/>
        </w:rPr>
      </w:pPr>
    </w:p>
    <w:p w14:paraId="6CA3A65A">
      <w:pPr>
        <w:pStyle w:val="8"/>
        <w:rPr>
          <w:rFonts w:hint="eastAsia" w:ascii="宋体" w:hAnsi="宋体"/>
          <w:color w:val="auto"/>
          <w:highlight w:val="none"/>
        </w:rPr>
      </w:pPr>
    </w:p>
    <w:p w14:paraId="5D31B1DF">
      <w:pPr>
        <w:rPr>
          <w:rFonts w:hint="eastAsia" w:ascii="宋体" w:hAnsi="宋体"/>
          <w:color w:val="auto"/>
          <w:highlight w:val="none"/>
        </w:rPr>
      </w:pPr>
    </w:p>
    <w:p w14:paraId="5681967F">
      <w:pPr>
        <w:pStyle w:val="8"/>
        <w:rPr>
          <w:rFonts w:hint="eastAsia" w:ascii="宋体" w:hAnsi="宋体"/>
          <w:color w:val="auto"/>
          <w:highlight w:val="none"/>
        </w:rPr>
      </w:pPr>
    </w:p>
    <w:p w14:paraId="447761D9">
      <w:pPr>
        <w:rPr>
          <w:rFonts w:hint="eastAsia" w:ascii="宋体" w:hAnsi="宋体"/>
          <w:color w:val="auto"/>
          <w:highlight w:val="none"/>
        </w:rPr>
      </w:pPr>
    </w:p>
    <w:p w14:paraId="32F1A843">
      <w:pPr>
        <w:pStyle w:val="8"/>
        <w:rPr>
          <w:rFonts w:hint="eastAsia" w:ascii="宋体" w:hAnsi="宋体"/>
          <w:color w:val="auto"/>
          <w:highlight w:val="none"/>
        </w:rPr>
      </w:pPr>
    </w:p>
    <w:p w14:paraId="7BD0D16D">
      <w:pPr>
        <w:rPr>
          <w:rFonts w:hint="eastAsia" w:ascii="宋体" w:hAnsi="宋体"/>
          <w:color w:val="auto"/>
          <w:highlight w:val="none"/>
        </w:rPr>
      </w:pPr>
    </w:p>
    <w:p w14:paraId="14FF408E">
      <w:pPr>
        <w:pStyle w:val="8"/>
        <w:rPr>
          <w:rFonts w:hint="eastAsia" w:ascii="宋体" w:hAnsi="宋体"/>
          <w:color w:val="auto"/>
          <w:highlight w:val="none"/>
        </w:rPr>
      </w:pPr>
    </w:p>
    <w:p w14:paraId="1F5C481A">
      <w:pPr>
        <w:rPr>
          <w:rFonts w:hint="eastAsia" w:ascii="宋体" w:hAnsi="宋体"/>
          <w:color w:val="auto"/>
          <w:highlight w:val="none"/>
        </w:rPr>
      </w:pPr>
    </w:p>
    <w:p w14:paraId="3246CFFC">
      <w:pPr>
        <w:pStyle w:val="8"/>
        <w:rPr>
          <w:rFonts w:hint="eastAsia" w:ascii="宋体" w:hAnsi="宋体"/>
          <w:color w:val="auto"/>
          <w:highlight w:val="none"/>
        </w:rPr>
      </w:pPr>
    </w:p>
    <w:p w14:paraId="61A5B569">
      <w:pPr>
        <w:rPr>
          <w:rFonts w:hint="eastAsia" w:ascii="宋体" w:hAnsi="宋体"/>
          <w:color w:val="auto"/>
          <w:highlight w:val="none"/>
        </w:rPr>
      </w:pPr>
    </w:p>
    <w:p w14:paraId="2D2D6632">
      <w:pPr>
        <w:pStyle w:val="8"/>
        <w:rPr>
          <w:rFonts w:hint="eastAsia" w:ascii="宋体" w:hAnsi="宋体"/>
          <w:color w:val="auto"/>
          <w:highlight w:val="none"/>
        </w:rPr>
      </w:pPr>
    </w:p>
    <w:sectPr>
      <w:pgSz w:w="11905" w:h="16838"/>
      <w:pgMar w:top="1134" w:right="1134" w:bottom="1134" w:left="1134" w:header="0" w:footer="0"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9864760"/>
    </w:sdtPr>
    <w:sdtContent>
      <w:sdt>
        <w:sdtPr>
          <w:id w:val="-1741242085"/>
        </w:sdtPr>
        <w:sdtContent>
          <w:p w14:paraId="55B4C398">
            <w:pPr>
              <w:pStyle w:val="17"/>
              <w:jc w:val="center"/>
            </w:pPr>
          </w:p>
        </w:sdtContent>
      </w:sdt>
    </w:sdtContent>
  </w:sdt>
  <w:p w14:paraId="60A215A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5770350"/>
      <w:docPartObj>
        <w:docPartGallery w:val="autotext"/>
      </w:docPartObj>
    </w:sdtPr>
    <w:sdtContent>
      <w:p w14:paraId="6258B71E">
        <w:pPr>
          <w:pStyle w:val="17"/>
          <w:jc w:val="center"/>
        </w:pPr>
        <w:r>
          <w:fldChar w:fldCharType="begin"/>
        </w:r>
        <w:r>
          <w:instrText xml:space="preserve">PAGE   \* MERGEFORMAT</w:instrText>
        </w:r>
        <w:r>
          <w:fldChar w:fldCharType="separate"/>
        </w:r>
        <w:r>
          <w:rPr>
            <w:lang w:val="zh-CN"/>
          </w:rPr>
          <w:t>2</w:t>
        </w:r>
        <w:r>
          <w:fldChar w:fldCharType="end"/>
        </w:r>
      </w:p>
    </w:sdtContent>
  </w:sdt>
  <w:p w14:paraId="2852BE23">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6906C">
    <w:pPr>
      <w:pStyle w:val="18"/>
      <w:pBdr>
        <w:bottom w:val="none" w:color="auto" w:sz="0" w:space="1"/>
      </w:pBdr>
      <w:ind w:firstLine="540" w:firstLineChars="300"/>
      <w:jc w:val="both"/>
    </w:pPr>
  </w:p>
  <w:p w14:paraId="710F522D">
    <w:pPr>
      <w:pStyle w:val="18"/>
      <w:pBdr>
        <w:bottom w:val="none" w:color="auto" w:sz="0" w:space="1"/>
      </w:pBdr>
      <w:ind w:firstLine="540" w:firstLineChars="300"/>
      <w:jc w:val="both"/>
    </w:pPr>
  </w:p>
  <w:p w14:paraId="73D08B78">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D091"/>
    <w:multiLevelType w:val="singleLevel"/>
    <w:tmpl w:val="872BD091"/>
    <w:lvl w:ilvl="0" w:tentative="0">
      <w:start w:val="6"/>
      <w:numFmt w:val="chineseCounting"/>
      <w:suff w:val="nothing"/>
      <w:lvlText w:val="（%1）"/>
      <w:lvlJc w:val="left"/>
      <w:rPr>
        <w:rFonts w:hint="eastAsia"/>
      </w:rPr>
    </w:lvl>
  </w:abstractNum>
  <w:abstractNum w:abstractNumId="1">
    <w:nsid w:val="AC55D317"/>
    <w:multiLevelType w:val="singleLevel"/>
    <w:tmpl w:val="AC55D317"/>
    <w:lvl w:ilvl="0" w:tentative="0">
      <w:start w:val="5"/>
      <w:numFmt w:val="chineseCounting"/>
      <w:suff w:val="space"/>
      <w:lvlText w:val="第%1章"/>
      <w:lvlJc w:val="left"/>
      <w:rPr>
        <w:rFonts w:hint="eastAsia"/>
      </w:rPr>
    </w:lvl>
  </w:abstractNum>
  <w:abstractNum w:abstractNumId="2">
    <w:nsid w:val="C7E8F8E5"/>
    <w:multiLevelType w:val="singleLevel"/>
    <w:tmpl w:val="C7E8F8E5"/>
    <w:lvl w:ilvl="0" w:tentative="0">
      <w:start w:val="2"/>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kYTgyNTUwMDQyOGMxMTc1ZjVlNDhjMDBhZjU5NWYifQ=="/>
    <w:docVar w:name="KSO_WPS_MARK_KEY" w:val="09899503-0025-4136-af5e-479c82b28b39"/>
  </w:docVars>
  <w:rsids>
    <w:rsidRoot w:val="2FFE23A7"/>
    <w:rsid w:val="0001767F"/>
    <w:rsid w:val="000224CD"/>
    <w:rsid w:val="0003799F"/>
    <w:rsid w:val="000421DD"/>
    <w:rsid w:val="0004282F"/>
    <w:rsid w:val="00044E68"/>
    <w:rsid w:val="000515B5"/>
    <w:rsid w:val="00056E14"/>
    <w:rsid w:val="00062AC5"/>
    <w:rsid w:val="00080CD0"/>
    <w:rsid w:val="00091411"/>
    <w:rsid w:val="00091CB6"/>
    <w:rsid w:val="00094DA2"/>
    <w:rsid w:val="000A5C0C"/>
    <w:rsid w:val="000B6D5C"/>
    <w:rsid w:val="000E44F5"/>
    <w:rsid w:val="00107DE6"/>
    <w:rsid w:val="00113131"/>
    <w:rsid w:val="00116630"/>
    <w:rsid w:val="00154A7F"/>
    <w:rsid w:val="001562F1"/>
    <w:rsid w:val="00186E45"/>
    <w:rsid w:val="001902BC"/>
    <w:rsid w:val="001A1BD6"/>
    <w:rsid w:val="001A2968"/>
    <w:rsid w:val="001B39C5"/>
    <w:rsid w:val="001F2DA7"/>
    <w:rsid w:val="00225681"/>
    <w:rsid w:val="00226DC7"/>
    <w:rsid w:val="0023478A"/>
    <w:rsid w:val="002459F3"/>
    <w:rsid w:val="00254177"/>
    <w:rsid w:val="002618E7"/>
    <w:rsid w:val="002633B0"/>
    <w:rsid w:val="00276E0E"/>
    <w:rsid w:val="002A3A7D"/>
    <w:rsid w:val="002B22D5"/>
    <w:rsid w:val="002B7C23"/>
    <w:rsid w:val="00301316"/>
    <w:rsid w:val="0032001C"/>
    <w:rsid w:val="00332741"/>
    <w:rsid w:val="00354E7C"/>
    <w:rsid w:val="003641D9"/>
    <w:rsid w:val="00365053"/>
    <w:rsid w:val="0037633D"/>
    <w:rsid w:val="003801B1"/>
    <w:rsid w:val="00391004"/>
    <w:rsid w:val="00392B56"/>
    <w:rsid w:val="003A23F6"/>
    <w:rsid w:val="003A34F3"/>
    <w:rsid w:val="003A62AA"/>
    <w:rsid w:val="003B122F"/>
    <w:rsid w:val="003B3F98"/>
    <w:rsid w:val="003C10B7"/>
    <w:rsid w:val="003C4D49"/>
    <w:rsid w:val="003D422B"/>
    <w:rsid w:val="003E41B6"/>
    <w:rsid w:val="003F3A4C"/>
    <w:rsid w:val="00406CBA"/>
    <w:rsid w:val="0041262C"/>
    <w:rsid w:val="00450422"/>
    <w:rsid w:val="00454216"/>
    <w:rsid w:val="004543A3"/>
    <w:rsid w:val="00454E2A"/>
    <w:rsid w:val="00455D59"/>
    <w:rsid w:val="004A135E"/>
    <w:rsid w:val="004A59DB"/>
    <w:rsid w:val="004A6BFB"/>
    <w:rsid w:val="004B24CA"/>
    <w:rsid w:val="004B5BB2"/>
    <w:rsid w:val="004C1AFA"/>
    <w:rsid w:val="004C4B4A"/>
    <w:rsid w:val="004C60C1"/>
    <w:rsid w:val="004D1994"/>
    <w:rsid w:val="004E58BD"/>
    <w:rsid w:val="004E7CD8"/>
    <w:rsid w:val="004F3C69"/>
    <w:rsid w:val="005136E6"/>
    <w:rsid w:val="005341EF"/>
    <w:rsid w:val="005370DE"/>
    <w:rsid w:val="00546F21"/>
    <w:rsid w:val="00555E15"/>
    <w:rsid w:val="005604C1"/>
    <w:rsid w:val="005604FD"/>
    <w:rsid w:val="00561144"/>
    <w:rsid w:val="00565F90"/>
    <w:rsid w:val="00582C8E"/>
    <w:rsid w:val="005E6CE6"/>
    <w:rsid w:val="006153FB"/>
    <w:rsid w:val="00637EEC"/>
    <w:rsid w:val="006735BE"/>
    <w:rsid w:val="0068429D"/>
    <w:rsid w:val="0069078B"/>
    <w:rsid w:val="006D6CFC"/>
    <w:rsid w:val="006E69D2"/>
    <w:rsid w:val="006F5DF0"/>
    <w:rsid w:val="007105B3"/>
    <w:rsid w:val="007153F7"/>
    <w:rsid w:val="00721D8D"/>
    <w:rsid w:val="007271B2"/>
    <w:rsid w:val="00734A25"/>
    <w:rsid w:val="007358D2"/>
    <w:rsid w:val="0075411B"/>
    <w:rsid w:val="007557EE"/>
    <w:rsid w:val="00791957"/>
    <w:rsid w:val="007959FF"/>
    <w:rsid w:val="007C259C"/>
    <w:rsid w:val="007D58BC"/>
    <w:rsid w:val="007F07F1"/>
    <w:rsid w:val="007F6088"/>
    <w:rsid w:val="00805EDB"/>
    <w:rsid w:val="00813FC0"/>
    <w:rsid w:val="00821ED9"/>
    <w:rsid w:val="00832F7A"/>
    <w:rsid w:val="008505EF"/>
    <w:rsid w:val="0086345E"/>
    <w:rsid w:val="008662D6"/>
    <w:rsid w:val="00872210"/>
    <w:rsid w:val="008765C2"/>
    <w:rsid w:val="008966EC"/>
    <w:rsid w:val="008A28FC"/>
    <w:rsid w:val="008B5AE2"/>
    <w:rsid w:val="008D15DD"/>
    <w:rsid w:val="008E33F2"/>
    <w:rsid w:val="008F69C9"/>
    <w:rsid w:val="009300F6"/>
    <w:rsid w:val="00935703"/>
    <w:rsid w:val="00952502"/>
    <w:rsid w:val="00955378"/>
    <w:rsid w:val="0097095A"/>
    <w:rsid w:val="009710CF"/>
    <w:rsid w:val="00982DEC"/>
    <w:rsid w:val="009939D7"/>
    <w:rsid w:val="009A13B3"/>
    <w:rsid w:val="009A6726"/>
    <w:rsid w:val="009B5687"/>
    <w:rsid w:val="009C2597"/>
    <w:rsid w:val="009C4AFC"/>
    <w:rsid w:val="009D5E22"/>
    <w:rsid w:val="009F0667"/>
    <w:rsid w:val="00A45DFE"/>
    <w:rsid w:val="00A53423"/>
    <w:rsid w:val="00A90B04"/>
    <w:rsid w:val="00A95561"/>
    <w:rsid w:val="00AA21E7"/>
    <w:rsid w:val="00AA2FF5"/>
    <w:rsid w:val="00AB2B47"/>
    <w:rsid w:val="00AE4E5E"/>
    <w:rsid w:val="00AF48AF"/>
    <w:rsid w:val="00B02662"/>
    <w:rsid w:val="00B06D1B"/>
    <w:rsid w:val="00B142BD"/>
    <w:rsid w:val="00B263E7"/>
    <w:rsid w:val="00B26438"/>
    <w:rsid w:val="00B27631"/>
    <w:rsid w:val="00B62430"/>
    <w:rsid w:val="00B62DBC"/>
    <w:rsid w:val="00B67F69"/>
    <w:rsid w:val="00B8215B"/>
    <w:rsid w:val="00BA3127"/>
    <w:rsid w:val="00BF09F6"/>
    <w:rsid w:val="00BF6F24"/>
    <w:rsid w:val="00C01B0B"/>
    <w:rsid w:val="00C02039"/>
    <w:rsid w:val="00C07ABF"/>
    <w:rsid w:val="00C13288"/>
    <w:rsid w:val="00C229CA"/>
    <w:rsid w:val="00C230E6"/>
    <w:rsid w:val="00C36E0D"/>
    <w:rsid w:val="00C62A5E"/>
    <w:rsid w:val="00C66302"/>
    <w:rsid w:val="00C67720"/>
    <w:rsid w:val="00C842C7"/>
    <w:rsid w:val="00C863A0"/>
    <w:rsid w:val="00C9616F"/>
    <w:rsid w:val="00CA6FBD"/>
    <w:rsid w:val="00CA7F37"/>
    <w:rsid w:val="00CB163C"/>
    <w:rsid w:val="00CD79DA"/>
    <w:rsid w:val="00CD7A52"/>
    <w:rsid w:val="00CF57A1"/>
    <w:rsid w:val="00D10D1D"/>
    <w:rsid w:val="00D15BBE"/>
    <w:rsid w:val="00D321AA"/>
    <w:rsid w:val="00D5140C"/>
    <w:rsid w:val="00D737A6"/>
    <w:rsid w:val="00D85AC0"/>
    <w:rsid w:val="00D85D2C"/>
    <w:rsid w:val="00D94FBE"/>
    <w:rsid w:val="00DA5888"/>
    <w:rsid w:val="00DC2694"/>
    <w:rsid w:val="00DD7B4B"/>
    <w:rsid w:val="00E003C8"/>
    <w:rsid w:val="00E22DB4"/>
    <w:rsid w:val="00E271C9"/>
    <w:rsid w:val="00E33062"/>
    <w:rsid w:val="00E47489"/>
    <w:rsid w:val="00E764AF"/>
    <w:rsid w:val="00EB26BB"/>
    <w:rsid w:val="00EB564C"/>
    <w:rsid w:val="00ED3BD8"/>
    <w:rsid w:val="00ED6BDB"/>
    <w:rsid w:val="00EE0BD9"/>
    <w:rsid w:val="00EE5AAE"/>
    <w:rsid w:val="00EF11C2"/>
    <w:rsid w:val="00F21C9B"/>
    <w:rsid w:val="00F2301B"/>
    <w:rsid w:val="00F258BC"/>
    <w:rsid w:val="00F26BE2"/>
    <w:rsid w:val="00F33064"/>
    <w:rsid w:val="00F46D17"/>
    <w:rsid w:val="00F51F87"/>
    <w:rsid w:val="00F742B7"/>
    <w:rsid w:val="00F82A0C"/>
    <w:rsid w:val="00F95EE5"/>
    <w:rsid w:val="00FC38F2"/>
    <w:rsid w:val="00FD6160"/>
    <w:rsid w:val="00FE2F8B"/>
    <w:rsid w:val="00FF0BC9"/>
    <w:rsid w:val="0101295B"/>
    <w:rsid w:val="01050F22"/>
    <w:rsid w:val="011A58BF"/>
    <w:rsid w:val="01203623"/>
    <w:rsid w:val="012E7619"/>
    <w:rsid w:val="013F696E"/>
    <w:rsid w:val="0142733E"/>
    <w:rsid w:val="014B07F6"/>
    <w:rsid w:val="014C08E4"/>
    <w:rsid w:val="01536B3C"/>
    <w:rsid w:val="01567C26"/>
    <w:rsid w:val="015B6D94"/>
    <w:rsid w:val="01606066"/>
    <w:rsid w:val="017F6E14"/>
    <w:rsid w:val="018C519F"/>
    <w:rsid w:val="019D6E0D"/>
    <w:rsid w:val="01AE7596"/>
    <w:rsid w:val="01CA5DA6"/>
    <w:rsid w:val="01CD415B"/>
    <w:rsid w:val="01D3669D"/>
    <w:rsid w:val="01DD41C2"/>
    <w:rsid w:val="01E27A17"/>
    <w:rsid w:val="01EC2AB6"/>
    <w:rsid w:val="01F9035B"/>
    <w:rsid w:val="02021905"/>
    <w:rsid w:val="02044401"/>
    <w:rsid w:val="02054EE3"/>
    <w:rsid w:val="021D21E9"/>
    <w:rsid w:val="02266A44"/>
    <w:rsid w:val="022877CA"/>
    <w:rsid w:val="02421D02"/>
    <w:rsid w:val="02693AEB"/>
    <w:rsid w:val="026D3223"/>
    <w:rsid w:val="027658FA"/>
    <w:rsid w:val="028415D1"/>
    <w:rsid w:val="028A32C5"/>
    <w:rsid w:val="029B3BC4"/>
    <w:rsid w:val="02A227A1"/>
    <w:rsid w:val="02B80216"/>
    <w:rsid w:val="02C414C0"/>
    <w:rsid w:val="02CB1EC8"/>
    <w:rsid w:val="02D4401F"/>
    <w:rsid w:val="02D50E67"/>
    <w:rsid w:val="02DD40E6"/>
    <w:rsid w:val="02F76F90"/>
    <w:rsid w:val="02FE43BA"/>
    <w:rsid w:val="03083E17"/>
    <w:rsid w:val="030B27C9"/>
    <w:rsid w:val="030D278A"/>
    <w:rsid w:val="0321400D"/>
    <w:rsid w:val="032145A1"/>
    <w:rsid w:val="03526D1B"/>
    <w:rsid w:val="03546813"/>
    <w:rsid w:val="035624C1"/>
    <w:rsid w:val="035B1CDD"/>
    <w:rsid w:val="03903C8A"/>
    <w:rsid w:val="03990198"/>
    <w:rsid w:val="039B3DC0"/>
    <w:rsid w:val="03B17681"/>
    <w:rsid w:val="03BD390D"/>
    <w:rsid w:val="03BD5EDE"/>
    <w:rsid w:val="03D8510C"/>
    <w:rsid w:val="03E0702B"/>
    <w:rsid w:val="03F813BD"/>
    <w:rsid w:val="040F50BD"/>
    <w:rsid w:val="0410603C"/>
    <w:rsid w:val="04116A0A"/>
    <w:rsid w:val="04117BDE"/>
    <w:rsid w:val="04131BA8"/>
    <w:rsid w:val="04180F6C"/>
    <w:rsid w:val="042B26C2"/>
    <w:rsid w:val="042C2334"/>
    <w:rsid w:val="04493B13"/>
    <w:rsid w:val="04505D2E"/>
    <w:rsid w:val="045448AA"/>
    <w:rsid w:val="046F071C"/>
    <w:rsid w:val="04713BE2"/>
    <w:rsid w:val="04881106"/>
    <w:rsid w:val="048A28FC"/>
    <w:rsid w:val="048F5F6A"/>
    <w:rsid w:val="04974B34"/>
    <w:rsid w:val="04A00C18"/>
    <w:rsid w:val="04B2316F"/>
    <w:rsid w:val="04E40345"/>
    <w:rsid w:val="050829F7"/>
    <w:rsid w:val="051200B1"/>
    <w:rsid w:val="05243941"/>
    <w:rsid w:val="052E1B4C"/>
    <w:rsid w:val="05324F15"/>
    <w:rsid w:val="053F6F8A"/>
    <w:rsid w:val="05455E06"/>
    <w:rsid w:val="05492C0D"/>
    <w:rsid w:val="055A7363"/>
    <w:rsid w:val="0562046B"/>
    <w:rsid w:val="056B0B53"/>
    <w:rsid w:val="058E3945"/>
    <w:rsid w:val="058E3AD8"/>
    <w:rsid w:val="05C4339F"/>
    <w:rsid w:val="05C87066"/>
    <w:rsid w:val="05CD3FD8"/>
    <w:rsid w:val="05DD203A"/>
    <w:rsid w:val="05E02329"/>
    <w:rsid w:val="05E608E0"/>
    <w:rsid w:val="05ED7633"/>
    <w:rsid w:val="05F03069"/>
    <w:rsid w:val="05FB176F"/>
    <w:rsid w:val="05FE5F77"/>
    <w:rsid w:val="06254CBA"/>
    <w:rsid w:val="06262D05"/>
    <w:rsid w:val="06401908"/>
    <w:rsid w:val="0640415C"/>
    <w:rsid w:val="06477725"/>
    <w:rsid w:val="064C2392"/>
    <w:rsid w:val="0657255A"/>
    <w:rsid w:val="065E2E82"/>
    <w:rsid w:val="066849C1"/>
    <w:rsid w:val="06872D56"/>
    <w:rsid w:val="068B2114"/>
    <w:rsid w:val="068F10FB"/>
    <w:rsid w:val="06AF2A09"/>
    <w:rsid w:val="06B65E46"/>
    <w:rsid w:val="06BA3CB2"/>
    <w:rsid w:val="06E87DA0"/>
    <w:rsid w:val="06FC6923"/>
    <w:rsid w:val="06FE70E5"/>
    <w:rsid w:val="0706182A"/>
    <w:rsid w:val="071A27E2"/>
    <w:rsid w:val="07230354"/>
    <w:rsid w:val="07263260"/>
    <w:rsid w:val="072B7208"/>
    <w:rsid w:val="0730382D"/>
    <w:rsid w:val="073B7D2E"/>
    <w:rsid w:val="075C73C2"/>
    <w:rsid w:val="07605B88"/>
    <w:rsid w:val="0764271A"/>
    <w:rsid w:val="07691ADF"/>
    <w:rsid w:val="076F5347"/>
    <w:rsid w:val="07736497"/>
    <w:rsid w:val="077C2139"/>
    <w:rsid w:val="077D7F4A"/>
    <w:rsid w:val="077F34E1"/>
    <w:rsid w:val="07891945"/>
    <w:rsid w:val="079E0602"/>
    <w:rsid w:val="07A721BC"/>
    <w:rsid w:val="07B70B97"/>
    <w:rsid w:val="07B90CB8"/>
    <w:rsid w:val="07BB058C"/>
    <w:rsid w:val="07CF5DE6"/>
    <w:rsid w:val="07E13187"/>
    <w:rsid w:val="07E86661"/>
    <w:rsid w:val="07F0210F"/>
    <w:rsid w:val="08063A96"/>
    <w:rsid w:val="08161655"/>
    <w:rsid w:val="081863CD"/>
    <w:rsid w:val="081B2A9D"/>
    <w:rsid w:val="082A5712"/>
    <w:rsid w:val="083A65ED"/>
    <w:rsid w:val="08417246"/>
    <w:rsid w:val="08422274"/>
    <w:rsid w:val="08523812"/>
    <w:rsid w:val="08545EC6"/>
    <w:rsid w:val="086D1A8A"/>
    <w:rsid w:val="087B7B7B"/>
    <w:rsid w:val="088274F0"/>
    <w:rsid w:val="08AE6343"/>
    <w:rsid w:val="08B40BC8"/>
    <w:rsid w:val="08D63513"/>
    <w:rsid w:val="08DF02AB"/>
    <w:rsid w:val="08F5557E"/>
    <w:rsid w:val="08F875BE"/>
    <w:rsid w:val="09093579"/>
    <w:rsid w:val="091B505B"/>
    <w:rsid w:val="092A4825"/>
    <w:rsid w:val="09362DF6"/>
    <w:rsid w:val="095C7B4D"/>
    <w:rsid w:val="0995305F"/>
    <w:rsid w:val="09AA3A1D"/>
    <w:rsid w:val="09B918AE"/>
    <w:rsid w:val="09BC0874"/>
    <w:rsid w:val="09C73BE8"/>
    <w:rsid w:val="09DC1F31"/>
    <w:rsid w:val="09E3331E"/>
    <w:rsid w:val="09E73EFC"/>
    <w:rsid w:val="09F2261F"/>
    <w:rsid w:val="09F86B2A"/>
    <w:rsid w:val="09FC4E8C"/>
    <w:rsid w:val="09FE6E56"/>
    <w:rsid w:val="0A0C7ACA"/>
    <w:rsid w:val="0A100804"/>
    <w:rsid w:val="0A1102E2"/>
    <w:rsid w:val="0A194254"/>
    <w:rsid w:val="0A271E18"/>
    <w:rsid w:val="0A3347BC"/>
    <w:rsid w:val="0A4355DA"/>
    <w:rsid w:val="0A44068A"/>
    <w:rsid w:val="0A487C3A"/>
    <w:rsid w:val="0A4D02BF"/>
    <w:rsid w:val="0A5B1BB3"/>
    <w:rsid w:val="0A67133D"/>
    <w:rsid w:val="0A694A7D"/>
    <w:rsid w:val="0A6A57A5"/>
    <w:rsid w:val="0A9008E7"/>
    <w:rsid w:val="0A9020CC"/>
    <w:rsid w:val="0AAE6186"/>
    <w:rsid w:val="0ABA0FCF"/>
    <w:rsid w:val="0ABA2D7D"/>
    <w:rsid w:val="0AC77248"/>
    <w:rsid w:val="0ACC27E4"/>
    <w:rsid w:val="0ACF3A80"/>
    <w:rsid w:val="0AD23916"/>
    <w:rsid w:val="0AD35BED"/>
    <w:rsid w:val="0AD656DD"/>
    <w:rsid w:val="0ADE5E64"/>
    <w:rsid w:val="0AF22B35"/>
    <w:rsid w:val="0AFA34B1"/>
    <w:rsid w:val="0B106CAC"/>
    <w:rsid w:val="0B1A5CD3"/>
    <w:rsid w:val="0B220922"/>
    <w:rsid w:val="0B2823DD"/>
    <w:rsid w:val="0B2E4A56"/>
    <w:rsid w:val="0B307789"/>
    <w:rsid w:val="0B460AB5"/>
    <w:rsid w:val="0B4D7E8E"/>
    <w:rsid w:val="0B50723E"/>
    <w:rsid w:val="0B6308E9"/>
    <w:rsid w:val="0B705B32"/>
    <w:rsid w:val="0B7145D0"/>
    <w:rsid w:val="0B765350"/>
    <w:rsid w:val="0B7F3FC7"/>
    <w:rsid w:val="0B89066D"/>
    <w:rsid w:val="0BB35488"/>
    <w:rsid w:val="0BB579CB"/>
    <w:rsid w:val="0BCA624F"/>
    <w:rsid w:val="0BE30AB2"/>
    <w:rsid w:val="0BE46766"/>
    <w:rsid w:val="0BE9219E"/>
    <w:rsid w:val="0BEB203B"/>
    <w:rsid w:val="0BF41BB0"/>
    <w:rsid w:val="0BF642F0"/>
    <w:rsid w:val="0BFE16AF"/>
    <w:rsid w:val="0C1666D9"/>
    <w:rsid w:val="0C193AD3"/>
    <w:rsid w:val="0C2974B8"/>
    <w:rsid w:val="0C2F32F7"/>
    <w:rsid w:val="0C3A7C0E"/>
    <w:rsid w:val="0C3E79DE"/>
    <w:rsid w:val="0C4652FF"/>
    <w:rsid w:val="0C61547A"/>
    <w:rsid w:val="0C684A5B"/>
    <w:rsid w:val="0C6C1608"/>
    <w:rsid w:val="0C7C0616"/>
    <w:rsid w:val="0C811679"/>
    <w:rsid w:val="0C880DDD"/>
    <w:rsid w:val="0C9413AC"/>
    <w:rsid w:val="0C954478"/>
    <w:rsid w:val="0C9B6BDE"/>
    <w:rsid w:val="0CA361B6"/>
    <w:rsid w:val="0CB52C05"/>
    <w:rsid w:val="0CB64DE3"/>
    <w:rsid w:val="0CC110D6"/>
    <w:rsid w:val="0CCB0493"/>
    <w:rsid w:val="0CEB6AB4"/>
    <w:rsid w:val="0CED658B"/>
    <w:rsid w:val="0CF06F2A"/>
    <w:rsid w:val="0CFF4934"/>
    <w:rsid w:val="0D0A6EF1"/>
    <w:rsid w:val="0D0B30B0"/>
    <w:rsid w:val="0D2131A7"/>
    <w:rsid w:val="0D215CDD"/>
    <w:rsid w:val="0D2512B6"/>
    <w:rsid w:val="0D2A00A8"/>
    <w:rsid w:val="0D2F0B75"/>
    <w:rsid w:val="0D336E17"/>
    <w:rsid w:val="0D470B14"/>
    <w:rsid w:val="0D4C22C8"/>
    <w:rsid w:val="0D57447A"/>
    <w:rsid w:val="0D5A25F6"/>
    <w:rsid w:val="0D8608DB"/>
    <w:rsid w:val="0D9961D1"/>
    <w:rsid w:val="0DA9532B"/>
    <w:rsid w:val="0DA97B2E"/>
    <w:rsid w:val="0DC4745D"/>
    <w:rsid w:val="0DCB16CB"/>
    <w:rsid w:val="0DCC0A89"/>
    <w:rsid w:val="0DCF5CF9"/>
    <w:rsid w:val="0DEC1F6C"/>
    <w:rsid w:val="0E0235FA"/>
    <w:rsid w:val="0E116BEA"/>
    <w:rsid w:val="0E3B6343"/>
    <w:rsid w:val="0E403B88"/>
    <w:rsid w:val="0E43752E"/>
    <w:rsid w:val="0E444E5D"/>
    <w:rsid w:val="0E4608B9"/>
    <w:rsid w:val="0E6A2D0C"/>
    <w:rsid w:val="0E78488F"/>
    <w:rsid w:val="0E813BB2"/>
    <w:rsid w:val="0EC20846"/>
    <w:rsid w:val="0EC24252"/>
    <w:rsid w:val="0EC82AF5"/>
    <w:rsid w:val="0EDF667F"/>
    <w:rsid w:val="0EF60B8A"/>
    <w:rsid w:val="0EF67285"/>
    <w:rsid w:val="0F455F0B"/>
    <w:rsid w:val="0F587009"/>
    <w:rsid w:val="0F627C4F"/>
    <w:rsid w:val="0F821F29"/>
    <w:rsid w:val="0F844322"/>
    <w:rsid w:val="0F852E27"/>
    <w:rsid w:val="0F951311"/>
    <w:rsid w:val="0F986B8D"/>
    <w:rsid w:val="0F9A17AC"/>
    <w:rsid w:val="0FAB3072"/>
    <w:rsid w:val="0FBF2F33"/>
    <w:rsid w:val="0FC621C4"/>
    <w:rsid w:val="0FDC535A"/>
    <w:rsid w:val="0FE070FA"/>
    <w:rsid w:val="0FE16FFE"/>
    <w:rsid w:val="0FE25C4D"/>
    <w:rsid w:val="0FE721C0"/>
    <w:rsid w:val="0FEA7759"/>
    <w:rsid w:val="0FED6DF6"/>
    <w:rsid w:val="0FFA3C1C"/>
    <w:rsid w:val="10002F26"/>
    <w:rsid w:val="100449C4"/>
    <w:rsid w:val="100F6DC1"/>
    <w:rsid w:val="10142F30"/>
    <w:rsid w:val="10166261"/>
    <w:rsid w:val="101964F1"/>
    <w:rsid w:val="1020362D"/>
    <w:rsid w:val="102A5B16"/>
    <w:rsid w:val="102C233D"/>
    <w:rsid w:val="102C3B1F"/>
    <w:rsid w:val="10383F9B"/>
    <w:rsid w:val="104B5127"/>
    <w:rsid w:val="104E0165"/>
    <w:rsid w:val="10521CAA"/>
    <w:rsid w:val="10604498"/>
    <w:rsid w:val="106A794E"/>
    <w:rsid w:val="106D12E6"/>
    <w:rsid w:val="10A76C83"/>
    <w:rsid w:val="10B24586"/>
    <w:rsid w:val="10CC559A"/>
    <w:rsid w:val="10D562A1"/>
    <w:rsid w:val="10DE52EC"/>
    <w:rsid w:val="10E3528B"/>
    <w:rsid w:val="10E87F18"/>
    <w:rsid w:val="10F40931"/>
    <w:rsid w:val="10F96D68"/>
    <w:rsid w:val="10FB17CA"/>
    <w:rsid w:val="10FD46D7"/>
    <w:rsid w:val="10FE14EA"/>
    <w:rsid w:val="11072F7B"/>
    <w:rsid w:val="11081443"/>
    <w:rsid w:val="110B4BB3"/>
    <w:rsid w:val="1114221C"/>
    <w:rsid w:val="112E31F5"/>
    <w:rsid w:val="1139301B"/>
    <w:rsid w:val="11424701"/>
    <w:rsid w:val="114535BD"/>
    <w:rsid w:val="114A26A0"/>
    <w:rsid w:val="11537A88"/>
    <w:rsid w:val="117F3285"/>
    <w:rsid w:val="1183400E"/>
    <w:rsid w:val="11851C0B"/>
    <w:rsid w:val="11BD7AD1"/>
    <w:rsid w:val="11C16DD7"/>
    <w:rsid w:val="11CE35B2"/>
    <w:rsid w:val="11D73AFA"/>
    <w:rsid w:val="11E76422"/>
    <w:rsid w:val="120C2E7A"/>
    <w:rsid w:val="12105979"/>
    <w:rsid w:val="12196881"/>
    <w:rsid w:val="12284B16"/>
    <w:rsid w:val="12483364"/>
    <w:rsid w:val="12492F13"/>
    <w:rsid w:val="125C0251"/>
    <w:rsid w:val="125D2F7F"/>
    <w:rsid w:val="126B6F2D"/>
    <w:rsid w:val="126F0FE9"/>
    <w:rsid w:val="12977E48"/>
    <w:rsid w:val="129F2B53"/>
    <w:rsid w:val="12A845A8"/>
    <w:rsid w:val="12B40AA7"/>
    <w:rsid w:val="12BA2926"/>
    <w:rsid w:val="12CF697F"/>
    <w:rsid w:val="12DC1B4C"/>
    <w:rsid w:val="13001549"/>
    <w:rsid w:val="13045EFF"/>
    <w:rsid w:val="130B4B50"/>
    <w:rsid w:val="13161850"/>
    <w:rsid w:val="133815F1"/>
    <w:rsid w:val="135B7547"/>
    <w:rsid w:val="135E26A6"/>
    <w:rsid w:val="13673B1E"/>
    <w:rsid w:val="136748FF"/>
    <w:rsid w:val="136E75D7"/>
    <w:rsid w:val="13704D68"/>
    <w:rsid w:val="1390697B"/>
    <w:rsid w:val="13B76BA2"/>
    <w:rsid w:val="13B81E24"/>
    <w:rsid w:val="13CC2943"/>
    <w:rsid w:val="13EC5F71"/>
    <w:rsid w:val="13FB0A64"/>
    <w:rsid w:val="140A6BE4"/>
    <w:rsid w:val="14272A04"/>
    <w:rsid w:val="14283E94"/>
    <w:rsid w:val="144F242A"/>
    <w:rsid w:val="14506500"/>
    <w:rsid w:val="145A616C"/>
    <w:rsid w:val="145A79EE"/>
    <w:rsid w:val="145D5680"/>
    <w:rsid w:val="147A1C07"/>
    <w:rsid w:val="147A7952"/>
    <w:rsid w:val="148F7029"/>
    <w:rsid w:val="14A20FD8"/>
    <w:rsid w:val="14C052F1"/>
    <w:rsid w:val="14C21B6F"/>
    <w:rsid w:val="14CC69BE"/>
    <w:rsid w:val="14CD2FEA"/>
    <w:rsid w:val="14D9462E"/>
    <w:rsid w:val="14DE5C5A"/>
    <w:rsid w:val="14E05160"/>
    <w:rsid w:val="14E07884"/>
    <w:rsid w:val="14F37726"/>
    <w:rsid w:val="14F44840"/>
    <w:rsid w:val="15010C92"/>
    <w:rsid w:val="150D7A74"/>
    <w:rsid w:val="15171E45"/>
    <w:rsid w:val="151C5F20"/>
    <w:rsid w:val="152A4FA3"/>
    <w:rsid w:val="15325BF5"/>
    <w:rsid w:val="15360D63"/>
    <w:rsid w:val="1558382C"/>
    <w:rsid w:val="155B33AF"/>
    <w:rsid w:val="155B6F0B"/>
    <w:rsid w:val="15701865"/>
    <w:rsid w:val="15790A9D"/>
    <w:rsid w:val="15A80ED6"/>
    <w:rsid w:val="15AD5A96"/>
    <w:rsid w:val="15B12FCF"/>
    <w:rsid w:val="15B9424F"/>
    <w:rsid w:val="15CB06E2"/>
    <w:rsid w:val="15D41132"/>
    <w:rsid w:val="15D564C4"/>
    <w:rsid w:val="15DD5B72"/>
    <w:rsid w:val="15DE44D2"/>
    <w:rsid w:val="15E77AEE"/>
    <w:rsid w:val="15EB6829"/>
    <w:rsid w:val="15F2470E"/>
    <w:rsid w:val="15F5735F"/>
    <w:rsid w:val="15F64E85"/>
    <w:rsid w:val="15F7061B"/>
    <w:rsid w:val="15F829AC"/>
    <w:rsid w:val="16175528"/>
    <w:rsid w:val="162923AE"/>
    <w:rsid w:val="16452C82"/>
    <w:rsid w:val="16781D3E"/>
    <w:rsid w:val="167D1838"/>
    <w:rsid w:val="167D7C9E"/>
    <w:rsid w:val="1684355B"/>
    <w:rsid w:val="16922E00"/>
    <w:rsid w:val="16976668"/>
    <w:rsid w:val="16994E4A"/>
    <w:rsid w:val="169E2CE6"/>
    <w:rsid w:val="16A55C77"/>
    <w:rsid w:val="16B45F24"/>
    <w:rsid w:val="16C032D5"/>
    <w:rsid w:val="16C46D32"/>
    <w:rsid w:val="16D026BB"/>
    <w:rsid w:val="16E6314C"/>
    <w:rsid w:val="16F56DA3"/>
    <w:rsid w:val="170A20BB"/>
    <w:rsid w:val="171B2680"/>
    <w:rsid w:val="173F71BF"/>
    <w:rsid w:val="17426B8D"/>
    <w:rsid w:val="17555615"/>
    <w:rsid w:val="1779404E"/>
    <w:rsid w:val="17804C49"/>
    <w:rsid w:val="178070FD"/>
    <w:rsid w:val="17955DED"/>
    <w:rsid w:val="179A111C"/>
    <w:rsid w:val="179A5FEC"/>
    <w:rsid w:val="179F6AD9"/>
    <w:rsid w:val="17C80364"/>
    <w:rsid w:val="17D82A95"/>
    <w:rsid w:val="17E85AC5"/>
    <w:rsid w:val="17EA0A1A"/>
    <w:rsid w:val="17F200CF"/>
    <w:rsid w:val="18155A97"/>
    <w:rsid w:val="182E6B59"/>
    <w:rsid w:val="184D5B81"/>
    <w:rsid w:val="1865456F"/>
    <w:rsid w:val="18682902"/>
    <w:rsid w:val="1881137E"/>
    <w:rsid w:val="188576FD"/>
    <w:rsid w:val="188C6DAC"/>
    <w:rsid w:val="188D1AD1"/>
    <w:rsid w:val="18CD7FAB"/>
    <w:rsid w:val="18DD4E57"/>
    <w:rsid w:val="18EF45F9"/>
    <w:rsid w:val="18FD277E"/>
    <w:rsid w:val="192A24B1"/>
    <w:rsid w:val="194817FC"/>
    <w:rsid w:val="194B0481"/>
    <w:rsid w:val="194F38AF"/>
    <w:rsid w:val="195720DF"/>
    <w:rsid w:val="19735F7B"/>
    <w:rsid w:val="19805192"/>
    <w:rsid w:val="198124BA"/>
    <w:rsid w:val="19892807"/>
    <w:rsid w:val="19A215AC"/>
    <w:rsid w:val="19AD1CFF"/>
    <w:rsid w:val="19B65058"/>
    <w:rsid w:val="19B678E2"/>
    <w:rsid w:val="19C24C2F"/>
    <w:rsid w:val="1A0A6E6B"/>
    <w:rsid w:val="1A115BD9"/>
    <w:rsid w:val="1A13070C"/>
    <w:rsid w:val="1A270452"/>
    <w:rsid w:val="1A2B6E03"/>
    <w:rsid w:val="1A2D15F7"/>
    <w:rsid w:val="1A330C7D"/>
    <w:rsid w:val="1A3438DD"/>
    <w:rsid w:val="1A392129"/>
    <w:rsid w:val="1A3E2420"/>
    <w:rsid w:val="1A4B30EF"/>
    <w:rsid w:val="1A582C70"/>
    <w:rsid w:val="1A626F8D"/>
    <w:rsid w:val="1A6F47E7"/>
    <w:rsid w:val="1A796EDA"/>
    <w:rsid w:val="1A807414"/>
    <w:rsid w:val="1A8314AC"/>
    <w:rsid w:val="1A8B2040"/>
    <w:rsid w:val="1AAE3F81"/>
    <w:rsid w:val="1ABF16F8"/>
    <w:rsid w:val="1AC27A2C"/>
    <w:rsid w:val="1AC35115"/>
    <w:rsid w:val="1AC35C7E"/>
    <w:rsid w:val="1AC5074E"/>
    <w:rsid w:val="1AC775D5"/>
    <w:rsid w:val="1AE259D8"/>
    <w:rsid w:val="1AE44BBE"/>
    <w:rsid w:val="1AEE43A6"/>
    <w:rsid w:val="1AF720E7"/>
    <w:rsid w:val="1AF771ED"/>
    <w:rsid w:val="1B083050"/>
    <w:rsid w:val="1B1E4D15"/>
    <w:rsid w:val="1B375AAA"/>
    <w:rsid w:val="1B3E075A"/>
    <w:rsid w:val="1B4D5E7C"/>
    <w:rsid w:val="1B5C39DD"/>
    <w:rsid w:val="1B711F43"/>
    <w:rsid w:val="1B764745"/>
    <w:rsid w:val="1B7A20B5"/>
    <w:rsid w:val="1B7D59C4"/>
    <w:rsid w:val="1B9118D8"/>
    <w:rsid w:val="1B9744B4"/>
    <w:rsid w:val="1B9851D1"/>
    <w:rsid w:val="1BA05747"/>
    <w:rsid w:val="1BA42D2D"/>
    <w:rsid w:val="1BAE39CB"/>
    <w:rsid w:val="1BC62263"/>
    <w:rsid w:val="1BC81072"/>
    <w:rsid w:val="1BCD35DA"/>
    <w:rsid w:val="1BF43C15"/>
    <w:rsid w:val="1C025F6F"/>
    <w:rsid w:val="1C055E22"/>
    <w:rsid w:val="1C1351EB"/>
    <w:rsid w:val="1C1C57EF"/>
    <w:rsid w:val="1C273FEB"/>
    <w:rsid w:val="1C2D6A5C"/>
    <w:rsid w:val="1C3C21A2"/>
    <w:rsid w:val="1C3D55BC"/>
    <w:rsid w:val="1C4A5F2B"/>
    <w:rsid w:val="1C5921A5"/>
    <w:rsid w:val="1C6B3E0D"/>
    <w:rsid w:val="1C765B70"/>
    <w:rsid w:val="1C950DC8"/>
    <w:rsid w:val="1C9C1682"/>
    <w:rsid w:val="1CA13D9D"/>
    <w:rsid w:val="1CB30543"/>
    <w:rsid w:val="1CB82636"/>
    <w:rsid w:val="1CC27025"/>
    <w:rsid w:val="1CC7757C"/>
    <w:rsid w:val="1CC91557"/>
    <w:rsid w:val="1CEB2779"/>
    <w:rsid w:val="1CF345C3"/>
    <w:rsid w:val="1D0E319D"/>
    <w:rsid w:val="1D152D3C"/>
    <w:rsid w:val="1D221566"/>
    <w:rsid w:val="1D26133C"/>
    <w:rsid w:val="1D305121"/>
    <w:rsid w:val="1D3811FA"/>
    <w:rsid w:val="1D3A6632"/>
    <w:rsid w:val="1D466FB9"/>
    <w:rsid w:val="1D617193"/>
    <w:rsid w:val="1D694302"/>
    <w:rsid w:val="1D867D1A"/>
    <w:rsid w:val="1D991C1D"/>
    <w:rsid w:val="1D9C18F5"/>
    <w:rsid w:val="1DAE1690"/>
    <w:rsid w:val="1DD4372B"/>
    <w:rsid w:val="1DDE4001"/>
    <w:rsid w:val="1DDF4D1C"/>
    <w:rsid w:val="1E0F6B52"/>
    <w:rsid w:val="1E18679A"/>
    <w:rsid w:val="1E1E141D"/>
    <w:rsid w:val="1E3824DF"/>
    <w:rsid w:val="1E567BD3"/>
    <w:rsid w:val="1E5E31B8"/>
    <w:rsid w:val="1E6731D5"/>
    <w:rsid w:val="1E7320C1"/>
    <w:rsid w:val="1E8C5541"/>
    <w:rsid w:val="1E9320FC"/>
    <w:rsid w:val="1EAC7E0A"/>
    <w:rsid w:val="1EAF2075"/>
    <w:rsid w:val="1EC42614"/>
    <w:rsid w:val="1ED80344"/>
    <w:rsid w:val="1EEA1677"/>
    <w:rsid w:val="1EED3E3E"/>
    <w:rsid w:val="1EF30FC6"/>
    <w:rsid w:val="1EF83F76"/>
    <w:rsid w:val="1EFF4CE4"/>
    <w:rsid w:val="1F0079D8"/>
    <w:rsid w:val="1F046D4E"/>
    <w:rsid w:val="1F161E9C"/>
    <w:rsid w:val="1F1D18F8"/>
    <w:rsid w:val="1F1E1139"/>
    <w:rsid w:val="1F213EE7"/>
    <w:rsid w:val="1F2B6469"/>
    <w:rsid w:val="1F321598"/>
    <w:rsid w:val="1F396135"/>
    <w:rsid w:val="1F3E7C39"/>
    <w:rsid w:val="1F555A28"/>
    <w:rsid w:val="1F9512A8"/>
    <w:rsid w:val="1FA56903"/>
    <w:rsid w:val="1FA63478"/>
    <w:rsid w:val="1FC57DA2"/>
    <w:rsid w:val="1FC74AFD"/>
    <w:rsid w:val="1FCA32AD"/>
    <w:rsid w:val="1FD15EE1"/>
    <w:rsid w:val="1FD75D28"/>
    <w:rsid w:val="1FDD6E90"/>
    <w:rsid w:val="1FEB3CBD"/>
    <w:rsid w:val="1FF115A0"/>
    <w:rsid w:val="1FF36207"/>
    <w:rsid w:val="1FF75D21"/>
    <w:rsid w:val="1FFC6307"/>
    <w:rsid w:val="20104D96"/>
    <w:rsid w:val="20135C1B"/>
    <w:rsid w:val="20237641"/>
    <w:rsid w:val="202730EF"/>
    <w:rsid w:val="20370574"/>
    <w:rsid w:val="203942EC"/>
    <w:rsid w:val="2040567E"/>
    <w:rsid w:val="204A7561"/>
    <w:rsid w:val="20523E82"/>
    <w:rsid w:val="205729C5"/>
    <w:rsid w:val="20644807"/>
    <w:rsid w:val="20672C08"/>
    <w:rsid w:val="206A303B"/>
    <w:rsid w:val="206F2EC4"/>
    <w:rsid w:val="206F7D0E"/>
    <w:rsid w:val="20745325"/>
    <w:rsid w:val="207A752A"/>
    <w:rsid w:val="20810B23"/>
    <w:rsid w:val="2082196C"/>
    <w:rsid w:val="20850437"/>
    <w:rsid w:val="20932C15"/>
    <w:rsid w:val="209C2DA4"/>
    <w:rsid w:val="20C8153E"/>
    <w:rsid w:val="20CC747B"/>
    <w:rsid w:val="20DA783F"/>
    <w:rsid w:val="2107263D"/>
    <w:rsid w:val="21082D78"/>
    <w:rsid w:val="210A0830"/>
    <w:rsid w:val="211A2370"/>
    <w:rsid w:val="213F2A78"/>
    <w:rsid w:val="214116AB"/>
    <w:rsid w:val="21414E27"/>
    <w:rsid w:val="21640601"/>
    <w:rsid w:val="2164183D"/>
    <w:rsid w:val="218868EF"/>
    <w:rsid w:val="218B1A55"/>
    <w:rsid w:val="218B7BAB"/>
    <w:rsid w:val="218F5E02"/>
    <w:rsid w:val="219B50F6"/>
    <w:rsid w:val="21AE2AB8"/>
    <w:rsid w:val="21B30E0B"/>
    <w:rsid w:val="21C00CE5"/>
    <w:rsid w:val="21C2344F"/>
    <w:rsid w:val="21C268AC"/>
    <w:rsid w:val="21CC4F72"/>
    <w:rsid w:val="21CE0281"/>
    <w:rsid w:val="21D56297"/>
    <w:rsid w:val="21DC7625"/>
    <w:rsid w:val="21E735F7"/>
    <w:rsid w:val="22123F32"/>
    <w:rsid w:val="221338AA"/>
    <w:rsid w:val="221417DE"/>
    <w:rsid w:val="222516C8"/>
    <w:rsid w:val="2227225B"/>
    <w:rsid w:val="223814FD"/>
    <w:rsid w:val="2260404C"/>
    <w:rsid w:val="22696FFE"/>
    <w:rsid w:val="226A4C31"/>
    <w:rsid w:val="227C6D79"/>
    <w:rsid w:val="228D26CE"/>
    <w:rsid w:val="22934188"/>
    <w:rsid w:val="229879F0"/>
    <w:rsid w:val="22AC2D12"/>
    <w:rsid w:val="22DF73CD"/>
    <w:rsid w:val="22E14EBC"/>
    <w:rsid w:val="22F664C5"/>
    <w:rsid w:val="23051942"/>
    <w:rsid w:val="23264FFC"/>
    <w:rsid w:val="233B0B10"/>
    <w:rsid w:val="234B4A63"/>
    <w:rsid w:val="234E6301"/>
    <w:rsid w:val="23752E7F"/>
    <w:rsid w:val="238626BD"/>
    <w:rsid w:val="239C57B8"/>
    <w:rsid w:val="23A1214F"/>
    <w:rsid w:val="23AD721F"/>
    <w:rsid w:val="23B0550D"/>
    <w:rsid w:val="23CB16FF"/>
    <w:rsid w:val="23E629DD"/>
    <w:rsid w:val="23E9569E"/>
    <w:rsid w:val="23F22A95"/>
    <w:rsid w:val="23FC376D"/>
    <w:rsid w:val="23FC7916"/>
    <w:rsid w:val="240024A9"/>
    <w:rsid w:val="24022841"/>
    <w:rsid w:val="240C069F"/>
    <w:rsid w:val="24117358"/>
    <w:rsid w:val="244120BC"/>
    <w:rsid w:val="24423E2D"/>
    <w:rsid w:val="24493123"/>
    <w:rsid w:val="246833F2"/>
    <w:rsid w:val="246E3BEE"/>
    <w:rsid w:val="24BE72A6"/>
    <w:rsid w:val="24C956C5"/>
    <w:rsid w:val="24D171E9"/>
    <w:rsid w:val="24D9609E"/>
    <w:rsid w:val="24F15196"/>
    <w:rsid w:val="24F77E58"/>
    <w:rsid w:val="24F904EE"/>
    <w:rsid w:val="2501318E"/>
    <w:rsid w:val="251B4AC5"/>
    <w:rsid w:val="25201F1F"/>
    <w:rsid w:val="252A49EA"/>
    <w:rsid w:val="252F17E9"/>
    <w:rsid w:val="254259F1"/>
    <w:rsid w:val="25446A6C"/>
    <w:rsid w:val="257865D0"/>
    <w:rsid w:val="25A312AB"/>
    <w:rsid w:val="25B74631"/>
    <w:rsid w:val="25D56542"/>
    <w:rsid w:val="25E1345C"/>
    <w:rsid w:val="25E14A26"/>
    <w:rsid w:val="25F211C5"/>
    <w:rsid w:val="25F2787D"/>
    <w:rsid w:val="25F9498E"/>
    <w:rsid w:val="26085E35"/>
    <w:rsid w:val="26250EA4"/>
    <w:rsid w:val="26284BE7"/>
    <w:rsid w:val="262D7636"/>
    <w:rsid w:val="26351AE9"/>
    <w:rsid w:val="263E46AC"/>
    <w:rsid w:val="263F5A17"/>
    <w:rsid w:val="264634B9"/>
    <w:rsid w:val="264659B5"/>
    <w:rsid w:val="2649453F"/>
    <w:rsid w:val="264A1B0E"/>
    <w:rsid w:val="264F486A"/>
    <w:rsid w:val="26600EFE"/>
    <w:rsid w:val="26751DF6"/>
    <w:rsid w:val="26830A83"/>
    <w:rsid w:val="268F7F2A"/>
    <w:rsid w:val="26960004"/>
    <w:rsid w:val="269A185A"/>
    <w:rsid w:val="269C2FFA"/>
    <w:rsid w:val="26BB3CAD"/>
    <w:rsid w:val="26CF7759"/>
    <w:rsid w:val="26DA7746"/>
    <w:rsid w:val="26E66825"/>
    <w:rsid w:val="26EC0FE0"/>
    <w:rsid w:val="26F60996"/>
    <w:rsid w:val="270E64D3"/>
    <w:rsid w:val="27146081"/>
    <w:rsid w:val="271D5136"/>
    <w:rsid w:val="27361C32"/>
    <w:rsid w:val="273C196F"/>
    <w:rsid w:val="273F73E6"/>
    <w:rsid w:val="274367FF"/>
    <w:rsid w:val="275D6B12"/>
    <w:rsid w:val="276726E4"/>
    <w:rsid w:val="27677991"/>
    <w:rsid w:val="276E51C4"/>
    <w:rsid w:val="277E377C"/>
    <w:rsid w:val="278B50BA"/>
    <w:rsid w:val="27A83832"/>
    <w:rsid w:val="27B66DC9"/>
    <w:rsid w:val="27CA1F96"/>
    <w:rsid w:val="27D007EA"/>
    <w:rsid w:val="27D81F82"/>
    <w:rsid w:val="27E17DF0"/>
    <w:rsid w:val="27F31454"/>
    <w:rsid w:val="27F356C9"/>
    <w:rsid w:val="27FC632B"/>
    <w:rsid w:val="281F2669"/>
    <w:rsid w:val="28291C50"/>
    <w:rsid w:val="2829235B"/>
    <w:rsid w:val="28353194"/>
    <w:rsid w:val="283C177F"/>
    <w:rsid w:val="28447CD2"/>
    <w:rsid w:val="285068BB"/>
    <w:rsid w:val="28642123"/>
    <w:rsid w:val="2872406D"/>
    <w:rsid w:val="288D1679"/>
    <w:rsid w:val="289D2BD1"/>
    <w:rsid w:val="28B0237D"/>
    <w:rsid w:val="28C82245"/>
    <w:rsid w:val="28CE63C5"/>
    <w:rsid w:val="28D361A5"/>
    <w:rsid w:val="28DE6D64"/>
    <w:rsid w:val="28ED3EC6"/>
    <w:rsid w:val="28F156C9"/>
    <w:rsid w:val="2907582C"/>
    <w:rsid w:val="29086F52"/>
    <w:rsid w:val="29237B49"/>
    <w:rsid w:val="292756D2"/>
    <w:rsid w:val="29290FE4"/>
    <w:rsid w:val="293C1946"/>
    <w:rsid w:val="295764E8"/>
    <w:rsid w:val="297517B3"/>
    <w:rsid w:val="297A286D"/>
    <w:rsid w:val="297F2DF4"/>
    <w:rsid w:val="2980555E"/>
    <w:rsid w:val="299D1BC6"/>
    <w:rsid w:val="29C15A7E"/>
    <w:rsid w:val="29D05B2A"/>
    <w:rsid w:val="29E164DF"/>
    <w:rsid w:val="29F46BF1"/>
    <w:rsid w:val="29F540A1"/>
    <w:rsid w:val="2A183BA6"/>
    <w:rsid w:val="2A2E29E8"/>
    <w:rsid w:val="2A3C5E71"/>
    <w:rsid w:val="2A491E31"/>
    <w:rsid w:val="2A5213EC"/>
    <w:rsid w:val="2A5C2BE0"/>
    <w:rsid w:val="2A5E6025"/>
    <w:rsid w:val="2A5F7045"/>
    <w:rsid w:val="2A6B7BF3"/>
    <w:rsid w:val="2A794084"/>
    <w:rsid w:val="2A7F2862"/>
    <w:rsid w:val="2A816FBC"/>
    <w:rsid w:val="2A8F1710"/>
    <w:rsid w:val="2A906B26"/>
    <w:rsid w:val="2A98582B"/>
    <w:rsid w:val="2A9E2ED5"/>
    <w:rsid w:val="2AA57354"/>
    <w:rsid w:val="2AB2624A"/>
    <w:rsid w:val="2ABE000A"/>
    <w:rsid w:val="2AD119E6"/>
    <w:rsid w:val="2AD4237F"/>
    <w:rsid w:val="2ADE7F6A"/>
    <w:rsid w:val="2AEB2687"/>
    <w:rsid w:val="2AF73315"/>
    <w:rsid w:val="2B0A5203"/>
    <w:rsid w:val="2B3719D8"/>
    <w:rsid w:val="2B382E7E"/>
    <w:rsid w:val="2B3E4634"/>
    <w:rsid w:val="2B4E6910"/>
    <w:rsid w:val="2B516104"/>
    <w:rsid w:val="2B58149E"/>
    <w:rsid w:val="2B5F76F3"/>
    <w:rsid w:val="2B612949"/>
    <w:rsid w:val="2B7733E2"/>
    <w:rsid w:val="2B7A3236"/>
    <w:rsid w:val="2B940F71"/>
    <w:rsid w:val="2BAD443E"/>
    <w:rsid w:val="2BC77C2C"/>
    <w:rsid w:val="2C161CE8"/>
    <w:rsid w:val="2C1E25F3"/>
    <w:rsid w:val="2C2600D1"/>
    <w:rsid w:val="2C275941"/>
    <w:rsid w:val="2C2E0A7D"/>
    <w:rsid w:val="2C332538"/>
    <w:rsid w:val="2C3712E3"/>
    <w:rsid w:val="2C504D9D"/>
    <w:rsid w:val="2C5D65F6"/>
    <w:rsid w:val="2C623180"/>
    <w:rsid w:val="2C6D7E6F"/>
    <w:rsid w:val="2C6E531E"/>
    <w:rsid w:val="2C7F577D"/>
    <w:rsid w:val="2C822310"/>
    <w:rsid w:val="2C8A53D8"/>
    <w:rsid w:val="2C99595D"/>
    <w:rsid w:val="2C9A6113"/>
    <w:rsid w:val="2CA62D0A"/>
    <w:rsid w:val="2CBA4A07"/>
    <w:rsid w:val="2CBA7F57"/>
    <w:rsid w:val="2CBF49BA"/>
    <w:rsid w:val="2CC55886"/>
    <w:rsid w:val="2CCA13EA"/>
    <w:rsid w:val="2CCF0BBF"/>
    <w:rsid w:val="2CF95944"/>
    <w:rsid w:val="2D1A4251"/>
    <w:rsid w:val="2D1B339B"/>
    <w:rsid w:val="2D236ADB"/>
    <w:rsid w:val="2D2860BD"/>
    <w:rsid w:val="2D2C20B9"/>
    <w:rsid w:val="2D355E3C"/>
    <w:rsid w:val="2D406CBA"/>
    <w:rsid w:val="2D424F36"/>
    <w:rsid w:val="2D43338B"/>
    <w:rsid w:val="2D576CFF"/>
    <w:rsid w:val="2D732009"/>
    <w:rsid w:val="2D7626DC"/>
    <w:rsid w:val="2D806F7B"/>
    <w:rsid w:val="2D880661"/>
    <w:rsid w:val="2D9000E0"/>
    <w:rsid w:val="2D905B14"/>
    <w:rsid w:val="2DA43325"/>
    <w:rsid w:val="2DAC5BF8"/>
    <w:rsid w:val="2DB66F7C"/>
    <w:rsid w:val="2DCA22A1"/>
    <w:rsid w:val="2DEF2C3A"/>
    <w:rsid w:val="2DF67CC1"/>
    <w:rsid w:val="2DF87595"/>
    <w:rsid w:val="2DFB6960"/>
    <w:rsid w:val="2DFF1BF8"/>
    <w:rsid w:val="2E3A5DFF"/>
    <w:rsid w:val="2E4B57EF"/>
    <w:rsid w:val="2E5E339D"/>
    <w:rsid w:val="2E5E5D3B"/>
    <w:rsid w:val="2E7902E6"/>
    <w:rsid w:val="2E8A0D24"/>
    <w:rsid w:val="2E964C51"/>
    <w:rsid w:val="2EB45BB2"/>
    <w:rsid w:val="2ED95C08"/>
    <w:rsid w:val="2EDB4C10"/>
    <w:rsid w:val="2EED7876"/>
    <w:rsid w:val="2EF77DE6"/>
    <w:rsid w:val="2F154697"/>
    <w:rsid w:val="2F230380"/>
    <w:rsid w:val="2F454A5C"/>
    <w:rsid w:val="2F512BFD"/>
    <w:rsid w:val="2F5351D7"/>
    <w:rsid w:val="2F7228AC"/>
    <w:rsid w:val="2F7F1DB2"/>
    <w:rsid w:val="2F9C6646"/>
    <w:rsid w:val="2FB43990"/>
    <w:rsid w:val="2FC71547"/>
    <w:rsid w:val="2FC736C3"/>
    <w:rsid w:val="2FCB3C7C"/>
    <w:rsid w:val="2FD16D5D"/>
    <w:rsid w:val="2FE45510"/>
    <w:rsid w:val="2FEF72D2"/>
    <w:rsid w:val="2FFD0E93"/>
    <w:rsid w:val="2FFE23A7"/>
    <w:rsid w:val="3007281E"/>
    <w:rsid w:val="300F503A"/>
    <w:rsid w:val="302322C7"/>
    <w:rsid w:val="3034062C"/>
    <w:rsid w:val="303B1BE3"/>
    <w:rsid w:val="30586A11"/>
    <w:rsid w:val="3062166C"/>
    <w:rsid w:val="30640F12"/>
    <w:rsid w:val="306554F5"/>
    <w:rsid w:val="307750E9"/>
    <w:rsid w:val="30A60B13"/>
    <w:rsid w:val="30B56118"/>
    <w:rsid w:val="30D96CC6"/>
    <w:rsid w:val="30E80016"/>
    <w:rsid w:val="30F37C1F"/>
    <w:rsid w:val="31092C45"/>
    <w:rsid w:val="31135CDD"/>
    <w:rsid w:val="31160A0E"/>
    <w:rsid w:val="31216EF5"/>
    <w:rsid w:val="312C03B6"/>
    <w:rsid w:val="312D446C"/>
    <w:rsid w:val="312D7D00"/>
    <w:rsid w:val="314C343E"/>
    <w:rsid w:val="315462C3"/>
    <w:rsid w:val="316030B9"/>
    <w:rsid w:val="31682C84"/>
    <w:rsid w:val="3172064C"/>
    <w:rsid w:val="31733A87"/>
    <w:rsid w:val="31853743"/>
    <w:rsid w:val="3187506D"/>
    <w:rsid w:val="318C18AE"/>
    <w:rsid w:val="319C292D"/>
    <w:rsid w:val="31AD0696"/>
    <w:rsid w:val="31AD34D0"/>
    <w:rsid w:val="31D245CA"/>
    <w:rsid w:val="31D73588"/>
    <w:rsid w:val="31DC27FF"/>
    <w:rsid w:val="31F913D8"/>
    <w:rsid w:val="32051C37"/>
    <w:rsid w:val="32083730"/>
    <w:rsid w:val="321E4180"/>
    <w:rsid w:val="32233775"/>
    <w:rsid w:val="322A1CE7"/>
    <w:rsid w:val="324033AF"/>
    <w:rsid w:val="32413089"/>
    <w:rsid w:val="32472899"/>
    <w:rsid w:val="325F7797"/>
    <w:rsid w:val="32601BAD"/>
    <w:rsid w:val="32796485"/>
    <w:rsid w:val="32914955"/>
    <w:rsid w:val="32951D54"/>
    <w:rsid w:val="32A33BC6"/>
    <w:rsid w:val="32A673F0"/>
    <w:rsid w:val="32B01BFA"/>
    <w:rsid w:val="32B82CD9"/>
    <w:rsid w:val="32BD7DDA"/>
    <w:rsid w:val="32C20171"/>
    <w:rsid w:val="32C75C1A"/>
    <w:rsid w:val="32D22AAA"/>
    <w:rsid w:val="32D64B33"/>
    <w:rsid w:val="32DD5EDB"/>
    <w:rsid w:val="32F316B8"/>
    <w:rsid w:val="330E33B7"/>
    <w:rsid w:val="33141EBF"/>
    <w:rsid w:val="331C1F78"/>
    <w:rsid w:val="33354DE7"/>
    <w:rsid w:val="33383360"/>
    <w:rsid w:val="33461575"/>
    <w:rsid w:val="33704C36"/>
    <w:rsid w:val="337926BF"/>
    <w:rsid w:val="337F43BF"/>
    <w:rsid w:val="33843679"/>
    <w:rsid w:val="33934AB7"/>
    <w:rsid w:val="33BF0D95"/>
    <w:rsid w:val="33DD3845"/>
    <w:rsid w:val="33E97C32"/>
    <w:rsid w:val="33EA23A5"/>
    <w:rsid w:val="33EB36B7"/>
    <w:rsid w:val="33EE0FFB"/>
    <w:rsid w:val="34117602"/>
    <w:rsid w:val="34286628"/>
    <w:rsid w:val="342C61EA"/>
    <w:rsid w:val="343E1A7A"/>
    <w:rsid w:val="344D358E"/>
    <w:rsid w:val="344D77BF"/>
    <w:rsid w:val="346C2BB5"/>
    <w:rsid w:val="347D0BB7"/>
    <w:rsid w:val="348F2F0F"/>
    <w:rsid w:val="34BC3B37"/>
    <w:rsid w:val="34BD5094"/>
    <w:rsid w:val="34D50630"/>
    <w:rsid w:val="34D843EB"/>
    <w:rsid w:val="34D90BF1"/>
    <w:rsid w:val="34D94A8F"/>
    <w:rsid w:val="34F729B7"/>
    <w:rsid w:val="351A24E7"/>
    <w:rsid w:val="351E6C69"/>
    <w:rsid w:val="353054DF"/>
    <w:rsid w:val="354237EC"/>
    <w:rsid w:val="3543266A"/>
    <w:rsid w:val="35533A49"/>
    <w:rsid w:val="355508F0"/>
    <w:rsid w:val="355E220A"/>
    <w:rsid w:val="35697EC5"/>
    <w:rsid w:val="356B7CCB"/>
    <w:rsid w:val="358160C2"/>
    <w:rsid w:val="35922017"/>
    <w:rsid w:val="35935DF5"/>
    <w:rsid w:val="35AC2A16"/>
    <w:rsid w:val="35BB0BF3"/>
    <w:rsid w:val="35C276FE"/>
    <w:rsid w:val="35C40BA0"/>
    <w:rsid w:val="35D05A62"/>
    <w:rsid w:val="35E13004"/>
    <w:rsid w:val="35F22181"/>
    <w:rsid w:val="35FF4EB1"/>
    <w:rsid w:val="360109F6"/>
    <w:rsid w:val="360A60B7"/>
    <w:rsid w:val="360D3DFA"/>
    <w:rsid w:val="361231BE"/>
    <w:rsid w:val="361E1F84"/>
    <w:rsid w:val="36200DF8"/>
    <w:rsid w:val="363E02D5"/>
    <w:rsid w:val="363F162B"/>
    <w:rsid w:val="36406B37"/>
    <w:rsid w:val="36413AA3"/>
    <w:rsid w:val="3658153F"/>
    <w:rsid w:val="36620457"/>
    <w:rsid w:val="36674D3B"/>
    <w:rsid w:val="3668140B"/>
    <w:rsid w:val="36891ABC"/>
    <w:rsid w:val="369E4A52"/>
    <w:rsid w:val="36A428BE"/>
    <w:rsid w:val="36A77707"/>
    <w:rsid w:val="36AB65D4"/>
    <w:rsid w:val="36B3674F"/>
    <w:rsid w:val="36B746BC"/>
    <w:rsid w:val="36BC3E22"/>
    <w:rsid w:val="36CB11EA"/>
    <w:rsid w:val="36E73CCE"/>
    <w:rsid w:val="36EA62C4"/>
    <w:rsid w:val="36FB5D01"/>
    <w:rsid w:val="36FE3234"/>
    <w:rsid w:val="371D336E"/>
    <w:rsid w:val="3720190B"/>
    <w:rsid w:val="37215DAE"/>
    <w:rsid w:val="37341177"/>
    <w:rsid w:val="3735166B"/>
    <w:rsid w:val="373824B6"/>
    <w:rsid w:val="37401C1F"/>
    <w:rsid w:val="37424E5A"/>
    <w:rsid w:val="37524396"/>
    <w:rsid w:val="3757357E"/>
    <w:rsid w:val="375C6793"/>
    <w:rsid w:val="379F1476"/>
    <w:rsid w:val="37A140C3"/>
    <w:rsid w:val="37C24A54"/>
    <w:rsid w:val="37DE5A4E"/>
    <w:rsid w:val="37ED3EE3"/>
    <w:rsid w:val="37F9735D"/>
    <w:rsid w:val="37FF4CEF"/>
    <w:rsid w:val="381476C1"/>
    <w:rsid w:val="38147EDC"/>
    <w:rsid w:val="382633EF"/>
    <w:rsid w:val="38275D11"/>
    <w:rsid w:val="382E0769"/>
    <w:rsid w:val="38373E4C"/>
    <w:rsid w:val="3837515E"/>
    <w:rsid w:val="383E64EC"/>
    <w:rsid w:val="384368F2"/>
    <w:rsid w:val="384B11A5"/>
    <w:rsid w:val="384F6A1E"/>
    <w:rsid w:val="38584C11"/>
    <w:rsid w:val="386C3B4A"/>
    <w:rsid w:val="387A0FD3"/>
    <w:rsid w:val="389B393F"/>
    <w:rsid w:val="38A34E06"/>
    <w:rsid w:val="38A60DF1"/>
    <w:rsid w:val="38C22C79"/>
    <w:rsid w:val="38C34C43"/>
    <w:rsid w:val="38C728D0"/>
    <w:rsid w:val="38C74734"/>
    <w:rsid w:val="38C9721B"/>
    <w:rsid w:val="38E70932"/>
    <w:rsid w:val="38F5268D"/>
    <w:rsid w:val="390220DA"/>
    <w:rsid w:val="39055318"/>
    <w:rsid w:val="39116746"/>
    <w:rsid w:val="391D359F"/>
    <w:rsid w:val="392022AF"/>
    <w:rsid w:val="394311D0"/>
    <w:rsid w:val="394D1BA4"/>
    <w:rsid w:val="39525EAF"/>
    <w:rsid w:val="39536350"/>
    <w:rsid w:val="397B454D"/>
    <w:rsid w:val="3986069A"/>
    <w:rsid w:val="39A9208B"/>
    <w:rsid w:val="39AC3A04"/>
    <w:rsid w:val="39B00ABA"/>
    <w:rsid w:val="39BE36C4"/>
    <w:rsid w:val="39C40C73"/>
    <w:rsid w:val="3A070042"/>
    <w:rsid w:val="3A0D1286"/>
    <w:rsid w:val="3A141CF2"/>
    <w:rsid w:val="3A1F13E7"/>
    <w:rsid w:val="3A22777B"/>
    <w:rsid w:val="3A2636DC"/>
    <w:rsid w:val="3A2A1737"/>
    <w:rsid w:val="3A2B6551"/>
    <w:rsid w:val="3A387794"/>
    <w:rsid w:val="3A4B3C15"/>
    <w:rsid w:val="3A4C5D34"/>
    <w:rsid w:val="3A5423D7"/>
    <w:rsid w:val="3A571AE7"/>
    <w:rsid w:val="3A630F43"/>
    <w:rsid w:val="3A756BB5"/>
    <w:rsid w:val="3A76662D"/>
    <w:rsid w:val="3A7B57D6"/>
    <w:rsid w:val="3A8F5030"/>
    <w:rsid w:val="3A9333FD"/>
    <w:rsid w:val="3A940D08"/>
    <w:rsid w:val="3AA36ADA"/>
    <w:rsid w:val="3AD1769C"/>
    <w:rsid w:val="3AE5614E"/>
    <w:rsid w:val="3AFB171C"/>
    <w:rsid w:val="3B0D5ACF"/>
    <w:rsid w:val="3B2969CB"/>
    <w:rsid w:val="3B2A6911"/>
    <w:rsid w:val="3B2D45F6"/>
    <w:rsid w:val="3B3237CF"/>
    <w:rsid w:val="3B352FF6"/>
    <w:rsid w:val="3B3946C2"/>
    <w:rsid w:val="3B40146E"/>
    <w:rsid w:val="3B424B80"/>
    <w:rsid w:val="3B4570FC"/>
    <w:rsid w:val="3B5C0109"/>
    <w:rsid w:val="3B771184"/>
    <w:rsid w:val="3B80094B"/>
    <w:rsid w:val="3B8A6CA7"/>
    <w:rsid w:val="3B8B3675"/>
    <w:rsid w:val="3B91088E"/>
    <w:rsid w:val="3B91218D"/>
    <w:rsid w:val="3B954E32"/>
    <w:rsid w:val="3B955435"/>
    <w:rsid w:val="3B973296"/>
    <w:rsid w:val="3B984D63"/>
    <w:rsid w:val="3BA75ABD"/>
    <w:rsid w:val="3BB12A5A"/>
    <w:rsid w:val="3BB87D86"/>
    <w:rsid w:val="3BC22940"/>
    <w:rsid w:val="3BE23632"/>
    <w:rsid w:val="3BE421C3"/>
    <w:rsid w:val="3BED33D4"/>
    <w:rsid w:val="3BEE1FD7"/>
    <w:rsid w:val="3BF12958"/>
    <w:rsid w:val="3BF52B59"/>
    <w:rsid w:val="3C0161AE"/>
    <w:rsid w:val="3C08753D"/>
    <w:rsid w:val="3C181B84"/>
    <w:rsid w:val="3C1E4416"/>
    <w:rsid w:val="3C357C06"/>
    <w:rsid w:val="3C4D4213"/>
    <w:rsid w:val="3C523F7C"/>
    <w:rsid w:val="3C687FDC"/>
    <w:rsid w:val="3C700C3E"/>
    <w:rsid w:val="3C7A67EC"/>
    <w:rsid w:val="3C8539D6"/>
    <w:rsid w:val="3C936268"/>
    <w:rsid w:val="3CAD3C40"/>
    <w:rsid w:val="3CAE403E"/>
    <w:rsid w:val="3CB56D79"/>
    <w:rsid w:val="3CB73432"/>
    <w:rsid w:val="3CBD5E00"/>
    <w:rsid w:val="3CBE6E54"/>
    <w:rsid w:val="3CC13A13"/>
    <w:rsid w:val="3CDC6557"/>
    <w:rsid w:val="3CF81D1D"/>
    <w:rsid w:val="3D016EA4"/>
    <w:rsid w:val="3D157F9D"/>
    <w:rsid w:val="3D1D5906"/>
    <w:rsid w:val="3D1F0D28"/>
    <w:rsid w:val="3D296F62"/>
    <w:rsid w:val="3D31229A"/>
    <w:rsid w:val="3D387FE4"/>
    <w:rsid w:val="3D3B408D"/>
    <w:rsid w:val="3D3B56F0"/>
    <w:rsid w:val="3D4139CE"/>
    <w:rsid w:val="3D491BBB"/>
    <w:rsid w:val="3D5200E0"/>
    <w:rsid w:val="3D5347E8"/>
    <w:rsid w:val="3D580050"/>
    <w:rsid w:val="3D622FB8"/>
    <w:rsid w:val="3D6267D9"/>
    <w:rsid w:val="3D65609E"/>
    <w:rsid w:val="3D686483"/>
    <w:rsid w:val="3D6975F0"/>
    <w:rsid w:val="3D6D2331"/>
    <w:rsid w:val="3D7B288E"/>
    <w:rsid w:val="3D910C81"/>
    <w:rsid w:val="3D94164A"/>
    <w:rsid w:val="3DB83232"/>
    <w:rsid w:val="3DBA6A6E"/>
    <w:rsid w:val="3DC010BA"/>
    <w:rsid w:val="3DC90571"/>
    <w:rsid w:val="3DCC459A"/>
    <w:rsid w:val="3DE657EF"/>
    <w:rsid w:val="3DF37D79"/>
    <w:rsid w:val="3E077566"/>
    <w:rsid w:val="3E0B50C2"/>
    <w:rsid w:val="3E136892"/>
    <w:rsid w:val="3E1D0952"/>
    <w:rsid w:val="3E274D39"/>
    <w:rsid w:val="3E3A106C"/>
    <w:rsid w:val="3E4270F2"/>
    <w:rsid w:val="3E43598D"/>
    <w:rsid w:val="3E53053A"/>
    <w:rsid w:val="3E5952CD"/>
    <w:rsid w:val="3E5A3954"/>
    <w:rsid w:val="3E640C0D"/>
    <w:rsid w:val="3E667632"/>
    <w:rsid w:val="3E703172"/>
    <w:rsid w:val="3E815E3A"/>
    <w:rsid w:val="3E9211FC"/>
    <w:rsid w:val="3EA40F42"/>
    <w:rsid w:val="3EA50D2D"/>
    <w:rsid w:val="3EAB41B0"/>
    <w:rsid w:val="3EB219E2"/>
    <w:rsid w:val="3EBB0BD4"/>
    <w:rsid w:val="3EBD586D"/>
    <w:rsid w:val="3ED25CB2"/>
    <w:rsid w:val="3EDC2891"/>
    <w:rsid w:val="3EDE4585"/>
    <w:rsid w:val="3EE5066E"/>
    <w:rsid w:val="3EE83100"/>
    <w:rsid w:val="3EE871B2"/>
    <w:rsid w:val="3EF93396"/>
    <w:rsid w:val="3F132099"/>
    <w:rsid w:val="3F1E2829"/>
    <w:rsid w:val="3F2004D3"/>
    <w:rsid w:val="3F317E5A"/>
    <w:rsid w:val="3F3B18E0"/>
    <w:rsid w:val="3F3B3785"/>
    <w:rsid w:val="3F632CDC"/>
    <w:rsid w:val="3F67457A"/>
    <w:rsid w:val="3F792699"/>
    <w:rsid w:val="3FF5260C"/>
    <w:rsid w:val="3FFD07E4"/>
    <w:rsid w:val="40037546"/>
    <w:rsid w:val="400C350F"/>
    <w:rsid w:val="401A20DF"/>
    <w:rsid w:val="40311450"/>
    <w:rsid w:val="403F3D64"/>
    <w:rsid w:val="40490124"/>
    <w:rsid w:val="404E15E0"/>
    <w:rsid w:val="40634359"/>
    <w:rsid w:val="407D63D8"/>
    <w:rsid w:val="408D0011"/>
    <w:rsid w:val="409649A1"/>
    <w:rsid w:val="409F3A5B"/>
    <w:rsid w:val="40B01F51"/>
    <w:rsid w:val="40B52255"/>
    <w:rsid w:val="40B96025"/>
    <w:rsid w:val="40BB6C9A"/>
    <w:rsid w:val="40C12CBE"/>
    <w:rsid w:val="40C40EA7"/>
    <w:rsid w:val="40D106AD"/>
    <w:rsid w:val="40FF7229"/>
    <w:rsid w:val="410178D6"/>
    <w:rsid w:val="41163884"/>
    <w:rsid w:val="412870BA"/>
    <w:rsid w:val="412D7D00"/>
    <w:rsid w:val="41406E31"/>
    <w:rsid w:val="414310DB"/>
    <w:rsid w:val="41526B64"/>
    <w:rsid w:val="41686388"/>
    <w:rsid w:val="4170091B"/>
    <w:rsid w:val="41736037"/>
    <w:rsid w:val="417C41FF"/>
    <w:rsid w:val="41850CE8"/>
    <w:rsid w:val="418B2F47"/>
    <w:rsid w:val="418D2F83"/>
    <w:rsid w:val="4198163A"/>
    <w:rsid w:val="41AD6308"/>
    <w:rsid w:val="41B61F00"/>
    <w:rsid w:val="41BE71A9"/>
    <w:rsid w:val="41C3319D"/>
    <w:rsid w:val="41CC1514"/>
    <w:rsid w:val="41CF6407"/>
    <w:rsid w:val="41D13F2D"/>
    <w:rsid w:val="41D34149"/>
    <w:rsid w:val="41F6270F"/>
    <w:rsid w:val="41FE4B63"/>
    <w:rsid w:val="421856C2"/>
    <w:rsid w:val="421D0400"/>
    <w:rsid w:val="42410916"/>
    <w:rsid w:val="424A1FDF"/>
    <w:rsid w:val="425012F6"/>
    <w:rsid w:val="426D00FA"/>
    <w:rsid w:val="42777DEC"/>
    <w:rsid w:val="427A320B"/>
    <w:rsid w:val="42911696"/>
    <w:rsid w:val="4294615F"/>
    <w:rsid w:val="42A81132"/>
    <w:rsid w:val="42B765BA"/>
    <w:rsid w:val="42C60127"/>
    <w:rsid w:val="42CB12D6"/>
    <w:rsid w:val="42CF7A53"/>
    <w:rsid w:val="42D05017"/>
    <w:rsid w:val="42D737C5"/>
    <w:rsid w:val="42DD6902"/>
    <w:rsid w:val="4306667C"/>
    <w:rsid w:val="43084EF8"/>
    <w:rsid w:val="432269C3"/>
    <w:rsid w:val="4335001A"/>
    <w:rsid w:val="43384333"/>
    <w:rsid w:val="434D2D32"/>
    <w:rsid w:val="435D2BD7"/>
    <w:rsid w:val="43616662"/>
    <w:rsid w:val="4368266F"/>
    <w:rsid w:val="4372208D"/>
    <w:rsid w:val="438D0328"/>
    <w:rsid w:val="43A51B15"/>
    <w:rsid w:val="43A75235"/>
    <w:rsid w:val="43A75D32"/>
    <w:rsid w:val="43AC2EA4"/>
    <w:rsid w:val="43B753A5"/>
    <w:rsid w:val="43BE1911"/>
    <w:rsid w:val="43BF2BD7"/>
    <w:rsid w:val="43D45DE8"/>
    <w:rsid w:val="43F3462F"/>
    <w:rsid w:val="440214C7"/>
    <w:rsid w:val="44124799"/>
    <w:rsid w:val="442212E6"/>
    <w:rsid w:val="442D3EBD"/>
    <w:rsid w:val="44307C27"/>
    <w:rsid w:val="44322F66"/>
    <w:rsid w:val="443268BF"/>
    <w:rsid w:val="443B7D84"/>
    <w:rsid w:val="44433E7C"/>
    <w:rsid w:val="444924DF"/>
    <w:rsid w:val="444B65C3"/>
    <w:rsid w:val="444B685F"/>
    <w:rsid w:val="444F55DD"/>
    <w:rsid w:val="44616DE6"/>
    <w:rsid w:val="44654E01"/>
    <w:rsid w:val="446E05EA"/>
    <w:rsid w:val="447115C6"/>
    <w:rsid w:val="44827C1E"/>
    <w:rsid w:val="44897EF7"/>
    <w:rsid w:val="448B66CE"/>
    <w:rsid w:val="449E2B67"/>
    <w:rsid w:val="44A70245"/>
    <w:rsid w:val="44A90864"/>
    <w:rsid w:val="44AB66EF"/>
    <w:rsid w:val="44BD4C3D"/>
    <w:rsid w:val="44C23F10"/>
    <w:rsid w:val="44D06BB2"/>
    <w:rsid w:val="44D53D34"/>
    <w:rsid w:val="44D95BAD"/>
    <w:rsid w:val="44E330C9"/>
    <w:rsid w:val="44EC6F5A"/>
    <w:rsid w:val="450150F5"/>
    <w:rsid w:val="45123BB5"/>
    <w:rsid w:val="452B293F"/>
    <w:rsid w:val="45380234"/>
    <w:rsid w:val="453F772D"/>
    <w:rsid w:val="454027D1"/>
    <w:rsid w:val="45533857"/>
    <w:rsid w:val="455D6C5E"/>
    <w:rsid w:val="45673672"/>
    <w:rsid w:val="456E5A7F"/>
    <w:rsid w:val="45813EBC"/>
    <w:rsid w:val="458B0E76"/>
    <w:rsid w:val="459745C2"/>
    <w:rsid w:val="45AC2850"/>
    <w:rsid w:val="45B5598A"/>
    <w:rsid w:val="45B778DE"/>
    <w:rsid w:val="45C12DB2"/>
    <w:rsid w:val="45EA00DF"/>
    <w:rsid w:val="460344F5"/>
    <w:rsid w:val="460B6100"/>
    <w:rsid w:val="46177EB4"/>
    <w:rsid w:val="462B4361"/>
    <w:rsid w:val="4642189D"/>
    <w:rsid w:val="464279F7"/>
    <w:rsid w:val="464B72BF"/>
    <w:rsid w:val="465346DC"/>
    <w:rsid w:val="46614399"/>
    <w:rsid w:val="467056B2"/>
    <w:rsid w:val="469059DD"/>
    <w:rsid w:val="46932C51"/>
    <w:rsid w:val="46955E71"/>
    <w:rsid w:val="469A7845"/>
    <w:rsid w:val="46A47BAC"/>
    <w:rsid w:val="46B01973"/>
    <w:rsid w:val="46B45E6A"/>
    <w:rsid w:val="46D7508C"/>
    <w:rsid w:val="46DE17AC"/>
    <w:rsid w:val="46E26BDC"/>
    <w:rsid w:val="46E27759"/>
    <w:rsid w:val="46E54919"/>
    <w:rsid w:val="46E55C26"/>
    <w:rsid w:val="46E55F3E"/>
    <w:rsid w:val="46FF161A"/>
    <w:rsid w:val="470D6DD1"/>
    <w:rsid w:val="47155318"/>
    <w:rsid w:val="4720235A"/>
    <w:rsid w:val="47297B5F"/>
    <w:rsid w:val="47305B9A"/>
    <w:rsid w:val="47311519"/>
    <w:rsid w:val="473138E7"/>
    <w:rsid w:val="47462CC7"/>
    <w:rsid w:val="474927B8"/>
    <w:rsid w:val="475F2657"/>
    <w:rsid w:val="476A10AC"/>
    <w:rsid w:val="479C4F4F"/>
    <w:rsid w:val="47B33A2C"/>
    <w:rsid w:val="47B75973"/>
    <w:rsid w:val="47D3493F"/>
    <w:rsid w:val="47E10E51"/>
    <w:rsid w:val="47E61433"/>
    <w:rsid w:val="47F24BFD"/>
    <w:rsid w:val="47F941DE"/>
    <w:rsid w:val="47FE35A2"/>
    <w:rsid w:val="47FF56C8"/>
    <w:rsid w:val="480134F8"/>
    <w:rsid w:val="48116BD7"/>
    <w:rsid w:val="481B4154"/>
    <w:rsid w:val="481F6B0D"/>
    <w:rsid w:val="482543E5"/>
    <w:rsid w:val="482D5F52"/>
    <w:rsid w:val="485D476D"/>
    <w:rsid w:val="486F5DC3"/>
    <w:rsid w:val="4870619C"/>
    <w:rsid w:val="487F0B87"/>
    <w:rsid w:val="489E3443"/>
    <w:rsid w:val="48A04659"/>
    <w:rsid w:val="48B9571B"/>
    <w:rsid w:val="48C51A56"/>
    <w:rsid w:val="48D03950"/>
    <w:rsid w:val="48F61E83"/>
    <w:rsid w:val="49211C3E"/>
    <w:rsid w:val="49215AD9"/>
    <w:rsid w:val="492301FF"/>
    <w:rsid w:val="492573E6"/>
    <w:rsid w:val="492F498D"/>
    <w:rsid w:val="492F5A35"/>
    <w:rsid w:val="493150F6"/>
    <w:rsid w:val="49363A71"/>
    <w:rsid w:val="49382512"/>
    <w:rsid w:val="493F1FD4"/>
    <w:rsid w:val="4941408E"/>
    <w:rsid w:val="495711BC"/>
    <w:rsid w:val="495C2C76"/>
    <w:rsid w:val="498174A7"/>
    <w:rsid w:val="499A6C45"/>
    <w:rsid w:val="499D328D"/>
    <w:rsid w:val="49A451F1"/>
    <w:rsid w:val="49A726F5"/>
    <w:rsid w:val="49A8358F"/>
    <w:rsid w:val="49BD0CC2"/>
    <w:rsid w:val="49C54151"/>
    <w:rsid w:val="49D77185"/>
    <w:rsid w:val="49E656E9"/>
    <w:rsid w:val="49F1320C"/>
    <w:rsid w:val="49FD0A6D"/>
    <w:rsid w:val="4A067C7E"/>
    <w:rsid w:val="4A2B06B7"/>
    <w:rsid w:val="4A2C5620"/>
    <w:rsid w:val="4A365D96"/>
    <w:rsid w:val="4A554FB6"/>
    <w:rsid w:val="4A562946"/>
    <w:rsid w:val="4A631DE2"/>
    <w:rsid w:val="4A7B22B5"/>
    <w:rsid w:val="4A914BA1"/>
    <w:rsid w:val="4A930919"/>
    <w:rsid w:val="4AA21B83"/>
    <w:rsid w:val="4AA5459A"/>
    <w:rsid w:val="4AB13600"/>
    <w:rsid w:val="4ABA6CC2"/>
    <w:rsid w:val="4AC064FF"/>
    <w:rsid w:val="4AD93E52"/>
    <w:rsid w:val="4AE14E5D"/>
    <w:rsid w:val="4AE555A1"/>
    <w:rsid w:val="4AEC7980"/>
    <w:rsid w:val="4AF24644"/>
    <w:rsid w:val="4AFC6F42"/>
    <w:rsid w:val="4B0E7FA0"/>
    <w:rsid w:val="4B1B6FBD"/>
    <w:rsid w:val="4B1C090F"/>
    <w:rsid w:val="4B1D6435"/>
    <w:rsid w:val="4B416B9A"/>
    <w:rsid w:val="4B584924"/>
    <w:rsid w:val="4B5D4A84"/>
    <w:rsid w:val="4B6A6A72"/>
    <w:rsid w:val="4B714A4C"/>
    <w:rsid w:val="4B7750CC"/>
    <w:rsid w:val="4B796708"/>
    <w:rsid w:val="4B8244EA"/>
    <w:rsid w:val="4B8E52B1"/>
    <w:rsid w:val="4BA3567B"/>
    <w:rsid w:val="4BA5567E"/>
    <w:rsid w:val="4BBA1ED6"/>
    <w:rsid w:val="4BC71D5F"/>
    <w:rsid w:val="4BC774AF"/>
    <w:rsid w:val="4BC82066"/>
    <w:rsid w:val="4BC93952"/>
    <w:rsid w:val="4BC95900"/>
    <w:rsid w:val="4BD502C1"/>
    <w:rsid w:val="4BDB58A6"/>
    <w:rsid w:val="4BE44D3D"/>
    <w:rsid w:val="4BF337A4"/>
    <w:rsid w:val="4C053B3E"/>
    <w:rsid w:val="4C256776"/>
    <w:rsid w:val="4C26756B"/>
    <w:rsid w:val="4C2745BE"/>
    <w:rsid w:val="4C6E1633"/>
    <w:rsid w:val="4C716A38"/>
    <w:rsid w:val="4C792A51"/>
    <w:rsid w:val="4CA17BB8"/>
    <w:rsid w:val="4CBB5434"/>
    <w:rsid w:val="4CC743C2"/>
    <w:rsid w:val="4CD46968"/>
    <w:rsid w:val="4CE0596C"/>
    <w:rsid w:val="4CFA1B21"/>
    <w:rsid w:val="4CFD2D0A"/>
    <w:rsid w:val="4D0A5D2E"/>
    <w:rsid w:val="4D0B530A"/>
    <w:rsid w:val="4D1B0752"/>
    <w:rsid w:val="4D3161C8"/>
    <w:rsid w:val="4D41465D"/>
    <w:rsid w:val="4D4E0C74"/>
    <w:rsid w:val="4D526945"/>
    <w:rsid w:val="4D73764A"/>
    <w:rsid w:val="4D956577"/>
    <w:rsid w:val="4DA16EA9"/>
    <w:rsid w:val="4DAE7D3B"/>
    <w:rsid w:val="4DB10EE0"/>
    <w:rsid w:val="4DE1374A"/>
    <w:rsid w:val="4DE3193D"/>
    <w:rsid w:val="4DE5696E"/>
    <w:rsid w:val="4DE8094E"/>
    <w:rsid w:val="4DEB5302"/>
    <w:rsid w:val="4DFF382E"/>
    <w:rsid w:val="4E143B1F"/>
    <w:rsid w:val="4E165694"/>
    <w:rsid w:val="4E17716C"/>
    <w:rsid w:val="4E1C29D4"/>
    <w:rsid w:val="4E2D6F9C"/>
    <w:rsid w:val="4E340E16"/>
    <w:rsid w:val="4E3A0E53"/>
    <w:rsid w:val="4E4D0AC1"/>
    <w:rsid w:val="4E5B174E"/>
    <w:rsid w:val="4E752EF3"/>
    <w:rsid w:val="4EA12ED9"/>
    <w:rsid w:val="4EB26E94"/>
    <w:rsid w:val="4EE132FB"/>
    <w:rsid w:val="4EE2777A"/>
    <w:rsid w:val="4EEF633A"/>
    <w:rsid w:val="4EFA1D40"/>
    <w:rsid w:val="4F001AD2"/>
    <w:rsid w:val="4F0E14E5"/>
    <w:rsid w:val="4F1269F4"/>
    <w:rsid w:val="4F195165"/>
    <w:rsid w:val="4F24484D"/>
    <w:rsid w:val="4F293E28"/>
    <w:rsid w:val="4F2A372C"/>
    <w:rsid w:val="4F2F4C06"/>
    <w:rsid w:val="4F3F1986"/>
    <w:rsid w:val="4F5D5865"/>
    <w:rsid w:val="4F645A57"/>
    <w:rsid w:val="4F6463E1"/>
    <w:rsid w:val="4F7C7BCE"/>
    <w:rsid w:val="4F845801"/>
    <w:rsid w:val="4F9076EA"/>
    <w:rsid w:val="4F93316A"/>
    <w:rsid w:val="4F952A4C"/>
    <w:rsid w:val="4FB05ACA"/>
    <w:rsid w:val="4FB84E80"/>
    <w:rsid w:val="4FC450D1"/>
    <w:rsid w:val="4FC60F8B"/>
    <w:rsid w:val="4FC6467C"/>
    <w:rsid w:val="4FCE7CFE"/>
    <w:rsid w:val="4FD426E5"/>
    <w:rsid w:val="4FDF63AF"/>
    <w:rsid w:val="4FE03678"/>
    <w:rsid w:val="4FFE6B4B"/>
    <w:rsid w:val="50154308"/>
    <w:rsid w:val="502740AC"/>
    <w:rsid w:val="502B33A2"/>
    <w:rsid w:val="502F08AE"/>
    <w:rsid w:val="504F7091"/>
    <w:rsid w:val="50643E54"/>
    <w:rsid w:val="50750AED"/>
    <w:rsid w:val="50762712"/>
    <w:rsid w:val="50777AFA"/>
    <w:rsid w:val="5079722C"/>
    <w:rsid w:val="5080644A"/>
    <w:rsid w:val="508D3F4F"/>
    <w:rsid w:val="50970A38"/>
    <w:rsid w:val="509E6E33"/>
    <w:rsid w:val="50AB1563"/>
    <w:rsid w:val="50BB4726"/>
    <w:rsid w:val="50C14189"/>
    <w:rsid w:val="50CE050E"/>
    <w:rsid w:val="50DD58C1"/>
    <w:rsid w:val="50E109B3"/>
    <w:rsid w:val="50FA2286"/>
    <w:rsid w:val="511278B0"/>
    <w:rsid w:val="5134684C"/>
    <w:rsid w:val="513D42F6"/>
    <w:rsid w:val="515348AE"/>
    <w:rsid w:val="51621462"/>
    <w:rsid w:val="5162632D"/>
    <w:rsid w:val="51652001"/>
    <w:rsid w:val="516923D4"/>
    <w:rsid w:val="516A768B"/>
    <w:rsid w:val="516F7FCA"/>
    <w:rsid w:val="517E442B"/>
    <w:rsid w:val="51A60F32"/>
    <w:rsid w:val="51C06B27"/>
    <w:rsid w:val="51C5706A"/>
    <w:rsid w:val="51CC6A9E"/>
    <w:rsid w:val="51F76393"/>
    <w:rsid w:val="51F83758"/>
    <w:rsid w:val="52097713"/>
    <w:rsid w:val="52157E66"/>
    <w:rsid w:val="521B28B9"/>
    <w:rsid w:val="522E04F4"/>
    <w:rsid w:val="522E717A"/>
    <w:rsid w:val="52354064"/>
    <w:rsid w:val="52397FF8"/>
    <w:rsid w:val="525C5A95"/>
    <w:rsid w:val="525F6E60"/>
    <w:rsid w:val="5261208C"/>
    <w:rsid w:val="52796647"/>
    <w:rsid w:val="52873552"/>
    <w:rsid w:val="52B92EE7"/>
    <w:rsid w:val="52BC3484"/>
    <w:rsid w:val="52BE677D"/>
    <w:rsid w:val="52C13B4A"/>
    <w:rsid w:val="52C22C4B"/>
    <w:rsid w:val="52CB68A8"/>
    <w:rsid w:val="52DC5CD4"/>
    <w:rsid w:val="52E866AE"/>
    <w:rsid w:val="530750B7"/>
    <w:rsid w:val="53200C5D"/>
    <w:rsid w:val="534832EF"/>
    <w:rsid w:val="536561EB"/>
    <w:rsid w:val="53706227"/>
    <w:rsid w:val="5377055A"/>
    <w:rsid w:val="53782FA3"/>
    <w:rsid w:val="538425E8"/>
    <w:rsid w:val="538E7ED0"/>
    <w:rsid w:val="539D5DA7"/>
    <w:rsid w:val="539E4E4F"/>
    <w:rsid w:val="53C5279D"/>
    <w:rsid w:val="53D224B3"/>
    <w:rsid w:val="53D6345C"/>
    <w:rsid w:val="53DC3150"/>
    <w:rsid w:val="53DD49B3"/>
    <w:rsid w:val="53FC0355"/>
    <w:rsid w:val="5402441A"/>
    <w:rsid w:val="54037602"/>
    <w:rsid w:val="540939FA"/>
    <w:rsid w:val="541025FE"/>
    <w:rsid w:val="54203D75"/>
    <w:rsid w:val="54261A12"/>
    <w:rsid w:val="5435218F"/>
    <w:rsid w:val="543C4711"/>
    <w:rsid w:val="543D5B96"/>
    <w:rsid w:val="544066D4"/>
    <w:rsid w:val="54487D26"/>
    <w:rsid w:val="54497F22"/>
    <w:rsid w:val="544F687F"/>
    <w:rsid w:val="54576514"/>
    <w:rsid w:val="545A1596"/>
    <w:rsid w:val="546E7D01"/>
    <w:rsid w:val="54826A6F"/>
    <w:rsid w:val="548A7D0C"/>
    <w:rsid w:val="548D63DA"/>
    <w:rsid w:val="549652A5"/>
    <w:rsid w:val="5499691E"/>
    <w:rsid w:val="54A75974"/>
    <w:rsid w:val="54AD4386"/>
    <w:rsid w:val="54BC082D"/>
    <w:rsid w:val="54C857C3"/>
    <w:rsid w:val="54EA55DA"/>
    <w:rsid w:val="54FA7F82"/>
    <w:rsid w:val="54FC530D"/>
    <w:rsid w:val="551E08BC"/>
    <w:rsid w:val="55307A0C"/>
    <w:rsid w:val="553A7B7B"/>
    <w:rsid w:val="55665755"/>
    <w:rsid w:val="556665E0"/>
    <w:rsid w:val="558E68EA"/>
    <w:rsid w:val="5590733F"/>
    <w:rsid w:val="55910A92"/>
    <w:rsid w:val="559757D0"/>
    <w:rsid w:val="55975BA7"/>
    <w:rsid w:val="55A506DF"/>
    <w:rsid w:val="55AE4F5C"/>
    <w:rsid w:val="55AE6607"/>
    <w:rsid w:val="55BB2AD2"/>
    <w:rsid w:val="55BB5576"/>
    <w:rsid w:val="56002A66"/>
    <w:rsid w:val="5604091D"/>
    <w:rsid w:val="56054571"/>
    <w:rsid w:val="560B1D82"/>
    <w:rsid w:val="561048D4"/>
    <w:rsid w:val="5645325F"/>
    <w:rsid w:val="564E6B95"/>
    <w:rsid w:val="56562848"/>
    <w:rsid w:val="566F311B"/>
    <w:rsid w:val="56781FA5"/>
    <w:rsid w:val="569154CE"/>
    <w:rsid w:val="56995180"/>
    <w:rsid w:val="56A11917"/>
    <w:rsid w:val="56AD5CE8"/>
    <w:rsid w:val="56BD031C"/>
    <w:rsid w:val="56BF20BE"/>
    <w:rsid w:val="56BF6D5B"/>
    <w:rsid w:val="56DB7934"/>
    <w:rsid w:val="56E7079F"/>
    <w:rsid w:val="56E73D89"/>
    <w:rsid w:val="57007337"/>
    <w:rsid w:val="57031F7F"/>
    <w:rsid w:val="572570B3"/>
    <w:rsid w:val="573B07A2"/>
    <w:rsid w:val="573E6B31"/>
    <w:rsid w:val="575603AD"/>
    <w:rsid w:val="5770255E"/>
    <w:rsid w:val="57750ADF"/>
    <w:rsid w:val="57811AFA"/>
    <w:rsid w:val="57994A34"/>
    <w:rsid w:val="57B341DC"/>
    <w:rsid w:val="57B51F24"/>
    <w:rsid w:val="57C73676"/>
    <w:rsid w:val="57C87CAB"/>
    <w:rsid w:val="57D52571"/>
    <w:rsid w:val="57F60509"/>
    <w:rsid w:val="57FB6145"/>
    <w:rsid w:val="57FC328C"/>
    <w:rsid w:val="57FF145C"/>
    <w:rsid w:val="58033991"/>
    <w:rsid w:val="581214E9"/>
    <w:rsid w:val="58374890"/>
    <w:rsid w:val="583921D7"/>
    <w:rsid w:val="5847689F"/>
    <w:rsid w:val="584B538A"/>
    <w:rsid w:val="584E7AA5"/>
    <w:rsid w:val="5853780C"/>
    <w:rsid w:val="585D2567"/>
    <w:rsid w:val="5866181E"/>
    <w:rsid w:val="58726012"/>
    <w:rsid w:val="58AC4CBD"/>
    <w:rsid w:val="58C058EB"/>
    <w:rsid w:val="58CD28A0"/>
    <w:rsid w:val="58D228D1"/>
    <w:rsid w:val="58D3388C"/>
    <w:rsid w:val="58D82D25"/>
    <w:rsid w:val="58E050FF"/>
    <w:rsid w:val="58F92290"/>
    <w:rsid w:val="590A19FE"/>
    <w:rsid w:val="590B2E55"/>
    <w:rsid w:val="591E1CF6"/>
    <w:rsid w:val="592B3B37"/>
    <w:rsid w:val="593E3679"/>
    <w:rsid w:val="59463EAD"/>
    <w:rsid w:val="594A0F21"/>
    <w:rsid w:val="595600CF"/>
    <w:rsid w:val="59570C09"/>
    <w:rsid w:val="595A535A"/>
    <w:rsid w:val="595A5BCE"/>
    <w:rsid w:val="596C5157"/>
    <w:rsid w:val="59814033"/>
    <w:rsid w:val="599C2C1B"/>
    <w:rsid w:val="599C6916"/>
    <w:rsid w:val="59A24A11"/>
    <w:rsid w:val="59A93DB0"/>
    <w:rsid w:val="59AD337E"/>
    <w:rsid w:val="59B85EB7"/>
    <w:rsid w:val="59D031DC"/>
    <w:rsid w:val="59F0543D"/>
    <w:rsid w:val="59F111B9"/>
    <w:rsid w:val="5A0713C2"/>
    <w:rsid w:val="5A13112F"/>
    <w:rsid w:val="5A33532D"/>
    <w:rsid w:val="5A3612C1"/>
    <w:rsid w:val="5A407A4A"/>
    <w:rsid w:val="5A4667E2"/>
    <w:rsid w:val="5A4B633F"/>
    <w:rsid w:val="5A4C4E87"/>
    <w:rsid w:val="5A4F11FA"/>
    <w:rsid w:val="5A4F42A8"/>
    <w:rsid w:val="5A512F29"/>
    <w:rsid w:val="5A5415CC"/>
    <w:rsid w:val="5A59522E"/>
    <w:rsid w:val="5A7A2F5C"/>
    <w:rsid w:val="5A8008B1"/>
    <w:rsid w:val="5A952562"/>
    <w:rsid w:val="5AB537DF"/>
    <w:rsid w:val="5AD00DCE"/>
    <w:rsid w:val="5ADA2219"/>
    <w:rsid w:val="5AF63478"/>
    <w:rsid w:val="5AF9525B"/>
    <w:rsid w:val="5B092532"/>
    <w:rsid w:val="5B0B6223"/>
    <w:rsid w:val="5B0C46E4"/>
    <w:rsid w:val="5B1D54D7"/>
    <w:rsid w:val="5B24736C"/>
    <w:rsid w:val="5B2F1F99"/>
    <w:rsid w:val="5B3220B7"/>
    <w:rsid w:val="5B322BEC"/>
    <w:rsid w:val="5B5F03A4"/>
    <w:rsid w:val="5B602550"/>
    <w:rsid w:val="5B684D9D"/>
    <w:rsid w:val="5B6D7F83"/>
    <w:rsid w:val="5B9731F0"/>
    <w:rsid w:val="5B986E78"/>
    <w:rsid w:val="5BB55A1D"/>
    <w:rsid w:val="5BBA76D6"/>
    <w:rsid w:val="5BC4220D"/>
    <w:rsid w:val="5BC87214"/>
    <w:rsid w:val="5BE32D83"/>
    <w:rsid w:val="5BF147BE"/>
    <w:rsid w:val="5C0056E3"/>
    <w:rsid w:val="5C0E6052"/>
    <w:rsid w:val="5C263FFC"/>
    <w:rsid w:val="5C32128D"/>
    <w:rsid w:val="5C335809"/>
    <w:rsid w:val="5C3362D5"/>
    <w:rsid w:val="5C3E0EFB"/>
    <w:rsid w:val="5C3F632C"/>
    <w:rsid w:val="5C4369D4"/>
    <w:rsid w:val="5C4C24F6"/>
    <w:rsid w:val="5C4E7F25"/>
    <w:rsid w:val="5C5477DD"/>
    <w:rsid w:val="5C5E240A"/>
    <w:rsid w:val="5C6E212C"/>
    <w:rsid w:val="5C73096B"/>
    <w:rsid w:val="5C7376E4"/>
    <w:rsid w:val="5C797243"/>
    <w:rsid w:val="5CA03123"/>
    <w:rsid w:val="5CAA564F"/>
    <w:rsid w:val="5CC11F40"/>
    <w:rsid w:val="5CDA3F46"/>
    <w:rsid w:val="5CF04FE5"/>
    <w:rsid w:val="5CF85EE2"/>
    <w:rsid w:val="5D192F00"/>
    <w:rsid w:val="5D1D22C5"/>
    <w:rsid w:val="5D1F7DEB"/>
    <w:rsid w:val="5D2F3C01"/>
    <w:rsid w:val="5D3874C9"/>
    <w:rsid w:val="5D4A3E3F"/>
    <w:rsid w:val="5D4F0E61"/>
    <w:rsid w:val="5D673093"/>
    <w:rsid w:val="5D675B54"/>
    <w:rsid w:val="5D977AC6"/>
    <w:rsid w:val="5D9B52A7"/>
    <w:rsid w:val="5D9F5DAC"/>
    <w:rsid w:val="5DD15589"/>
    <w:rsid w:val="5DEC23C3"/>
    <w:rsid w:val="5DEF3C61"/>
    <w:rsid w:val="5DFE3466"/>
    <w:rsid w:val="5E032122"/>
    <w:rsid w:val="5E344177"/>
    <w:rsid w:val="5E4529B2"/>
    <w:rsid w:val="5E6F4DA2"/>
    <w:rsid w:val="5E920F46"/>
    <w:rsid w:val="5E9842F9"/>
    <w:rsid w:val="5E9C5CCD"/>
    <w:rsid w:val="5EA207F7"/>
    <w:rsid w:val="5EA52572"/>
    <w:rsid w:val="5EBB525E"/>
    <w:rsid w:val="5EBF1885"/>
    <w:rsid w:val="5ED51E4C"/>
    <w:rsid w:val="5ED95177"/>
    <w:rsid w:val="5EF325CC"/>
    <w:rsid w:val="5EFF6126"/>
    <w:rsid w:val="5F053010"/>
    <w:rsid w:val="5F1152EC"/>
    <w:rsid w:val="5F2E2567"/>
    <w:rsid w:val="5F3129A4"/>
    <w:rsid w:val="5F4070E6"/>
    <w:rsid w:val="5F5A335C"/>
    <w:rsid w:val="5F631733"/>
    <w:rsid w:val="5F663605"/>
    <w:rsid w:val="5F697A43"/>
    <w:rsid w:val="5F7F23CC"/>
    <w:rsid w:val="5F941C25"/>
    <w:rsid w:val="5FA04873"/>
    <w:rsid w:val="5FB143B2"/>
    <w:rsid w:val="5FCA04E2"/>
    <w:rsid w:val="5FD255E8"/>
    <w:rsid w:val="5FD86DED"/>
    <w:rsid w:val="5FE2350C"/>
    <w:rsid w:val="5FE666BB"/>
    <w:rsid w:val="5FF2020B"/>
    <w:rsid w:val="600C592F"/>
    <w:rsid w:val="600D6E2B"/>
    <w:rsid w:val="60116111"/>
    <w:rsid w:val="60133D7D"/>
    <w:rsid w:val="601B52DF"/>
    <w:rsid w:val="602164FD"/>
    <w:rsid w:val="60367925"/>
    <w:rsid w:val="60395667"/>
    <w:rsid w:val="604604FA"/>
    <w:rsid w:val="604C0EF7"/>
    <w:rsid w:val="604F4E8B"/>
    <w:rsid w:val="60667166"/>
    <w:rsid w:val="60724006"/>
    <w:rsid w:val="6086012E"/>
    <w:rsid w:val="608C65AA"/>
    <w:rsid w:val="60955D90"/>
    <w:rsid w:val="609B3C2C"/>
    <w:rsid w:val="609E0C30"/>
    <w:rsid w:val="60A54010"/>
    <w:rsid w:val="60AB7F2C"/>
    <w:rsid w:val="60B5692C"/>
    <w:rsid w:val="60B864DD"/>
    <w:rsid w:val="60DD620E"/>
    <w:rsid w:val="60E86DB4"/>
    <w:rsid w:val="60F15F42"/>
    <w:rsid w:val="610B7C4A"/>
    <w:rsid w:val="611807AB"/>
    <w:rsid w:val="611B4D6D"/>
    <w:rsid w:val="61207C77"/>
    <w:rsid w:val="61380409"/>
    <w:rsid w:val="614721A4"/>
    <w:rsid w:val="6148335E"/>
    <w:rsid w:val="61545484"/>
    <w:rsid w:val="615C4C67"/>
    <w:rsid w:val="615C785F"/>
    <w:rsid w:val="615E2B07"/>
    <w:rsid w:val="616C4315"/>
    <w:rsid w:val="61785D1C"/>
    <w:rsid w:val="61882668"/>
    <w:rsid w:val="618E6E5E"/>
    <w:rsid w:val="61A06C8C"/>
    <w:rsid w:val="61A35C11"/>
    <w:rsid w:val="61AF1358"/>
    <w:rsid w:val="61B25B61"/>
    <w:rsid w:val="61C277CE"/>
    <w:rsid w:val="61DC274E"/>
    <w:rsid w:val="61E248A8"/>
    <w:rsid w:val="61E73D9A"/>
    <w:rsid w:val="61EC1462"/>
    <w:rsid w:val="61EC3930"/>
    <w:rsid w:val="61F30221"/>
    <w:rsid w:val="61FB5718"/>
    <w:rsid w:val="622C1C5B"/>
    <w:rsid w:val="624C568D"/>
    <w:rsid w:val="624F560A"/>
    <w:rsid w:val="625E3A3B"/>
    <w:rsid w:val="62654963"/>
    <w:rsid w:val="6266745C"/>
    <w:rsid w:val="62792AF3"/>
    <w:rsid w:val="629E4B7F"/>
    <w:rsid w:val="62A212A2"/>
    <w:rsid w:val="62A50D92"/>
    <w:rsid w:val="62CF2113"/>
    <w:rsid w:val="62F91D31"/>
    <w:rsid w:val="6307021B"/>
    <w:rsid w:val="630D6682"/>
    <w:rsid w:val="631E5A38"/>
    <w:rsid w:val="632272EB"/>
    <w:rsid w:val="63227AAA"/>
    <w:rsid w:val="63253C81"/>
    <w:rsid w:val="632D6B14"/>
    <w:rsid w:val="63455E77"/>
    <w:rsid w:val="63473FE4"/>
    <w:rsid w:val="63503AD3"/>
    <w:rsid w:val="63543CFC"/>
    <w:rsid w:val="635F7193"/>
    <w:rsid w:val="63696264"/>
    <w:rsid w:val="637137DA"/>
    <w:rsid w:val="63877E58"/>
    <w:rsid w:val="63A17834"/>
    <w:rsid w:val="63A23C32"/>
    <w:rsid w:val="63A97528"/>
    <w:rsid w:val="63AB6153"/>
    <w:rsid w:val="63C82F8A"/>
    <w:rsid w:val="63D36B90"/>
    <w:rsid w:val="63F024E1"/>
    <w:rsid w:val="640C709A"/>
    <w:rsid w:val="642F1EE3"/>
    <w:rsid w:val="64340620"/>
    <w:rsid w:val="64380936"/>
    <w:rsid w:val="64466BF9"/>
    <w:rsid w:val="644D348F"/>
    <w:rsid w:val="646157CA"/>
    <w:rsid w:val="646A5DEF"/>
    <w:rsid w:val="647749B0"/>
    <w:rsid w:val="64984C1A"/>
    <w:rsid w:val="649C61C5"/>
    <w:rsid w:val="649E7F9E"/>
    <w:rsid w:val="64A15589"/>
    <w:rsid w:val="64AF7CA6"/>
    <w:rsid w:val="64C03C61"/>
    <w:rsid w:val="64D9638C"/>
    <w:rsid w:val="64DE2339"/>
    <w:rsid w:val="64E02555"/>
    <w:rsid w:val="64E13C6F"/>
    <w:rsid w:val="64ED55CB"/>
    <w:rsid w:val="64EF072B"/>
    <w:rsid w:val="64FD5934"/>
    <w:rsid w:val="65051B7F"/>
    <w:rsid w:val="65384669"/>
    <w:rsid w:val="653B3873"/>
    <w:rsid w:val="654C11BD"/>
    <w:rsid w:val="6557447D"/>
    <w:rsid w:val="655D5589"/>
    <w:rsid w:val="65622F6B"/>
    <w:rsid w:val="65643203"/>
    <w:rsid w:val="65794991"/>
    <w:rsid w:val="65887501"/>
    <w:rsid w:val="658E1B4A"/>
    <w:rsid w:val="65915FCB"/>
    <w:rsid w:val="65A41C8F"/>
    <w:rsid w:val="65A624DE"/>
    <w:rsid w:val="65AE4402"/>
    <w:rsid w:val="65B57A70"/>
    <w:rsid w:val="65B712FD"/>
    <w:rsid w:val="65C3273D"/>
    <w:rsid w:val="65E90A28"/>
    <w:rsid w:val="65F07BD0"/>
    <w:rsid w:val="66065EA4"/>
    <w:rsid w:val="660D737A"/>
    <w:rsid w:val="662F5ADF"/>
    <w:rsid w:val="66367FEE"/>
    <w:rsid w:val="66440FC8"/>
    <w:rsid w:val="66560E76"/>
    <w:rsid w:val="665673D6"/>
    <w:rsid w:val="66595E88"/>
    <w:rsid w:val="665B0427"/>
    <w:rsid w:val="665D4598"/>
    <w:rsid w:val="667A7554"/>
    <w:rsid w:val="667E6DAD"/>
    <w:rsid w:val="668F0F17"/>
    <w:rsid w:val="66A11D0C"/>
    <w:rsid w:val="66CC2D91"/>
    <w:rsid w:val="66E101FB"/>
    <w:rsid w:val="66E31E33"/>
    <w:rsid w:val="66E51EAA"/>
    <w:rsid w:val="66EA21B4"/>
    <w:rsid w:val="66F70B6B"/>
    <w:rsid w:val="66FA47DB"/>
    <w:rsid w:val="66FB71D3"/>
    <w:rsid w:val="66FD119D"/>
    <w:rsid w:val="67034C37"/>
    <w:rsid w:val="670472EA"/>
    <w:rsid w:val="671206F3"/>
    <w:rsid w:val="671B5C58"/>
    <w:rsid w:val="672755B0"/>
    <w:rsid w:val="672C55DE"/>
    <w:rsid w:val="67462C8B"/>
    <w:rsid w:val="675114E9"/>
    <w:rsid w:val="67567154"/>
    <w:rsid w:val="675A0AF8"/>
    <w:rsid w:val="675A65EF"/>
    <w:rsid w:val="67817F89"/>
    <w:rsid w:val="67852F40"/>
    <w:rsid w:val="67866582"/>
    <w:rsid w:val="678D0238"/>
    <w:rsid w:val="679D5CE0"/>
    <w:rsid w:val="67A47656"/>
    <w:rsid w:val="67A9493B"/>
    <w:rsid w:val="67AC2A2C"/>
    <w:rsid w:val="67AD1E8E"/>
    <w:rsid w:val="67B72D23"/>
    <w:rsid w:val="67CA4DF7"/>
    <w:rsid w:val="67CD6853"/>
    <w:rsid w:val="67E05320"/>
    <w:rsid w:val="67ED3287"/>
    <w:rsid w:val="67F307F2"/>
    <w:rsid w:val="67FA7EE3"/>
    <w:rsid w:val="68036B62"/>
    <w:rsid w:val="680A1987"/>
    <w:rsid w:val="680E73DA"/>
    <w:rsid w:val="68121DDF"/>
    <w:rsid w:val="681326E0"/>
    <w:rsid w:val="68161596"/>
    <w:rsid w:val="681901F9"/>
    <w:rsid w:val="681925B3"/>
    <w:rsid w:val="684921C0"/>
    <w:rsid w:val="684F30E0"/>
    <w:rsid w:val="68503869"/>
    <w:rsid w:val="685630A9"/>
    <w:rsid w:val="6862498A"/>
    <w:rsid w:val="686654A7"/>
    <w:rsid w:val="68680195"/>
    <w:rsid w:val="68686AEA"/>
    <w:rsid w:val="68770F9B"/>
    <w:rsid w:val="687F5BE1"/>
    <w:rsid w:val="68837ABC"/>
    <w:rsid w:val="68910AC7"/>
    <w:rsid w:val="689774A9"/>
    <w:rsid w:val="689F039F"/>
    <w:rsid w:val="689F0CF7"/>
    <w:rsid w:val="689F5992"/>
    <w:rsid w:val="68A51AEC"/>
    <w:rsid w:val="68AE7B72"/>
    <w:rsid w:val="68B27D65"/>
    <w:rsid w:val="68C34771"/>
    <w:rsid w:val="68D87B11"/>
    <w:rsid w:val="68DA5BAB"/>
    <w:rsid w:val="68DC7647"/>
    <w:rsid w:val="68DD019B"/>
    <w:rsid w:val="68E65F5E"/>
    <w:rsid w:val="68EC147D"/>
    <w:rsid w:val="68F3077A"/>
    <w:rsid w:val="692C1018"/>
    <w:rsid w:val="693410C2"/>
    <w:rsid w:val="69377A2E"/>
    <w:rsid w:val="69567CE1"/>
    <w:rsid w:val="69610AF4"/>
    <w:rsid w:val="69711181"/>
    <w:rsid w:val="69724F1B"/>
    <w:rsid w:val="697C45DD"/>
    <w:rsid w:val="6980390A"/>
    <w:rsid w:val="69A00347"/>
    <w:rsid w:val="69A377E4"/>
    <w:rsid w:val="69A60D09"/>
    <w:rsid w:val="69C451FB"/>
    <w:rsid w:val="69D00BC4"/>
    <w:rsid w:val="69DB32EB"/>
    <w:rsid w:val="69DF6640"/>
    <w:rsid w:val="69EB1780"/>
    <w:rsid w:val="69EB79D2"/>
    <w:rsid w:val="6A1011E7"/>
    <w:rsid w:val="6A311E94"/>
    <w:rsid w:val="6A347A09"/>
    <w:rsid w:val="6A61482D"/>
    <w:rsid w:val="6A6D21CA"/>
    <w:rsid w:val="6A747CCA"/>
    <w:rsid w:val="6A874F1A"/>
    <w:rsid w:val="6AAD746F"/>
    <w:rsid w:val="6AB15A99"/>
    <w:rsid w:val="6AB73D58"/>
    <w:rsid w:val="6AB932A1"/>
    <w:rsid w:val="6AC10733"/>
    <w:rsid w:val="6AC335A7"/>
    <w:rsid w:val="6AC72F22"/>
    <w:rsid w:val="6AE05F6E"/>
    <w:rsid w:val="6AE10DD5"/>
    <w:rsid w:val="6AEA2018"/>
    <w:rsid w:val="6AF35A12"/>
    <w:rsid w:val="6AF64881"/>
    <w:rsid w:val="6AF71035"/>
    <w:rsid w:val="6AFC1BE4"/>
    <w:rsid w:val="6B0369FE"/>
    <w:rsid w:val="6B1F5178"/>
    <w:rsid w:val="6B24186C"/>
    <w:rsid w:val="6B2A1CA4"/>
    <w:rsid w:val="6B2A4315"/>
    <w:rsid w:val="6B2F1B41"/>
    <w:rsid w:val="6B3170C4"/>
    <w:rsid w:val="6B334993"/>
    <w:rsid w:val="6B3D24B0"/>
    <w:rsid w:val="6B476E8A"/>
    <w:rsid w:val="6B497FCC"/>
    <w:rsid w:val="6B515737"/>
    <w:rsid w:val="6B5E2C34"/>
    <w:rsid w:val="6B6C0BDE"/>
    <w:rsid w:val="6B6F4633"/>
    <w:rsid w:val="6B713825"/>
    <w:rsid w:val="6B7F06BE"/>
    <w:rsid w:val="6BA0712C"/>
    <w:rsid w:val="6BA9331E"/>
    <w:rsid w:val="6BC06C3D"/>
    <w:rsid w:val="6BCA3618"/>
    <w:rsid w:val="6BD1620D"/>
    <w:rsid w:val="6BD37761"/>
    <w:rsid w:val="6BEA7064"/>
    <w:rsid w:val="6BEC4E13"/>
    <w:rsid w:val="6BF16F9C"/>
    <w:rsid w:val="6C090F80"/>
    <w:rsid w:val="6C13316C"/>
    <w:rsid w:val="6C17524A"/>
    <w:rsid w:val="6C207EB4"/>
    <w:rsid w:val="6C2B055A"/>
    <w:rsid w:val="6C2B2308"/>
    <w:rsid w:val="6C4474DE"/>
    <w:rsid w:val="6C4B4758"/>
    <w:rsid w:val="6C566B8D"/>
    <w:rsid w:val="6C726189"/>
    <w:rsid w:val="6C786C1F"/>
    <w:rsid w:val="6C8A4985"/>
    <w:rsid w:val="6C9500C9"/>
    <w:rsid w:val="6C963F34"/>
    <w:rsid w:val="6CD04C5E"/>
    <w:rsid w:val="6CD7713F"/>
    <w:rsid w:val="6CD81D64"/>
    <w:rsid w:val="6CF277BB"/>
    <w:rsid w:val="6CF67414"/>
    <w:rsid w:val="6D1949E6"/>
    <w:rsid w:val="6D301BA0"/>
    <w:rsid w:val="6D40341E"/>
    <w:rsid w:val="6D413222"/>
    <w:rsid w:val="6D4C69DA"/>
    <w:rsid w:val="6D527D69"/>
    <w:rsid w:val="6D582FC7"/>
    <w:rsid w:val="6D594C53"/>
    <w:rsid w:val="6D5D1C24"/>
    <w:rsid w:val="6D6560DE"/>
    <w:rsid w:val="6D743309"/>
    <w:rsid w:val="6D77157D"/>
    <w:rsid w:val="6D777848"/>
    <w:rsid w:val="6D7F5645"/>
    <w:rsid w:val="6D960C73"/>
    <w:rsid w:val="6D9C513E"/>
    <w:rsid w:val="6DC97375"/>
    <w:rsid w:val="6DD05E3A"/>
    <w:rsid w:val="6DF66946"/>
    <w:rsid w:val="6E042F36"/>
    <w:rsid w:val="6E2115F3"/>
    <w:rsid w:val="6E302D35"/>
    <w:rsid w:val="6E3939C2"/>
    <w:rsid w:val="6E407BC1"/>
    <w:rsid w:val="6E437238"/>
    <w:rsid w:val="6E46551E"/>
    <w:rsid w:val="6E48779E"/>
    <w:rsid w:val="6E4B6C92"/>
    <w:rsid w:val="6E557B10"/>
    <w:rsid w:val="6E5830D8"/>
    <w:rsid w:val="6E723EE7"/>
    <w:rsid w:val="6E7C3A60"/>
    <w:rsid w:val="6E906D9A"/>
    <w:rsid w:val="6E934195"/>
    <w:rsid w:val="6E9C7DB8"/>
    <w:rsid w:val="6E9E63AA"/>
    <w:rsid w:val="6EBB19BE"/>
    <w:rsid w:val="6EBE21B5"/>
    <w:rsid w:val="6ED50C51"/>
    <w:rsid w:val="6EF26375"/>
    <w:rsid w:val="6EFA027F"/>
    <w:rsid w:val="6F0A6DCE"/>
    <w:rsid w:val="6F0D0A9A"/>
    <w:rsid w:val="6F1329A4"/>
    <w:rsid w:val="6F1E43A6"/>
    <w:rsid w:val="6F235C72"/>
    <w:rsid w:val="6F3026C9"/>
    <w:rsid w:val="6F331FED"/>
    <w:rsid w:val="6F3B6D06"/>
    <w:rsid w:val="6F4653F3"/>
    <w:rsid w:val="6F4A65BA"/>
    <w:rsid w:val="6F502086"/>
    <w:rsid w:val="6F510FBE"/>
    <w:rsid w:val="6F536D49"/>
    <w:rsid w:val="6F5873A6"/>
    <w:rsid w:val="6F65194E"/>
    <w:rsid w:val="6F741033"/>
    <w:rsid w:val="6F7747AC"/>
    <w:rsid w:val="6F932566"/>
    <w:rsid w:val="6F955A8A"/>
    <w:rsid w:val="6FAA11CB"/>
    <w:rsid w:val="6FB07B14"/>
    <w:rsid w:val="6FB3090E"/>
    <w:rsid w:val="6FBB4619"/>
    <w:rsid w:val="6FBC6085"/>
    <w:rsid w:val="6FC239A6"/>
    <w:rsid w:val="6FD72910"/>
    <w:rsid w:val="6FE253D4"/>
    <w:rsid w:val="6FE27182"/>
    <w:rsid w:val="6FE4739E"/>
    <w:rsid w:val="6FF37001"/>
    <w:rsid w:val="6FF922AC"/>
    <w:rsid w:val="6FF944CB"/>
    <w:rsid w:val="6FFE7D34"/>
    <w:rsid w:val="70097E37"/>
    <w:rsid w:val="7012732D"/>
    <w:rsid w:val="701337DF"/>
    <w:rsid w:val="70251764"/>
    <w:rsid w:val="702B3CFA"/>
    <w:rsid w:val="702D3080"/>
    <w:rsid w:val="702F3D23"/>
    <w:rsid w:val="704C0A9F"/>
    <w:rsid w:val="7073057A"/>
    <w:rsid w:val="70746685"/>
    <w:rsid w:val="707A385E"/>
    <w:rsid w:val="708B2763"/>
    <w:rsid w:val="708C0DAF"/>
    <w:rsid w:val="709A3F00"/>
    <w:rsid w:val="70AC7790"/>
    <w:rsid w:val="70BE04C1"/>
    <w:rsid w:val="70C1323B"/>
    <w:rsid w:val="70D25E29"/>
    <w:rsid w:val="70D96C86"/>
    <w:rsid w:val="70DC1223"/>
    <w:rsid w:val="70DF24FE"/>
    <w:rsid w:val="70E231B1"/>
    <w:rsid w:val="70E7213F"/>
    <w:rsid w:val="70E86455"/>
    <w:rsid w:val="70EB475C"/>
    <w:rsid w:val="70F37652"/>
    <w:rsid w:val="70F44F02"/>
    <w:rsid w:val="71002BCF"/>
    <w:rsid w:val="71030281"/>
    <w:rsid w:val="71097386"/>
    <w:rsid w:val="710A3200"/>
    <w:rsid w:val="712D08D1"/>
    <w:rsid w:val="71341C5F"/>
    <w:rsid w:val="713E621A"/>
    <w:rsid w:val="7155354F"/>
    <w:rsid w:val="71771A99"/>
    <w:rsid w:val="717E036C"/>
    <w:rsid w:val="71951759"/>
    <w:rsid w:val="71B908B5"/>
    <w:rsid w:val="71D44171"/>
    <w:rsid w:val="71E34501"/>
    <w:rsid w:val="71E76413"/>
    <w:rsid w:val="71F62E1A"/>
    <w:rsid w:val="71FD0987"/>
    <w:rsid w:val="71FE6305"/>
    <w:rsid w:val="72231CD3"/>
    <w:rsid w:val="72312491"/>
    <w:rsid w:val="7238105A"/>
    <w:rsid w:val="72430D8D"/>
    <w:rsid w:val="724931F0"/>
    <w:rsid w:val="7254179F"/>
    <w:rsid w:val="726E11B5"/>
    <w:rsid w:val="72825C56"/>
    <w:rsid w:val="729C5585"/>
    <w:rsid w:val="72A76461"/>
    <w:rsid w:val="72A82F68"/>
    <w:rsid w:val="72AD502B"/>
    <w:rsid w:val="72B312A9"/>
    <w:rsid w:val="72B81408"/>
    <w:rsid w:val="72BA43E6"/>
    <w:rsid w:val="72C7696D"/>
    <w:rsid w:val="72CF4622"/>
    <w:rsid w:val="72CF64E2"/>
    <w:rsid w:val="72E9516A"/>
    <w:rsid w:val="72F30E15"/>
    <w:rsid w:val="72F36F5F"/>
    <w:rsid w:val="72FA77B8"/>
    <w:rsid w:val="72FC13BD"/>
    <w:rsid w:val="7310630F"/>
    <w:rsid w:val="73163E8B"/>
    <w:rsid w:val="73226650"/>
    <w:rsid w:val="734905C3"/>
    <w:rsid w:val="73584877"/>
    <w:rsid w:val="736D2365"/>
    <w:rsid w:val="736F3422"/>
    <w:rsid w:val="737C77CB"/>
    <w:rsid w:val="738F631E"/>
    <w:rsid w:val="739147D0"/>
    <w:rsid w:val="73A50B2B"/>
    <w:rsid w:val="73A63EEC"/>
    <w:rsid w:val="73A86535"/>
    <w:rsid w:val="73AE5B9E"/>
    <w:rsid w:val="73D204C0"/>
    <w:rsid w:val="73D242B4"/>
    <w:rsid w:val="73D73A44"/>
    <w:rsid w:val="73DA028C"/>
    <w:rsid w:val="73F74A5C"/>
    <w:rsid w:val="73F87EF2"/>
    <w:rsid w:val="74006337"/>
    <w:rsid w:val="741E2941"/>
    <w:rsid w:val="7422631D"/>
    <w:rsid w:val="742C0EB1"/>
    <w:rsid w:val="74405851"/>
    <w:rsid w:val="74512C62"/>
    <w:rsid w:val="74553AD1"/>
    <w:rsid w:val="745D7CFB"/>
    <w:rsid w:val="74614968"/>
    <w:rsid w:val="74623E8C"/>
    <w:rsid w:val="747F1ECC"/>
    <w:rsid w:val="749F50D2"/>
    <w:rsid w:val="74AF051B"/>
    <w:rsid w:val="74C76EB4"/>
    <w:rsid w:val="74D24DF2"/>
    <w:rsid w:val="74FC0CE6"/>
    <w:rsid w:val="74FF6B82"/>
    <w:rsid w:val="751A116C"/>
    <w:rsid w:val="751B30C5"/>
    <w:rsid w:val="75265F5C"/>
    <w:rsid w:val="752E4063"/>
    <w:rsid w:val="754206C3"/>
    <w:rsid w:val="75717D36"/>
    <w:rsid w:val="75764E9E"/>
    <w:rsid w:val="757D0E15"/>
    <w:rsid w:val="75935F7B"/>
    <w:rsid w:val="759D5513"/>
    <w:rsid w:val="75BF1D13"/>
    <w:rsid w:val="75C643F3"/>
    <w:rsid w:val="75EB48B6"/>
    <w:rsid w:val="75F12173"/>
    <w:rsid w:val="76097038"/>
    <w:rsid w:val="760A6649"/>
    <w:rsid w:val="762A1F2B"/>
    <w:rsid w:val="7648529B"/>
    <w:rsid w:val="76494A96"/>
    <w:rsid w:val="764B59A7"/>
    <w:rsid w:val="764D2AF5"/>
    <w:rsid w:val="76522B87"/>
    <w:rsid w:val="765E708E"/>
    <w:rsid w:val="76642751"/>
    <w:rsid w:val="767331A5"/>
    <w:rsid w:val="76A07890"/>
    <w:rsid w:val="76A421E3"/>
    <w:rsid w:val="76A927F4"/>
    <w:rsid w:val="76B828EB"/>
    <w:rsid w:val="76DD0A99"/>
    <w:rsid w:val="76DD68F5"/>
    <w:rsid w:val="76E732D0"/>
    <w:rsid w:val="77083097"/>
    <w:rsid w:val="770E2F52"/>
    <w:rsid w:val="773F3230"/>
    <w:rsid w:val="77464236"/>
    <w:rsid w:val="77573C6D"/>
    <w:rsid w:val="777A725B"/>
    <w:rsid w:val="77846D70"/>
    <w:rsid w:val="779E14D7"/>
    <w:rsid w:val="77C64193"/>
    <w:rsid w:val="77DC4C9B"/>
    <w:rsid w:val="77E31CE9"/>
    <w:rsid w:val="77EF68CD"/>
    <w:rsid w:val="77F11895"/>
    <w:rsid w:val="77F37A9D"/>
    <w:rsid w:val="77F75603"/>
    <w:rsid w:val="77F75794"/>
    <w:rsid w:val="77FC72FD"/>
    <w:rsid w:val="77FE3986"/>
    <w:rsid w:val="78031143"/>
    <w:rsid w:val="781C02E3"/>
    <w:rsid w:val="782F15F5"/>
    <w:rsid w:val="78502C58"/>
    <w:rsid w:val="78507213"/>
    <w:rsid w:val="7859644F"/>
    <w:rsid w:val="785E7022"/>
    <w:rsid w:val="78624E36"/>
    <w:rsid w:val="78661C38"/>
    <w:rsid w:val="786F50F4"/>
    <w:rsid w:val="78721837"/>
    <w:rsid w:val="78741675"/>
    <w:rsid w:val="787533C7"/>
    <w:rsid w:val="78774B27"/>
    <w:rsid w:val="787943FB"/>
    <w:rsid w:val="787C19AC"/>
    <w:rsid w:val="787C6C9B"/>
    <w:rsid w:val="787F36C1"/>
    <w:rsid w:val="788B6BF2"/>
    <w:rsid w:val="78972AD3"/>
    <w:rsid w:val="7899333C"/>
    <w:rsid w:val="78A300F5"/>
    <w:rsid w:val="78AA321F"/>
    <w:rsid w:val="78B87EE4"/>
    <w:rsid w:val="78C07C12"/>
    <w:rsid w:val="78CE1DD7"/>
    <w:rsid w:val="78D56B03"/>
    <w:rsid w:val="78D92BEB"/>
    <w:rsid w:val="78E74EF6"/>
    <w:rsid w:val="78EE303B"/>
    <w:rsid w:val="78F16009"/>
    <w:rsid w:val="78F95F95"/>
    <w:rsid w:val="79022643"/>
    <w:rsid w:val="79051649"/>
    <w:rsid w:val="79110AD8"/>
    <w:rsid w:val="79246A5D"/>
    <w:rsid w:val="79273E57"/>
    <w:rsid w:val="792F20B5"/>
    <w:rsid w:val="79390854"/>
    <w:rsid w:val="79425135"/>
    <w:rsid w:val="795E1E90"/>
    <w:rsid w:val="796270F7"/>
    <w:rsid w:val="79667547"/>
    <w:rsid w:val="79752E15"/>
    <w:rsid w:val="798139A7"/>
    <w:rsid w:val="79A0658C"/>
    <w:rsid w:val="79A344F3"/>
    <w:rsid w:val="79C66DEF"/>
    <w:rsid w:val="79DF5C9D"/>
    <w:rsid w:val="79E162E5"/>
    <w:rsid w:val="79ED77A5"/>
    <w:rsid w:val="7A044DC4"/>
    <w:rsid w:val="7A0E6035"/>
    <w:rsid w:val="7A17211E"/>
    <w:rsid w:val="7A2860D9"/>
    <w:rsid w:val="7A2D1210"/>
    <w:rsid w:val="7A3C1E68"/>
    <w:rsid w:val="7A4D7721"/>
    <w:rsid w:val="7A5044E1"/>
    <w:rsid w:val="7A511B1E"/>
    <w:rsid w:val="7A533875"/>
    <w:rsid w:val="7A5563BA"/>
    <w:rsid w:val="7A5E5F9F"/>
    <w:rsid w:val="7A6037F8"/>
    <w:rsid w:val="7A666C01"/>
    <w:rsid w:val="7A6B3EF6"/>
    <w:rsid w:val="7A7948AA"/>
    <w:rsid w:val="7A831369"/>
    <w:rsid w:val="7A990D85"/>
    <w:rsid w:val="7AB93293"/>
    <w:rsid w:val="7AC66C0C"/>
    <w:rsid w:val="7ACC428D"/>
    <w:rsid w:val="7AF20495"/>
    <w:rsid w:val="7AF52323"/>
    <w:rsid w:val="7AF64932"/>
    <w:rsid w:val="7AFE5CF3"/>
    <w:rsid w:val="7B053598"/>
    <w:rsid w:val="7B062F2A"/>
    <w:rsid w:val="7B084762"/>
    <w:rsid w:val="7B1144A3"/>
    <w:rsid w:val="7B23117F"/>
    <w:rsid w:val="7B284D4A"/>
    <w:rsid w:val="7B2B3ED7"/>
    <w:rsid w:val="7B422F58"/>
    <w:rsid w:val="7B4A5FEA"/>
    <w:rsid w:val="7B581BEB"/>
    <w:rsid w:val="7B605E96"/>
    <w:rsid w:val="7B7754AE"/>
    <w:rsid w:val="7B7823F6"/>
    <w:rsid w:val="7B892BA7"/>
    <w:rsid w:val="7B900CE5"/>
    <w:rsid w:val="7BA536D8"/>
    <w:rsid w:val="7BB35E76"/>
    <w:rsid w:val="7BB5399C"/>
    <w:rsid w:val="7BD77DB7"/>
    <w:rsid w:val="7BDD3848"/>
    <w:rsid w:val="7BED75DA"/>
    <w:rsid w:val="7BF1074D"/>
    <w:rsid w:val="7BF250C7"/>
    <w:rsid w:val="7BF612B2"/>
    <w:rsid w:val="7C00517E"/>
    <w:rsid w:val="7C1E634D"/>
    <w:rsid w:val="7C202F6B"/>
    <w:rsid w:val="7C26471C"/>
    <w:rsid w:val="7C3C2310"/>
    <w:rsid w:val="7C4D5B3E"/>
    <w:rsid w:val="7C5133FE"/>
    <w:rsid w:val="7C6D3C66"/>
    <w:rsid w:val="7C7575D0"/>
    <w:rsid w:val="7C86358B"/>
    <w:rsid w:val="7CAA04DB"/>
    <w:rsid w:val="7CB4634A"/>
    <w:rsid w:val="7CF95B0B"/>
    <w:rsid w:val="7D09700D"/>
    <w:rsid w:val="7D155538"/>
    <w:rsid w:val="7D2C430F"/>
    <w:rsid w:val="7D337B48"/>
    <w:rsid w:val="7D3F4ACE"/>
    <w:rsid w:val="7D4C0AA9"/>
    <w:rsid w:val="7D642E73"/>
    <w:rsid w:val="7D666225"/>
    <w:rsid w:val="7D847DD0"/>
    <w:rsid w:val="7D8B28B5"/>
    <w:rsid w:val="7D9F7421"/>
    <w:rsid w:val="7DA16C88"/>
    <w:rsid w:val="7DA26420"/>
    <w:rsid w:val="7DB859C6"/>
    <w:rsid w:val="7DBF6D54"/>
    <w:rsid w:val="7DC1045B"/>
    <w:rsid w:val="7DC46338"/>
    <w:rsid w:val="7DD26009"/>
    <w:rsid w:val="7DDF2F52"/>
    <w:rsid w:val="7E035413"/>
    <w:rsid w:val="7E1502D6"/>
    <w:rsid w:val="7E1650E1"/>
    <w:rsid w:val="7E176585"/>
    <w:rsid w:val="7E1F3157"/>
    <w:rsid w:val="7E201B39"/>
    <w:rsid w:val="7E2240DE"/>
    <w:rsid w:val="7E2429CB"/>
    <w:rsid w:val="7E2708C5"/>
    <w:rsid w:val="7E4576F9"/>
    <w:rsid w:val="7E4B683A"/>
    <w:rsid w:val="7E4E2D56"/>
    <w:rsid w:val="7E5833BE"/>
    <w:rsid w:val="7E70256F"/>
    <w:rsid w:val="7E722019"/>
    <w:rsid w:val="7E861620"/>
    <w:rsid w:val="7E8C4797"/>
    <w:rsid w:val="7E905705"/>
    <w:rsid w:val="7EB97C47"/>
    <w:rsid w:val="7EBB26D4"/>
    <w:rsid w:val="7EBF4B32"/>
    <w:rsid w:val="7EC04543"/>
    <w:rsid w:val="7EC06764"/>
    <w:rsid w:val="7EC753C4"/>
    <w:rsid w:val="7ECF3A2A"/>
    <w:rsid w:val="7ED61762"/>
    <w:rsid w:val="7ED75BEB"/>
    <w:rsid w:val="7EF76E71"/>
    <w:rsid w:val="7F0C421B"/>
    <w:rsid w:val="7F0E3B62"/>
    <w:rsid w:val="7F1153B3"/>
    <w:rsid w:val="7F33236A"/>
    <w:rsid w:val="7F4B19C8"/>
    <w:rsid w:val="7F531E4A"/>
    <w:rsid w:val="7F5325AB"/>
    <w:rsid w:val="7F7678E7"/>
    <w:rsid w:val="7F7D72DD"/>
    <w:rsid w:val="7F896096"/>
    <w:rsid w:val="7F8B0331"/>
    <w:rsid w:val="7F932247"/>
    <w:rsid w:val="7FAC4173"/>
    <w:rsid w:val="7FAF09CA"/>
    <w:rsid w:val="7FB02C0D"/>
    <w:rsid w:val="7FB33332"/>
    <w:rsid w:val="7FB977D3"/>
    <w:rsid w:val="7FBC5711"/>
    <w:rsid w:val="7FC20D7E"/>
    <w:rsid w:val="7FC95C68"/>
    <w:rsid w:val="7FD14B1D"/>
    <w:rsid w:val="7FDB3BED"/>
    <w:rsid w:val="7FDC1E3F"/>
    <w:rsid w:val="7FF01E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3"/>
    <w:qFormat/>
    <w:uiPriority w:val="9"/>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2520" w:leftChars="1200"/>
    </w:pPr>
    <w:rPr>
      <w:rFonts w:ascii="Calibri" w:hAnsi="Calibri" w:cs="黑体"/>
      <w:szCs w:val="22"/>
    </w:rPr>
  </w:style>
  <w:style w:type="paragraph" w:styleId="7">
    <w:name w:val="annotation text"/>
    <w:basedOn w:val="1"/>
    <w:link w:val="75"/>
    <w:qFormat/>
    <w:uiPriority w:val="99"/>
    <w:pPr>
      <w:jc w:val="left"/>
    </w:pPr>
  </w:style>
  <w:style w:type="paragraph" w:styleId="8">
    <w:name w:val="Body Text"/>
    <w:basedOn w:val="1"/>
    <w:link w:val="52"/>
    <w:qFormat/>
    <w:uiPriority w:val="99"/>
    <w:pPr>
      <w:spacing w:after="120"/>
    </w:pPr>
  </w:style>
  <w:style w:type="paragraph" w:styleId="9">
    <w:name w:val="Body Text Indent"/>
    <w:basedOn w:val="1"/>
    <w:qFormat/>
    <w:uiPriority w:val="0"/>
    <w:pPr>
      <w:ind w:firstLine="407" w:firstLineChars="200"/>
    </w:pPr>
  </w:style>
  <w:style w:type="paragraph" w:styleId="1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1">
    <w:name w:val="toc 5"/>
    <w:basedOn w:val="1"/>
    <w:next w:val="1"/>
    <w:qFormat/>
    <w:uiPriority w:val="39"/>
    <w:pPr>
      <w:ind w:left="1680" w:leftChars="800"/>
    </w:pPr>
    <w:rPr>
      <w:rFonts w:ascii="Calibri" w:hAnsi="Calibri" w:cs="黑体"/>
      <w:szCs w:val="22"/>
    </w:rPr>
  </w:style>
  <w:style w:type="paragraph" w:styleId="12">
    <w:name w:val="toc 3"/>
    <w:basedOn w:val="1"/>
    <w:next w:val="1"/>
    <w:qFormat/>
    <w:uiPriority w:val="39"/>
    <w:pPr>
      <w:ind w:left="840" w:leftChars="400"/>
    </w:pPr>
    <w:rPr>
      <w:rFonts w:ascii="Calibri" w:hAnsi="Calibri" w:cs="黑体"/>
      <w:szCs w:val="22"/>
    </w:rPr>
  </w:style>
  <w:style w:type="paragraph" w:styleId="13">
    <w:name w:val="Plain Text"/>
    <w:basedOn w:val="1"/>
    <w:link w:val="78"/>
    <w:unhideWhenUsed/>
    <w:qFormat/>
    <w:uiPriority w:val="0"/>
    <w:rPr>
      <w:rFonts w:ascii="宋体" w:hAnsi="Courier New" w:cs="Courier New"/>
      <w:szCs w:val="21"/>
    </w:rPr>
  </w:style>
  <w:style w:type="paragraph" w:styleId="14">
    <w:name w:val="toc 8"/>
    <w:basedOn w:val="1"/>
    <w:next w:val="1"/>
    <w:qFormat/>
    <w:uiPriority w:val="39"/>
    <w:pPr>
      <w:ind w:left="2940" w:leftChars="1400"/>
    </w:pPr>
    <w:rPr>
      <w:rFonts w:ascii="Calibri" w:hAnsi="Calibri" w:cs="黑体"/>
      <w:szCs w:val="22"/>
    </w:rPr>
  </w:style>
  <w:style w:type="paragraph" w:styleId="15">
    <w:name w:val="Body Text Indent 2"/>
    <w:basedOn w:val="1"/>
    <w:qFormat/>
    <w:uiPriority w:val="0"/>
    <w:pPr>
      <w:ind w:left="435"/>
    </w:pPr>
    <w:rPr>
      <w:sz w:val="24"/>
    </w:rPr>
  </w:style>
  <w:style w:type="paragraph" w:styleId="16">
    <w:name w:val="Balloon Text"/>
    <w:basedOn w:val="1"/>
    <w:link w:val="60"/>
    <w:qFormat/>
    <w:uiPriority w:val="99"/>
    <w:rPr>
      <w:sz w:val="18"/>
      <w:szCs w:val="18"/>
    </w:rPr>
  </w:style>
  <w:style w:type="paragraph" w:styleId="17">
    <w:name w:val="footer"/>
    <w:basedOn w:val="1"/>
    <w:link w:val="65"/>
    <w:qFormat/>
    <w:uiPriority w:val="99"/>
    <w:pPr>
      <w:tabs>
        <w:tab w:val="center" w:pos="4153"/>
        <w:tab w:val="right" w:pos="8306"/>
      </w:tabs>
      <w:snapToGrid w:val="0"/>
      <w:jc w:val="left"/>
    </w:pPr>
    <w:rPr>
      <w:sz w:val="18"/>
      <w:szCs w:val="18"/>
    </w:rPr>
  </w:style>
  <w:style w:type="paragraph" w:styleId="18">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caps/>
      <w:sz w:val="20"/>
      <w:szCs w:val="20"/>
    </w:rPr>
  </w:style>
  <w:style w:type="paragraph" w:styleId="20">
    <w:name w:val="toc 4"/>
    <w:basedOn w:val="1"/>
    <w:next w:val="1"/>
    <w:qFormat/>
    <w:uiPriority w:val="39"/>
    <w:pPr>
      <w:ind w:left="1260" w:leftChars="600"/>
    </w:pPr>
    <w:rPr>
      <w:rFonts w:ascii="Calibri" w:hAnsi="Calibri" w:cs="黑体"/>
      <w:szCs w:val="22"/>
    </w:rPr>
  </w:style>
  <w:style w:type="paragraph" w:styleId="21">
    <w:name w:val="Subtitle"/>
    <w:basedOn w:val="1"/>
    <w:qFormat/>
    <w:uiPriority w:val="0"/>
    <w:pPr>
      <w:widowControl/>
      <w:jc w:val="center"/>
    </w:pPr>
    <w:rPr>
      <w:kern w:val="0"/>
      <w:sz w:val="20"/>
      <w:u w:val="single"/>
      <w:lang w:eastAsia="en-US"/>
    </w:rPr>
  </w:style>
  <w:style w:type="paragraph" w:styleId="22">
    <w:name w:val="toc 6"/>
    <w:basedOn w:val="1"/>
    <w:next w:val="1"/>
    <w:qFormat/>
    <w:uiPriority w:val="39"/>
    <w:pPr>
      <w:ind w:left="2100" w:leftChars="1000"/>
    </w:pPr>
    <w:rPr>
      <w:rFonts w:ascii="Calibri" w:hAnsi="Calibri" w:cs="黑体"/>
      <w:szCs w:val="22"/>
    </w:rPr>
  </w:style>
  <w:style w:type="paragraph" w:styleId="23">
    <w:name w:val="toc 2"/>
    <w:basedOn w:val="1"/>
    <w:next w:val="1"/>
    <w:qFormat/>
    <w:uiPriority w:val="39"/>
    <w:pPr>
      <w:ind w:left="210"/>
      <w:jc w:val="left"/>
    </w:pPr>
    <w:rPr>
      <w:smallCaps/>
      <w:sz w:val="20"/>
      <w:szCs w:val="20"/>
    </w:rPr>
  </w:style>
  <w:style w:type="paragraph" w:styleId="24">
    <w:name w:val="toc 9"/>
    <w:basedOn w:val="1"/>
    <w:next w:val="1"/>
    <w:qFormat/>
    <w:uiPriority w:val="39"/>
    <w:pPr>
      <w:ind w:left="3360" w:leftChars="1600"/>
    </w:pPr>
    <w:rPr>
      <w:rFonts w:ascii="Calibri" w:hAnsi="Calibri" w:cs="黑体"/>
      <w:szCs w:val="22"/>
    </w:rPr>
  </w:style>
  <w:style w:type="paragraph" w:styleId="25">
    <w:name w:val="Normal (Web)"/>
    <w:basedOn w:val="1"/>
    <w:qFormat/>
    <w:uiPriority w:val="0"/>
    <w:pPr>
      <w:spacing w:beforeAutospacing="1" w:afterAutospacing="1"/>
      <w:jc w:val="left"/>
    </w:pPr>
    <w:rPr>
      <w:kern w:val="0"/>
      <w:sz w:val="24"/>
    </w:rPr>
  </w:style>
  <w:style w:type="paragraph" w:styleId="26">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7">
    <w:name w:val="annotation subject"/>
    <w:basedOn w:val="7"/>
    <w:next w:val="7"/>
    <w:link w:val="77"/>
    <w:qFormat/>
    <w:uiPriority w:val="0"/>
    <w:rPr>
      <w:b/>
      <w:bCs/>
    </w:rPr>
  </w:style>
  <w:style w:type="paragraph" w:styleId="28">
    <w:name w:val="Body Text First Indent"/>
    <w:basedOn w:val="8"/>
    <w:next w:val="1"/>
    <w:qFormat/>
    <w:uiPriority w:val="0"/>
    <w:pPr>
      <w:spacing w:line="275" w:lineRule="atLeast"/>
      <w:ind w:firstLine="420"/>
    </w:pPr>
    <w:rPr>
      <w:rFonts w:eastAsia="楷体"/>
      <w:kern w:val="1"/>
      <w:sz w:val="26"/>
      <w:szCs w:val="20"/>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FollowedHyperlink"/>
    <w:basedOn w:val="31"/>
    <w:qFormat/>
    <w:uiPriority w:val="0"/>
    <w:rPr>
      <w:color w:val="800080"/>
      <w:u w:val="none"/>
    </w:rPr>
  </w:style>
  <w:style w:type="character" w:styleId="34">
    <w:name w:val="Emphasis"/>
    <w:basedOn w:val="31"/>
    <w:qFormat/>
    <w:uiPriority w:val="0"/>
  </w:style>
  <w:style w:type="character" w:styleId="35">
    <w:name w:val="HTML Definition"/>
    <w:basedOn w:val="31"/>
    <w:qFormat/>
    <w:uiPriority w:val="0"/>
  </w:style>
  <w:style w:type="character" w:styleId="36">
    <w:name w:val="HTML Typewriter"/>
    <w:basedOn w:val="31"/>
    <w:qFormat/>
    <w:uiPriority w:val="0"/>
    <w:rPr>
      <w:rFonts w:hint="default" w:ascii="monospace" w:hAnsi="monospace" w:eastAsia="monospace" w:cs="monospace"/>
      <w:sz w:val="20"/>
    </w:rPr>
  </w:style>
  <w:style w:type="character" w:styleId="37">
    <w:name w:val="HTML Acronym"/>
    <w:basedOn w:val="31"/>
    <w:qFormat/>
    <w:uiPriority w:val="0"/>
  </w:style>
  <w:style w:type="character" w:styleId="38">
    <w:name w:val="HTML Variable"/>
    <w:basedOn w:val="31"/>
    <w:qFormat/>
    <w:uiPriority w:val="0"/>
  </w:style>
  <w:style w:type="character" w:styleId="39">
    <w:name w:val="Hyperlink"/>
    <w:basedOn w:val="31"/>
    <w:qFormat/>
    <w:uiPriority w:val="99"/>
    <w:rPr>
      <w:color w:val="0000FF"/>
      <w:u w:val="none"/>
    </w:rPr>
  </w:style>
  <w:style w:type="character" w:styleId="40">
    <w:name w:val="HTML Code"/>
    <w:basedOn w:val="31"/>
    <w:qFormat/>
    <w:uiPriority w:val="0"/>
    <w:rPr>
      <w:rFonts w:hint="default" w:ascii="monospace" w:hAnsi="monospace" w:eastAsia="monospace" w:cs="monospace"/>
      <w:sz w:val="20"/>
    </w:rPr>
  </w:style>
  <w:style w:type="character" w:styleId="41">
    <w:name w:val="annotation reference"/>
    <w:basedOn w:val="31"/>
    <w:qFormat/>
    <w:uiPriority w:val="99"/>
    <w:rPr>
      <w:sz w:val="21"/>
      <w:szCs w:val="21"/>
    </w:rPr>
  </w:style>
  <w:style w:type="character" w:styleId="42">
    <w:name w:val="HTML Cite"/>
    <w:basedOn w:val="31"/>
    <w:qFormat/>
    <w:uiPriority w:val="0"/>
  </w:style>
  <w:style w:type="character" w:styleId="43">
    <w:name w:val="HTML Keyboard"/>
    <w:basedOn w:val="31"/>
    <w:qFormat/>
    <w:uiPriority w:val="0"/>
    <w:rPr>
      <w:rFonts w:ascii="monospace" w:hAnsi="monospace" w:eastAsia="monospace" w:cs="monospace"/>
      <w:sz w:val="20"/>
    </w:rPr>
  </w:style>
  <w:style w:type="character" w:styleId="44">
    <w:name w:val="HTML Sample"/>
    <w:basedOn w:val="31"/>
    <w:qFormat/>
    <w:uiPriority w:val="0"/>
    <w:rPr>
      <w:rFonts w:hint="default" w:ascii="monospace" w:hAnsi="monospace" w:eastAsia="monospace" w:cs="monospace"/>
    </w:rPr>
  </w:style>
  <w:style w:type="paragraph" w:customStyle="1" w:styleId="45">
    <w:name w:val="目录 53"/>
    <w:next w:val="1"/>
    <w:qFormat/>
    <w:uiPriority w:val="0"/>
    <w:pPr>
      <w:wordWrap w:val="0"/>
      <w:ind w:left="1275"/>
      <w:jc w:val="both"/>
    </w:pPr>
    <w:rPr>
      <w:rFonts w:ascii="Calibri" w:hAnsi="Calibri" w:eastAsia="等线" w:cs="Times New Roman"/>
      <w:sz w:val="21"/>
      <w:szCs w:val="22"/>
      <w:lang w:val="en-US" w:eastAsia="zh-CN" w:bidi="ar-SA"/>
    </w:rPr>
  </w:style>
  <w:style w:type="paragraph" w:customStyle="1" w:styleId="46">
    <w:name w:val="BodyText"/>
    <w:basedOn w:val="1"/>
    <w:next w:val="1"/>
    <w:qFormat/>
    <w:uiPriority w:val="0"/>
    <w:pPr>
      <w:spacing w:after="120"/>
    </w:pPr>
  </w:style>
  <w:style w:type="paragraph" w:customStyle="1" w:styleId="47">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
    <w:name w:val="Table Paragraph"/>
    <w:basedOn w:val="1"/>
    <w:qFormat/>
    <w:uiPriority w:val="1"/>
  </w:style>
  <w:style w:type="character" w:customStyle="1" w:styleId="49">
    <w:name w:val="正文文本 (2)_"/>
    <w:link w:val="50"/>
    <w:qFormat/>
    <w:uiPriority w:val="0"/>
    <w:rPr>
      <w:rFonts w:ascii="宋体" w:hAnsi="宋体"/>
      <w:kern w:val="0"/>
      <w:sz w:val="20"/>
      <w:szCs w:val="20"/>
    </w:rPr>
  </w:style>
  <w:style w:type="paragraph" w:customStyle="1" w:styleId="50">
    <w:name w:val="正文文本 (2)1"/>
    <w:basedOn w:val="1"/>
    <w:link w:val="49"/>
    <w:qFormat/>
    <w:uiPriority w:val="0"/>
    <w:pPr>
      <w:shd w:val="clear" w:color="auto" w:fill="FFFFFF"/>
      <w:spacing w:before="120" w:line="379" w:lineRule="exact"/>
      <w:ind w:hanging="420"/>
      <w:jc w:val="left"/>
    </w:pPr>
    <w:rPr>
      <w:rFonts w:ascii="宋体" w:hAnsi="宋体"/>
      <w:kern w:val="0"/>
      <w:sz w:val="20"/>
      <w:szCs w:val="20"/>
    </w:rPr>
  </w:style>
  <w:style w:type="paragraph" w:customStyle="1" w:styleId="51">
    <w:name w:val="无间隔2"/>
    <w:basedOn w:val="1"/>
    <w:qFormat/>
    <w:uiPriority w:val="0"/>
    <w:pPr>
      <w:spacing w:line="400" w:lineRule="exact"/>
    </w:pPr>
    <w:rPr>
      <w:sz w:val="24"/>
    </w:rPr>
  </w:style>
  <w:style w:type="character" w:customStyle="1" w:styleId="52">
    <w:name w:val="正文文本 字符"/>
    <w:basedOn w:val="31"/>
    <w:link w:val="8"/>
    <w:qFormat/>
    <w:uiPriority w:val="99"/>
    <w:rPr>
      <w:kern w:val="2"/>
      <w:sz w:val="21"/>
      <w:szCs w:val="24"/>
    </w:rPr>
  </w:style>
  <w:style w:type="paragraph" w:customStyle="1" w:styleId="53">
    <w:name w:val="无间隔1"/>
    <w:basedOn w:val="1"/>
    <w:qFormat/>
    <w:uiPriority w:val="0"/>
    <w:pPr>
      <w:spacing w:line="400" w:lineRule="exact"/>
    </w:pPr>
    <w:rPr>
      <w:sz w:val="24"/>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UserStyle_186"/>
    <w:basedOn w:val="1"/>
    <w:qFormat/>
    <w:uiPriority w:val="0"/>
    <w:rPr>
      <w:rFonts w:ascii="宋体" w:hAnsi="宋体"/>
      <w:lang w:val="zh-CN" w:bidi="zh-CN"/>
    </w:rPr>
  </w:style>
  <w:style w:type="character" w:customStyle="1" w:styleId="56">
    <w:name w:val="NormalCharacter"/>
    <w:semiHidden/>
    <w:qFormat/>
    <w:uiPriority w:val="0"/>
  </w:style>
  <w:style w:type="paragraph" w:customStyle="1" w:styleId="57">
    <w:name w:val="reader-word-layer reader-word-s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
    <w:name w:val="列表段落1"/>
    <w:basedOn w:val="1"/>
    <w:qFormat/>
    <w:uiPriority w:val="0"/>
    <w:pPr>
      <w:ind w:firstLine="420" w:firstLineChars="200"/>
    </w:pPr>
    <w:rPr>
      <w:sz w:val="28"/>
      <w:szCs w:val="28"/>
    </w:rPr>
  </w:style>
  <w:style w:type="paragraph" w:customStyle="1" w:styleId="59">
    <w:name w:val="招标正文"/>
    <w:basedOn w:val="1"/>
    <w:qFormat/>
    <w:uiPriority w:val="0"/>
    <w:pPr>
      <w:spacing w:line="300" w:lineRule="auto"/>
      <w:ind w:firstLine="420" w:firstLineChars="200"/>
    </w:pPr>
    <w:rPr>
      <w:rFonts w:ascii="Calibri" w:hAnsi="Calibri"/>
      <w:szCs w:val="18"/>
    </w:rPr>
  </w:style>
  <w:style w:type="character" w:customStyle="1" w:styleId="60">
    <w:name w:val="批注框文本 字符"/>
    <w:basedOn w:val="31"/>
    <w:link w:val="16"/>
    <w:qFormat/>
    <w:uiPriority w:val="99"/>
    <w:rPr>
      <w:kern w:val="2"/>
      <w:sz w:val="18"/>
      <w:szCs w:val="18"/>
    </w:rPr>
  </w:style>
  <w:style w:type="paragraph" w:customStyle="1" w:styleId="61">
    <w:name w:val="UserStyle_348"/>
    <w:basedOn w:val="1"/>
    <w:qFormat/>
    <w:uiPriority w:val="0"/>
    <w:pPr>
      <w:spacing w:line="288" w:lineRule="auto"/>
      <w:ind w:left="200" w:hanging="20"/>
      <w:textAlignment w:val="baseline"/>
    </w:pPr>
    <w:rPr>
      <w:color w:val="000000"/>
      <w:sz w:val="24"/>
    </w:rPr>
  </w:style>
  <w:style w:type="paragraph" w:styleId="62">
    <w:name w:val="List Paragraph"/>
    <w:basedOn w:val="1"/>
    <w:unhideWhenUsed/>
    <w:qFormat/>
    <w:uiPriority w:val="99"/>
    <w:pPr>
      <w:ind w:firstLine="420" w:firstLineChars="200"/>
    </w:pPr>
  </w:style>
  <w:style w:type="character" w:customStyle="1" w:styleId="63">
    <w:name w:val="标题 3 字符"/>
    <w:link w:val="4"/>
    <w:qFormat/>
    <w:uiPriority w:val="9"/>
    <w:rPr>
      <w:b/>
      <w:bCs/>
      <w:kern w:val="2"/>
      <w:sz w:val="32"/>
      <w:szCs w:val="32"/>
    </w:rPr>
  </w:style>
  <w:style w:type="character" w:customStyle="1" w:styleId="64">
    <w:name w:val="页眉 字符"/>
    <w:link w:val="18"/>
    <w:qFormat/>
    <w:uiPriority w:val="99"/>
    <w:rPr>
      <w:kern w:val="2"/>
      <w:sz w:val="18"/>
      <w:szCs w:val="18"/>
    </w:rPr>
  </w:style>
  <w:style w:type="character" w:customStyle="1" w:styleId="65">
    <w:name w:val="页脚 字符"/>
    <w:link w:val="17"/>
    <w:qFormat/>
    <w:uiPriority w:val="99"/>
    <w:rPr>
      <w:kern w:val="2"/>
      <w:sz w:val="18"/>
      <w:szCs w:val="18"/>
    </w:rPr>
  </w:style>
  <w:style w:type="character" w:customStyle="1" w:styleId="66">
    <w:name w:val="纯文本 Char"/>
    <w:link w:val="67"/>
    <w:qFormat/>
    <w:uiPriority w:val="0"/>
    <w:rPr>
      <w:rFonts w:ascii="黑体" w:eastAsia="黑体"/>
      <w:sz w:val="28"/>
      <w:lang w:eastAsia="en-US"/>
    </w:rPr>
  </w:style>
  <w:style w:type="paragraph" w:customStyle="1" w:styleId="67">
    <w:name w:val="纯文本1"/>
    <w:basedOn w:val="1"/>
    <w:link w:val="66"/>
    <w:qFormat/>
    <w:uiPriority w:val="0"/>
    <w:pPr>
      <w:spacing w:line="580" w:lineRule="exact"/>
      <w:ind w:right="-197" w:firstLine="200" w:firstLineChars="200"/>
    </w:pPr>
    <w:rPr>
      <w:rFonts w:ascii="黑体" w:eastAsia="黑体"/>
      <w:kern w:val="0"/>
      <w:sz w:val="28"/>
      <w:szCs w:val="20"/>
      <w:lang w:eastAsia="en-US"/>
    </w:rPr>
  </w:style>
  <w:style w:type="character" w:customStyle="1" w:styleId="68">
    <w:name w:val="批注引用1"/>
    <w:qFormat/>
    <w:uiPriority w:val="0"/>
    <w:rPr>
      <w:sz w:val="21"/>
      <w:szCs w:val="21"/>
    </w:rPr>
  </w:style>
  <w:style w:type="paragraph" w:customStyle="1" w:styleId="69">
    <w:name w:val="p0"/>
    <w:basedOn w:val="1"/>
    <w:qFormat/>
    <w:uiPriority w:val="0"/>
    <w:rPr>
      <w:szCs w:val="21"/>
    </w:rPr>
  </w:style>
  <w:style w:type="paragraph" w:customStyle="1" w:styleId="70">
    <w:name w:val="修订1"/>
    <w:qFormat/>
    <w:uiPriority w:val="99"/>
    <w:rPr>
      <w:rFonts w:ascii="Calibri" w:hAnsi="Calibri" w:eastAsia="宋体" w:cs="黑体"/>
      <w:kern w:val="2"/>
      <w:sz w:val="21"/>
      <w:szCs w:val="22"/>
      <w:lang w:val="en-US" w:eastAsia="zh-CN" w:bidi="ar-SA"/>
    </w:rPr>
  </w:style>
  <w:style w:type="paragraph" w:customStyle="1" w:styleId="71">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72">
    <w:name w:val="正文缩2"/>
    <w:qFormat/>
    <w:uiPriority w:val="0"/>
    <w:pPr>
      <w:spacing w:line="360" w:lineRule="auto"/>
      <w:ind w:firstLine="100" w:firstLineChars="100"/>
    </w:pPr>
    <w:rPr>
      <w:rFonts w:ascii="Calibri" w:hAnsi="Calibri" w:eastAsia="宋体" w:cs="Times New Roman"/>
      <w:color w:val="FF0000"/>
      <w:sz w:val="24"/>
      <w:szCs w:val="24"/>
      <w:lang w:val="en-US" w:eastAsia="zh-CN" w:bidi="ar-SA"/>
    </w:rPr>
  </w:style>
  <w:style w:type="paragraph" w:customStyle="1" w:styleId="73">
    <w:name w:val="表体"/>
    <w:basedOn w:val="1"/>
    <w:next w:val="1"/>
    <w:qFormat/>
    <w:uiPriority w:val="0"/>
    <w:pPr>
      <w:spacing w:line="0" w:lineRule="atLeast"/>
    </w:pPr>
    <w:rPr>
      <w:b/>
      <w:snapToGrid w:val="0"/>
      <w:szCs w:val="20"/>
    </w:rPr>
  </w:style>
  <w:style w:type="paragraph" w:customStyle="1" w:styleId="74">
    <w:name w:val="pa-34"/>
    <w:basedOn w:val="1"/>
    <w:qFormat/>
    <w:uiPriority w:val="0"/>
    <w:pPr>
      <w:widowControl/>
      <w:spacing w:line="360" w:lineRule="atLeast"/>
      <w:ind w:firstLine="420"/>
      <w:jc w:val="left"/>
    </w:pPr>
    <w:rPr>
      <w:rFonts w:ascii="宋体" w:hAnsi="宋体" w:cs="宋体"/>
      <w:kern w:val="0"/>
      <w:sz w:val="24"/>
    </w:rPr>
  </w:style>
  <w:style w:type="character" w:customStyle="1" w:styleId="75">
    <w:name w:val="批注文字 字符"/>
    <w:basedOn w:val="31"/>
    <w:link w:val="7"/>
    <w:qFormat/>
    <w:uiPriority w:val="99"/>
    <w:rPr>
      <w:kern w:val="2"/>
      <w:sz w:val="21"/>
      <w:szCs w:val="24"/>
    </w:rPr>
  </w:style>
  <w:style w:type="paragraph" w:customStyle="1" w:styleId="76">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77">
    <w:name w:val="批注主题 字符"/>
    <w:basedOn w:val="75"/>
    <w:link w:val="27"/>
    <w:qFormat/>
    <w:uiPriority w:val="0"/>
    <w:rPr>
      <w:b/>
      <w:bCs/>
      <w:kern w:val="2"/>
      <w:sz w:val="21"/>
      <w:szCs w:val="24"/>
    </w:rPr>
  </w:style>
  <w:style w:type="character" w:customStyle="1" w:styleId="78">
    <w:name w:val="纯文本 字符"/>
    <w:basedOn w:val="31"/>
    <w:link w:val="13"/>
    <w:autoRedefine/>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91</Pages>
  <Words>4650</Words>
  <Characters>5056</Characters>
  <Lines>360</Lines>
  <Paragraphs>101</Paragraphs>
  <TotalTime>3</TotalTime>
  <ScaleCrop>false</ScaleCrop>
  <LinksUpToDate>false</LinksUpToDate>
  <CharactersWithSpaces>5135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2024-07-17T23:47:00Z</dcterms:created>
  <dc:creator>xiaomi</dc:creator>
  <cp:lastModifiedBy>123</cp:lastModifiedBy>
  <cp:lastPrinted>2023-08-04T09:00:00Z</cp:lastPrinted>
  <dcterms:modified xsi:type="dcterms:W3CDTF">2025-06-06T10:42:21Z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F19ABD47E8A94ABAA00B618AE156D9ED_13</vt:lpwstr>
  </property>
  <property fmtid="{D5CDD505-2E9C-101B-9397-08002B2CF9AE}" pid="4" name="KSOTemplateDocerSaveRecord">
    <vt:lpwstr>eyJoZGlkIjoiMzdlOTk2YmZjZjk1ODc5MjY5ZjA2ZTRkM2U4ZGMwMmQiLCJ1c2VySWQiOiIyOTIwNjkxNDIifQ==</vt:lpwstr>
  </property>
</Properties>
</file>