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274F6">
      <w:pPr>
        <w:keepNext w:val="0"/>
        <w:keepLines w:val="0"/>
        <w:widowControl/>
        <w:suppressLineNumbers w:val="0"/>
        <w:spacing w:line="360" w:lineRule="auto"/>
        <w:ind w:left="1800" w:hanging="1807" w:hangingChars="500"/>
        <w:jc w:val="left"/>
        <w:rPr>
          <w:rFonts w:hint="default" w:ascii="仿宋" w:hAnsi="仿宋" w:eastAsia="仿宋" w:cs="仿宋"/>
          <w:b/>
          <w:bCs/>
          <w:color w:val="auto"/>
          <w:sz w:val="36"/>
          <w:szCs w:val="36"/>
          <w:highlight w:val="none"/>
          <w:lang w:val="en-US"/>
        </w:rPr>
      </w:pPr>
      <w:r>
        <w:rPr>
          <w:rFonts w:hint="eastAsia" w:ascii="仿宋" w:hAnsi="仿宋" w:eastAsia="仿宋" w:cs="仿宋"/>
          <w:b/>
          <w:bCs/>
          <w:color w:val="auto"/>
          <w:sz w:val="36"/>
          <w:szCs w:val="36"/>
          <w:highlight w:val="none"/>
        </w:rPr>
        <w:t>项目名称：</w:t>
      </w:r>
      <w:r>
        <w:rPr>
          <w:rFonts w:hint="eastAsia" w:ascii="仿宋" w:hAnsi="仿宋" w:eastAsia="仿宋" w:cs="仿宋"/>
          <w:b/>
          <w:bCs/>
          <w:color w:val="auto"/>
          <w:kern w:val="0"/>
          <w:sz w:val="36"/>
          <w:szCs w:val="36"/>
          <w:highlight w:val="none"/>
          <w:lang w:val="en-US" w:eastAsia="zh-CN" w:bidi="ar"/>
        </w:rPr>
        <w:t>花园路片区老旧小区改造配套基础设施项目一期工程（二标段）轨道方案编制</w:t>
      </w:r>
    </w:p>
    <w:p w14:paraId="521B6B8D">
      <w:pPr>
        <w:pStyle w:val="6"/>
        <w:shd w:val="clear"/>
        <w:jc w:val="both"/>
        <w:rPr>
          <w:rFonts w:hint="eastAsia" w:ascii="仿宋" w:hAnsi="仿宋" w:eastAsia="仿宋" w:cs="仿宋"/>
          <w:color w:val="auto"/>
          <w:sz w:val="32"/>
          <w:highlight w:val="none"/>
          <w:lang w:val="en-US" w:eastAsia="zh-CN"/>
        </w:rPr>
      </w:pPr>
    </w:p>
    <w:p w14:paraId="4A1BE065">
      <w:pPr>
        <w:pStyle w:val="21"/>
        <w:rPr>
          <w:rFonts w:hint="eastAsia" w:ascii="仿宋" w:hAnsi="仿宋" w:eastAsia="仿宋" w:cs="仿宋"/>
          <w:b/>
          <w:bCs w:val="0"/>
          <w:color w:val="auto"/>
          <w:sz w:val="96"/>
          <w:szCs w:val="96"/>
          <w:highlight w:val="none"/>
        </w:rPr>
      </w:pPr>
    </w:p>
    <w:p w14:paraId="232AB23C">
      <w:pPr>
        <w:rPr>
          <w:rFonts w:hint="eastAsia" w:ascii="仿宋" w:hAnsi="仿宋" w:eastAsia="仿宋" w:cs="仿宋"/>
          <w:color w:val="auto"/>
          <w:highlight w:val="none"/>
        </w:rPr>
      </w:pPr>
    </w:p>
    <w:p w14:paraId="0E3AA069">
      <w:pPr>
        <w:pStyle w:val="15"/>
        <w:rPr>
          <w:rFonts w:hint="eastAsia" w:ascii="仿宋" w:hAnsi="仿宋" w:eastAsia="仿宋" w:cs="仿宋"/>
          <w:color w:val="auto"/>
          <w:highlight w:val="none"/>
        </w:rPr>
      </w:pPr>
    </w:p>
    <w:p w14:paraId="277C2E41">
      <w:pPr>
        <w:pStyle w:val="15"/>
        <w:jc w:val="both"/>
        <w:rPr>
          <w:rFonts w:hint="eastAsia" w:ascii="仿宋" w:hAnsi="仿宋" w:eastAsia="仿宋" w:cs="仿宋"/>
          <w:color w:val="auto"/>
          <w:highlight w:val="none"/>
        </w:rPr>
      </w:pPr>
    </w:p>
    <w:p w14:paraId="1EB76839">
      <w:pPr>
        <w:pStyle w:val="6"/>
        <w:shd w:val="clear"/>
        <w:jc w:val="center"/>
        <w:rPr>
          <w:rFonts w:hint="eastAsia" w:ascii="仿宋" w:hAnsi="仿宋" w:eastAsia="仿宋" w:cs="仿宋"/>
          <w:b/>
          <w:bCs w:val="0"/>
          <w:color w:val="auto"/>
          <w:sz w:val="112"/>
          <w:szCs w:val="112"/>
          <w:highlight w:val="none"/>
        </w:rPr>
      </w:pPr>
      <w:r>
        <w:rPr>
          <w:rFonts w:hint="eastAsia" w:ascii="仿宋" w:hAnsi="仿宋" w:eastAsia="仿宋" w:cs="仿宋"/>
          <w:b/>
          <w:bCs w:val="0"/>
          <w:color w:val="auto"/>
          <w:sz w:val="112"/>
          <w:szCs w:val="112"/>
          <w:highlight w:val="none"/>
        </w:rPr>
        <w:t>采购文件</w:t>
      </w:r>
    </w:p>
    <w:p w14:paraId="52316200">
      <w:pPr>
        <w:pStyle w:val="6"/>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（综 合 评 分 法）</w:t>
      </w:r>
    </w:p>
    <w:p w14:paraId="2E9420A4">
      <w:pPr>
        <w:pStyle w:val="7"/>
        <w:shd w:val="clear"/>
        <w:spacing w:line="500" w:lineRule="exact"/>
        <w:ind w:left="0"/>
        <w:rPr>
          <w:rFonts w:hint="eastAsia" w:ascii="仿宋" w:hAnsi="仿宋" w:eastAsia="仿宋" w:cs="仿宋"/>
          <w:color w:val="auto"/>
          <w:sz w:val="32"/>
          <w:highlight w:val="none"/>
        </w:rPr>
      </w:pPr>
    </w:p>
    <w:p w14:paraId="012DFCFE">
      <w:pPr>
        <w:pStyle w:val="7"/>
        <w:shd w:val="clear"/>
        <w:spacing w:line="500" w:lineRule="exact"/>
        <w:ind w:left="0"/>
        <w:rPr>
          <w:rFonts w:hint="eastAsia" w:ascii="仿宋" w:hAnsi="仿宋" w:eastAsia="仿宋" w:cs="仿宋"/>
          <w:color w:val="auto"/>
          <w:sz w:val="32"/>
          <w:highlight w:val="none"/>
        </w:rPr>
      </w:pPr>
    </w:p>
    <w:p w14:paraId="5ACF5596">
      <w:pPr>
        <w:pStyle w:val="7"/>
        <w:shd w:val="clear"/>
        <w:spacing w:line="500" w:lineRule="exact"/>
        <w:ind w:left="0"/>
        <w:rPr>
          <w:rFonts w:hint="eastAsia" w:ascii="仿宋" w:hAnsi="仿宋" w:eastAsia="仿宋" w:cs="仿宋"/>
          <w:color w:val="auto"/>
          <w:sz w:val="32"/>
          <w:highlight w:val="none"/>
        </w:rPr>
      </w:pPr>
    </w:p>
    <w:p w14:paraId="7CC8C9AA">
      <w:pPr>
        <w:pStyle w:val="7"/>
        <w:shd w:val="clear"/>
        <w:spacing w:line="500" w:lineRule="exact"/>
        <w:ind w:left="0"/>
        <w:rPr>
          <w:rFonts w:hint="eastAsia" w:ascii="仿宋" w:hAnsi="仿宋" w:eastAsia="仿宋" w:cs="仿宋"/>
          <w:color w:val="auto"/>
          <w:sz w:val="32"/>
          <w:highlight w:val="none"/>
        </w:rPr>
      </w:pPr>
    </w:p>
    <w:p w14:paraId="4EB0A889">
      <w:pPr>
        <w:pStyle w:val="7"/>
        <w:shd w:val="clear"/>
        <w:spacing w:line="360" w:lineRule="auto"/>
        <w:ind w:left="0"/>
        <w:jc w:val="center"/>
        <w:rPr>
          <w:rFonts w:hint="eastAsia" w:ascii="仿宋" w:hAnsi="仿宋" w:eastAsia="仿宋" w:cs="仿宋"/>
          <w:color w:val="auto"/>
          <w:sz w:val="32"/>
          <w:highlight w:val="none"/>
        </w:rPr>
      </w:pPr>
    </w:p>
    <w:p w14:paraId="1B58878D">
      <w:pPr>
        <w:pStyle w:val="21"/>
        <w:ind w:left="0" w:leftChars="0" w:firstLine="0" w:firstLineChars="0"/>
        <w:rPr>
          <w:rFonts w:hint="eastAsia" w:ascii="仿宋" w:hAnsi="仿宋" w:eastAsia="仿宋" w:cs="仿宋"/>
          <w:color w:val="auto"/>
          <w:highlight w:val="none"/>
        </w:rPr>
      </w:pPr>
    </w:p>
    <w:p w14:paraId="784F01EC">
      <w:pPr>
        <w:pStyle w:val="15"/>
        <w:jc w:val="both"/>
        <w:rPr>
          <w:rFonts w:hint="eastAsia" w:ascii="仿宋" w:hAnsi="仿宋" w:eastAsia="仿宋" w:cs="仿宋"/>
          <w:color w:val="auto"/>
          <w:highlight w:val="none"/>
        </w:rPr>
      </w:pPr>
    </w:p>
    <w:p w14:paraId="62DA364A">
      <w:pPr>
        <w:pStyle w:val="7"/>
        <w:shd w:val="clear"/>
        <w:spacing w:line="360" w:lineRule="auto"/>
        <w:ind w:left="0" w:leftChars="0" w:firstLine="640" w:firstLineChars="200"/>
        <w:jc w:val="both"/>
        <w:rPr>
          <w:rFonts w:hint="eastAsia" w:ascii="仿宋" w:hAnsi="仿宋" w:eastAsia="仿宋" w:cs="仿宋"/>
          <w:color w:val="auto"/>
          <w:sz w:val="32"/>
          <w:highlight w:val="none"/>
        </w:rPr>
      </w:pPr>
    </w:p>
    <w:p w14:paraId="339DE8CA">
      <w:pPr>
        <w:pStyle w:val="7"/>
        <w:shd w:val="clear"/>
        <w:spacing w:line="360" w:lineRule="auto"/>
        <w:ind w:left="0" w:leftChars="0" w:firstLine="640" w:firstLineChars="200"/>
        <w:jc w:val="both"/>
        <w:rPr>
          <w:rFonts w:hint="eastAsia" w:ascii="仿宋" w:hAnsi="仿宋" w:eastAsia="仿宋" w:cs="仿宋"/>
          <w:color w:val="auto"/>
          <w:sz w:val="32"/>
          <w:highlight w:val="none"/>
        </w:rPr>
      </w:pPr>
    </w:p>
    <w:p w14:paraId="41E08F2A">
      <w:pPr>
        <w:pStyle w:val="7"/>
        <w:shd w:val="clear"/>
        <w:spacing w:line="360" w:lineRule="auto"/>
        <w:ind w:left="0" w:leftChars="0" w:firstLine="643" w:firstLineChars="200"/>
        <w:jc w:val="both"/>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rPr>
        <w:t>采</w:t>
      </w:r>
      <w:r>
        <w:rPr>
          <w:rFonts w:hint="eastAsia" w:ascii="仿宋" w:hAnsi="仿宋" w:eastAsia="仿宋" w:cs="仿宋"/>
          <w:b/>
          <w:bCs/>
          <w:color w:val="auto"/>
          <w:sz w:val="32"/>
          <w:highlight w:val="none"/>
          <w:lang w:val="en-US" w:eastAsia="zh-CN"/>
        </w:rPr>
        <w:t xml:space="preserve">   </w:t>
      </w:r>
      <w:r>
        <w:rPr>
          <w:rFonts w:hint="eastAsia" w:ascii="仿宋" w:hAnsi="仿宋" w:eastAsia="仿宋" w:cs="仿宋"/>
          <w:b/>
          <w:bCs/>
          <w:color w:val="auto"/>
          <w:sz w:val="32"/>
          <w:highlight w:val="none"/>
        </w:rPr>
        <w:t>购</w:t>
      </w:r>
      <w:r>
        <w:rPr>
          <w:rFonts w:hint="eastAsia" w:ascii="仿宋" w:hAnsi="仿宋" w:eastAsia="仿宋" w:cs="仿宋"/>
          <w:b/>
          <w:bCs/>
          <w:color w:val="auto"/>
          <w:sz w:val="32"/>
          <w:highlight w:val="none"/>
          <w:lang w:val="en-US" w:eastAsia="zh-CN"/>
        </w:rPr>
        <w:t xml:space="preserve">   </w:t>
      </w:r>
      <w:r>
        <w:rPr>
          <w:rFonts w:hint="eastAsia" w:ascii="仿宋" w:hAnsi="仿宋" w:eastAsia="仿宋" w:cs="仿宋"/>
          <w:b/>
          <w:bCs/>
          <w:color w:val="auto"/>
          <w:sz w:val="32"/>
          <w:highlight w:val="none"/>
        </w:rPr>
        <w:t>人：</w:t>
      </w:r>
      <w:r>
        <w:rPr>
          <w:rFonts w:hint="eastAsia" w:ascii="仿宋" w:hAnsi="仿宋" w:eastAsia="仿宋" w:cs="仿宋"/>
          <w:b/>
          <w:bCs/>
          <w:color w:val="auto"/>
          <w:sz w:val="32"/>
          <w:highlight w:val="none"/>
          <w:lang w:val="en-US" w:eastAsia="zh-CN"/>
        </w:rPr>
        <w:t>重庆市江南城市建设发展（集团）有限公司</w:t>
      </w:r>
    </w:p>
    <w:p w14:paraId="32A364FB">
      <w:pPr>
        <w:pStyle w:val="7"/>
        <w:shd w:val="clear"/>
        <w:spacing w:line="360" w:lineRule="auto"/>
        <w:ind w:left="0" w:leftChars="0" w:firstLine="643" w:firstLineChars="200"/>
        <w:jc w:val="both"/>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rPr>
        <w:t>采购代理机构</w:t>
      </w:r>
      <w:r>
        <w:rPr>
          <w:rFonts w:hint="eastAsia" w:ascii="仿宋" w:hAnsi="仿宋" w:eastAsia="仿宋" w:cs="仿宋"/>
          <w:b/>
          <w:bCs/>
          <w:color w:val="auto"/>
          <w:sz w:val="32"/>
          <w:highlight w:val="none"/>
          <w:lang w:val="en-US" w:eastAsia="zh-CN"/>
        </w:rPr>
        <w:t>：</w:t>
      </w:r>
      <w:r>
        <w:rPr>
          <w:rFonts w:hint="eastAsia" w:ascii="仿宋" w:hAnsi="仿宋" w:eastAsia="仿宋" w:cs="仿宋"/>
          <w:b/>
          <w:bCs/>
          <w:color w:val="auto"/>
          <w:sz w:val="32"/>
          <w:szCs w:val="32"/>
          <w:highlight w:val="none"/>
          <w:lang w:val="en-US" w:eastAsia="zh-CN"/>
        </w:rPr>
        <w:t>重庆普聚工程咨询有限公司</w:t>
      </w:r>
    </w:p>
    <w:p w14:paraId="184A3D32">
      <w:pPr>
        <w:pStyle w:val="7"/>
        <w:shd w:val="clear"/>
        <w:spacing w:line="360" w:lineRule="auto"/>
        <w:ind w:left="0" w:leftChars="0" w:firstLine="0" w:firstLineChars="0"/>
        <w:jc w:val="center"/>
        <w:rPr>
          <w:rFonts w:hint="eastAsia" w:ascii="仿宋" w:hAnsi="仿宋" w:eastAsia="仿宋" w:cs="仿宋"/>
          <w:b/>
          <w:bCs/>
          <w:color w:val="auto"/>
          <w:sz w:val="44"/>
          <w:szCs w:val="28"/>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val="en-US" w:eastAsia="zh-CN"/>
        </w:rPr>
        <w:t>〇</w:t>
      </w:r>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14:paraId="5950555A">
      <w:pPr>
        <w:spacing w:line="700" w:lineRule="exact"/>
        <w:jc w:val="center"/>
        <w:rPr>
          <w:rFonts w:hint="eastAsia" w:ascii="仿宋" w:hAnsi="仿宋" w:eastAsia="仿宋" w:cs="仿宋"/>
          <w:color w:val="auto"/>
          <w:highlight w:val="none"/>
        </w:rPr>
        <w:sectPr>
          <w:headerReference r:id="rId3" w:type="default"/>
          <w:pgSz w:w="11907" w:h="16840"/>
          <w:pgMar w:top="1134" w:right="1247" w:bottom="1134" w:left="1247" w:header="851" w:footer="992" w:gutter="0"/>
          <w:pgNumType w:fmt="decimal" w:start="1"/>
          <w:cols w:space="720" w:num="1"/>
          <w:docGrid w:linePitch="381" w:charSpace="-5735"/>
        </w:sectPr>
      </w:pPr>
    </w:p>
    <w:p w14:paraId="0ED004EE">
      <w:pPr>
        <w:rPr>
          <w:rFonts w:hint="eastAsia" w:ascii="仿宋" w:hAnsi="仿宋" w:eastAsia="仿宋" w:cs="仿宋"/>
          <w:b/>
          <w:bCs/>
          <w:color w:val="auto"/>
          <w:sz w:val="40"/>
          <w:szCs w:val="40"/>
          <w:highlight w:val="none"/>
        </w:rPr>
      </w:pPr>
    </w:p>
    <w:p w14:paraId="0F7D7A83">
      <w:pPr>
        <w:keepNext w:val="0"/>
        <w:keepLines w:val="0"/>
        <w:pageBreakBefore w:val="0"/>
        <w:widowControl w:val="0"/>
        <w:tabs>
          <w:tab w:val="left" w:pos="1185"/>
          <w:tab w:val="center" w:pos="4156"/>
          <w:tab w:val="left" w:pos="7095"/>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p w14:paraId="3F16ACB8">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TOC \o "1-3" \h \z \u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_Toc11097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szCs w:val="32"/>
          <w:highlight w:val="none"/>
        </w:rPr>
        <w:t xml:space="preserve">第一篇  </w:t>
      </w:r>
      <w:r>
        <w:rPr>
          <w:rFonts w:hint="eastAsia" w:ascii="仿宋" w:hAnsi="仿宋" w:eastAsia="仿宋" w:cs="仿宋"/>
          <w:bCs/>
          <w:color w:val="auto"/>
          <w:szCs w:val="32"/>
          <w:highlight w:val="none"/>
          <w:lang w:eastAsia="zh-CN"/>
        </w:rPr>
        <w:t>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val="0"/>
          <w:color w:val="auto"/>
          <w:szCs w:val="24"/>
          <w:highlight w:val="none"/>
        </w:rPr>
        <w:fldChar w:fldCharType="end"/>
      </w:r>
    </w:p>
    <w:p w14:paraId="28578B36">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_Toc25630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二</w:t>
      </w:r>
      <w:r>
        <w:rPr>
          <w:rFonts w:hint="eastAsia" w:ascii="仿宋" w:hAnsi="仿宋" w:eastAsia="仿宋" w:cs="仿宋"/>
          <w:bCs/>
          <w:color w:val="auto"/>
          <w:szCs w:val="32"/>
          <w:highlight w:val="none"/>
        </w:rPr>
        <w:t>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664657C">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_Toc412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三</w:t>
      </w:r>
      <w:r>
        <w:rPr>
          <w:rFonts w:hint="eastAsia" w:ascii="仿宋" w:hAnsi="仿宋" w:eastAsia="仿宋" w:cs="仿宋"/>
          <w:bCs/>
          <w:color w:val="auto"/>
          <w:szCs w:val="32"/>
          <w:highlight w:val="none"/>
        </w:rPr>
        <w:t xml:space="preserve">篇  </w:t>
      </w:r>
      <w:r>
        <w:rPr>
          <w:rFonts w:hint="eastAsia" w:ascii="仿宋" w:hAnsi="仿宋" w:eastAsia="仿宋" w:cs="仿宋"/>
          <w:bCs/>
          <w:color w:val="auto"/>
          <w:szCs w:val="32"/>
          <w:highlight w:val="none"/>
          <w:lang w:val="en-US" w:eastAsia="zh-CN"/>
        </w:rPr>
        <w:t>项目</w:t>
      </w:r>
      <w:r>
        <w:rPr>
          <w:rFonts w:hint="eastAsia" w:ascii="仿宋" w:hAnsi="仿宋" w:eastAsia="仿宋" w:cs="仿宋"/>
          <w:bCs/>
          <w:color w:val="auto"/>
          <w:szCs w:val="32"/>
          <w:highlight w:val="none"/>
        </w:rPr>
        <w:t>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2B112D3">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_Toc27973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lang w:val="en-US" w:eastAsia="zh-CN"/>
        </w:rPr>
        <w:t>第四篇  资格审查及评标办法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_Toc27973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B164F66">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五</w:t>
      </w:r>
      <w:r>
        <w:rPr>
          <w:rFonts w:hint="eastAsia" w:ascii="仿宋" w:hAnsi="仿宋" w:eastAsia="仿宋" w:cs="仿宋"/>
          <w:bCs/>
          <w:color w:val="auto"/>
          <w:szCs w:val="32"/>
          <w:highlight w:val="none"/>
        </w:rPr>
        <w:t>篇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_Toc27619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5F0B305">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_Toc26968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六</w:t>
      </w:r>
      <w:r>
        <w:rPr>
          <w:rFonts w:hint="eastAsia" w:ascii="仿宋" w:hAnsi="仿宋" w:eastAsia="仿宋" w:cs="仿宋"/>
          <w:bCs/>
          <w:color w:val="auto"/>
          <w:szCs w:val="32"/>
          <w:highlight w:val="none"/>
        </w:rPr>
        <w:t>篇  合同主要条款和格式合同（样本）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_Toc26968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24F6797">
      <w:pPr>
        <w:pStyle w:val="14"/>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_Toc11628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七</w:t>
      </w:r>
      <w:r>
        <w:rPr>
          <w:rFonts w:hint="eastAsia" w:ascii="仿宋" w:hAnsi="仿宋" w:eastAsia="仿宋" w:cs="仿宋"/>
          <w:bCs/>
          <w:color w:val="auto"/>
          <w:szCs w:val="32"/>
          <w:highlight w:val="none"/>
        </w:rPr>
        <w:t>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_Toc11628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C95818A">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87252D5">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二、技术部分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333CE4E">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_Toc7672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_Toc7672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68C70F5">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_Toc21733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C792BC2">
      <w:pPr>
        <w:pStyle w:val="8"/>
        <w:keepNext w:val="0"/>
        <w:keepLines w:val="0"/>
        <w:pageBreakBefore w:val="0"/>
        <w:widowControl w:val="0"/>
        <w:tabs>
          <w:tab w:val="right" w:leader="dot" w:pos="8313"/>
          <w:tab w:val="clear" w:pos="8300"/>
        </w:tabs>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_Toc22647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8"/>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_Toc22647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B5120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仿宋" w:hAnsi="仿宋" w:eastAsia="仿宋" w:cs="仿宋"/>
          <w:bCs/>
          <w:color w:val="auto"/>
          <w:szCs w:val="24"/>
          <w:highlight w:val="none"/>
        </w:rPr>
        <w:fldChar w:fldCharType="end"/>
      </w:r>
    </w:p>
    <w:p w14:paraId="2841B422">
      <w:pPr>
        <w:pStyle w:val="3"/>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2"/>
          <w:szCs w:val="32"/>
          <w:highlight w:val="none"/>
          <w:lang w:val="en-US" w:eastAsia="zh-CN"/>
        </w:rPr>
      </w:pPr>
      <w:bookmarkStart w:id="0" w:name="_Toc152480139"/>
      <w:bookmarkStart w:id="1" w:name="_Toc11097"/>
      <w:bookmarkStart w:id="2" w:name="_Toc11641050"/>
      <w:bookmarkStart w:id="3" w:name="_Toc128744981"/>
      <w:bookmarkStart w:id="4" w:name="_Toc12789052"/>
      <w:r>
        <w:rPr>
          <w:rStyle w:val="22"/>
          <w:rFonts w:hint="eastAsia" w:ascii="仿宋" w:hAnsi="仿宋" w:eastAsia="仿宋" w:cs="仿宋"/>
          <w:b/>
          <w:bCs/>
          <w:color w:val="auto"/>
          <w:sz w:val="32"/>
          <w:szCs w:val="32"/>
          <w:highlight w:val="none"/>
        </w:rPr>
        <w:t xml:space="preserve">第一篇  </w:t>
      </w:r>
      <w:bookmarkEnd w:id="0"/>
      <w:r>
        <w:rPr>
          <w:rStyle w:val="22"/>
          <w:rFonts w:hint="eastAsia" w:ascii="仿宋" w:hAnsi="仿宋" w:eastAsia="仿宋" w:cs="仿宋"/>
          <w:b/>
          <w:bCs/>
          <w:color w:val="auto"/>
          <w:sz w:val="32"/>
          <w:szCs w:val="32"/>
          <w:highlight w:val="none"/>
          <w:lang w:eastAsia="zh-CN"/>
        </w:rPr>
        <w:t>采购</w:t>
      </w:r>
      <w:bookmarkEnd w:id="1"/>
      <w:r>
        <w:rPr>
          <w:rStyle w:val="22"/>
          <w:rFonts w:hint="eastAsia" w:ascii="仿宋" w:hAnsi="仿宋" w:eastAsia="仿宋" w:cs="仿宋"/>
          <w:b/>
          <w:bCs/>
          <w:color w:val="auto"/>
          <w:sz w:val="32"/>
          <w:szCs w:val="32"/>
          <w:highlight w:val="none"/>
          <w:lang w:val="en-US" w:eastAsia="zh-CN"/>
        </w:rPr>
        <w:t>邀请书</w:t>
      </w:r>
    </w:p>
    <w:p w14:paraId="6BBCFAF2">
      <w:pPr>
        <w:keepNext w:val="0"/>
        <w:keepLines w:val="0"/>
        <w:pageBreakBefore w:val="0"/>
        <w:widowControl/>
        <w:suppressLineNumbers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val="0"/>
          <w:color w:val="auto"/>
          <w:sz w:val="24"/>
          <w:szCs w:val="24"/>
          <w:highlight w:val="none"/>
        </w:rPr>
      </w:pPr>
      <w:bookmarkStart w:id="5" w:name="_Toc379619850"/>
      <w:bookmarkStart w:id="6" w:name="_Toc24133"/>
      <w:r>
        <w:rPr>
          <w:rFonts w:hint="eastAsia" w:ascii="仿宋" w:hAnsi="仿宋" w:eastAsia="仿宋" w:cs="仿宋"/>
          <w:color w:val="auto"/>
          <w:sz w:val="24"/>
          <w:szCs w:val="24"/>
          <w:highlight w:val="none"/>
          <w:u w:val="single"/>
        </w:rPr>
        <w:t>重庆</w:t>
      </w:r>
      <w:r>
        <w:rPr>
          <w:rFonts w:hint="eastAsia" w:ascii="仿宋" w:hAnsi="仿宋" w:eastAsia="仿宋" w:cs="仿宋"/>
          <w:color w:val="auto"/>
          <w:sz w:val="24"/>
          <w:szCs w:val="24"/>
          <w:highlight w:val="none"/>
          <w:u w:val="single"/>
          <w:lang w:val="en-US" w:eastAsia="zh-CN"/>
        </w:rPr>
        <w:t>普聚</w:t>
      </w:r>
      <w:r>
        <w:rPr>
          <w:rFonts w:hint="eastAsia" w:ascii="仿宋" w:hAnsi="仿宋" w:eastAsia="仿宋" w:cs="仿宋"/>
          <w:color w:val="auto"/>
          <w:sz w:val="24"/>
          <w:szCs w:val="24"/>
          <w:highlight w:val="none"/>
          <w:u w:val="single"/>
        </w:rPr>
        <w:t>工程咨询有限公司</w:t>
      </w:r>
      <w:r>
        <w:rPr>
          <w:rFonts w:hint="eastAsia" w:ascii="仿宋" w:hAnsi="仿宋" w:eastAsia="仿宋" w:cs="仿宋"/>
          <w:b w:val="0"/>
          <w:bCs w:val="0"/>
          <w:color w:val="auto"/>
          <w:sz w:val="24"/>
          <w:szCs w:val="24"/>
          <w:highlight w:val="none"/>
        </w:rPr>
        <w:t>（以下简称：采购代理机构）接受</w:t>
      </w:r>
      <w:r>
        <w:rPr>
          <w:rFonts w:hint="eastAsia" w:ascii="仿宋" w:hAnsi="仿宋" w:eastAsia="仿宋" w:cs="仿宋"/>
          <w:b w:val="0"/>
          <w:bCs w:val="0"/>
          <w:color w:val="auto"/>
          <w:sz w:val="24"/>
          <w:szCs w:val="24"/>
          <w:highlight w:val="none"/>
          <w:u w:val="single"/>
          <w:lang w:val="en-US" w:eastAsia="zh-CN"/>
        </w:rPr>
        <w:t>重庆市江南城市建设发展（集团）有限公司</w:t>
      </w:r>
      <w:r>
        <w:rPr>
          <w:rFonts w:hint="eastAsia" w:ascii="仿宋" w:hAnsi="仿宋" w:eastAsia="仿宋" w:cs="仿宋"/>
          <w:b w:val="0"/>
          <w:bCs w:val="0"/>
          <w:color w:val="auto"/>
          <w:sz w:val="24"/>
          <w:szCs w:val="24"/>
          <w:highlight w:val="none"/>
        </w:rPr>
        <w:t>的委托，</w:t>
      </w:r>
      <w:r>
        <w:rPr>
          <w:rFonts w:hint="eastAsia" w:ascii="仿宋" w:hAnsi="仿宋" w:eastAsia="仿宋" w:cs="仿宋"/>
          <w:b w:val="0"/>
          <w:bCs w:val="0"/>
          <w:color w:val="auto"/>
          <w:sz w:val="24"/>
          <w:szCs w:val="24"/>
          <w:highlight w:val="none"/>
          <w:u w:val="none"/>
          <w:lang w:val="en-US" w:eastAsia="zh-CN"/>
        </w:rPr>
        <w:t>对</w:t>
      </w:r>
      <w:r>
        <w:rPr>
          <w:rFonts w:hint="eastAsia" w:ascii="仿宋" w:hAnsi="仿宋" w:eastAsia="仿宋" w:cs="仿宋"/>
          <w:b w:val="0"/>
          <w:bCs w:val="0"/>
          <w:color w:val="auto"/>
          <w:sz w:val="24"/>
          <w:szCs w:val="24"/>
          <w:highlight w:val="none"/>
          <w:u w:val="single"/>
          <w:lang w:val="en-US" w:eastAsia="zh-CN"/>
        </w:rPr>
        <w:t>花园路片区老旧小区改造配套基础设施项目一期工程（二标段）轨道方案编制</w:t>
      </w:r>
      <w:r>
        <w:rPr>
          <w:rFonts w:hint="eastAsia" w:ascii="仿宋" w:hAnsi="仿宋" w:eastAsia="仿宋" w:cs="仿宋"/>
          <w:b w:val="0"/>
          <w:bCs w:val="0"/>
          <w:color w:val="auto"/>
          <w:sz w:val="24"/>
          <w:szCs w:val="24"/>
          <w:highlight w:val="none"/>
        </w:rPr>
        <w:t>进行公开比选</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sz w:val="24"/>
          <w:szCs w:val="24"/>
          <w:highlight w:val="none"/>
        </w:rPr>
        <w:t>。欢迎有资格的供应商前来参与</w:t>
      </w: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w:t>
      </w:r>
    </w:p>
    <w:p w14:paraId="4ACA37A7">
      <w:pPr>
        <w:pStyle w:val="4"/>
        <w:pageBreakBefore w:val="0"/>
        <w:numPr>
          <w:ilvl w:val="0"/>
          <w:numId w:val="1"/>
        </w:numPr>
        <w:kinsoku/>
        <w:wordWrap/>
        <w:overflowPunct/>
        <w:topLinePunct w:val="0"/>
        <w:autoSpaceDE/>
        <w:autoSpaceDN/>
        <w:bidi w:val="0"/>
        <w:adjustRightInd/>
        <w:spacing w:before="0" w:after="0"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项目内容</w:t>
      </w:r>
      <w:bookmarkEnd w:id="5"/>
      <w:bookmarkEnd w:id="6"/>
    </w:p>
    <w:tbl>
      <w:tblPr>
        <w:tblStyle w:val="17"/>
        <w:tblW w:w="10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4530"/>
        <w:gridCol w:w="1785"/>
        <w:gridCol w:w="1560"/>
        <w:gridCol w:w="2034"/>
      </w:tblGrid>
      <w:tr w14:paraId="0E15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5E1CE076">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lang w:val="en-US" w:eastAsia="zh-CN"/>
              </w:rPr>
            </w:pPr>
            <w:r>
              <w:rPr>
                <w:rStyle w:val="23"/>
                <w:rFonts w:hint="eastAsia" w:ascii="仿宋" w:hAnsi="仿宋" w:eastAsia="仿宋" w:cs="仿宋"/>
                <w:b/>
                <w:bCs/>
                <w:color w:val="auto"/>
                <w:sz w:val="24"/>
                <w:szCs w:val="24"/>
                <w:highlight w:val="none"/>
                <w:lang w:val="en-US" w:eastAsia="zh-CN"/>
              </w:rPr>
              <w:t>序号</w:t>
            </w:r>
          </w:p>
        </w:tc>
        <w:tc>
          <w:tcPr>
            <w:tcW w:w="4530" w:type="dxa"/>
            <w:tcBorders>
              <w:top w:val="single" w:color="000000" w:sz="4" w:space="0"/>
              <w:left w:val="single" w:color="000000" w:sz="4" w:space="0"/>
              <w:bottom w:val="single" w:color="000000" w:sz="4" w:space="0"/>
              <w:right w:val="single" w:color="000000" w:sz="4" w:space="0"/>
            </w:tcBorders>
            <w:vAlign w:val="center"/>
          </w:tcPr>
          <w:p w14:paraId="21543089">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项目名称</w:t>
            </w:r>
          </w:p>
        </w:tc>
        <w:tc>
          <w:tcPr>
            <w:tcW w:w="1785" w:type="dxa"/>
            <w:tcBorders>
              <w:top w:val="single" w:color="000000" w:sz="4" w:space="0"/>
              <w:left w:val="single" w:color="000000" w:sz="4" w:space="0"/>
              <w:bottom w:val="single" w:color="000000" w:sz="4" w:space="0"/>
              <w:right w:val="single" w:color="000000" w:sz="4" w:space="0"/>
            </w:tcBorders>
            <w:vAlign w:val="center"/>
          </w:tcPr>
          <w:p w14:paraId="263DE19A">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lang w:val="en-US" w:eastAsia="zh-CN"/>
              </w:rPr>
            </w:pPr>
            <w:r>
              <w:rPr>
                <w:rStyle w:val="23"/>
                <w:rFonts w:hint="eastAsia" w:ascii="仿宋" w:hAnsi="仿宋" w:eastAsia="仿宋" w:cs="仿宋"/>
                <w:b/>
                <w:bCs/>
                <w:color w:val="auto"/>
                <w:sz w:val="24"/>
                <w:szCs w:val="24"/>
                <w:highlight w:val="none"/>
                <w:lang w:val="en-US" w:eastAsia="zh-CN"/>
              </w:rPr>
              <w:t>采购预算（元）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FE0E3BC">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成交供应商</w:t>
            </w:r>
          </w:p>
          <w:p w14:paraId="29B9C4A6">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数量（名）</w:t>
            </w:r>
          </w:p>
        </w:tc>
        <w:tc>
          <w:tcPr>
            <w:tcW w:w="2034" w:type="dxa"/>
            <w:tcBorders>
              <w:top w:val="single" w:color="000000" w:sz="4" w:space="0"/>
              <w:left w:val="single" w:color="000000" w:sz="4" w:space="0"/>
              <w:bottom w:val="single" w:color="000000" w:sz="4" w:space="0"/>
              <w:right w:val="single" w:color="000000" w:sz="4" w:space="0"/>
            </w:tcBorders>
            <w:vAlign w:val="center"/>
          </w:tcPr>
          <w:p w14:paraId="53E07C4C">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eastAsia" w:ascii="仿宋" w:hAnsi="仿宋" w:eastAsia="仿宋" w:cs="仿宋"/>
                <w:b/>
                <w:bCs/>
                <w:color w:val="auto"/>
                <w:sz w:val="24"/>
                <w:szCs w:val="24"/>
                <w:highlight w:val="none"/>
              </w:rPr>
            </w:pPr>
            <w:r>
              <w:rPr>
                <w:rStyle w:val="23"/>
                <w:rFonts w:hint="eastAsia" w:ascii="仿宋" w:hAnsi="仿宋" w:eastAsia="仿宋" w:cs="仿宋"/>
                <w:b/>
                <w:bCs/>
                <w:color w:val="auto"/>
                <w:sz w:val="24"/>
                <w:szCs w:val="24"/>
                <w:highlight w:val="none"/>
              </w:rPr>
              <w:t>备注</w:t>
            </w:r>
          </w:p>
        </w:tc>
      </w:tr>
      <w:tr w14:paraId="66F6D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14:paraId="41B779D2">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4530" w:type="dxa"/>
            <w:tcBorders>
              <w:top w:val="single" w:color="000000" w:sz="4" w:space="0"/>
              <w:left w:val="single" w:color="000000" w:sz="4" w:space="0"/>
              <w:bottom w:val="single" w:color="000000" w:sz="4" w:space="0"/>
              <w:right w:val="single" w:color="000000" w:sz="4" w:space="0"/>
            </w:tcBorders>
            <w:vAlign w:val="center"/>
          </w:tcPr>
          <w:p w14:paraId="71C97382">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default" w:ascii="仿宋" w:hAnsi="仿宋" w:eastAsia="仿宋" w:cs="仿宋"/>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花园路片区老旧小区改造配套基础设施项目一期工程（二标段）轨道方案编制</w:t>
            </w:r>
          </w:p>
        </w:tc>
        <w:tc>
          <w:tcPr>
            <w:tcW w:w="1785" w:type="dxa"/>
            <w:tcBorders>
              <w:top w:val="single" w:color="000000" w:sz="4" w:space="0"/>
              <w:left w:val="single" w:color="000000" w:sz="4" w:space="0"/>
              <w:bottom w:val="single" w:color="000000" w:sz="4" w:space="0"/>
              <w:right w:val="single" w:color="000000" w:sz="4" w:space="0"/>
            </w:tcBorders>
            <w:vAlign w:val="center"/>
          </w:tcPr>
          <w:p w14:paraId="6D93E3C0">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Style w:val="23"/>
                <w:rFonts w:hint="default" w:ascii="仿宋" w:hAnsi="仿宋" w:eastAsia="仿宋" w:cs="仿宋"/>
                <w:color w:val="auto"/>
                <w:sz w:val="24"/>
                <w:szCs w:val="24"/>
                <w:highlight w:val="none"/>
                <w:u w:val="none"/>
                <w:lang w:val="en-US" w:eastAsia="zh-CN"/>
              </w:rPr>
            </w:pPr>
            <w:r>
              <w:rPr>
                <w:rStyle w:val="23"/>
                <w:rFonts w:hint="eastAsia" w:ascii="仿宋" w:hAnsi="仿宋" w:eastAsia="仿宋" w:cs="仿宋"/>
                <w:color w:val="auto"/>
                <w:sz w:val="24"/>
                <w:szCs w:val="24"/>
                <w:highlight w:val="none"/>
                <w:u w:val="none"/>
                <w:lang w:val="en-US" w:eastAsia="zh-CN"/>
              </w:rPr>
              <w:t>477540.00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3AC8DC17">
            <w:pPr>
              <w:keepNext w:val="0"/>
              <w:keepLines w:val="0"/>
              <w:pageBreakBefore w:val="0"/>
              <w:widowControl w:val="0"/>
              <w:shd w:val="clear"/>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2034" w:type="dxa"/>
            <w:tcBorders>
              <w:top w:val="single" w:color="000000" w:sz="4" w:space="0"/>
              <w:left w:val="single" w:color="000000" w:sz="4" w:space="0"/>
              <w:right w:val="single" w:color="000000" w:sz="4" w:space="0"/>
            </w:tcBorders>
            <w:vAlign w:val="center"/>
          </w:tcPr>
          <w:p w14:paraId="222D4EA6">
            <w:pPr>
              <w:keepNext w:val="0"/>
              <w:keepLines w:val="0"/>
              <w:pageBreakBefore w:val="0"/>
              <w:widowControl w:val="0"/>
              <w:shd w:val="clear"/>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u w:val="none"/>
                <w:lang w:val="en-US" w:eastAsia="zh-CN"/>
              </w:rPr>
              <w:t>不接受联合体竞选</w:t>
            </w:r>
          </w:p>
        </w:tc>
      </w:tr>
    </w:tbl>
    <w:p w14:paraId="233CCFD4">
      <w:pPr>
        <w:pStyle w:val="4"/>
        <w:pageBreakBefore w:val="0"/>
        <w:numPr>
          <w:ilvl w:val="0"/>
          <w:numId w:val="2"/>
        </w:numPr>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7" w:name="_Toc27485"/>
      <w:bookmarkStart w:id="8" w:name="_Toc152480140"/>
      <w:r>
        <w:rPr>
          <w:rFonts w:hint="eastAsia" w:ascii="仿宋" w:hAnsi="仿宋" w:eastAsia="仿宋" w:cs="仿宋"/>
          <w:color w:val="auto"/>
          <w:sz w:val="24"/>
          <w:szCs w:val="24"/>
          <w:highlight w:val="none"/>
          <w:lang w:val="en-US" w:eastAsia="zh-CN"/>
        </w:rPr>
        <w:t>资金来源</w:t>
      </w:r>
    </w:p>
    <w:p w14:paraId="732B4A14">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财政预算资金。</w:t>
      </w:r>
    </w:p>
    <w:p w14:paraId="570501D8">
      <w:pPr>
        <w:pStyle w:val="4"/>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资格要求</w:t>
      </w:r>
      <w:bookmarkEnd w:id="7"/>
    </w:p>
    <w:p w14:paraId="7358F064">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9" w:name="_Toc487204774"/>
      <w:bookmarkStart w:id="10" w:name="_Toc7308"/>
      <w:bookmarkStart w:id="11" w:name="_Toc1359"/>
      <w:r>
        <w:rPr>
          <w:rFonts w:hint="eastAsia" w:ascii="仿宋" w:hAnsi="仿宋" w:eastAsia="仿宋" w:cs="仿宋"/>
          <w:color w:val="auto"/>
          <w:sz w:val="24"/>
          <w:szCs w:val="24"/>
          <w:highlight w:val="none"/>
        </w:rPr>
        <w:t>供应商是指向采购人提供服务或者货物的法人、其他组织或者自然人。合格的供应商应首先符合《政府采购法》第二十二条</w:t>
      </w:r>
      <w:bookmarkStart w:id="145" w:name="_GoBack"/>
      <w:bookmarkEnd w:id="145"/>
      <w:r>
        <w:rPr>
          <w:rFonts w:hint="eastAsia" w:ascii="仿宋" w:hAnsi="仿宋" w:eastAsia="仿宋" w:cs="仿宋"/>
          <w:color w:val="auto"/>
          <w:sz w:val="24"/>
          <w:szCs w:val="24"/>
          <w:highlight w:val="none"/>
        </w:rPr>
        <w:t>规定的基本资格条件。</w:t>
      </w:r>
    </w:p>
    <w:p w14:paraId="4F95F66C">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6A38927E">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33E1F86">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72318247">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ACD901A">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09EA8FF">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130B5AEC">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106EFBCD">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14E91C8B">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供应商须具备以下资质条件之一</w:t>
      </w:r>
      <w:r>
        <w:rPr>
          <w:rFonts w:hint="eastAsia" w:ascii="仿宋" w:hAnsi="仿宋" w:eastAsia="仿宋" w:cs="仿宋"/>
          <w:color w:val="auto"/>
          <w:sz w:val="24"/>
          <w:szCs w:val="24"/>
          <w:highlight w:val="none"/>
          <w:lang w:eastAsia="zh-CN"/>
        </w:rPr>
        <w:t>：</w:t>
      </w:r>
    </w:p>
    <w:p w14:paraId="62101394">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1.工程设计综合甲级资质；</w:t>
      </w:r>
    </w:p>
    <w:p w14:paraId="40225ABF">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工程设计市政行业</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级资质</w:t>
      </w:r>
      <w:r>
        <w:rPr>
          <w:rFonts w:hint="eastAsia" w:ascii="仿宋" w:hAnsi="仿宋" w:eastAsia="仿宋" w:cs="仿宋"/>
          <w:color w:val="auto"/>
          <w:sz w:val="24"/>
          <w:szCs w:val="24"/>
          <w:highlight w:val="none"/>
          <w:lang w:eastAsia="zh-CN"/>
        </w:rPr>
        <w:t>；</w:t>
      </w:r>
    </w:p>
    <w:p w14:paraId="52A522DE">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3.工程设计市政行业（桥梁工程或城市隧道工程</w:t>
      </w:r>
      <w:r>
        <w:rPr>
          <w:rFonts w:hint="eastAsia" w:ascii="仿宋" w:hAnsi="仿宋" w:eastAsia="仿宋"/>
          <w:color w:val="auto"/>
          <w:sz w:val="24"/>
          <w:szCs w:val="24"/>
          <w:highlight w:val="none"/>
        </w:rPr>
        <w:t>或城市轨道交通</w:t>
      </w:r>
      <w:r>
        <w:rPr>
          <w:rFonts w:hint="eastAsia" w:ascii="仿宋" w:hAnsi="仿宋" w:eastAsia="仿宋" w:cs="仿宋"/>
          <w:color w:val="auto"/>
          <w:sz w:val="24"/>
          <w:szCs w:val="24"/>
          <w:highlight w:val="none"/>
          <w:lang w:val="en-US" w:eastAsia="zh-CN"/>
        </w:rPr>
        <w:t>）专业甲级资质。</w:t>
      </w:r>
    </w:p>
    <w:p w14:paraId="0AF88CA0">
      <w:pPr>
        <w:pageBreakBefore w:val="0"/>
        <w:widowControl w:val="0"/>
        <w:shd w:val="clea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（提供有效的资质证书复印件并加盖供应商公章）</w:t>
      </w:r>
    </w:p>
    <w:p w14:paraId="4364C9E0">
      <w:pPr>
        <w:pageBreakBefore w:val="0"/>
        <w:widowControl w:val="0"/>
        <w:shd w:val="clear"/>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采购</w:t>
      </w:r>
      <w:r>
        <w:rPr>
          <w:rFonts w:hint="eastAsia" w:ascii="仿宋" w:hAnsi="仿宋" w:eastAsia="仿宋" w:cs="仿宋"/>
          <w:b/>
          <w:bCs/>
          <w:color w:val="auto"/>
          <w:sz w:val="24"/>
          <w:szCs w:val="24"/>
          <w:highlight w:val="none"/>
        </w:rPr>
        <w:t>有关说明</w:t>
      </w:r>
      <w:bookmarkEnd w:id="9"/>
      <w:bookmarkEnd w:id="10"/>
      <w:bookmarkEnd w:id="11"/>
    </w:p>
    <w:p w14:paraId="123605D6">
      <w:pPr>
        <w:pageBreakBefore w:val="0"/>
        <w:shd w:val="clear"/>
        <w:kinsoku/>
        <w:wordWrap/>
        <w:overflowPunct/>
        <w:topLinePunct w:val="0"/>
        <w:autoSpaceDE/>
        <w:autoSpaceDN/>
        <w:bidi w:val="0"/>
        <w:adjustRightInd/>
        <w:spacing w:line="440" w:lineRule="exact"/>
        <w:ind w:right="-168" w:rightChars="-60" w:firstLine="480" w:firstLineChars="200"/>
        <w:jc w:val="left"/>
        <w:textAlignment w:val="auto"/>
        <w:rPr>
          <w:rFonts w:hint="eastAsia" w:ascii="仿宋" w:hAnsi="仿宋" w:eastAsia="仿宋" w:cs="仿宋"/>
          <w:color w:val="auto"/>
          <w:sz w:val="24"/>
          <w:szCs w:val="24"/>
          <w:highlight w:val="none"/>
        </w:rPr>
      </w:pPr>
      <w:bookmarkStart w:id="12" w:name="_Toc403569774"/>
      <w:bookmarkStart w:id="13" w:name="_Toc1606"/>
      <w:bookmarkStart w:id="14" w:name="_Toc6018"/>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需通过重庆市行采家（https://www.gec123.com/）进行注册，登记加入“重庆市政府采购供应商库”。</w:t>
      </w:r>
    </w:p>
    <w:p w14:paraId="37FE0EB0">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（二）凡有意参加投标的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，请在“行采家”（https://www.gec123.com/）采购公</w:t>
      </w:r>
      <w:r>
        <w:rPr>
          <w:rFonts w:hint="eastAsia" w:ascii="仿宋" w:hAnsi="仿宋" w:eastAsia="仿宋" w:cs="仿宋"/>
          <w:color w:val="auto"/>
          <w:sz w:val="24"/>
          <w:szCs w:val="24"/>
          <w:highlight w:val="none"/>
          <w:lang w:val="en-US" w:eastAsia="zh-CN"/>
        </w:rPr>
        <w:t>告发布之日起至提交响应文件截止时间之前自行下载本项目采购文件以及补遗等开标前公布的所有项目资料，无论供应商下载与否，均视为已知晓所有实质性要求内容。</w:t>
      </w:r>
    </w:p>
    <w:p w14:paraId="7E090F39">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5" w:name="_Toc26901"/>
      <w:bookmarkStart w:id="16" w:name="_Toc13746"/>
      <w:bookmarkStart w:id="17" w:name="_Toc27572"/>
      <w:r>
        <w:rPr>
          <w:rFonts w:hint="eastAsia" w:ascii="仿宋" w:hAnsi="仿宋" w:eastAsia="仿宋" w:cs="仿宋"/>
          <w:color w:val="auto"/>
          <w:sz w:val="24"/>
          <w:szCs w:val="24"/>
          <w:highlight w:val="none"/>
          <w:lang w:val="en-US" w:eastAsia="zh-CN"/>
        </w:rPr>
        <w:t>（三）报名及采购文件发售</w:t>
      </w:r>
      <w:bookmarkEnd w:id="15"/>
    </w:p>
    <w:p w14:paraId="5EC5864F">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8" w:name="_Toc32516"/>
      <w:r>
        <w:rPr>
          <w:rFonts w:hint="eastAsia" w:ascii="仿宋" w:hAnsi="仿宋" w:eastAsia="仿宋" w:cs="仿宋"/>
          <w:color w:val="auto"/>
          <w:sz w:val="24"/>
          <w:szCs w:val="24"/>
          <w:highlight w:val="none"/>
          <w:lang w:val="en-US" w:eastAsia="zh-CN"/>
        </w:rPr>
        <w:t>1.报名和采购文件发售期：</w:t>
      </w:r>
      <w:r>
        <w:rPr>
          <w:rFonts w:hint="eastAsia" w:ascii="仿宋" w:hAnsi="仿宋" w:eastAsia="仿宋" w:cs="仿宋"/>
          <w:b/>
          <w:bCs/>
          <w:color w:val="auto"/>
          <w:sz w:val="24"/>
          <w:szCs w:val="24"/>
          <w:highlight w:val="none"/>
          <w:lang w:val="en-US" w:eastAsia="zh-CN"/>
        </w:rPr>
        <w:t>2025年 8 月 25 日-2025年 8 月 28 日17:00</w:t>
      </w:r>
      <w:r>
        <w:rPr>
          <w:rFonts w:hint="eastAsia" w:ascii="仿宋" w:hAnsi="仿宋" w:eastAsia="仿宋" w:cs="仿宋"/>
          <w:color w:val="auto"/>
          <w:sz w:val="24"/>
          <w:szCs w:val="24"/>
          <w:highlight w:val="none"/>
          <w:lang w:val="en-US" w:eastAsia="zh-CN"/>
        </w:rPr>
        <w:t>（工作时间）</w:t>
      </w:r>
      <w:bookmarkEnd w:id="18"/>
      <w:r>
        <w:rPr>
          <w:rFonts w:hint="eastAsia" w:ascii="仿宋" w:hAnsi="仿宋" w:eastAsia="仿宋" w:cs="仿宋"/>
          <w:color w:val="auto"/>
          <w:sz w:val="24"/>
          <w:szCs w:val="24"/>
          <w:highlight w:val="none"/>
          <w:lang w:val="en-US" w:eastAsia="zh-CN"/>
        </w:rPr>
        <w:t>。</w:t>
      </w:r>
    </w:p>
    <w:p w14:paraId="4D9E17B9">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9" w:name="_Toc9421"/>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"mailto:（2）在比选文件发售期内，比选申请人将《比选文件发售登记表》加盖投标人公章鲜章扫描后发送至850742771@qq.com。"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2.在采购文件发售期内，供应商将《采购文件发售登记表》加盖供应商公章扫描后发送至929458254@qq.com。</w:t>
      </w:r>
      <w:r>
        <w:rPr>
          <w:rFonts w:hint="eastAsia" w:ascii="仿宋" w:hAnsi="仿宋" w:eastAsia="仿宋" w:cs="仿宋"/>
          <w:color w:val="auto"/>
          <w:sz w:val="24"/>
          <w:szCs w:val="24"/>
          <w:highlight w:val="none"/>
          <w:lang w:val="en-US" w:eastAsia="zh-CN"/>
        </w:rPr>
        <w:fldChar w:fldCharType="end"/>
      </w:r>
      <w:bookmarkEnd w:id="19"/>
    </w:p>
    <w:p w14:paraId="2594F655">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3.采购文件售价500元/套，在报名和采购文件发售期内报名的供应商，其响应文件才被接受。采购文件购买费用和响应文件一并递交。</w:t>
      </w:r>
    </w:p>
    <w:p w14:paraId="2700C7C4">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（四）响应文件现场递交时间：</w:t>
      </w:r>
      <w:r>
        <w:rPr>
          <w:rFonts w:hint="eastAsia" w:ascii="仿宋" w:hAnsi="仿宋" w:eastAsia="仿宋" w:cs="仿宋"/>
          <w:b/>
          <w:bCs/>
          <w:color w:val="auto"/>
          <w:sz w:val="24"/>
          <w:szCs w:val="24"/>
          <w:highlight w:val="none"/>
          <w:lang w:val="en-US" w:eastAsia="zh-CN"/>
        </w:rPr>
        <w:t>2025年 8 月 29 日北京时间9:30--10:00</w:t>
      </w:r>
      <w:r>
        <w:rPr>
          <w:rFonts w:hint="eastAsia" w:ascii="仿宋" w:hAnsi="仿宋" w:eastAsia="仿宋" w:cs="仿宋"/>
          <w:b/>
          <w:bCs/>
          <w:color w:val="auto"/>
          <w:sz w:val="24"/>
          <w:szCs w:val="24"/>
          <w:highlight w:val="none"/>
          <w:lang w:val="en-US" w:eastAsia="zh-CN"/>
        </w:rPr>
        <w:t>。</w:t>
      </w:r>
    </w:p>
    <w:p w14:paraId="0170C9CA">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（五）响应文件现场递交地点：重庆市南岸区公共资源交易平台（汇南公司）（地址：重庆市南岸区茶园新区广福大道12号行政中心B区2号楼4楼）。</w:t>
      </w:r>
    </w:p>
    <w:p w14:paraId="33DAA6B6">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（六）供应商应按照采购文件要求制作响应文件，现场递交纸质响应文件一式三份，其中正本一份，副本两份，副本可为正本的复印件。如正本与副本不一致，以正本为准。</w:t>
      </w:r>
    </w:p>
    <w:p w14:paraId="09924007">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（七）开标时间：</w:t>
      </w:r>
      <w:r>
        <w:rPr>
          <w:rFonts w:hint="eastAsia" w:ascii="仿宋" w:hAnsi="仿宋" w:eastAsia="仿宋" w:cs="仿宋"/>
          <w:b/>
          <w:bCs/>
          <w:color w:val="auto"/>
          <w:sz w:val="24"/>
          <w:szCs w:val="24"/>
          <w:highlight w:val="none"/>
          <w:lang w:val="en-US" w:eastAsia="zh-CN"/>
        </w:rPr>
        <w:t>2025年 8 月 29 日10:00</w:t>
      </w:r>
      <w:r>
        <w:rPr>
          <w:rFonts w:hint="eastAsia" w:ascii="仿宋" w:hAnsi="仿宋" w:eastAsia="仿宋" w:cs="仿宋"/>
          <w:color w:val="auto"/>
          <w:sz w:val="24"/>
          <w:szCs w:val="24"/>
          <w:highlight w:val="none"/>
          <w:lang w:val="en-US" w:eastAsia="zh-CN"/>
        </w:rPr>
        <w:t>。</w:t>
      </w:r>
    </w:p>
    <w:bookmarkEnd w:id="16"/>
    <w:bookmarkEnd w:id="17"/>
    <w:p w14:paraId="1C1F2A06">
      <w:pPr>
        <w:pageBreakBefore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五、其它有关规定</w:t>
      </w:r>
      <w:bookmarkEnd w:id="12"/>
      <w:bookmarkEnd w:id="13"/>
    </w:p>
    <w:p w14:paraId="3EA2D87A">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（一）单位负责人为同一人或者存在直接控股、管理关系的不同供应商，不得参加同一合同项（分包）下的政府采购活动，否则均为无效响应。</w:t>
      </w:r>
    </w:p>
    <w:p w14:paraId="38C70008">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（二）为采购项目提供整体设计、规范编制或者项目管理、监理、检测等服务的供应商，不得再参加该采购项目的其他采购活动。</w:t>
      </w:r>
    </w:p>
    <w:p w14:paraId="3989FEFE">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（三）本项目的澄清文件（如果有）一律在重庆市行采家（</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"https://www.gec123.com/"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https://www.gec123.com/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）发布，请各供应商注意下载；无论供应商下载与否，均视同供应商已知晓本项目澄清文件（如果有）的内容。</w:t>
      </w:r>
    </w:p>
    <w:p w14:paraId="515130FE">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（四）超过响应文件递交截止时间递交的响应文件，恕不接收。</w:t>
      </w:r>
    </w:p>
    <w:p w14:paraId="0B5DD8FA">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（五）投标费用：无论投标结果如何，供应商参与本项目的所有费用均应由供应商自行承担。</w:t>
      </w:r>
    </w:p>
    <w:p w14:paraId="0AEAF3B6">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（六）本项目不接受联合体参与投标。</w:t>
      </w:r>
    </w:p>
    <w:p w14:paraId="3851989C">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（七）本项目不接受分包。</w:t>
      </w:r>
    </w:p>
    <w:p w14:paraId="3528582E">
      <w:pPr>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B007D19">
      <w:pPr>
        <w:pStyle w:val="4"/>
        <w:pageBreakBefore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、联系方式</w:t>
      </w:r>
      <w:bookmarkEnd w:id="14"/>
    </w:p>
    <w:bookmarkEnd w:id="8"/>
    <w:p w14:paraId="08D766EC">
      <w:pPr>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bookmarkStart w:id="20" w:name="_Toc376349875"/>
      <w:bookmarkStart w:id="21" w:name="_Toc152480141"/>
      <w:bookmarkStart w:id="22" w:name="_Toc102227313"/>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val="en-US" w:eastAsia="zh-CN"/>
        </w:rPr>
        <w:t>重庆市江南城市建设发展（集团）有限公司</w:t>
      </w:r>
    </w:p>
    <w:p w14:paraId="0310E26B">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马老师</w:t>
      </w:r>
    </w:p>
    <w:p w14:paraId="1D50D9D9">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18323732478</w:t>
      </w:r>
    </w:p>
    <w:p w14:paraId="0B64AE72">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重庆市南岸区通江大道米兰路51号电子信息标准厂房2号楼7楼</w:t>
      </w:r>
    </w:p>
    <w:p w14:paraId="4A0F0F56">
      <w:pPr>
        <w:pageBreakBefore w:val="0"/>
        <w:widowControl w:val="0"/>
        <w:shd w:val="clear"/>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sz w:val="24"/>
          <w:szCs w:val="24"/>
          <w:highlight w:val="none"/>
        </w:rPr>
      </w:pPr>
    </w:p>
    <w:p w14:paraId="7DC7B3DA">
      <w:pPr>
        <w:pageBreakBefore w:val="0"/>
        <w:widowControl w:val="0"/>
        <w:shd w:val="clea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（二）采购代理机构：重庆</w:t>
      </w:r>
      <w:r>
        <w:rPr>
          <w:rFonts w:hint="eastAsia" w:ascii="仿宋" w:hAnsi="仿宋" w:eastAsia="仿宋" w:cs="仿宋"/>
          <w:color w:val="auto"/>
          <w:sz w:val="24"/>
          <w:szCs w:val="24"/>
          <w:highlight w:val="none"/>
          <w:lang w:val="en-US" w:eastAsia="zh-CN"/>
        </w:rPr>
        <w:t>普聚</w:t>
      </w:r>
      <w:r>
        <w:rPr>
          <w:rFonts w:hint="eastAsia" w:ascii="仿宋" w:hAnsi="仿宋" w:eastAsia="仿宋" w:cs="仿宋"/>
          <w:color w:val="auto"/>
          <w:sz w:val="24"/>
          <w:szCs w:val="24"/>
          <w:highlight w:val="none"/>
        </w:rPr>
        <w:t>工程咨询有限公司</w:t>
      </w:r>
    </w:p>
    <w:p w14:paraId="43F10051">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刘老师</w:t>
      </w:r>
    </w:p>
    <w:p w14:paraId="0F6BEB80">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023-62482276</w:t>
      </w:r>
    </w:p>
    <w:p w14:paraId="4EDEE9D9">
      <w:pPr>
        <w:pageBreakBefore w:val="0"/>
        <w:widowControl w:val="0"/>
        <w:shd w:val="clear"/>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sectPr>
          <w:footerReference r:id="rId8" w:type="default"/>
          <w:pgSz w:w="11907" w:h="16840"/>
          <w:pgMar w:top="1440" w:right="1080" w:bottom="1440" w:left="1080"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lang w:val="en-US" w:eastAsia="zh-CN"/>
        </w:rPr>
        <w:t>地  址：</w:t>
      </w:r>
      <w:r>
        <w:rPr>
          <w:rFonts w:hint="eastAsia" w:ascii="仿宋" w:hAnsi="仿宋" w:eastAsia="仿宋"/>
          <w:color w:val="auto"/>
          <w:sz w:val="24"/>
          <w:szCs w:val="24"/>
          <w:highlight w:val="none"/>
          <w:lang w:val="zh-TW" w:eastAsia="zh-TW"/>
        </w:rPr>
        <w:t>重庆市</w:t>
      </w:r>
      <w:r>
        <w:rPr>
          <w:rFonts w:hint="eastAsia" w:ascii="仿宋" w:hAnsi="仿宋" w:eastAsia="仿宋"/>
          <w:color w:val="auto"/>
          <w:sz w:val="24"/>
          <w:szCs w:val="24"/>
          <w:highlight w:val="none"/>
          <w:lang w:val="en-US" w:eastAsia="zh-CN"/>
        </w:rPr>
        <w:t>南岸</w:t>
      </w:r>
      <w:r>
        <w:rPr>
          <w:rFonts w:hint="eastAsia" w:ascii="仿宋" w:hAnsi="仿宋" w:eastAsia="仿宋"/>
          <w:color w:val="auto"/>
          <w:sz w:val="24"/>
          <w:szCs w:val="24"/>
          <w:highlight w:val="none"/>
          <w:lang w:val="zh-TW" w:eastAsia="zh-TW"/>
        </w:rPr>
        <w:t>区</w:t>
      </w:r>
      <w:r>
        <w:rPr>
          <w:rFonts w:hint="eastAsia" w:ascii="仿宋" w:hAnsi="仿宋" w:eastAsia="仿宋"/>
          <w:color w:val="auto"/>
          <w:sz w:val="24"/>
          <w:szCs w:val="24"/>
          <w:highlight w:val="none"/>
          <w:lang w:val="en-US" w:eastAsia="zh-CN"/>
        </w:rPr>
        <w:t>南城大道199号17-2号</w:t>
      </w:r>
    </w:p>
    <w:bookmarkEnd w:id="2"/>
    <w:bookmarkEnd w:id="3"/>
    <w:bookmarkEnd w:id="4"/>
    <w:bookmarkEnd w:id="20"/>
    <w:bookmarkEnd w:id="21"/>
    <w:bookmarkEnd w:id="22"/>
    <w:p w14:paraId="40FCFB11">
      <w:pPr>
        <w:pStyle w:val="2"/>
        <w:keepLines w:val="0"/>
        <w:pageBreakBefore w:val="0"/>
        <w:widowControl w:val="0"/>
        <w:numPr>
          <w:ilvl w:val="0"/>
          <w:numId w:val="3"/>
        </w:numPr>
        <w:shd w:val="clear"/>
        <w:kinsoku/>
        <w:wordWrap/>
        <w:overflowPunct/>
        <w:topLinePunct w:val="0"/>
        <w:autoSpaceDE/>
        <w:autoSpaceDN/>
        <w:bidi w:val="0"/>
        <w:adjustRightInd/>
        <w:spacing w:line="360" w:lineRule="auto"/>
        <w:jc w:val="center"/>
        <w:textAlignment w:val="auto"/>
        <w:outlineLvl w:val="0"/>
        <w:rPr>
          <w:rFonts w:hint="eastAsia" w:ascii="仿宋" w:hAnsi="仿宋" w:eastAsia="仿宋" w:cs="仿宋"/>
          <w:b/>
          <w:bCs w:val="0"/>
          <w:color w:val="auto"/>
          <w:sz w:val="32"/>
          <w:szCs w:val="32"/>
          <w:highlight w:val="none"/>
        </w:rPr>
      </w:pPr>
      <w:bookmarkStart w:id="23" w:name="_Toc25630"/>
      <w:bookmarkStart w:id="24" w:name="_Toc6453"/>
      <w:bookmarkStart w:id="25" w:name="_Toc487204778"/>
      <w:bookmarkStart w:id="26" w:name="_Toc128744991"/>
      <w:r>
        <w:rPr>
          <w:rStyle w:val="22"/>
          <w:rFonts w:hint="eastAsia" w:ascii="仿宋" w:hAnsi="仿宋" w:eastAsia="仿宋" w:cs="仿宋"/>
          <w:b/>
          <w:bCs/>
          <w:color w:val="auto"/>
          <w:sz w:val="32"/>
          <w:szCs w:val="32"/>
          <w:highlight w:val="none"/>
        </w:rPr>
        <w:t xml:space="preserve"> </w:t>
      </w:r>
      <w:r>
        <w:rPr>
          <w:rFonts w:hint="eastAsia" w:ascii="仿宋" w:hAnsi="仿宋" w:eastAsia="仿宋" w:cs="仿宋"/>
          <w:b/>
          <w:bCs w:val="0"/>
          <w:color w:val="auto"/>
          <w:sz w:val="32"/>
          <w:szCs w:val="32"/>
          <w:highlight w:val="none"/>
        </w:rPr>
        <w:t xml:space="preserve"> </w:t>
      </w:r>
      <w:bookmarkStart w:id="27" w:name="_Toc21878"/>
      <w:r>
        <w:rPr>
          <w:rFonts w:hint="eastAsia" w:ascii="仿宋" w:hAnsi="仿宋" w:eastAsia="仿宋" w:cs="仿宋"/>
          <w:b/>
          <w:bCs w:val="0"/>
          <w:color w:val="auto"/>
          <w:sz w:val="32"/>
          <w:szCs w:val="32"/>
          <w:highlight w:val="none"/>
        </w:rPr>
        <w:t>项目</w:t>
      </w:r>
      <w:r>
        <w:rPr>
          <w:rFonts w:hint="eastAsia" w:ascii="仿宋" w:hAnsi="仿宋" w:eastAsia="仿宋" w:cs="仿宋"/>
          <w:b/>
          <w:bCs w:val="0"/>
          <w:color w:val="auto"/>
          <w:sz w:val="32"/>
          <w:szCs w:val="32"/>
          <w:highlight w:val="none"/>
          <w:lang w:val="en-US" w:eastAsia="zh-CN"/>
        </w:rPr>
        <w:t>服务</w:t>
      </w:r>
      <w:r>
        <w:rPr>
          <w:rFonts w:hint="eastAsia" w:ascii="仿宋" w:hAnsi="仿宋" w:eastAsia="仿宋" w:cs="仿宋"/>
          <w:b/>
          <w:bCs w:val="0"/>
          <w:color w:val="auto"/>
          <w:sz w:val="32"/>
          <w:szCs w:val="32"/>
          <w:highlight w:val="none"/>
        </w:rPr>
        <w:t>需求</w:t>
      </w:r>
      <w:bookmarkEnd w:id="27"/>
    </w:p>
    <w:bookmarkEnd w:id="23"/>
    <w:p w14:paraId="30B8E928">
      <w:pPr>
        <w:keepLines w:val="0"/>
        <w:pageBreakBefore w:val="0"/>
        <w:widowControl w:val="0"/>
        <w:numPr>
          <w:ilvl w:val="0"/>
          <w:numId w:val="0"/>
        </w:numPr>
        <w:kinsoku/>
        <w:wordWrap/>
        <w:overflowPunct/>
        <w:topLinePunct w:val="0"/>
        <w:autoSpaceDE/>
        <w:autoSpaceDN/>
        <w:bidi w:val="0"/>
        <w:adjustRightInd/>
        <w:snapToGrid w:val="0"/>
        <w:spacing w:line="360" w:lineRule="auto"/>
        <w:ind w:firstLine="240"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一、项目概况介绍</w:t>
      </w:r>
    </w:p>
    <w:p w14:paraId="7033F9FD">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项目为花园路片区老旧小区改造配套基础设施项目一期工程(二标段)，本项目拟对刘家花园、丹景园、嘉本花园、海峡路小区衔接道路进行更新改造（渝南分流道），共分为四段，其中A段为白鹤路、青龙路节点，B段为双龙路、南湖路节点，C段为兰花路节点，D段为兰花路节点以南。本项目基本上全线进入轨道10号线、轨道12号线的结构保护红线内，最高影响等级为特级，故需委托第三方编制单位对轨道安全保护设计专篇进行方案编制工作，</w:t>
      </w:r>
      <w:r>
        <w:rPr>
          <w:rFonts w:hint="eastAsia" w:ascii="仿宋" w:hAnsi="仿宋" w:eastAsia="仿宋"/>
          <w:color w:val="auto"/>
          <w:sz w:val="24"/>
          <w:szCs w:val="24"/>
          <w:highlight w:val="none"/>
        </w:rPr>
        <w:t>旨在确保项目实施过程中减小对轨道相关设施的影响</w:t>
      </w:r>
      <w:r>
        <w:rPr>
          <w:rFonts w:hint="eastAsia" w:ascii="仿宋" w:hAnsi="仿宋" w:eastAsia="仿宋" w:cs="仿宋"/>
          <w:b w:val="0"/>
          <w:bCs w:val="0"/>
          <w:color w:val="auto"/>
          <w:sz w:val="24"/>
          <w:szCs w:val="24"/>
          <w:highlight w:val="none"/>
          <w:u w:val="none"/>
          <w:lang w:val="en-US" w:eastAsia="zh-CN"/>
        </w:rPr>
        <w:t>。工程总投资约6500万元。</w:t>
      </w:r>
    </w:p>
    <w:p w14:paraId="0CD2C898">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二、</w:t>
      </w:r>
      <w:bookmarkStart w:id="28" w:name="_Toc412"/>
      <w:r>
        <w:rPr>
          <w:rFonts w:hint="eastAsia" w:ascii="仿宋" w:hAnsi="仿宋" w:eastAsia="仿宋" w:cs="仿宋"/>
          <w:b/>
          <w:bCs/>
          <w:color w:val="auto"/>
          <w:sz w:val="24"/>
          <w:szCs w:val="24"/>
          <w:highlight w:val="none"/>
          <w:u w:val="none"/>
          <w:lang w:val="en-US" w:eastAsia="zh-CN"/>
        </w:rPr>
        <w:t>方案编制内容、成果要求</w:t>
      </w:r>
    </w:p>
    <w:p w14:paraId="265D1C10">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（一）方案编制内容：开展花园路片区老旧小区改造配套基础设施项目一期工程（二标段）轨道安全保护设计专篇方案编制工作。</w:t>
      </w:r>
    </w:p>
    <w:p w14:paraId="54EFE2F3">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（二）成果要求：方案编制内容、质量满足采购人及行业主管部门的审批要求，包括完成方案编制开展的附属专题研究工作。</w:t>
      </w:r>
    </w:p>
    <w:p w14:paraId="12F11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三</w:t>
      </w:r>
      <w:r>
        <w:rPr>
          <w:rFonts w:hint="eastAsia" w:ascii="仿宋" w:hAnsi="仿宋" w:eastAsia="仿宋" w:cs="仿宋"/>
          <w:b/>
          <w:bCs/>
          <w:color w:val="auto"/>
          <w:sz w:val="24"/>
          <w:szCs w:val="24"/>
          <w:highlight w:val="none"/>
          <w:lang w:val="en-US" w:eastAsia="zh-CN"/>
        </w:rPr>
        <w:t>、其他要求</w:t>
      </w:r>
    </w:p>
    <w:p w14:paraId="7572AC00">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（一）拟派的项目负责人要求：须是供应商本单位人员并具备工程类高级及以上技术职称。</w:t>
      </w:r>
    </w:p>
    <w:p w14:paraId="496BFF6D">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注：须提供拟派项目负责人的职称证、供应商2025年任意一个月为其缴纳的养老保险证明材料复印件（供应商成立日期在2025年8月1日及以后或拟派的服务人员至响应文件递交截止时间入职时间不足1个月，无法提供养老保险证明材料的，可提供供应商与拟派服务人员签订的劳动合同扫描件）并加盖供应商公章。</w:t>
      </w:r>
    </w:p>
    <w:p w14:paraId="71ADB217">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（二）拟派的技术负责人要求：须是供应商本单位人员并具备工程类高级及以上技术职称。</w:t>
      </w:r>
    </w:p>
    <w:p w14:paraId="407CFA81">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注：须提供拟派专业负责人的职称证、供应商2025年任意一个月为其缴纳的养老保险证明材料复印件（供应商成立日期在2025年8月1日及以后或拟派的服务人员至响应文件递交截止时间入职时间不足1个月，无法提供养老保险证明材料的，可提供供应商与拟派服务人员签订的劳动合同扫描件）并加盖供应商公章。</w:t>
      </w:r>
    </w:p>
    <w:p w14:paraId="7FAD0F09">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（三）服务过程中，供应商须在接到采购人通知后2小时内到达指定地点，以利于方案编制工作的推进及持续服务。</w:t>
      </w:r>
    </w:p>
    <w:p w14:paraId="0308141A">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（四）中标后，拟派的项目组人员数量，采购人有权根据项目实际情况进行调整，成交供应商应无条件配合。</w:t>
      </w:r>
    </w:p>
    <w:p w14:paraId="6E5F5932">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（五）成交供应商须无条件接受采购人提出的更换不称职项目组人员的要求，经采购人同意更换的继任人员的执业资格等级不得低于更换前人员的执业资格等级。</w:t>
      </w:r>
    </w:p>
    <w:p w14:paraId="10134E11">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（六）成交供应商须根据采购人要求，对本项目涉及的需保密的信息和事宜严格保密。如采购人有要求，成交供应商须与采购人签订保密协议。</w:t>
      </w:r>
    </w:p>
    <w:p w14:paraId="6DEF0062">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（七）未经采购人同意，成交供应商不得将评估报告中的任何内容用于宣传或发表或其他商业用途。</w:t>
      </w:r>
    </w:p>
    <w:p w14:paraId="672BC550">
      <w:pPr>
        <w:numPr>
          <w:ilvl w:val="0"/>
          <w:numId w:val="0"/>
        </w:numPr>
        <w:snapToGrid w:val="0"/>
        <w:spacing w:line="360" w:lineRule="auto"/>
        <w:rPr>
          <w:rStyle w:val="22"/>
          <w:rFonts w:hint="eastAsia" w:ascii="仿宋" w:hAnsi="仿宋" w:eastAsia="仿宋" w:cs="仿宋"/>
          <w:b/>
          <w:bCs/>
          <w:color w:val="auto"/>
          <w:sz w:val="32"/>
          <w:szCs w:val="32"/>
          <w:highlight w:val="none"/>
        </w:rPr>
      </w:pPr>
      <w:r>
        <w:rPr>
          <w:rFonts w:hint="eastAsia" w:ascii="仿宋" w:hAnsi="仿宋" w:eastAsia="仿宋" w:cs="仿宋"/>
          <w:color w:val="auto"/>
          <w:kern w:val="2"/>
          <w:sz w:val="24"/>
          <w:szCs w:val="24"/>
          <w:highlight w:val="none"/>
          <w:lang w:val="en-US" w:eastAsia="zh-CN" w:bidi="ar-SA"/>
        </w:rPr>
        <w:br w:type="page"/>
      </w:r>
    </w:p>
    <w:p w14:paraId="4FD973E4">
      <w:pPr>
        <w:pageBreakBefore w:val="0"/>
        <w:widowControl w:val="0"/>
        <w:numPr>
          <w:ilvl w:val="0"/>
          <w:numId w:val="0"/>
        </w:numPr>
        <w:kinsoku/>
        <w:wordWrap/>
        <w:overflowPunct/>
        <w:topLinePunct w:val="0"/>
        <w:autoSpaceDE/>
        <w:autoSpaceDN/>
        <w:bidi w:val="0"/>
        <w:adjustRightInd/>
        <w:snapToGrid w:val="0"/>
        <w:spacing w:line="430" w:lineRule="exact"/>
        <w:jc w:val="center"/>
        <w:textAlignment w:val="auto"/>
        <w:rPr>
          <w:rStyle w:val="22"/>
          <w:rFonts w:hint="eastAsia" w:ascii="仿宋" w:hAnsi="仿宋" w:eastAsia="仿宋" w:cs="仿宋"/>
          <w:b/>
          <w:bCs/>
          <w:color w:val="auto"/>
          <w:sz w:val="32"/>
          <w:szCs w:val="32"/>
          <w:highlight w:val="none"/>
        </w:rPr>
      </w:pPr>
      <w:r>
        <w:rPr>
          <w:rStyle w:val="22"/>
          <w:rFonts w:hint="eastAsia" w:ascii="仿宋" w:hAnsi="仿宋" w:eastAsia="仿宋" w:cs="仿宋"/>
          <w:b/>
          <w:bCs/>
          <w:color w:val="auto"/>
          <w:sz w:val="32"/>
          <w:szCs w:val="32"/>
          <w:highlight w:val="none"/>
        </w:rPr>
        <w:t>第</w:t>
      </w:r>
      <w:r>
        <w:rPr>
          <w:rStyle w:val="22"/>
          <w:rFonts w:hint="eastAsia" w:ascii="仿宋" w:hAnsi="仿宋" w:eastAsia="仿宋" w:cs="仿宋"/>
          <w:b/>
          <w:bCs/>
          <w:color w:val="auto"/>
          <w:sz w:val="32"/>
          <w:szCs w:val="32"/>
          <w:highlight w:val="none"/>
          <w:lang w:val="en-US" w:eastAsia="zh-CN"/>
        </w:rPr>
        <w:t>三</w:t>
      </w:r>
      <w:r>
        <w:rPr>
          <w:rStyle w:val="22"/>
          <w:rFonts w:hint="eastAsia" w:ascii="仿宋" w:hAnsi="仿宋" w:eastAsia="仿宋" w:cs="仿宋"/>
          <w:b/>
          <w:bCs/>
          <w:color w:val="auto"/>
          <w:sz w:val="32"/>
          <w:szCs w:val="32"/>
          <w:highlight w:val="none"/>
        </w:rPr>
        <w:t xml:space="preserve">篇  </w:t>
      </w:r>
      <w:r>
        <w:rPr>
          <w:rStyle w:val="22"/>
          <w:rFonts w:hint="eastAsia" w:ascii="仿宋" w:hAnsi="仿宋" w:eastAsia="仿宋" w:cs="仿宋"/>
          <w:b/>
          <w:bCs/>
          <w:color w:val="auto"/>
          <w:sz w:val="32"/>
          <w:szCs w:val="32"/>
          <w:highlight w:val="none"/>
          <w:lang w:val="en-US" w:eastAsia="zh-CN"/>
        </w:rPr>
        <w:t>项目</w:t>
      </w:r>
      <w:r>
        <w:rPr>
          <w:rStyle w:val="22"/>
          <w:rFonts w:hint="eastAsia" w:ascii="仿宋" w:hAnsi="仿宋" w:eastAsia="仿宋" w:cs="仿宋"/>
          <w:b/>
          <w:bCs/>
          <w:color w:val="auto"/>
          <w:sz w:val="32"/>
          <w:szCs w:val="32"/>
          <w:highlight w:val="none"/>
        </w:rPr>
        <w:t>商务要求</w:t>
      </w:r>
      <w:bookmarkEnd w:id="28"/>
    </w:p>
    <w:p w14:paraId="5D7A65FF">
      <w:pPr>
        <w:pStyle w:val="4"/>
        <w:pageBreakBefore w:val="0"/>
        <w:widowControl w:val="0"/>
        <w:kinsoku/>
        <w:wordWrap/>
        <w:overflowPunct/>
        <w:topLinePunct w:val="0"/>
        <w:autoSpaceDE/>
        <w:autoSpaceDN/>
        <w:bidi w:val="0"/>
        <w:adjustRightInd/>
        <w:spacing w:before="0" w:after="0" w:line="430" w:lineRule="exact"/>
        <w:textAlignment w:val="auto"/>
        <w:rPr>
          <w:rFonts w:hint="eastAsia" w:ascii="仿宋" w:hAnsi="仿宋" w:eastAsia="仿宋" w:cs="仿宋"/>
          <w:color w:val="auto"/>
          <w:sz w:val="24"/>
          <w:szCs w:val="24"/>
          <w:highlight w:val="none"/>
        </w:rPr>
      </w:pPr>
      <w:bookmarkStart w:id="29" w:name="_Toc15856"/>
      <w:bookmarkStart w:id="30" w:name="_Toc344475120"/>
      <w:bookmarkStart w:id="31" w:name="_Toc29474"/>
      <w:bookmarkStart w:id="32" w:name="_Toc487204789"/>
      <w:r>
        <w:rPr>
          <w:rFonts w:hint="eastAsia" w:ascii="仿宋" w:hAnsi="仿宋" w:eastAsia="仿宋" w:cs="仿宋"/>
          <w:color w:val="auto"/>
          <w:sz w:val="24"/>
          <w:szCs w:val="24"/>
          <w:highlight w:val="none"/>
        </w:rPr>
        <w:t>一、服务期、服务地点及验收方式</w:t>
      </w:r>
      <w:bookmarkEnd w:id="29"/>
      <w:bookmarkEnd w:id="30"/>
      <w:bookmarkEnd w:id="31"/>
      <w:bookmarkEnd w:id="32"/>
      <w:bookmarkStart w:id="33" w:name="_Toc16020"/>
      <w:bookmarkStart w:id="34" w:name="_Toc12056"/>
    </w:p>
    <w:p w14:paraId="05F1AA5C">
      <w:pPr>
        <w:pStyle w:val="4"/>
        <w:pageBreakBefore w:val="0"/>
        <w:widowControl w:val="0"/>
        <w:numPr>
          <w:ilvl w:val="0"/>
          <w:numId w:val="4"/>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5" w:name="_Toc31453"/>
      <w:r>
        <w:rPr>
          <w:rFonts w:hint="eastAsia" w:ascii="仿宋" w:hAnsi="仿宋" w:eastAsia="仿宋" w:cs="仿宋"/>
          <w:b w:val="0"/>
          <w:bCs w:val="0"/>
          <w:color w:val="auto"/>
          <w:sz w:val="24"/>
          <w:szCs w:val="24"/>
          <w:highlight w:val="none"/>
        </w:rPr>
        <w:t>服务期：</w:t>
      </w:r>
      <w:bookmarkEnd w:id="35"/>
      <w:r>
        <w:rPr>
          <w:rFonts w:hint="eastAsia" w:ascii="仿宋" w:hAnsi="仿宋" w:eastAsia="仿宋" w:cs="仿宋"/>
          <w:b w:val="0"/>
          <w:bCs w:val="0"/>
          <w:color w:val="auto"/>
          <w:sz w:val="24"/>
          <w:szCs w:val="24"/>
          <w:highlight w:val="none"/>
        </w:rPr>
        <w:t>以采购人要求为准。</w:t>
      </w:r>
      <w:r>
        <w:rPr>
          <w:rFonts w:hint="eastAsia" w:ascii="仿宋" w:hAnsi="仿宋" w:eastAsia="仿宋" w:cs="仿宋"/>
          <w:b w:val="0"/>
          <w:bCs w:val="0"/>
          <w:color w:val="auto"/>
          <w:sz w:val="24"/>
          <w:szCs w:val="24"/>
          <w:highlight w:val="none"/>
          <w:lang w:val="en-US" w:eastAsia="zh-CN"/>
        </w:rPr>
        <w:t xml:space="preserve"> </w:t>
      </w:r>
    </w:p>
    <w:p w14:paraId="1538C0EA">
      <w:pPr>
        <w:pStyle w:val="4"/>
        <w:pageBreakBefore w:val="0"/>
        <w:widowControl w:val="0"/>
        <w:numPr>
          <w:ilvl w:val="0"/>
          <w:numId w:val="4"/>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服务地点：采购人指定地点。</w:t>
      </w:r>
    </w:p>
    <w:p w14:paraId="4CD79288">
      <w:pPr>
        <w:pStyle w:val="4"/>
        <w:pageBreakBefore w:val="0"/>
        <w:widowControl w:val="0"/>
        <w:numPr>
          <w:ilvl w:val="0"/>
          <w:numId w:val="4"/>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验收方式：由采购人自行组织验收，完成本建设内容范围内的轨道方案编制工作，最终提交的《轨道方案编制报告》须通过轨道主管部门的批复。</w:t>
      </w:r>
    </w:p>
    <w:p w14:paraId="52E94788">
      <w:pPr>
        <w:pStyle w:val="4"/>
        <w:pageBreakBefore w:val="0"/>
        <w:widowControl w:val="0"/>
        <w:numPr>
          <w:ilvl w:val="0"/>
          <w:numId w:val="0"/>
        </w:numPr>
        <w:kinsoku/>
        <w:wordWrap/>
        <w:overflowPunct/>
        <w:topLinePunct w:val="0"/>
        <w:autoSpaceDE/>
        <w:autoSpaceDN/>
        <w:bidi w:val="0"/>
        <w:adjustRightInd/>
        <w:spacing w:before="0" w:after="0" w:line="430" w:lineRule="exact"/>
        <w:textAlignment w:val="auto"/>
        <w:rPr>
          <w:rFonts w:hint="eastAsia" w:ascii="仿宋" w:hAnsi="仿宋" w:eastAsia="仿宋" w:cs="仿宋"/>
          <w:b/>
          <w:bCs/>
          <w:color w:val="auto"/>
          <w:sz w:val="24"/>
          <w:szCs w:val="24"/>
          <w:highlight w:val="none"/>
          <w:lang w:val="en-US" w:eastAsia="zh-CN"/>
        </w:rPr>
      </w:pPr>
      <w:bookmarkStart w:id="36" w:name="_Toc8393"/>
      <w:r>
        <w:rPr>
          <w:rFonts w:hint="eastAsia" w:ascii="仿宋" w:hAnsi="仿宋" w:eastAsia="仿宋" w:cs="仿宋"/>
          <w:b/>
          <w:bCs/>
          <w:color w:val="auto"/>
          <w:sz w:val="24"/>
          <w:szCs w:val="24"/>
          <w:highlight w:val="none"/>
          <w:lang w:val="en-US" w:eastAsia="zh-CN"/>
        </w:rPr>
        <w:t>二、报价要求</w:t>
      </w:r>
      <w:bookmarkEnd w:id="33"/>
      <w:bookmarkEnd w:id="34"/>
      <w:bookmarkEnd w:id="36"/>
    </w:p>
    <w:p w14:paraId="74B83CF5">
      <w:pPr>
        <w:pStyle w:val="4"/>
        <w:pageBreakBefore w:val="0"/>
        <w:widowControl w:val="0"/>
        <w:numPr>
          <w:ilvl w:val="0"/>
          <w:numId w:val="5"/>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7" w:name="_Toc24490"/>
      <w:bookmarkStart w:id="38" w:name="_Toc16798"/>
      <w:r>
        <w:rPr>
          <w:rFonts w:hint="eastAsia" w:ascii="仿宋" w:hAnsi="仿宋" w:eastAsia="仿宋" w:cs="仿宋"/>
          <w:b w:val="0"/>
          <w:bCs w:val="0"/>
          <w:color w:val="auto"/>
          <w:sz w:val="24"/>
          <w:szCs w:val="24"/>
          <w:highlight w:val="none"/>
          <w:lang w:val="en-US" w:eastAsia="zh-CN"/>
        </w:rPr>
        <w:t>本次报价须为人民币报价，报价包括但不限于完成本项目所需的人工费、材料费、设计费、后续配合服务、提交采购人所需资料等的直接费、间接费、利润、规费、税金、措施费、风险费、管理费等所有费用，因成交供应商自身原因造成漏报、少报皆由其自行承担责任，采购人不再补偿。</w:t>
      </w:r>
    </w:p>
    <w:p w14:paraId="11C9846C">
      <w:pPr>
        <w:pStyle w:val="4"/>
        <w:pageBreakBefore w:val="0"/>
        <w:widowControl w:val="0"/>
        <w:numPr>
          <w:ilvl w:val="0"/>
          <w:numId w:val="0"/>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（二）本项目投标总报价最高限价为477540.00元（大写：肆拾柒万柒仟伍佰肆拾元整），供应商在报价时不得超过最高限价，否则评审小组作无效响应处理。</w:t>
      </w:r>
    </w:p>
    <w:p w14:paraId="4ADA51B5">
      <w:pPr>
        <w:pageBreakBefore w:val="0"/>
        <w:widowControl w:val="0"/>
        <w:kinsoku/>
        <w:wordWrap/>
        <w:overflowPunct/>
        <w:topLinePunct w:val="0"/>
        <w:autoSpaceDE/>
        <w:autoSpaceDN/>
        <w:bidi w:val="0"/>
        <w:adjustRightInd/>
        <w:spacing w:line="43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三、付款方式</w:t>
      </w:r>
      <w:bookmarkEnd w:id="37"/>
      <w:bookmarkEnd w:id="38"/>
    </w:p>
    <w:p w14:paraId="4F2635A7">
      <w:pPr>
        <w:pStyle w:val="4"/>
        <w:pageBreakBefore w:val="0"/>
        <w:widowControl w:val="0"/>
        <w:numPr>
          <w:ilvl w:val="0"/>
          <w:numId w:val="0"/>
        </w:numPr>
        <w:kinsoku/>
        <w:wordWrap/>
        <w:overflowPunct/>
        <w:topLinePunct w:val="0"/>
        <w:autoSpaceDE/>
        <w:autoSpaceDN/>
        <w:bidi w:val="0"/>
        <w:adjustRightInd/>
        <w:spacing w:before="0" w:after="0" w:line="430" w:lineRule="exact"/>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9" w:name="_Toc25777"/>
      <w:bookmarkStart w:id="40" w:name="_Toc20665"/>
      <w:r>
        <w:rPr>
          <w:rFonts w:hint="eastAsia" w:ascii="仿宋" w:hAnsi="仿宋" w:eastAsia="仿宋" w:cs="仿宋"/>
          <w:b w:val="0"/>
          <w:bCs w:val="0"/>
          <w:color w:val="auto"/>
          <w:sz w:val="24"/>
          <w:szCs w:val="24"/>
          <w:highlight w:val="none"/>
          <w:lang w:val="en-US" w:eastAsia="zh-CN"/>
        </w:rPr>
        <w:t>（一）成交供应商按合同完成所有工作，提交正式轨道方案编制报告并通过轨道主管部门的批复后，采购人支付合同金额的100%。</w:t>
      </w:r>
    </w:p>
    <w:p w14:paraId="63957C79">
      <w:pPr>
        <w:pStyle w:val="4"/>
        <w:pageBreakBefore w:val="0"/>
        <w:widowControl w:val="0"/>
        <w:numPr>
          <w:ilvl w:val="0"/>
          <w:numId w:val="0"/>
        </w:numPr>
        <w:kinsoku/>
        <w:wordWrap/>
        <w:overflowPunct/>
        <w:topLinePunct w:val="0"/>
        <w:autoSpaceDE/>
        <w:autoSpaceDN/>
        <w:bidi w:val="0"/>
        <w:adjustRightInd/>
        <w:spacing w:before="0" w:after="0" w:line="430" w:lineRule="exact"/>
        <w:ind w:firstLine="480" w:firstLineChars="200"/>
        <w:textAlignment w:val="auto"/>
        <w:rPr>
          <w:rStyle w:val="23"/>
          <w:rFonts w:hint="default" w:ascii="仿宋" w:hAnsi="仿宋" w:eastAsia="仿宋" w:cs="仿宋"/>
          <w:color w:val="auto"/>
          <w:szCs w:val="24"/>
          <w:highlight w:val="none"/>
          <w:lang w:val="en-US" w:eastAsia="zh-CN"/>
        </w:rPr>
      </w:pPr>
      <w:r>
        <w:rPr>
          <w:rFonts w:hint="eastAsia" w:ascii="仿宋" w:hAnsi="仿宋" w:eastAsia="仿宋" w:cs="仿宋"/>
          <w:b w:val="0"/>
          <w:bCs w:val="0"/>
          <w:color w:val="auto"/>
          <w:sz w:val="24"/>
          <w:szCs w:val="24"/>
          <w:highlight w:val="none"/>
          <w:lang w:val="en-US" w:eastAsia="zh-CN"/>
        </w:rPr>
        <w:t>（二）每次付款前，成交供应商须向采购人提供等额有效的增值税专用发票。未足额提供发票的，采购人有权拒绝付款。</w:t>
      </w:r>
    </w:p>
    <w:p w14:paraId="715285E2">
      <w:pPr>
        <w:pageBreakBefore w:val="0"/>
        <w:widowControl w:val="0"/>
        <w:shd w:val="clear"/>
        <w:kinsoku/>
        <w:wordWrap/>
        <w:overflowPunct/>
        <w:topLinePunct w:val="0"/>
        <w:autoSpaceDE/>
        <w:autoSpaceDN/>
        <w:bidi w:val="0"/>
        <w:adjustRightInd/>
        <w:snapToGrid w:val="0"/>
        <w:spacing w:line="430" w:lineRule="exact"/>
        <w:textAlignment w:val="auto"/>
        <w:rPr>
          <w:rStyle w:val="23"/>
          <w:rFonts w:hint="eastAsia" w:ascii="仿宋" w:hAnsi="仿宋" w:eastAsia="仿宋" w:cs="仿宋"/>
          <w:b/>
          <w:bCs/>
          <w:color w:val="auto"/>
          <w:szCs w:val="24"/>
          <w:highlight w:val="none"/>
          <w:lang w:val="en-US" w:eastAsia="zh-CN"/>
        </w:rPr>
      </w:pPr>
      <w:r>
        <w:rPr>
          <w:rStyle w:val="23"/>
          <w:rFonts w:hint="eastAsia" w:ascii="仿宋" w:hAnsi="仿宋" w:eastAsia="仿宋" w:cs="仿宋"/>
          <w:b/>
          <w:bCs/>
          <w:color w:val="auto"/>
          <w:szCs w:val="24"/>
          <w:highlight w:val="none"/>
          <w:lang w:val="en-US" w:eastAsia="zh-CN"/>
        </w:rPr>
        <w:t>四、转包、分包</w:t>
      </w:r>
    </w:p>
    <w:p w14:paraId="37F90E0F">
      <w:pPr>
        <w:pageBreakBefore w:val="0"/>
        <w:widowControl w:val="0"/>
        <w:shd w:val="clear"/>
        <w:kinsoku/>
        <w:wordWrap/>
        <w:overflowPunct/>
        <w:topLinePunct w:val="0"/>
        <w:autoSpaceDE/>
        <w:autoSpaceDN/>
        <w:bidi w:val="0"/>
        <w:adjustRightInd/>
        <w:snapToGrid w:val="0"/>
        <w:spacing w:line="430" w:lineRule="exact"/>
        <w:ind w:firstLine="420"/>
        <w:textAlignment w:val="auto"/>
        <w:rPr>
          <w:rFonts w:hint="eastAsia" w:ascii="仿宋" w:hAnsi="仿宋" w:eastAsia="仿宋" w:cs="仿宋"/>
          <w:color w:val="auto"/>
          <w:sz w:val="24"/>
          <w:szCs w:val="24"/>
          <w:highlight w:val="none"/>
          <w:lang w:val="en-US" w:eastAsia="zh-CN"/>
        </w:rPr>
      </w:pPr>
      <w:r>
        <w:rPr>
          <w:rStyle w:val="23"/>
          <w:rFonts w:hint="eastAsia" w:ascii="仿宋" w:hAnsi="仿宋" w:eastAsia="仿宋" w:cs="仿宋"/>
          <w:color w:val="auto"/>
          <w:szCs w:val="24"/>
          <w:highlight w:val="none"/>
          <w:lang w:val="en-US" w:eastAsia="zh-CN"/>
        </w:rPr>
        <w:t>成交供应商未经采购人书</w:t>
      </w:r>
      <w:r>
        <w:rPr>
          <w:rFonts w:hint="eastAsia" w:ascii="仿宋" w:hAnsi="仿宋" w:eastAsia="仿宋" w:cs="仿宋"/>
          <w:b w:val="0"/>
          <w:bCs w:val="0"/>
          <w:color w:val="auto"/>
          <w:kern w:val="2"/>
          <w:sz w:val="24"/>
          <w:szCs w:val="24"/>
          <w:highlight w:val="none"/>
          <w:lang w:val="en-US" w:eastAsia="zh-CN" w:bidi="ar-SA"/>
        </w:rPr>
        <w:t>面同意，不得将项目分包、转包给第三方，如成交供应商将本项目分包、转包给第三方的，采购人有权解除合同，同时采购人有权要求成交供应商支付违约金，因此给采购人造成的损失应由成交供应商承担赔偿责任。</w:t>
      </w:r>
    </w:p>
    <w:p w14:paraId="332A08BB">
      <w:pPr>
        <w:pStyle w:val="4"/>
        <w:pageBreakBefore w:val="0"/>
        <w:widowControl w:val="0"/>
        <w:kinsoku/>
        <w:wordWrap/>
        <w:overflowPunct/>
        <w:topLinePunct w:val="0"/>
        <w:autoSpaceDE/>
        <w:autoSpaceDN/>
        <w:bidi w:val="0"/>
        <w:adjustRightInd/>
        <w:spacing w:before="0" w:after="0" w:line="43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五、知识产权</w:t>
      </w:r>
      <w:bookmarkEnd w:id="39"/>
    </w:p>
    <w:p w14:paraId="443479A4">
      <w:pPr>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2668BE1">
      <w:pPr>
        <w:pageBreakBefore w:val="0"/>
        <w:widowControl w:val="0"/>
        <w:kinsoku/>
        <w:wordWrap/>
        <w:overflowPunct/>
        <w:topLinePunct w:val="0"/>
        <w:autoSpaceDE/>
        <w:autoSpaceDN/>
        <w:bidi w:val="0"/>
        <w:adjustRightInd/>
        <w:spacing w:line="43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、其他</w:t>
      </w:r>
      <w:bookmarkEnd w:id="40"/>
    </w:p>
    <w:p w14:paraId="5A8F2972">
      <w:pPr>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供应商必须在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文件中对以上条款和服务承诺明确列出，承诺内容必须达到本篇及</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其他条款的要求。</w:t>
      </w:r>
    </w:p>
    <w:p w14:paraId="33F6CE22">
      <w:pPr>
        <w:pageBreakBefore w:val="0"/>
        <w:widowControl w:val="0"/>
        <w:kinsoku/>
        <w:wordWrap/>
        <w:overflowPunct/>
        <w:topLinePunct w:val="0"/>
        <w:autoSpaceDE/>
        <w:autoSpaceDN/>
        <w:bidi w:val="0"/>
        <w:adjustRightInd/>
        <w:spacing w:line="43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其他未尽事宜由供需双方在采购合同中详细约定。</w:t>
      </w:r>
      <w:bookmarkStart w:id="41" w:name="_Toc27973"/>
    </w:p>
    <w:p w14:paraId="28C7D1F3">
      <w:pP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br w:type="page"/>
      </w:r>
    </w:p>
    <w:p w14:paraId="6A7379D2">
      <w:pPr>
        <w:pStyle w:val="3"/>
        <w:numPr>
          <w:ilvl w:val="0"/>
          <w:numId w:val="6"/>
        </w:numPr>
        <w:ind w:left="-280" w:leftChars="-100" w:firstLine="560" w:firstLineChars="175"/>
        <w:jc w:val="center"/>
        <w:rPr>
          <w:rStyle w:val="22"/>
          <w:rFonts w:hint="eastAsia" w:ascii="仿宋" w:hAnsi="仿宋" w:eastAsia="仿宋" w:cs="仿宋"/>
          <w:b/>
          <w:bCs/>
          <w:color w:val="auto"/>
          <w:sz w:val="32"/>
          <w:szCs w:val="32"/>
          <w:highlight w:val="none"/>
          <w:lang w:val="en-US" w:eastAsia="zh-CN"/>
        </w:rPr>
      </w:pPr>
      <w:r>
        <w:rPr>
          <w:rStyle w:val="22"/>
          <w:rFonts w:hint="eastAsia" w:ascii="仿宋" w:hAnsi="仿宋" w:eastAsia="仿宋" w:cs="仿宋"/>
          <w:b/>
          <w:bCs/>
          <w:color w:val="auto"/>
          <w:sz w:val="32"/>
          <w:szCs w:val="32"/>
          <w:highlight w:val="none"/>
          <w:lang w:val="en-US" w:eastAsia="zh-CN"/>
        </w:rPr>
        <w:t>资格审查及评标办法</w:t>
      </w:r>
      <w:bookmarkEnd w:id="41"/>
    </w:p>
    <w:p w14:paraId="56DC9C34">
      <w:pPr>
        <w:pageBreakBefore w:val="0"/>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资格性符合性检查</w:t>
      </w:r>
    </w:p>
    <w:p w14:paraId="68AEBD4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资格性检查。依据法律法规和</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的规定，对响应文件中的资格证明等进行审查，以确定供应商是否具备</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资格。资格性检查资料表如下：</w:t>
      </w:r>
    </w:p>
    <w:tbl>
      <w:tblPr>
        <w:tblStyle w:val="17"/>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47"/>
        <w:gridCol w:w="3497"/>
        <w:gridCol w:w="4801"/>
      </w:tblGrid>
      <w:tr w14:paraId="5E99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19DFF4F6">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noWrap w:val="0"/>
            <w:vAlign w:val="center"/>
          </w:tcPr>
          <w:p w14:paraId="34EBF61C">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noWrap w:val="0"/>
            <w:vAlign w:val="center"/>
          </w:tcPr>
          <w:p w14:paraId="0EA61CA8">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19A9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Merge w:val="restart"/>
            <w:noWrap w:val="0"/>
            <w:vAlign w:val="center"/>
          </w:tcPr>
          <w:p w14:paraId="50BB5DE7">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47" w:type="dxa"/>
            <w:vMerge w:val="restart"/>
            <w:noWrap w:val="0"/>
            <w:vAlign w:val="center"/>
          </w:tcPr>
          <w:p w14:paraId="3B01FE9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497" w:type="dxa"/>
            <w:noWrap w:val="0"/>
            <w:vAlign w:val="center"/>
          </w:tcPr>
          <w:p w14:paraId="1A5D690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noWrap w:val="0"/>
            <w:vAlign w:val="center"/>
          </w:tcPr>
          <w:p w14:paraId="5F21852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w:t>
            </w:r>
            <w:r>
              <w:rPr>
                <w:rFonts w:hint="eastAsia" w:ascii="仿宋" w:hAnsi="仿宋" w:eastAsia="仿宋" w:cs="仿宋"/>
                <w:color w:val="auto"/>
                <w:sz w:val="24"/>
                <w:szCs w:val="24"/>
                <w:highlight w:val="none"/>
                <w:lang w:val="en-US" w:eastAsia="zh-CN"/>
              </w:rPr>
              <w:t>正本</w:t>
            </w:r>
            <w:r>
              <w:rPr>
                <w:rFonts w:hint="eastAsia" w:ascii="仿宋" w:hAnsi="仿宋" w:eastAsia="仿宋" w:cs="仿宋"/>
                <w:color w:val="auto"/>
                <w:sz w:val="24"/>
                <w:szCs w:val="24"/>
                <w:highlight w:val="none"/>
              </w:rPr>
              <w:t>）或个体工商户营业执照或有效的自然人身份证明、组织机构代码证复印件（注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6AC0F91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313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57" w:type="dxa"/>
            <w:vMerge w:val="continue"/>
            <w:noWrap w:val="0"/>
            <w:vAlign w:val="center"/>
          </w:tcPr>
          <w:p w14:paraId="2C605F5D">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13E96537">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56C99E2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noWrap w:val="0"/>
            <w:vAlign w:val="center"/>
          </w:tcPr>
          <w:p w14:paraId="2E5D9E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w:t>
            </w:r>
            <w:r>
              <w:rPr>
                <w:rFonts w:hint="eastAsia" w:ascii="仿宋" w:hAnsi="仿宋" w:eastAsia="仿宋" w:cs="仿宋"/>
                <w:color w:val="auto"/>
                <w:sz w:val="24"/>
                <w:szCs w:val="24"/>
                <w:highlight w:val="none"/>
                <w:lang w:val="en-US" w:eastAsia="zh-CN"/>
              </w:rPr>
              <w:t>基本承诺函</w:t>
            </w:r>
            <w:r>
              <w:rPr>
                <w:rFonts w:hint="eastAsia" w:ascii="仿宋" w:hAnsi="仿宋" w:eastAsia="仿宋" w:cs="仿宋"/>
                <w:color w:val="auto"/>
                <w:sz w:val="24"/>
                <w:szCs w:val="24"/>
                <w:highlight w:val="none"/>
              </w:rPr>
              <w:t>（见格式文件）</w:t>
            </w:r>
          </w:p>
        </w:tc>
      </w:tr>
      <w:tr w14:paraId="09DF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7" w:type="dxa"/>
            <w:vMerge w:val="continue"/>
            <w:noWrap w:val="0"/>
            <w:vAlign w:val="center"/>
          </w:tcPr>
          <w:p w14:paraId="133426EF">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4538F05E">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5C44D77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noWrap w:val="0"/>
            <w:vAlign w:val="center"/>
          </w:tcPr>
          <w:p w14:paraId="3DFF419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210C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7" w:type="dxa"/>
            <w:vMerge w:val="continue"/>
            <w:noWrap w:val="0"/>
            <w:vAlign w:val="center"/>
          </w:tcPr>
          <w:p w14:paraId="431A6C2C">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554F1AC7">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6D6D0C9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noWrap w:val="0"/>
            <w:vAlign w:val="center"/>
          </w:tcPr>
          <w:p w14:paraId="732D3A2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792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57" w:type="dxa"/>
            <w:vMerge w:val="continue"/>
            <w:noWrap w:val="0"/>
            <w:vAlign w:val="center"/>
          </w:tcPr>
          <w:p w14:paraId="6476DF02">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p>
        </w:tc>
        <w:tc>
          <w:tcPr>
            <w:tcW w:w="747" w:type="dxa"/>
            <w:vMerge w:val="continue"/>
            <w:noWrap w:val="0"/>
            <w:vAlign w:val="center"/>
          </w:tcPr>
          <w:p w14:paraId="6AD9BA0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p>
        </w:tc>
        <w:tc>
          <w:tcPr>
            <w:tcW w:w="3497" w:type="dxa"/>
            <w:noWrap w:val="0"/>
            <w:vAlign w:val="center"/>
          </w:tcPr>
          <w:p w14:paraId="2A3492D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noWrap w:val="0"/>
            <w:vAlign w:val="center"/>
          </w:tcPr>
          <w:p w14:paraId="679066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p>
        </w:tc>
      </w:tr>
      <w:tr w14:paraId="39CA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7" w:type="dxa"/>
            <w:vMerge w:val="continue"/>
            <w:noWrap w:val="0"/>
            <w:vAlign w:val="center"/>
          </w:tcPr>
          <w:p w14:paraId="14637901">
            <w:pPr>
              <w:keepNext/>
              <w:keepLines/>
              <w:pageBreakBefore w:val="0"/>
              <w:kinsoku/>
              <w:wordWrap/>
              <w:overflowPunct/>
              <w:topLinePunct w:val="0"/>
              <w:autoSpaceDE/>
              <w:autoSpaceDN/>
              <w:bidi w:val="0"/>
              <w:adjustRightInd/>
              <w:spacing w:before="260" w:after="260" w:line="420" w:lineRule="exact"/>
              <w:jc w:val="center"/>
              <w:textAlignment w:val="auto"/>
              <w:outlineLvl w:val="2"/>
              <w:rPr>
                <w:rFonts w:hint="eastAsia" w:ascii="仿宋" w:hAnsi="仿宋" w:eastAsia="仿宋" w:cs="仿宋"/>
                <w:color w:val="auto"/>
                <w:sz w:val="24"/>
                <w:szCs w:val="24"/>
                <w:highlight w:val="none"/>
              </w:rPr>
            </w:pPr>
          </w:p>
        </w:tc>
        <w:tc>
          <w:tcPr>
            <w:tcW w:w="747" w:type="dxa"/>
            <w:vMerge w:val="continue"/>
            <w:noWrap w:val="0"/>
            <w:vAlign w:val="center"/>
          </w:tcPr>
          <w:p w14:paraId="1FCDEA4B">
            <w:pPr>
              <w:keepNext w:val="0"/>
              <w:keepLines w:val="0"/>
              <w:pageBreakBefore w:val="0"/>
              <w:widowControl w:val="0"/>
              <w:kinsoku/>
              <w:wordWrap/>
              <w:overflowPunct/>
              <w:topLinePunct w:val="0"/>
              <w:autoSpaceDE/>
              <w:autoSpaceDN/>
              <w:bidi w:val="0"/>
              <w:adjustRightInd/>
              <w:snapToGrid w:val="0"/>
              <w:spacing w:before="260" w:after="260" w:line="240" w:lineRule="auto"/>
              <w:jc w:val="both"/>
              <w:textAlignment w:val="auto"/>
              <w:outlineLvl w:val="2"/>
              <w:rPr>
                <w:rFonts w:hint="eastAsia" w:ascii="仿宋" w:hAnsi="仿宋" w:eastAsia="仿宋" w:cs="仿宋"/>
                <w:color w:val="auto"/>
                <w:sz w:val="24"/>
                <w:szCs w:val="24"/>
                <w:highlight w:val="none"/>
                <w:lang w:val="zh-CN"/>
              </w:rPr>
            </w:pPr>
          </w:p>
        </w:tc>
        <w:tc>
          <w:tcPr>
            <w:tcW w:w="3497" w:type="dxa"/>
            <w:noWrap w:val="0"/>
            <w:vAlign w:val="center"/>
          </w:tcPr>
          <w:p w14:paraId="0757424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noWrap w:val="0"/>
            <w:vAlign w:val="center"/>
          </w:tcPr>
          <w:p w14:paraId="0B1908D8">
            <w:pPr>
              <w:keepNext w:val="0"/>
              <w:keepLines w:val="0"/>
              <w:pageBreakBefore w:val="0"/>
              <w:widowControl w:val="0"/>
              <w:kinsoku/>
              <w:wordWrap/>
              <w:overflowPunct/>
              <w:topLinePunct w:val="0"/>
              <w:autoSpaceDE/>
              <w:autoSpaceDN/>
              <w:bidi w:val="0"/>
              <w:adjustRightInd/>
              <w:snapToGrid w:val="0"/>
              <w:spacing w:before="260" w:after="260" w:line="240" w:lineRule="auto"/>
              <w:jc w:val="center"/>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4A4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57" w:type="dxa"/>
            <w:noWrap w:val="0"/>
            <w:vAlign w:val="center"/>
          </w:tcPr>
          <w:p w14:paraId="6C71C0DD">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noWrap w:val="0"/>
            <w:vAlign w:val="center"/>
          </w:tcPr>
          <w:p w14:paraId="096B7869">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noWrap w:val="0"/>
            <w:vAlign w:val="center"/>
          </w:tcPr>
          <w:p w14:paraId="30F74C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bookmarkStart w:id="42" w:name="_Toc13413"/>
            <w:bookmarkStart w:id="43" w:name="_Toc11965"/>
            <w:r>
              <w:rPr>
                <w:rFonts w:hint="eastAsia" w:ascii="仿宋" w:hAnsi="仿宋" w:eastAsia="仿宋" w:cs="仿宋"/>
                <w:color w:val="auto"/>
                <w:sz w:val="24"/>
                <w:szCs w:val="24"/>
                <w:highlight w:val="none"/>
              </w:rPr>
              <w:t>按第一篇“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资格要求（二）特定资格条件”的要求提交证明文件（如有）。</w:t>
            </w:r>
            <w:bookmarkEnd w:id="42"/>
            <w:bookmarkEnd w:id="43"/>
          </w:p>
        </w:tc>
      </w:tr>
    </w:tbl>
    <w:p w14:paraId="587DD23C">
      <w:pPr>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469669F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6B08A1B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2"/>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B49CD1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符合性检查。依据</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的规定，从响应文件的有效性、完整性和对</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的响应程度进行审查，以确定是否对</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的实质性要求作出响应。符合性检查资料表如下：</w:t>
      </w:r>
    </w:p>
    <w:tbl>
      <w:tblPr>
        <w:tblStyle w:val="17"/>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21"/>
        <w:gridCol w:w="1812"/>
        <w:gridCol w:w="5870"/>
      </w:tblGrid>
      <w:tr w14:paraId="787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0B1F6705">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33" w:type="dxa"/>
            <w:gridSpan w:val="2"/>
            <w:tcBorders>
              <w:top w:val="single" w:color="auto" w:sz="4" w:space="0"/>
              <w:left w:val="single" w:color="auto" w:sz="4" w:space="0"/>
              <w:bottom w:val="single" w:color="auto" w:sz="4" w:space="0"/>
              <w:right w:val="single" w:color="auto" w:sz="4" w:space="0"/>
            </w:tcBorders>
            <w:noWrap w:val="0"/>
            <w:vAlign w:val="center"/>
          </w:tcPr>
          <w:p w14:paraId="662D3910">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2AE1BE93">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93B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14:paraId="1E7797EF">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08090476">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04249D23">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2EF69C84">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响应文件上法定代表人或其授权代表人的签字齐全。</w:t>
            </w:r>
          </w:p>
        </w:tc>
      </w:tr>
      <w:tr w14:paraId="24FD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4E0CD94">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487C77BA">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812" w:type="dxa"/>
            <w:tcBorders>
              <w:top w:val="single" w:color="auto" w:sz="4" w:space="0"/>
              <w:left w:val="single" w:color="auto" w:sz="4" w:space="0"/>
              <w:right w:val="single" w:color="auto" w:sz="4" w:space="0"/>
            </w:tcBorders>
            <w:noWrap w:val="0"/>
            <w:vAlign w:val="center"/>
          </w:tcPr>
          <w:p w14:paraId="4D31EF97">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50C758A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规定的格式，签字或盖章齐全。</w:t>
            </w:r>
          </w:p>
        </w:tc>
      </w:tr>
      <w:tr w14:paraId="662F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1D5359AA">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6DE35B52">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A60A8B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1052204D">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2DBC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2F20DCE5">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545C7CD">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D31747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31E635A1">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zh-CN"/>
              </w:rPr>
              <w:t>要求。</w:t>
            </w:r>
          </w:p>
        </w:tc>
      </w:tr>
      <w:tr w14:paraId="3A3C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14:paraId="15C53560">
            <w:pPr>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47373DA2">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的响应程度审查</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4BB6AFED">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3F40DA67">
            <w:pPr>
              <w:pStyle w:val="10"/>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kern w:val="2"/>
                <w:sz w:val="24"/>
                <w:szCs w:val="24"/>
                <w:highlight w:val="none"/>
                <w:lang w:val="zh-CN" w:eastAsia="zh-CN" w:bidi="ar-SA"/>
              </w:rPr>
              <w:t>招标文件第二篇、第三篇</w:t>
            </w:r>
            <w:r>
              <w:rPr>
                <w:rFonts w:hint="eastAsia" w:ascii="仿宋" w:hAnsi="仿宋" w:eastAsia="仿宋" w:cs="仿宋"/>
                <w:color w:val="auto"/>
                <w:kern w:val="2"/>
                <w:sz w:val="24"/>
                <w:szCs w:val="24"/>
                <w:highlight w:val="none"/>
                <w:lang w:val="en-US" w:eastAsia="zh-CN" w:bidi="ar-SA"/>
              </w:rPr>
              <w:t>所有内容进行响应</w:t>
            </w:r>
            <w:r>
              <w:rPr>
                <w:rFonts w:hint="eastAsia" w:ascii="仿宋" w:hAnsi="仿宋" w:eastAsia="仿宋" w:cs="仿宋"/>
                <w:color w:val="auto"/>
                <w:kern w:val="2"/>
                <w:sz w:val="24"/>
                <w:szCs w:val="24"/>
                <w:highlight w:val="none"/>
                <w:lang w:val="zh-CN" w:eastAsia="zh-CN" w:bidi="ar-SA"/>
              </w:rPr>
              <w:t>。</w:t>
            </w:r>
          </w:p>
        </w:tc>
      </w:tr>
      <w:tr w14:paraId="2C5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14:paraId="701ABDF4">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kern w:val="0"/>
                <w:sz w:val="24"/>
                <w:szCs w:val="24"/>
                <w:highlight w:val="none"/>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3C612641">
            <w:pPr>
              <w:keepNext/>
              <w:keepLines/>
              <w:pageBreakBefore w:val="0"/>
              <w:widowControl/>
              <w:kinsoku/>
              <w:wordWrap/>
              <w:overflowPunct/>
              <w:topLinePunct w:val="0"/>
              <w:autoSpaceDE/>
              <w:autoSpaceDN/>
              <w:bidi w:val="0"/>
              <w:adjustRightInd/>
              <w:spacing w:before="260" w:after="260" w:line="420" w:lineRule="exact"/>
              <w:jc w:val="left"/>
              <w:textAlignment w:val="auto"/>
              <w:outlineLvl w:val="2"/>
              <w:rPr>
                <w:rFonts w:hint="eastAsia" w:ascii="仿宋" w:hAnsi="仿宋" w:eastAsia="仿宋" w:cs="仿宋"/>
                <w:color w:val="auto"/>
                <w:sz w:val="24"/>
                <w:szCs w:val="24"/>
                <w:highlight w:val="none"/>
                <w:lang w:val="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221AD130">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5870" w:type="dxa"/>
            <w:tcBorders>
              <w:top w:val="single" w:color="auto" w:sz="4" w:space="0"/>
              <w:left w:val="single" w:color="auto" w:sz="4" w:space="0"/>
              <w:bottom w:val="single" w:color="auto" w:sz="4" w:space="0"/>
              <w:right w:val="single" w:color="auto" w:sz="4" w:space="0"/>
            </w:tcBorders>
            <w:noWrap w:val="0"/>
            <w:vAlign w:val="center"/>
          </w:tcPr>
          <w:p w14:paraId="52571F74">
            <w:pPr>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sz w:val="24"/>
                <w:szCs w:val="24"/>
                <w:highlight w:val="none"/>
                <w:lang w:val="zh-CN"/>
              </w:rPr>
              <w:t>规定。</w:t>
            </w:r>
          </w:p>
        </w:tc>
      </w:tr>
    </w:tbl>
    <w:p w14:paraId="4C3DF8C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过程中的任何一方不得向他人透露与</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有关的技术资料、价格或其他信息。</w:t>
      </w:r>
    </w:p>
    <w:p w14:paraId="7F1A07F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对供应商的响应文件和报价进行综合评分。综合评分法，是指响应文件满足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全部实质性要求且按照评审因素的量化指标评审得分最高的供应商为成交候选供应商的评审方法。供应商总得分为价格、技术、商务等评定因素分别按照相应权重值计算分项得分后相加，满分为100分。</w:t>
      </w:r>
    </w:p>
    <w:p w14:paraId="44205F46">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rPr>
        <w:t>综合得分排名前三的</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候选人</w:t>
      </w:r>
      <w:r>
        <w:rPr>
          <w:rFonts w:hint="eastAsia" w:ascii="仿宋" w:hAnsi="仿宋" w:eastAsia="仿宋" w:cs="仿宋"/>
          <w:color w:val="auto"/>
          <w:sz w:val="24"/>
          <w:szCs w:val="24"/>
          <w:highlight w:val="none"/>
        </w:rPr>
        <w:t>，并编写评审报告。若供应商的评审得分相同的，按照</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报价由低到高的顺序排列推荐。评审得分且</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报价相同的，按照技术指标优劣顺序排列推荐。以上都相同的，按商务条款的优劣顺序排列推荐。</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部分得分为0分的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，将失去成为</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候选人的资格。</w:t>
      </w:r>
    </w:p>
    <w:p w14:paraId="719302B8">
      <w:pPr>
        <w:pStyle w:val="4"/>
        <w:pageBreakBefore w:val="0"/>
        <w:kinsoku/>
        <w:wordWrap/>
        <w:overflowPunct/>
        <w:topLinePunct w:val="0"/>
        <w:autoSpaceDE/>
        <w:autoSpaceDN/>
        <w:bidi w:val="0"/>
        <w:adjustRightInd/>
        <w:spacing w:before="0" w:after="0" w:line="420" w:lineRule="exact"/>
        <w:textAlignment w:val="auto"/>
        <w:rPr>
          <w:rFonts w:hint="eastAsia" w:ascii="仿宋" w:hAnsi="仿宋" w:eastAsia="仿宋" w:cs="仿宋"/>
          <w:color w:val="auto"/>
          <w:highlight w:val="none"/>
          <w:lang w:val="en-US" w:eastAsia="zh-CN"/>
        </w:rPr>
      </w:pPr>
      <w:bookmarkStart w:id="44" w:name="_Toc11790"/>
      <w:r>
        <w:rPr>
          <w:rFonts w:hint="eastAsia" w:ascii="仿宋" w:hAnsi="仿宋" w:eastAsia="仿宋" w:cs="仿宋"/>
          <w:color w:val="auto"/>
          <w:sz w:val="24"/>
          <w:szCs w:val="24"/>
          <w:highlight w:val="none"/>
          <w:lang w:val="en-US" w:eastAsia="zh-CN"/>
        </w:rPr>
        <w:t>二、评审标准</w:t>
      </w:r>
      <w:bookmarkEnd w:id="44"/>
    </w:p>
    <w:tbl>
      <w:tblPr>
        <w:tblStyle w:val="17"/>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48"/>
        <w:gridCol w:w="1335"/>
        <w:gridCol w:w="4783"/>
        <w:gridCol w:w="1984"/>
      </w:tblGrid>
      <w:tr w14:paraId="2367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96" w:type="dxa"/>
            <w:noWrap w:val="0"/>
            <w:vAlign w:val="center"/>
          </w:tcPr>
          <w:p w14:paraId="4E4DB0E1">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48" w:type="dxa"/>
            <w:noWrap w:val="0"/>
            <w:vAlign w:val="center"/>
          </w:tcPr>
          <w:p w14:paraId="0D35658C">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评分因素及权</w:t>
            </w:r>
            <w:r>
              <w:rPr>
                <w:rFonts w:hint="eastAsia" w:ascii="仿宋" w:hAnsi="仿宋" w:eastAsia="仿宋" w:cs="仿宋"/>
                <w:b/>
                <w:color w:val="auto"/>
                <w:sz w:val="21"/>
                <w:szCs w:val="21"/>
                <w:highlight w:val="none"/>
                <w:lang w:eastAsia="zh-CN"/>
              </w:rPr>
              <w:t>重</w:t>
            </w:r>
          </w:p>
        </w:tc>
        <w:tc>
          <w:tcPr>
            <w:tcW w:w="1335" w:type="dxa"/>
            <w:noWrap w:val="0"/>
            <w:vAlign w:val="center"/>
          </w:tcPr>
          <w:p w14:paraId="3A4D4E54">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783" w:type="dxa"/>
            <w:noWrap w:val="0"/>
            <w:vAlign w:val="center"/>
          </w:tcPr>
          <w:p w14:paraId="3830C642">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984" w:type="dxa"/>
            <w:noWrap w:val="0"/>
            <w:vAlign w:val="center"/>
          </w:tcPr>
          <w:p w14:paraId="2064AC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w:t>
            </w:r>
          </w:p>
        </w:tc>
      </w:tr>
      <w:tr w14:paraId="1C8B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96" w:type="dxa"/>
            <w:noWrap w:val="0"/>
            <w:vAlign w:val="center"/>
          </w:tcPr>
          <w:p w14:paraId="68D406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248" w:type="dxa"/>
            <w:noWrap w:val="0"/>
            <w:vAlign w:val="center"/>
          </w:tcPr>
          <w:p w14:paraId="6FACE6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投标</w:t>
            </w:r>
            <w:r>
              <w:rPr>
                <w:rFonts w:hint="eastAsia" w:ascii="仿宋" w:hAnsi="仿宋" w:eastAsia="仿宋" w:cs="仿宋"/>
                <w:bCs/>
                <w:color w:val="auto"/>
                <w:sz w:val="21"/>
                <w:szCs w:val="21"/>
                <w:highlight w:val="none"/>
              </w:rPr>
              <w:t>报价</w:t>
            </w:r>
          </w:p>
          <w:p w14:paraId="334D4F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10</w:t>
            </w:r>
            <w:r>
              <w:rPr>
                <w:rFonts w:hint="eastAsia" w:ascii="仿宋" w:hAnsi="仿宋" w:eastAsia="仿宋" w:cs="仿宋"/>
                <w:bCs/>
                <w:color w:val="auto"/>
                <w:sz w:val="21"/>
                <w:szCs w:val="21"/>
                <w:highlight w:val="none"/>
              </w:rPr>
              <w:t>%）</w:t>
            </w:r>
          </w:p>
        </w:tc>
        <w:tc>
          <w:tcPr>
            <w:tcW w:w="1335" w:type="dxa"/>
            <w:noWrap w:val="0"/>
            <w:vAlign w:val="center"/>
          </w:tcPr>
          <w:p w14:paraId="4ED00F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w:t>
            </w:r>
          </w:p>
        </w:tc>
        <w:tc>
          <w:tcPr>
            <w:tcW w:w="4783" w:type="dxa"/>
            <w:noWrap w:val="0"/>
            <w:vAlign w:val="center"/>
          </w:tcPr>
          <w:p w14:paraId="2B054128">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有效的投标报价中的</w:t>
            </w:r>
            <w:r>
              <w:rPr>
                <w:rFonts w:hint="eastAsia" w:ascii="仿宋" w:hAnsi="仿宋" w:eastAsia="仿宋" w:cs="仿宋"/>
                <w:color w:val="auto"/>
                <w:sz w:val="22"/>
                <w:szCs w:val="22"/>
                <w:highlight w:val="none"/>
              </w:rPr>
              <w:t>最低</w:t>
            </w:r>
            <w:r>
              <w:rPr>
                <w:rFonts w:hint="eastAsia" w:ascii="仿宋" w:hAnsi="仿宋" w:eastAsia="仿宋" w:cs="仿宋"/>
                <w:color w:val="auto"/>
                <w:sz w:val="22"/>
                <w:szCs w:val="22"/>
                <w:highlight w:val="none"/>
                <w:lang w:eastAsia="zh-CN"/>
              </w:rPr>
              <w:t>价为评标</w:t>
            </w:r>
            <w:r>
              <w:rPr>
                <w:rFonts w:hint="eastAsia" w:ascii="仿宋" w:hAnsi="仿宋" w:eastAsia="仿宋" w:cs="仿宋"/>
                <w:color w:val="auto"/>
                <w:sz w:val="22"/>
                <w:szCs w:val="22"/>
                <w:highlight w:val="none"/>
              </w:rPr>
              <w:t>基准价，按照下列公式计算每个供应商的</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报价得分。</w:t>
            </w:r>
          </w:p>
          <w:p w14:paraId="00577654">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报价得分=（</w:t>
            </w:r>
            <w:r>
              <w:rPr>
                <w:rFonts w:hint="eastAsia" w:ascii="仿宋" w:hAnsi="仿宋" w:eastAsia="仿宋" w:cs="仿宋"/>
                <w:color w:val="auto"/>
                <w:sz w:val="22"/>
                <w:szCs w:val="22"/>
                <w:highlight w:val="none"/>
                <w:lang w:eastAsia="zh-CN"/>
              </w:rPr>
              <w:t>评标</w:t>
            </w:r>
            <w:r>
              <w:rPr>
                <w:rFonts w:hint="eastAsia" w:ascii="仿宋" w:hAnsi="仿宋" w:eastAsia="仿宋" w:cs="仿宋"/>
                <w:color w:val="auto"/>
                <w:sz w:val="22"/>
                <w:szCs w:val="22"/>
                <w:highlight w:val="none"/>
              </w:rPr>
              <w:t>基准价/</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报价）×价格权</w:t>
            </w:r>
            <w:r>
              <w:rPr>
                <w:rFonts w:hint="eastAsia" w:ascii="仿宋" w:hAnsi="仿宋" w:eastAsia="仿宋" w:cs="仿宋"/>
                <w:color w:val="auto"/>
                <w:sz w:val="22"/>
                <w:szCs w:val="22"/>
                <w:highlight w:val="none"/>
                <w:lang w:eastAsia="zh-CN"/>
              </w:rPr>
              <w:t>重</w:t>
            </w:r>
            <w:r>
              <w:rPr>
                <w:rFonts w:hint="eastAsia" w:ascii="仿宋" w:hAnsi="仿宋" w:eastAsia="仿宋" w:cs="仿宋"/>
                <w:color w:val="auto"/>
                <w:sz w:val="22"/>
                <w:szCs w:val="22"/>
                <w:highlight w:val="none"/>
              </w:rPr>
              <w:t>×100</w:t>
            </w:r>
          </w:p>
          <w:p w14:paraId="779BC26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以供应商填报的投标报价参与评审。</w:t>
            </w:r>
          </w:p>
        </w:tc>
        <w:tc>
          <w:tcPr>
            <w:tcW w:w="1984" w:type="dxa"/>
            <w:noWrap w:val="0"/>
            <w:vAlign w:val="center"/>
          </w:tcPr>
          <w:p w14:paraId="7FC8F5D7">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rPr>
            </w:pPr>
          </w:p>
        </w:tc>
      </w:tr>
      <w:tr w14:paraId="2733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Merge w:val="restart"/>
            <w:noWrap w:val="0"/>
            <w:vAlign w:val="center"/>
          </w:tcPr>
          <w:p w14:paraId="3E3B80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48" w:type="dxa"/>
            <w:vMerge w:val="restart"/>
            <w:noWrap w:val="0"/>
            <w:vAlign w:val="center"/>
          </w:tcPr>
          <w:p w14:paraId="7922CA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部分</w:t>
            </w:r>
          </w:p>
          <w:p w14:paraId="187F79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w:t>
            </w:r>
          </w:p>
        </w:tc>
        <w:tc>
          <w:tcPr>
            <w:tcW w:w="1335" w:type="dxa"/>
            <w:noWrap w:val="0"/>
            <w:vAlign w:val="center"/>
          </w:tcPr>
          <w:p w14:paraId="2E17629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color w:val="auto"/>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lang w:val="en-US" w:eastAsia="zh-CN"/>
              </w:rPr>
              <w:t xml:space="preserve">对本项目的理解  </w:t>
            </w:r>
          </w:p>
          <w:p w14:paraId="22909AB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（15分）</w:t>
            </w:r>
          </w:p>
        </w:tc>
        <w:tc>
          <w:tcPr>
            <w:tcW w:w="4783" w:type="dxa"/>
            <w:noWrap w:val="0"/>
            <w:vAlign w:val="center"/>
          </w:tcPr>
          <w:p w14:paraId="0CE157FC">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评审要点包括但不限于：①项目背景及现状；②项目的功能定位；③技术路线与工作流程等。</w:t>
            </w:r>
          </w:p>
          <w:p w14:paraId="67F5313D">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方案内容不存在瑕疵，得15分；</w:t>
            </w:r>
          </w:p>
          <w:p w14:paraId="1BC5F56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方案内容存在1处瑕疵，得10分；</w:t>
            </w:r>
          </w:p>
          <w:p w14:paraId="52CFAF55">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方案内容存在2处瑕疵，得5分；</w:t>
            </w:r>
          </w:p>
          <w:p w14:paraId="3C23630B">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014FF2CE">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restart"/>
            <w:noWrap w:val="0"/>
            <w:vAlign w:val="center"/>
          </w:tcPr>
          <w:p w14:paraId="431578E1">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1、服务方案格式由供应商自拟。</w:t>
            </w:r>
          </w:p>
          <w:p w14:paraId="33DF4851">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2、评标委员会根据供应商提供的服务方案独立评审打分。</w:t>
            </w:r>
          </w:p>
          <w:p w14:paraId="3FC6B23D">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3、供应商的服务部分最后得分为评标委员会各成员的平均分。（按四舍五入法保留两位小数）</w:t>
            </w:r>
          </w:p>
          <w:p w14:paraId="6CE765C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rPr>
            </w:pPr>
          </w:p>
        </w:tc>
      </w:tr>
      <w:tr w14:paraId="4005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Merge w:val="continue"/>
            <w:noWrap w:val="0"/>
            <w:vAlign w:val="center"/>
          </w:tcPr>
          <w:p w14:paraId="083B44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7C42F0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469E7C9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项目实施</w:t>
            </w:r>
          </w:p>
          <w:p w14:paraId="05CBF94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方案 </w:t>
            </w:r>
          </w:p>
          <w:p w14:paraId="73A5D2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2"/>
                <w:szCs w:val="22"/>
                <w:highlight w:val="none"/>
                <w:lang w:val="en-US" w:eastAsia="zh-CN"/>
              </w:rPr>
              <w:t>（15分）</w:t>
            </w:r>
          </w:p>
        </w:tc>
        <w:tc>
          <w:tcPr>
            <w:tcW w:w="4783" w:type="dxa"/>
            <w:noWrap w:val="0"/>
            <w:vAlign w:val="center"/>
          </w:tcPr>
          <w:p w14:paraId="05BA49F1">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评审要点包括但不限于：①项目与轨道的位置关系；②存在问题及解决方案；③合理化建议等。</w:t>
            </w:r>
          </w:p>
          <w:p w14:paraId="77956F88">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方案内容不存在瑕疵，得15分；</w:t>
            </w:r>
          </w:p>
          <w:p w14:paraId="486FE0D6">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方案内容存在1处瑕疵，得10分；</w:t>
            </w:r>
          </w:p>
          <w:p w14:paraId="235184CE">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方案内容存在2处瑕疵，得5分；</w:t>
            </w:r>
          </w:p>
          <w:p w14:paraId="0CF03A3D">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6413BA88">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3F73B1E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17D6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6" w:type="dxa"/>
            <w:vMerge w:val="continue"/>
            <w:noWrap w:val="0"/>
            <w:vAlign w:val="center"/>
          </w:tcPr>
          <w:p w14:paraId="2177A1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0CE232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73B8728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服务保障</w:t>
            </w:r>
          </w:p>
          <w:p w14:paraId="0545F51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措施 </w:t>
            </w:r>
          </w:p>
          <w:p w14:paraId="51F4533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（15分）</w:t>
            </w:r>
          </w:p>
        </w:tc>
        <w:tc>
          <w:tcPr>
            <w:tcW w:w="4783" w:type="dxa"/>
            <w:noWrap w:val="0"/>
            <w:vAlign w:val="top"/>
          </w:tcPr>
          <w:p w14:paraId="763D3576">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评审要点包括但不限于：①人员配置情况；②服务时间安排；③岗位职责安排等。</w:t>
            </w:r>
          </w:p>
          <w:p w14:paraId="69661A5E">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方案内容不存在瑕疵，得15分；</w:t>
            </w:r>
          </w:p>
          <w:p w14:paraId="53ECEA31">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方案内容存在1处瑕疵，得10分；</w:t>
            </w:r>
          </w:p>
          <w:p w14:paraId="13B5DB30">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方案内容存在2处瑕疵，得5分；</w:t>
            </w:r>
          </w:p>
          <w:p w14:paraId="0F98D62D">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4B33883D">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3EEDA8D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12DE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6" w:type="dxa"/>
            <w:vMerge w:val="continue"/>
            <w:noWrap w:val="0"/>
            <w:vAlign w:val="center"/>
          </w:tcPr>
          <w:p w14:paraId="49A06E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p>
        </w:tc>
        <w:tc>
          <w:tcPr>
            <w:tcW w:w="1248" w:type="dxa"/>
            <w:vMerge w:val="continue"/>
            <w:noWrap w:val="0"/>
            <w:vAlign w:val="center"/>
          </w:tcPr>
          <w:p w14:paraId="732268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p>
        </w:tc>
        <w:tc>
          <w:tcPr>
            <w:tcW w:w="1335" w:type="dxa"/>
            <w:noWrap w:val="0"/>
            <w:vAlign w:val="center"/>
          </w:tcPr>
          <w:p w14:paraId="2FE6FE5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质量保障</w:t>
            </w:r>
          </w:p>
          <w:p w14:paraId="37FE10B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措施</w:t>
            </w:r>
          </w:p>
          <w:p w14:paraId="196810E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（15分）</w:t>
            </w:r>
          </w:p>
        </w:tc>
        <w:tc>
          <w:tcPr>
            <w:tcW w:w="4783" w:type="dxa"/>
            <w:noWrap w:val="0"/>
            <w:vAlign w:val="top"/>
          </w:tcPr>
          <w:p w14:paraId="4B85E496">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评审要点包括但不限于：①服务响应时间；②质量保障措施；③后续服务安排等。</w:t>
            </w:r>
          </w:p>
          <w:p w14:paraId="7DE70459">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方案内容不存在瑕疵，得15分；</w:t>
            </w:r>
          </w:p>
          <w:p w14:paraId="2A82AC62">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方案内容存在1处瑕疵，得10分；</w:t>
            </w:r>
          </w:p>
          <w:p w14:paraId="3D271EE0">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方案内容存在2处瑕疵，得5分；</w:t>
            </w:r>
          </w:p>
          <w:p w14:paraId="671D6D90">
            <w:pPr>
              <w:keepNext w:val="0"/>
              <w:keepLines w:val="0"/>
              <w:pageBreakBefore w:val="0"/>
              <w:widowControl w:val="0"/>
              <w:kinsoku/>
              <w:wordWrap/>
              <w:overflowPunct/>
              <w:topLinePunct w:val="0"/>
              <w:autoSpaceDE/>
              <w:autoSpaceDN/>
              <w:bidi w:val="0"/>
              <w:adjustRightInd/>
              <w:snapToGrid w:val="0"/>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7C22CCC5">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方案内容存在4处及以上瑕疵或未提供方案得0分。</w:t>
            </w:r>
          </w:p>
        </w:tc>
        <w:tc>
          <w:tcPr>
            <w:tcW w:w="1984" w:type="dxa"/>
            <w:vMerge w:val="continue"/>
            <w:noWrap w:val="0"/>
            <w:vAlign w:val="center"/>
          </w:tcPr>
          <w:p w14:paraId="3ACFE1D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 w:hAnsi="仿宋" w:eastAsia="仿宋" w:cs="仿宋"/>
                <w:color w:val="auto"/>
                <w:sz w:val="21"/>
                <w:szCs w:val="21"/>
                <w:highlight w:val="none"/>
              </w:rPr>
            </w:pPr>
          </w:p>
        </w:tc>
      </w:tr>
      <w:tr w14:paraId="3463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146" w:type="dxa"/>
            <w:gridSpan w:val="5"/>
            <w:noWrap w:val="0"/>
            <w:vAlign w:val="center"/>
          </w:tcPr>
          <w:p w14:paraId="1C27004D">
            <w:pPr>
              <w:widowControl/>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注：本项内容中所称的“瑕疵”</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w:t>
            </w:r>
          </w:p>
          <w:p w14:paraId="18FC6F19">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方案内容缺项、内容表述不完整或缺少关键分析点；</w:t>
            </w:r>
          </w:p>
          <w:p w14:paraId="22B07EBD">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方案内容表述前后矛盾、无连贯性；</w:t>
            </w:r>
          </w:p>
          <w:p w14:paraId="2DDD247D">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内容存在逻辑漏洞、常识错误；</w:t>
            </w:r>
          </w:p>
          <w:p w14:paraId="1C710ACD">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方案内容不具有先进思路或时效性低下或安全性低或缺乏稳定可靠的相关保障措施、流程或进度或不合理、不具有可行性或具体措施不适用本项目特性或非专门针对本项目制定；</w:t>
            </w:r>
          </w:p>
          <w:p w14:paraId="43F65EDB">
            <w:pPr>
              <w:widowControl/>
              <w:numPr>
                <w:ilvl w:val="0"/>
                <w:numId w:val="7"/>
              </w:numPr>
              <w:wordWrap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方案中提出的措施举措不利于本项目目标的实现；</w:t>
            </w:r>
          </w:p>
          <w:p w14:paraId="127A2AC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现有技术条件下不可能出现的情形。</w:t>
            </w:r>
          </w:p>
        </w:tc>
      </w:tr>
      <w:tr w14:paraId="55D6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6" w:type="dxa"/>
            <w:vMerge w:val="restart"/>
            <w:noWrap w:val="0"/>
            <w:vAlign w:val="center"/>
          </w:tcPr>
          <w:p w14:paraId="50E1054A">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248" w:type="dxa"/>
            <w:vMerge w:val="restart"/>
            <w:noWrap w:val="0"/>
            <w:vAlign w:val="center"/>
          </w:tcPr>
          <w:p w14:paraId="7A7E39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商务部分（30%）</w:t>
            </w:r>
          </w:p>
        </w:tc>
        <w:tc>
          <w:tcPr>
            <w:tcW w:w="1335" w:type="dxa"/>
            <w:noWrap w:val="0"/>
            <w:vAlign w:val="center"/>
          </w:tcPr>
          <w:p w14:paraId="4801B0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112A8C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（10分）</w:t>
            </w:r>
          </w:p>
        </w:tc>
        <w:tc>
          <w:tcPr>
            <w:tcW w:w="4783" w:type="dxa"/>
            <w:noWrap w:val="0"/>
            <w:vAlign w:val="center"/>
          </w:tcPr>
          <w:p w14:paraId="36EFCD12">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自 2018 年 1 月 1 日起至今（以合同签订时间为准），每承担过一个道路工程设计业绩，得5分，本项最高得10分。</w:t>
            </w:r>
          </w:p>
        </w:tc>
        <w:tc>
          <w:tcPr>
            <w:tcW w:w="1984" w:type="dxa"/>
            <w:noWrap w:val="0"/>
            <w:vAlign w:val="center"/>
          </w:tcPr>
          <w:p w14:paraId="049EFA79">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提供合同复印件并加盖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公章。</w:t>
            </w:r>
          </w:p>
        </w:tc>
      </w:tr>
      <w:tr w14:paraId="38B8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96" w:type="dxa"/>
            <w:vMerge w:val="continue"/>
            <w:noWrap w:val="0"/>
            <w:vAlign w:val="center"/>
          </w:tcPr>
          <w:p w14:paraId="0EB50B56">
            <w:pPr>
              <w:keepNext w:val="0"/>
              <w:keepLines w:val="0"/>
              <w:pageBreakBefore w:val="0"/>
              <w:widowControl w:val="0"/>
              <w:kinsoku/>
              <w:wordWrap/>
              <w:overflowPunct/>
              <w:topLinePunct w:val="0"/>
              <w:autoSpaceDE/>
              <w:autoSpaceDN/>
              <w:bidi w:val="0"/>
              <w:adjustRightInd/>
              <w:spacing w:line="240" w:lineRule="auto"/>
              <w:ind w:firstLine="28"/>
              <w:jc w:val="center"/>
              <w:textAlignment w:val="auto"/>
              <w:rPr>
                <w:rFonts w:hint="eastAsia" w:ascii="仿宋" w:hAnsi="仿宋" w:eastAsia="仿宋" w:cs="仿宋"/>
                <w:color w:val="auto"/>
                <w:kern w:val="0"/>
                <w:sz w:val="21"/>
                <w:szCs w:val="21"/>
                <w:highlight w:val="none"/>
              </w:rPr>
            </w:pPr>
            <w:bookmarkStart w:id="45" w:name="_Toc342913394"/>
            <w:bookmarkStart w:id="46" w:name="_Toc102227320"/>
          </w:p>
        </w:tc>
        <w:tc>
          <w:tcPr>
            <w:tcW w:w="1248" w:type="dxa"/>
            <w:vMerge w:val="continue"/>
            <w:noWrap w:val="0"/>
            <w:vAlign w:val="center"/>
          </w:tcPr>
          <w:p w14:paraId="7F9561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p>
        </w:tc>
        <w:tc>
          <w:tcPr>
            <w:tcW w:w="1335" w:type="dxa"/>
            <w:noWrap w:val="0"/>
            <w:vAlign w:val="center"/>
          </w:tcPr>
          <w:p w14:paraId="6C2DB1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项目人员</w:t>
            </w:r>
          </w:p>
          <w:p w14:paraId="727DE3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配备</w:t>
            </w:r>
          </w:p>
          <w:p w14:paraId="131B1B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（20分）</w:t>
            </w:r>
          </w:p>
        </w:tc>
        <w:tc>
          <w:tcPr>
            <w:tcW w:w="4783" w:type="dxa"/>
            <w:noWrap w:val="0"/>
            <w:vAlign w:val="center"/>
          </w:tcPr>
          <w:p w14:paraId="1B68EBDB">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1、供应商拟派的项目负责人在满足第二篇 项目服务需求基础上，具有工程类正高级技术职称得3分，具有一级注册结构工程师执业资格得 3 分，本项最高得 6 分；</w:t>
            </w:r>
          </w:p>
          <w:p w14:paraId="0BB929EF">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2、供应商拟派的技术负责人在满足第二篇 项目服务需求基础上，具有工程类正高级技术职称得3分，具有一级注册结构工程师执业资格得 3 分，本项最高得 6 分；</w:t>
            </w:r>
          </w:p>
          <w:p w14:paraId="3E7034EF">
            <w:pPr>
              <w:keepNext w:val="0"/>
              <w:keepLines w:val="0"/>
              <w:pageBreakBefore w:val="0"/>
              <w:widowControl w:val="0"/>
              <w:kinsoku/>
              <w:wordWrap/>
              <w:overflowPunct/>
              <w:topLinePunct w:val="0"/>
              <w:autoSpaceDE/>
              <w:autoSpaceDN/>
              <w:bidi w:val="0"/>
              <w:adjustRightInd/>
              <w:snapToGrid w:val="0"/>
              <w:spacing w:line="240" w:lineRule="auto"/>
              <w:ind w:firstLine="220" w:firstLineChars="100"/>
              <w:textAlignment w:val="auto"/>
              <w:rPr>
                <w:rFonts w:hint="eastAsia"/>
                <w:color w:val="auto"/>
                <w:highlight w:val="none"/>
                <w:lang w:val="en-US" w:eastAsia="zh-CN"/>
              </w:rPr>
            </w:pPr>
            <w:r>
              <w:rPr>
                <w:rFonts w:hint="eastAsia" w:ascii="仿宋" w:hAnsi="仿宋" w:eastAsia="仿宋" w:cs="仿宋"/>
                <w:color w:val="auto"/>
                <w:sz w:val="22"/>
                <w:szCs w:val="22"/>
                <w:highlight w:val="none"/>
                <w:lang w:val="en-US" w:eastAsia="zh-CN"/>
              </w:rPr>
              <w:t>3、除项目负责人和专业负责人外，其他项目团队人员在满足第二篇 项目服务需求基础上，每有1人具备工程类高级及以上技术职称得4分，本项最高得8分；</w:t>
            </w:r>
          </w:p>
        </w:tc>
        <w:tc>
          <w:tcPr>
            <w:tcW w:w="1984" w:type="dxa"/>
            <w:noWrap w:val="0"/>
            <w:vAlign w:val="center"/>
          </w:tcPr>
          <w:p w14:paraId="3EDF567B">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提供拟派服务人员的职称证、执业证书复印件、</w:t>
            </w:r>
            <w:r>
              <w:rPr>
                <w:rFonts w:hint="eastAsia" w:eastAsia="仿宋"/>
                <w:color w:val="auto"/>
                <w:sz w:val="22"/>
                <w:szCs w:val="22"/>
                <w:highlight w:val="none"/>
              </w:rPr>
              <w:t>供应商</w:t>
            </w:r>
            <w:r>
              <w:rPr>
                <w:rFonts w:hint="eastAsia" w:eastAsia="仿宋"/>
                <w:color w:val="auto"/>
                <w:sz w:val="22"/>
                <w:szCs w:val="22"/>
                <w:highlight w:val="none"/>
                <w:lang w:val="en-US" w:eastAsia="zh-CN"/>
              </w:rPr>
              <w:t>2025年任意一个月</w:t>
            </w:r>
            <w:r>
              <w:rPr>
                <w:rFonts w:hint="eastAsia" w:eastAsia="仿宋"/>
                <w:color w:val="auto"/>
                <w:sz w:val="22"/>
                <w:szCs w:val="22"/>
                <w:highlight w:val="none"/>
              </w:rPr>
              <w:t>为其缴纳的养老保险证明材料复印件</w:t>
            </w:r>
            <w:r>
              <w:rPr>
                <w:rFonts w:hint="eastAsia" w:eastAsia="仿宋"/>
                <w:color w:val="auto"/>
                <w:sz w:val="22"/>
                <w:szCs w:val="22"/>
                <w:highlight w:val="none"/>
                <w:lang w:eastAsia="zh-CN"/>
              </w:rPr>
              <w:t>（</w:t>
            </w:r>
            <w:r>
              <w:rPr>
                <w:rFonts w:hint="eastAsia" w:eastAsia="仿宋"/>
                <w:color w:val="auto"/>
                <w:sz w:val="22"/>
                <w:szCs w:val="22"/>
                <w:highlight w:val="none"/>
                <w:lang w:val="en-US" w:eastAsia="zh-CN"/>
              </w:rPr>
              <w:t>供应商</w:t>
            </w:r>
            <w:r>
              <w:rPr>
                <w:rFonts w:hint="eastAsia" w:eastAsia="仿宋"/>
                <w:color w:val="auto"/>
                <w:sz w:val="22"/>
                <w:szCs w:val="22"/>
                <w:highlight w:val="none"/>
              </w:rPr>
              <w:t>成立日期在2025年</w:t>
            </w:r>
            <w:r>
              <w:rPr>
                <w:rFonts w:hint="eastAsia" w:eastAsia="仿宋"/>
                <w:color w:val="auto"/>
                <w:sz w:val="22"/>
                <w:szCs w:val="22"/>
                <w:highlight w:val="none"/>
                <w:lang w:val="en-US" w:eastAsia="zh-CN"/>
              </w:rPr>
              <w:t>8</w:t>
            </w:r>
            <w:r>
              <w:rPr>
                <w:rFonts w:hint="eastAsia" w:eastAsia="仿宋"/>
                <w:color w:val="auto"/>
                <w:sz w:val="22"/>
                <w:szCs w:val="22"/>
                <w:highlight w:val="none"/>
              </w:rPr>
              <w:t>月1日及以后或拟派的</w:t>
            </w:r>
            <w:r>
              <w:rPr>
                <w:rFonts w:hint="eastAsia" w:eastAsia="仿宋"/>
                <w:color w:val="auto"/>
                <w:sz w:val="22"/>
                <w:szCs w:val="22"/>
                <w:highlight w:val="none"/>
                <w:lang w:val="en-US" w:eastAsia="zh-CN"/>
              </w:rPr>
              <w:t>服务人员</w:t>
            </w:r>
            <w:r>
              <w:rPr>
                <w:rFonts w:hint="eastAsia" w:eastAsia="仿宋"/>
                <w:color w:val="auto"/>
                <w:sz w:val="22"/>
                <w:szCs w:val="22"/>
                <w:highlight w:val="none"/>
              </w:rPr>
              <w:t>至</w:t>
            </w:r>
            <w:r>
              <w:rPr>
                <w:rFonts w:hint="eastAsia" w:eastAsia="仿宋"/>
                <w:color w:val="auto"/>
                <w:sz w:val="22"/>
                <w:szCs w:val="22"/>
                <w:highlight w:val="none"/>
                <w:lang w:val="en-US" w:eastAsia="zh-CN"/>
              </w:rPr>
              <w:t>响应</w:t>
            </w:r>
            <w:r>
              <w:rPr>
                <w:rFonts w:hint="eastAsia" w:eastAsia="仿宋"/>
                <w:color w:val="auto"/>
                <w:sz w:val="22"/>
                <w:szCs w:val="22"/>
                <w:highlight w:val="none"/>
              </w:rPr>
              <w:t>文件递交截止时间入职时间不足1个月，无法提供养老保险证明材料的，可提供</w:t>
            </w:r>
            <w:r>
              <w:rPr>
                <w:rFonts w:hint="eastAsia" w:eastAsia="仿宋"/>
                <w:color w:val="auto"/>
                <w:sz w:val="22"/>
                <w:szCs w:val="22"/>
                <w:highlight w:val="none"/>
                <w:lang w:val="en-US" w:eastAsia="zh-CN"/>
              </w:rPr>
              <w:t>供应商</w:t>
            </w:r>
            <w:r>
              <w:rPr>
                <w:rFonts w:hint="eastAsia" w:eastAsia="仿宋"/>
                <w:color w:val="auto"/>
                <w:sz w:val="22"/>
                <w:szCs w:val="22"/>
                <w:highlight w:val="none"/>
              </w:rPr>
              <w:t>与拟派</w:t>
            </w:r>
            <w:r>
              <w:rPr>
                <w:rFonts w:hint="eastAsia" w:eastAsia="仿宋"/>
                <w:color w:val="auto"/>
                <w:sz w:val="22"/>
                <w:szCs w:val="22"/>
                <w:highlight w:val="none"/>
                <w:lang w:val="en-US" w:eastAsia="zh-CN"/>
              </w:rPr>
              <w:t>服务人员</w:t>
            </w:r>
            <w:r>
              <w:rPr>
                <w:rFonts w:hint="eastAsia" w:eastAsia="仿宋"/>
                <w:color w:val="auto"/>
                <w:sz w:val="22"/>
                <w:szCs w:val="22"/>
                <w:highlight w:val="none"/>
              </w:rPr>
              <w:t>签订的劳动合同扫描件</w:t>
            </w:r>
            <w:r>
              <w:rPr>
                <w:rFonts w:hint="eastAsia" w:eastAsia="仿宋"/>
                <w:color w:val="auto"/>
                <w:sz w:val="22"/>
                <w:szCs w:val="22"/>
                <w:highlight w:val="none"/>
                <w:lang w:eastAsia="zh-CN"/>
              </w:rPr>
              <w:t>）</w:t>
            </w:r>
            <w:r>
              <w:rPr>
                <w:rFonts w:hint="eastAsia" w:ascii="仿宋" w:hAnsi="仿宋" w:eastAsia="仿宋" w:cs="仿宋"/>
                <w:color w:val="auto"/>
                <w:sz w:val="21"/>
                <w:szCs w:val="21"/>
                <w:highlight w:val="none"/>
                <w:lang w:eastAsia="zh-CN"/>
              </w:rPr>
              <w:t>并加盖</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公章。</w:t>
            </w:r>
          </w:p>
        </w:tc>
      </w:tr>
    </w:tbl>
    <w:p w14:paraId="1FB08731">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rPr>
      </w:pPr>
      <w:bookmarkStart w:id="47" w:name="_Toc426965635"/>
      <w:bookmarkStart w:id="48" w:name="_Toc487204784"/>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）成交标准</w:t>
      </w:r>
      <w:bookmarkEnd w:id="47"/>
      <w:bookmarkEnd w:id="48"/>
    </w:p>
    <w:p w14:paraId="73E8DA5E">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评标委员会认为供应商的报价明显低于其他通过符合性审查供应商的报价，有可能影响服务质量或者不能诚信履约的，可以要求其在合理的时间内提供书面说明，必要时提交相关证明材料；供应商不能证明其报价合理性</w:t>
      </w:r>
      <w:r>
        <w:rPr>
          <w:rFonts w:hint="eastAsia" w:ascii="仿宋" w:hAnsi="仿宋" w:eastAsia="仿宋" w:cs="仿宋"/>
          <w:b/>
          <w:bCs/>
          <w:color w:val="auto"/>
          <w:sz w:val="24"/>
          <w:szCs w:val="24"/>
          <w:highlight w:val="none"/>
          <w:lang w:val="en-US" w:eastAsia="zh-CN"/>
        </w:rPr>
        <w:t>或未在规定时间内提供书面说明</w:t>
      </w:r>
      <w:r>
        <w:rPr>
          <w:rFonts w:hint="eastAsia" w:ascii="仿宋" w:hAnsi="仿宋" w:eastAsia="仿宋" w:cs="仿宋"/>
          <w:b/>
          <w:bCs/>
          <w:color w:val="auto"/>
          <w:sz w:val="24"/>
          <w:szCs w:val="24"/>
          <w:highlight w:val="none"/>
          <w:lang w:eastAsia="zh-CN"/>
        </w:rPr>
        <w:t>的，评标委员会应当将其作为无效响应处理。</w:t>
      </w:r>
    </w:p>
    <w:p w14:paraId="4C28093E">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实质性响应要求且</w:t>
      </w:r>
      <w:r>
        <w:rPr>
          <w:rFonts w:hint="eastAsia" w:ascii="仿宋" w:hAnsi="仿宋" w:eastAsia="仿宋" w:cs="仿宋"/>
          <w:color w:val="auto"/>
          <w:sz w:val="24"/>
          <w:szCs w:val="24"/>
          <w:highlight w:val="none"/>
          <w:lang w:eastAsia="zh-CN"/>
        </w:rPr>
        <w:t>综合得分最高的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成交供应商。采购人逾期未确定成交供应商且不提出异议的，视为确定评审报告提出的</w:t>
      </w:r>
      <w:r>
        <w:rPr>
          <w:rFonts w:hint="eastAsia" w:ascii="仿宋" w:hAnsi="仿宋" w:eastAsia="仿宋" w:cs="仿宋"/>
          <w:color w:val="auto"/>
          <w:sz w:val="24"/>
          <w:szCs w:val="24"/>
          <w:highlight w:val="none"/>
          <w:lang w:eastAsia="zh-CN"/>
        </w:rPr>
        <w:t>排名第一</w:t>
      </w:r>
      <w:r>
        <w:rPr>
          <w:rFonts w:hint="eastAsia" w:ascii="仿宋" w:hAnsi="仿宋" w:eastAsia="仿宋" w:cs="仿宋"/>
          <w:color w:val="auto"/>
          <w:sz w:val="24"/>
          <w:szCs w:val="24"/>
          <w:highlight w:val="none"/>
        </w:rPr>
        <w:t>的供应商为成交供应商。</w:t>
      </w:r>
    </w:p>
    <w:p w14:paraId="6D652497">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49" w:name="_Toc1719"/>
      <w:bookmarkStart w:id="50" w:name="_Toc29108"/>
      <w:bookmarkStart w:id="51" w:name="_Toc5608"/>
      <w:bookmarkStart w:id="52" w:name="_Toc20051"/>
      <w:r>
        <w:rPr>
          <w:rFonts w:hint="eastAsia" w:ascii="仿宋" w:hAnsi="仿宋" w:eastAsia="仿宋" w:cs="仿宋"/>
          <w:b/>
          <w:bCs/>
          <w:color w:val="auto"/>
          <w:sz w:val="24"/>
          <w:szCs w:val="24"/>
          <w:highlight w:val="none"/>
          <w:lang w:val="en-US" w:eastAsia="zh-CN"/>
        </w:rPr>
        <w:t>三、评审依据</w:t>
      </w:r>
      <w:bookmarkEnd w:id="49"/>
      <w:bookmarkEnd w:id="50"/>
      <w:bookmarkEnd w:id="51"/>
      <w:bookmarkEnd w:id="52"/>
    </w:p>
    <w:p w14:paraId="64502F8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评审的依据为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和响应文件（含有效的补充文件）。</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判断响应文件对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的响应，仅基于响应文件本身而不靠外部证据。</w:t>
      </w:r>
    </w:p>
    <w:p w14:paraId="767123D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53" w:name="_Toc16238"/>
      <w:bookmarkStart w:id="54" w:name="_Toc493506301"/>
      <w:bookmarkStart w:id="55" w:name="_Toc492721018"/>
      <w:bookmarkStart w:id="56" w:name="_Toc1943"/>
      <w:bookmarkStart w:id="57" w:name="_Toc27958"/>
      <w:bookmarkStart w:id="58" w:name="_Toc487204785"/>
      <w:bookmarkStart w:id="59" w:name="_Toc426965636"/>
      <w:r>
        <w:rPr>
          <w:rFonts w:hint="eastAsia" w:ascii="仿宋" w:hAnsi="仿宋" w:eastAsia="仿宋" w:cs="仿宋"/>
          <w:b/>
          <w:bCs/>
          <w:color w:val="auto"/>
          <w:sz w:val="24"/>
          <w:szCs w:val="24"/>
          <w:highlight w:val="none"/>
          <w:lang w:val="en-US" w:eastAsia="zh-CN"/>
        </w:rPr>
        <w:t>四、无效投标条款</w:t>
      </w:r>
      <w:bookmarkEnd w:id="53"/>
      <w:bookmarkEnd w:id="54"/>
      <w:bookmarkEnd w:id="55"/>
      <w:bookmarkEnd w:id="56"/>
      <w:bookmarkEnd w:id="57"/>
    </w:p>
    <w:p w14:paraId="55FABF1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人或其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文件出现下列情况之一者，应为无效投标：</w:t>
      </w:r>
    </w:p>
    <w:p w14:paraId="49E2ABF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文件要求签署、盖章的；</w:t>
      </w:r>
    </w:p>
    <w:p w14:paraId="79DABDAF">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）不具备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文件中规定的资格要求的；</w:t>
      </w:r>
    </w:p>
    <w:p w14:paraId="3E778838">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）报价超过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文件中规定的预算金额或者最高限价的；</w:t>
      </w:r>
    </w:p>
    <w:p w14:paraId="0F0924D3">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文件含有采购人不能接受的附加条件的；</w:t>
      </w:r>
    </w:p>
    <w:p w14:paraId="2A422C1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串通投标的；</w:t>
      </w:r>
    </w:p>
    <w:p w14:paraId="193617E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组成联合体投标的；</w:t>
      </w:r>
    </w:p>
    <w:p w14:paraId="5A5D48C6">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）法律、法规和招标文件规定的其他无效情形。</w:t>
      </w:r>
    </w:p>
    <w:p w14:paraId="7508E03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60" w:name="_Toc16152"/>
      <w:bookmarkStart w:id="61" w:name="_Toc16529"/>
      <w:bookmarkStart w:id="62" w:name="_Toc25738"/>
      <w:r>
        <w:rPr>
          <w:rFonts w:hint="eastAsia" w:ascii="仿宋" w:hAnsi="仿宋" w:eastAsia="仿宋" w:cs="仿宋"/>
          <w:b/>
          <w:bCs/>
          <w:color w:val="auto"/>
          <w:sz w:val="24"/>
          <w:szCs w:val="24"/>
          <w:highlight w:val="none"/>
          <w:lang w:val="en-US" w:eastAsia="zh-CN"/>
        </w:rPr>
        <w:t>五、废标条款</w:t>
      </w:r>
      <w:bookmarkEnd w:id="60"/>
      <w:bookmarkEnd w:id="61"/>
      <w:bookmarkEnd w:id="62"/>
    </w:p>
    <w:p w14:paraId="2DCE9613">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评标委员会评审时出现以下情况之一的，应予废标：</w:t>
      </w:r>
    </w:p>
    <w:p w14:paraId="5EEBAAFF">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w:t>
      </w:r>
      <w:r>
        <w:rPr>
          <w:rFonts w:hint="eastAsia" w:ascii="仿宋" w:hAnsi="仿宋" w:eastAsia="仿宋" w:cs="仿宋"/>
          <w:color w:val="auto"/>
          <w:sz w:val="24"/>
          <w:szCs w:val="24"/>
          <w:highlight w:val="none"/>
          <w:lang w:val="en-US" w:eastAsia="zh-CN"/>
        </w:rPr>
        <w:t>资格</w:t>
      </w:r>
      <w:r>
        <w:rPr>
          <w:rFonts w:hint="eastAsia" w:ascii="仿宋" w:hAnsi="仿宋" w:eastAsia="仿宋" w:cs="仿宋"/>
          <w:color w:val="auto"/>
          <w:sz w:val="24"/>
          <w:szCs w:val="24"/>
          <w:highlight w:val="none"/>
        </w:rPr>
        <w:t>条件的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或者对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文件作实质响应的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家的；</w:t>
      </w:r>
    </w:p>
    <w:p w14:paraId="1ED0C15C">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的报价均超过了采购预算，采购人不能支付的；</w:t>
      </w:r>
    </w:p>
    <w:p w14:paraId="0C673A1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14:paraId="5DD73DE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10429FE7">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废标后，除采购任务取消情形外，应当重新组织采购。</w:t>
      </w:r>
    </w:p>
    <w:p w14:paraId="3EB98628">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63" w:name="_Toc22019"/>
      <w:bookmarkStart w:id="64" w:name="_Toc8502"/>
      <w:bookmarkStart w:id="65" w:name="_Toc9092"/>
      <w:r>
        <w:rPr>
          <w:rFonts w:hint="eastAsia" w:ascii="仿宋" w:hAnsi="仿宋" w:eastAsia="仿宋" w:cs="仿宋"/>
          <w:b/>
          <w:bCs/>
          <w:color w:val="auto"/>
          <w:sz w:val="24"/>
          <w:szCs w:val="24"/>
          <w:highlight w:val="none"/>
          <w:lang w:val="en-US" w:eastAsia="zh-CN"/>
        </w:rPr>
        <w:t>六、成交通知</w:t>
      </w:r>
      <w:bookmarkEnd w:id="58"/>
      <w:bookmarkEnd w:id="59"/>
      <w:bookmarkEnd w:id="63"/>
      <w:bookmarkEnd w:id="64"/>
      <w:bookmarkEnd w:id="65"/>
    </w:p>
    <w:p w14:paraId="22B6438B">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（一）成交供应商确定后，采购代理机构将在“行采家”（http://www.gec123.com）</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上发布成交结果公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14:paraId="14B10DB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778B1C3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41C37311">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14:paraId="698A14C5">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66" w:name="_Toc3695"/>
      <w:bookmarkStart w:id="67" w:name="_Toc487204786"/>
      <w:bookmarkStart w:id="68" w:name="_Toc31626"/>
      <w:bookmarkStart w:id="69" w:name="_Toc12835"/>
      <w:bookmarkStart w:id="70" w:name="_Toc426965637"/>
      <w:bookmarkStart w:id="71" w:name="_Toc16615"/>
      <w:r>
        <w:rPr>
          <w:rFonts w:hint="eastAsia" w:ascii="仿宋" w:hAnsi="仿宋" w:eastAsia="仿宋" w:cs="仿宋"/>
          <w:b/>
          <w:bCs/>
          <w:color w:val="auto"/>
          <w:sz w:val="24"/>
          <w:szCs w:val="24"/>
          <w:highlight w:val="none"/>
          <w:lang w:val="en-US" w:eastAsia="zh-CN"/>
        </w:rPr>
        <w:t>七、关于质疑和投诉</w:t>
      </w:r>
      <w:bookmarkEnd w:id="66"/>
      <w:bookmarkEnd w:id="67"/>
      <w:bookmarkEnd w:id="68"/>
      <w:bookmarkEnd w:id="69"/>
      <w:bookmarkEnd w:id="70"/>
      <w:bookmarkEnd w:id="71"/>
    </w:p>
    <w:p w14:paraId="0D03354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（一）质疑内容、时限</w:t>
      </w:r>
    </w:p>
    <w:p w14:paraId="3E25824D">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1、供应商对成交结果有异议的，应当在</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发布之日起七个工作日内以书面形式向采购人、采购代理机构提出质疑，并附相关证明材料。</w:t>
      </w:r>
    </w:p>
    <w:p w14:paraId="6D81BC8A">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中供应商特定资格条件、技术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和商务要求、评审标准及评审细则有异议的，应主要向采购人提出质疑，其他问题可向采购代理机构提出质疑。</w:t>
      </w:r>
    </w:p>
    <w:p w14:paraId="2B60A2C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（二）质疑答复</w:t>
      </w:r>
    </w:p>
    <w:p w14:paraId="28224212">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采购人、采购代理机构将参照《重庆市政府采购供应商质疑投诉处理暂行规定》的相关规定对质疑内容作出答复和处理。</w:t>
      </w:r>
    </w:p>
    <w:p w14:paraId="08727BE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bCs/>
          <w:color w:val="auto"/>
          <w:sz w:val="24"/>
          <w:szCs w:val="24"/>
          <w:highlight w:val="none"/>
          <w:lang w:val="en-US" w:eastAsia="zh-CN"/>
        </w:rPr>
      </w:pPr>
      <w:bookmarkStart w:id="72" w:name="_Toc23427"/>
      <w:bookmarkStart w:id="73" w:name="_Toc487204787"/>
      <w:bookmarkStart w:id="74" w:name="_Toc12608"/>
      <w:bookmarkStart w:id="75" w:name="_Toc31890"/>
      <w:bookmarkStart w:id="76" w:name="_Toc426965638"/>
      <w:bookmarkStart w:id="77" w:name="_Toc15991"/>
      <w:r>
        <w:rPr>
          <w:rFonts w:hint="eastAsia" w:ascii="仿宋" w:hAnsi="仿宋" w:eastAsia="仿宋" w:cs="仿宋"/>
          <w:b/>
          <w:bCs/>
          <w:color w:val="auto"/>
          <w:sz w:val="24"/>
          <w:szCs w:val="24"/>
          <w:highlight w:val="none"/>
          <w:lang w:val="en-US" w:eastAsia="zh-CN"/>
        </w:rPr>
        <w:t>八、签订合同</w:t>
      </w:r>
      <w:bookmarkEnd w:id="72"/>
      <w:bookmarkEnd w:id="73"/>
      <w:bookmarkEnd w:id="74"/>
      <w:bookmarkEnd w:id="75"/>
      <w:bookmarkEnd w:id="76"/>
      <w:bookmarkEnd w:id="77"/>
    </w:p>
    <w:p w14:paraId="56030C34">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（一）采购人应当自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十日内，按照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lang w:eastAsia="zh-CN"/>
        </w:rPr>
        <w:t>文件的约定，与</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lang w:eastAsia="zh-CN"/>
        </w:rPr>
        <w:t>签订书面合同。所签订的合同不得对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文件和</w:t>
      </w:r>
      <w:r>
        <w:rPr>
          <w:rFonts w:hint="eastAsia" w:ascii="仿宋" w:hAnsi="仿宋" w:eastAsia="仿宋" w:cs="仿宋"/>
          <w:color w:val="auto"/>
          <w:sz w:val="24"/>
          <w:szCs w:val="24"/>
          <w:highlight w:val="none"/>
          <w:lang w:val="en-US" w:eastAsia="zh-CN"/>
        </w:rPr>
        <w:t>成交供应商响应</w:t>
      </w:r>
      <w:r>
        <w:rPr>
          <w:rFonts w:hint="eastAsia" w:ascii="仿宋" w:hAnsi="仿宋" w:eastAsia="仿宋" w:cs="仿宋"/>
          <w:color w:val="auto"/>
          <w:sz w:val="24"/>
          <w:szCs w:val="24"/>
          <w:highlight w:val="none"/>
          <w:lang w:eastAsia="zh-CN"/>
        </w:rPr>
        <w:t>文件作实质性修改。</w:t>
      </w:r>
    </w:p>
    <w:p w14:paraId="2C9D5E00">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（二）采购文件、成交供应商的响应文件及有效承诺文件等，均为签订合同的依据。</w:t>
      </w:r>
    </w:p>
    <w:p w14:paraId="7525BE0C">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（三）成交供应商未按照采购文件确定的事项签订合同，或者与采购人另行订立背离合同实质性内容协议的，将承担相关法律责任。</w:t>
      </w:r>
    </w:p>
    <w:p w14:paraId="3526A7A9">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（四）采购人不得向成交供应商提出超出采购以外的任何要求作为签订合同的条件，不得与成交供应商订立背离采购确定的合同文本以及采购标的、采购金额、采购数量、技术和服务要求等实质性内容的协议。</w:t>
      </w:r>
    </w:p>
    <w:p w14:paraId="725B9F0B">
      <w:pPr>
        <w:pageBreakBefore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（五）除不可抗力等因素外，成交通知书发出后，采购人改变成交结果，或者成交供应商无正当理由拒绝签订采购合同的，应当承担相应的法律责任。</w:t>
      </w:r>
      <w:bookmarkEnd w:id="45"/>
      <w:bookmarkEnd w:id="46"/>
    </w:p>
    <w:p w14:paraId="09F121BE">
      <w:pPr>
        <w:pStyle w:val="24"/>
        <w:ind w:left="0" w:leftChars="0" w:firstLine="0" w:firstLineChars="0"/>
        <w:rPr>
          <w:rFonts w:hint="eastAsia" w:ascii="仿宋" w:hAnsi="仿宋" w:eastAsia="仿宋" w:cs="仿宋"/>
          <w:color w:val="auto"/>
          <w:sz w:val="24"/>
          <w:szCs w:val="24"/>
          <w:highlight w:val="none"/>
        </w:rPr>
        <w:sectPr>
          <w:pgSz w:w="11907" w:h="16840"/>
          <w:pgMar w:top="1440" w:right="1080" w:bottom="1440" w:left="1080" w:header="964" w:footer="992" w:gutter="0"/>
          <w:pgNumType w:fmt="decimal"/>
          <w:cols w:space="720" w:num="1"/>
          <w:docGrid w:type="linesAndChars" w:linePitch="381" w:charSpace="0"/>
        </w:sectPr>
      </w:pPr>
    </w:p>
    <w:p w14:paraId="30AFAD3A">
      <w:pPr>
        <w:pStyle w:val="3"/>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2"/>
          <w:szCs w:val="32"/>
          <w:highlight w:val="none"/>
        </w:rPr>
      </w:pPr>
      <w:bookmarkStart w:id="78" w:name="_Toc27619"/>
      <w:r>
        <w:rPr>
          <w:rStyle w:val="22"/>
          <w:rFonts w:hint="eastAsia" w:ascii="仿宋" w:hAnsi="仿宋" w:eastAsia="仿宋" w:cs="仿宋"/>
          <w:b/>
          <w:bCs/>
          <w:color w:val="auto"/>
          <w:sz w:val="32"/>
          <w:szCs w:val="32"/>
          <w:highlight w:val="none"/>
        </w:rPr>
        <w:t>第</w:t>
      </w:r>
      <w:r>
        <w:rPr>
          <w:rStyle w:val="22"/>
          <w:rFonts w:hint="eastAsia" w:ascii="仿宋" w:hAnsi="仿宋" w:eastAsia="仿宋" w:cs="仿宋"/>
          <w:b/>
          <w:bCs/>
          <w:color w:val="auto"/>
          <w:sz w:val="32"/>
          <w:szCs w:val="32"/>
          <w:highlight w:val="none"/>
          <w:lang w:val="en-US" w:eastAsia="zh-CN"/>
        </w:rPr>
        <w:t>五</w:t>
      </w:r>
      <w:r>
        <w:rPr>
          <w:rStyle w:val="22"/>
          <w:rFonts w:hint="eastAsia" w:ascii="仿宋" w:hAnsi="仿宋" w:eastAsia="仿宋" w:cs="仿宋"/>
          <w:b/>
          <w:bCs/>
          <w:color w:val="auto"/>
          <w:sz w:val="32"/>
          <w:szCs w:val="32"/>
          <w:highlight w:val="none"/>
        </w:rPr>
        <w:t>篇  供应商须知</w:t>
      </w:r>
      <w:bookmarkEnd w:id="24"/>
      <w:bookmarkEnd w:id="25"/>
      <w:bookmarkEnd w:id="78"/>
    </w:p>
    <w:p w14:paraId="4B4E941A">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79" w:name="_Toc32059"/>
      <w:bookmarkStart w:id="80" w:name="_Toc426965630"/>
      <w:bookmarkStart w:id="81" w:name="_Toc487204779"/>
      <w:bookmarkStart w:id="82" w:name="_Toc342913389"/>
      <w:bookmarkStart w:id="83" w:name="_Toc2064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费用</w:t>
      </w:r>
      <w:bookmarkEnd w:id="79"/>
      <w:bookmarkEnd w:id="80"/>
      <w:bookmarkEnd w:id="81"/>
      <w:bookmarkEnd w:id="82"/>
      <w:bookmarkEnd w:id="83"/>
    </w:p>
    <w:p w14:paraId="1E23EE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参与采购的供应商应承担其编制响应文件与递交响应文件所涉及的一切费用，不论采购结果如何，采购人和采购代理机构在任何情况下无义务也无责任承担这些费用。</w:t>
      </w:r>
    </w:p>
    <w:p w14:paraId="3EB7387E">
      <w:pPr>
        <w:pStyle w:val="4"/>
        <w:pageBreakBefore w:val="0"/>
        <w:widowControl w:val="0"/>
        <w:tabs>
          <w:tab w:val="left" w:pos="2640"/>
        </w:tabs>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84" w:name="_Toc18383"/>
      <w:bookmarkStart w:id="85" w:name="_Toc426965631"/>
      <w:bookmarkStart w:id="86" w:name="_Toc7850"/>
      <w:bookmarkStart w:id="87" w:name="_Toc487204780"/>
      <w:bookmarkStart w:id="88" w:name="_Toc342913391"/>
      <w:r>
        <w:rPr>
          <w:rFonts w:hint="eastAsia" w:ascii="仿宋" w:hAnsi="仿宋" w:eastAsia="仿宋" w:cs="仿宋"/>
          <w:color w:val="auto"/>
          <w:sz w:val="24"/>
          <w:szCs w:val="24"/>
          <w:highlight w:val="none"/>
        </w:rPr>
        <w:t>二、</w:t>
      </w:r>
      <w:bookmarkEnd w:id="84"/>
      <w:bookmarkEnd w:id="85"/>
      <w:bookmarkEnd w:id="86"/>
      <w:bookmarkEnd w:id="87"/>
      <w:bookmarkEnd w:id="88"/>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ab/>
      </w:r>
    </w:p>
    <w:p w14:paraId="28BC54C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（一）招标文件由采购公告、项目服务需求、项目商务要求、资格审查及评标办法、供应商须知、合同主要条款和格式合同（样本）、响应文件格式要求七部分组成。</w:t>
      </w:r>
    </w:p>
    <w:p w14:paraId="697389B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（二）采购人（或采购代理机构）所作的一切有效的书面通知、修改及补充，都是招标文件不可分割的部分。</w:t>
      </w:r>
    </w:p>
    <w:p w14:paraId="44E721A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（三）招标文件的解释</w:t>
      </w:r>
    </w:p>
    <w:p w14:paraId="4386212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如对招标文件有疑问，必须以书面形式在提交响应文件截止时间1个工作日前向采购人（或采购代理机构）要求澄清，采购人（或采购代理机构）可视具体情况做出处理或答复。如供应商未提出疑问，视为完全理解并同意本招标文件。一经进入采购程序，即视为供应商已详细阅读全部文件资料，完全理解招标文件所有条款内容并同意放弃对这方面有不明白及误解的权利。</w:t>
      </w:r>
      <w:bookmarkStart w:id="89" w:name="_Toc318159349"/>
      <w:bookmarkStart w:id="90" w:name="_Toc318159780"/>
      <w:bookmarkStart w:id="91" w:name="_Toc318166429"/>
      <w:bookmarkStart w:id="92" w:name="_Toc318159160"/>
    </w:p>
    <w:bookmarkEnd w:id="89"/>
    <w:bookmarkEnd w:id="90"/>
    <w:bookmarkEnd w:id="91"/>
    <w:bookmarkEnd w:id="92"/>
    <w:p w14:paraId="7DA852AD">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93" w:name="_Toc487204781"/>
      <w:bookmarkStart w:id="94" w:name="_Toc26774"/>
      <w:bookmarkStart w:id="95" w:name="_Toc179714297"/>
      <w:bookmarkStart w:id="96" w:name="_Toc102227318"/>
      <w:bookmarkStart w:id="97" w:name="_Toc426965632"/>
      <w:bookmarkStart w:id="98" w:name="_Toc18927"/>
      <w:bookmarkStart w:id="99" w:name="_Toc34291339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要求</w:t>
      </w:r>
      <w:bookmarkEnd w:id="93"/>
      <w:bookmarkEnd w:id="94"/>
      <w:bookmarkEnd w:id="95"/>
      <w:bookmarkEnd w:id="96"/>
      <w:bookmarkEnd w:id="97"/>
      <w:bookmarkEnd w:id="98"/>
      <w:bookmarkEnd w:id="99"/>
    </w:p>
    <w:p w14:paraId="4CA37D0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（一）响应文件</w:t>
      </w:r>
    </w:p>
    <w:p w14:paraId="6064924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1.供应商应当按照采购文件的要求编制响应文件，并对采购文件提出的要求和条件作出实质性响应，同时应编制完整的页码、目录。</w:t>
      </w:r>
    </w:p>
    <w:p w14:paraId="062185C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2.响应文件组成</w:t>
      </w:r>
    </w:p>
    <w:p w14:paraId="5DDC2E1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0DB4A4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（二）联合体</w:t>
      </w:r>
    </w:p>
    <w:p w14:paraId="17FEADC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本项目不接受联合体参与比选。</w:t>
      </w:r>
    </w:p>
    <w:p w14:paraId="166CFA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（三）投标有效期：响应文件及有关承诺文件有效期为提交响应文件截止时间起90天。</w:t>
      </w:r>
    </w:p>
    <w:p w14:paraId="0D19209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（四）修正错误</w:t>
      </w:r>
    </w:p>
    <w:p w14:paraId="4A9058B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若响应文件出现计算或表达上的错误，修正错误的原则如下：</w:t>
      </w:r>
    </w:p>
    <w:p w14:paraId="142A1FC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1.响应文件中报价函的内容与响应文件中相应内容不一致的，以报价函为准；</w:t>
      </w:r>
    </w:p>
    <w:p w14:paraId="615DEBB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2.大写金额和小写金额不一致的，以大写金额为准；</w:t>
      </w:r>
    </w:p>
    <w:p w14:paraId="130510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3.单价金额小数点或者百分比有明显错位的，以报价函总价为准，并修改单价；</w:t>
      </w:r>
    </w:p>
    <w:p w14:paraId="7E3764A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4.总价金额与按单价汇总金额不一致的，以单价金额计算结果为准。</w:t>
      </w:r>
    </w:p>
    <w:p w14:paraId="148C0C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6F687A4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（五）响应文件的签署和递交</w:t>
      </w:r>
    </w:p>
    <w:p w14:paraId="529E2F8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详见本项目采购文件第一篇。</w:t>
      </w:r>
    </w:p>
    <w:p w14:paraId="361B20F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）响应文件语言：简体中文</w:t>
      </w:r>
    </w:p>
    <w:p w14:paraId="5EA59CD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）无效响应</w:t>
      </w:r>
    </w:p>
    <w:p w14:paraId="0F5D7BF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6741885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1、供应商不符合资格要求的；</w:t>
      </w:r>
    </w:p>
    <w:p w14:paraId="7E1F3C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2、供应商所提交的响应文件不按规定签字、盖章的；</w:t>
      </w:r>
    </w:p>
    <w:p w14:paraId="64A2CD3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3、供应商的报价超过采购预算（若有采购预算单价，则含采购预算单价）的；</w:t>
      </w:r>
    </w:p>
    <w:p w14:paraId="066BA8D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4、供应商响应文件附有采购人无法接受的条件的；</w:t>
      </w:r>
    </w:p>
    <w:p w14:paraId="1F76A7D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5、供应商串通投标的；</w:t>
      </w:r>
    </w:p>
    <w:p w14:paraId="09E2854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6、供应商组成联合体投标的；</w:t>
      </w:r>
    </w:p>
    <w:p w14:paraId="0CD400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规定的其他无效情形。</w:t>
      </w:r>
      <w:bookmarkStart w:id="100" w:name="_Toc492721019"/>
      <w:bookmarkStart w:id="101" w:name="_Toc493506302"/>
    </w:p>
    <w:p w14:paraId="29835E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）废标条款</w:t>
      </w:r>
      <w:bookmarkEnd w:id="100"/>
      <w:bookmarkEnd w:id="101"/>
    </w:p>
    <w:p w14:paraId="67DA92F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出现下列情形之一的，采购人或者采购代理机构应当终止采购活动，发布项目终止公告并说明原因，重新开展采购活动：</w:t>
      </w:r>
    </w:p>
    <w:p w14:paraId="78F01F0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1、因情况变化，不再符合规定的采购方式适用情形的；</w:t>
      </w:r>
    </w:p>
    <w:p w14:paraId="5623C45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2、出现影响采购公正的违法、违规行为的；</w:t>
      </w:r>
    </w:p>
    <w:p w14:paraId="019B3BD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废标后，除采购任务取消情形外，应当重新组织采购。</w:t>
      </w:r>
    </w:p>
    <w:p w14:paraId="42282AE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）采购代理服务费</w:t>
      </w:r>
      <w:bookmarkStart w:id="102" w:name="_Toc179714298"/>
      <w:bookmarkStart w:id="103" w:name="_Toc31741"/>
      <w:bookmarkStart w:id="104" w:name="_Toc102227319"/>
      <w:bookmarkStart w:id="105" w:name="_Toc426965633"/>
      <w:bookmarkStart w:id="106" w:name="_Toc487204782"/>
      <w:bookmarkStart w:id="107" w:name="_Toc342913393"/>
    </w:p>
    <w:p w14:paraId="2CBE44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本项目采购代理服务费</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lang w:eastAsia="zh-CN"/>
        </w:rPr>
        <w:t>成交供应商在领取成交通知书前向采购代理机构一次性支付，</w:t>
      </w:r>
      <w:r>
        <w:rPr>
          <w:rFonts w:hint="eastAsia" w:ascii="仿宋" w:hAnsi="仿宋" w:eastAsia="仿宋" w:cs="仿宋"/>
          <w:color w:val="auto"/>
          <w:sz w:val="24"/>
          <w:szCs w:val="24"/>
          <w:highlight w:val="none"/>
        </w:rPr>
        <w:t>该项目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代理服务费以中标</w:t>
      </w:r>
      <w:r>
        <w:rPr>
          <w:rFonts w:hint="eastAsia" w:ascii="仿宋" w:hAnsi="仿宋" w:eastAsia="仿宋" w:cs="仿宋"/>
          <w:color w:val="auto"/>
          <w:sz w:val="24"/>
          <w:szCs w:val="24"/>
          <w:highlight w:val="none"/>
          <w:lang w:val="en-US" w:eastAsia="zh-CN"/>
        </w:rPr>
        <w:t>金额</w:t>
      </w:r>
      <w:r>
        <w:rPr>
          <w:rFonts w:hint="eastAsia" w:ascii="仿宋" w:hAnsi="仿宋" w:eastAsia="仿宋" w:cs="仿宋"/>
          <w:color w:val="auto"/>
          <w:sz w:val="24"/>
          <w:szCs w:val="24"/>
          <w:highlight w:val="none"/>
        </w:rPr>
        <w:t>为计费基数参照</w:t>
      </w:r>
      <w:r>
        <w:rPr>
          <w:rFonts w:hint="eastAsia" w:ascii="仿宋" w:hAnsi="仿宋" w:eastAsia="仿宋" w:cs="仿宋"/>
          <w:color w:val="auto"/>
          <w:sz w:val="24"/>
          <w:szCs w:val="24"/>
          <w:highlight w:val="none"/>
          <w:lang w:val="en-US" w:eastAsia="zh-CN"/>
        </w:rPr>
        <w:t>发改办价格[2003]857号、计价格[2002]1980号文件收费标准的63%计取</w:t>
      </w:r>
      <w:r>
        <w:rPr>
          <w:rFonts w:hint="eastAsia" w:ascii="仿宋" w:hAnsi="仿宋" w:eastAsia="仿宋" w:cs="仿宋"/>
          <w:color w:val="auto"/>
          <w:sz w:val="24"/>
          <w:szCs w:val="24"/>
          <w:highlight w:val="none"/>
        </w:rPr>
        <w:t>。</w:t>
      </w:r>
    </w:p>
    <w:p w14:paraId="388AC9A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2、采购代理服务费缴纳账号：</w:t>
      </w:r>
    </w:p>
    <w:p w14:paraId="5BEC2C6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108" w:name="_Toc6943"/>
      <w:r>
        <w:rPr>
          <w:rFonts w:hint="eastAsia" w:ascii="仿宋" w:hAnsi="仿宋" w:eastAsia="仿宋" w:cs="仿宋"/>
          <w:color w:val="auto"/>
          <w:sz w:val="24"/>
          <w:szCs w:val="24"/>
          <w:highlight w:val="none"/>
          <w:lang w:val="en-US" w:eastAsia="zh-CN"/>
        </w:rPr>
        <w:t>户  名：重庆普聚工程咨询有限公司</w:t>
      </w:r>
    </w:p>
    <w:p w14:paraId="49C2B53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开户行：交通银行重庆南城支行</w:t>
      </w:r>
    </w:p>
    <w:p w14:paraId="31AE8F0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账  号：500500143013000362859 </w:t>
      </w:r>
    </w:p>
    <w:p w14:paraId="6CF27B86">
      <w:pPr>
        <w:pageBreakBefore w:val="0"/>
        <w:widowControl w:val="0"/>
        <w:numPr>
          <w:ilvl w:val="0"/>
          <w:numId w:val="8"/>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交易服务费</w:t>
      </w:r>
    </w:p>
    <w:p w14:paraId="3EA2456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供应商成交后向“重庆市汇南城市建设开发有限公司”缴纳交易服务费，服务费的收取标准按南岸发改【2025】130 号执行。采购人及成交供应商的工程建设招投标交易服务费均由成交供应商缴纳，交易服务费由供应商自行测算综合考虑在投标总价中。</w:t>
      </w:r>
    </w:p>
    <w:p w14:paraId="2EF4D6B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收款单位：重庆市汇南城市建设开发有限公司</w:t>
      </w:r>
    </w:p>
    <w:p w14:paraId="3A9B9D2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开户银行：重庆农村商业银行股份有限公司南岸支行南坪分理处</w:t>
      </w:r>
    </w:p>
    <w:p w14:paraId="434E940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银行账号：0601110120010023958</w:t>
      </w:r>
    </w:p>
    <w:p w14:paraId="4047F2F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银行行号：314653000222</w:t>
      </w:r>
    </w:p>
    <w:p w14:paraId="771A4CD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（咨询：何老师，电话：023-62948872）</w:t>
      </w:r>
    </w:p>
    <w:p w14:paraId="4891B280">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四、评标</w:t>
      </w:r>
      <w:bookmarkEnd w:id="108"/>
    </w:p>
    <w:p w14:paraId="76E42D8E">
      <w:pPr>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第四篇</w:t>
      </w:r>
      <w:r>
        <w:rPr>
          <w:rFonts w:hint="eastAsia" w:ascii="仿宋" w:hAnsi="仿宋" w:eastAsia="仿宋" w:cs="仿宋"/>
          <w:color w:val="auto"/>
          <w:sz w:val="24"/>
          <w:szCs w:val="24"/>
          <w:highlight w:val="none"/>
          <w:lang w:val="en-US" w:eastAsia="zh-CN"/>
        </w:rPr>
        <w:t xml:space="preserve"> 资格评审及评标办法</w:t>
      </w:r>
      <w:r>
        <w:rPr>
          <w:rFonts w:hint="eastAsia" w:ascii="仿宋" w:hAnsi="仿宋" w:eastAsia="仿宋" w:cs="仿宋"/>
          <w:color w:val="auto"/>
          <w:sz w:val="24"/>
          <w:szCs w:val="24"/>
          <w:highlight w:val="none"/>
        </w:rPr>
        <w:t>”内容。</w:t>
      </w:r>
    </w:p>
    <w:p w14:paraId="4455D659">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109" w:name="_Toc8575"/>
      <w:r>
        <w:rPr>
          <w:rFonts w:hint="eastAsia" w:ascii="仿宋" w:hAnsi="仿宋" w:eastAsia="仿宋" w:cs="仿宋"/>
          <w:color w:val="auto"/>
          <w:sz w:val="24"/>
          <w:szCs w:val="24"/>
          <w:highlight w:val="none"/>
          <w:lang w:val="en-US" w:eastAsia="zh-CN"/>
        </w:rPr>
        <w:t>五、定标</w:t>
      </w:r>
      <w:bookmarkEnd w:id="109"/>
    </w:p>
    <w:p w14:paraId="284DAE6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（一）定标原则</w:t>
      </w:r>
    </w:p>
    <w:p w14:paraId="3DAE04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采购人或其授权的评标委员会应按照评标报告中推荐的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候选人排名顺序确定</w:t>
      </w:r>
      <w:r>
        <w:rPr>
          <w:rFonts w:hint="eastAsia" w:ascii="仿宋" w:hAnsi="仿宋" w:eastAsia="仿宋" w:cs="仿宋"/>
          <w:color w:val="auto"/>
          <w:sz w:val="24"/>
          <w:szCs w:val="24"/>
          <w:highlight w:val="none"/>
          <w:lang w:val="en-US" w:eastAsia="zh-CN"/>
        </w:rPr>
        <w:t>1名成交供应商</w:t>
      </w:r>
      <w:r>
        <w:rPr>
          <w:rFonts w:hint="eastAsia" w:ascii="仿宋" w:hAnsi="仿宋" w:eastAsia="仿宋" w:cs="仿宋"/>
          <w:color w:val="auto"/>
          <w:sz w:val="24"/>
          <w:szCs w:val="24"/>
          <w:highlight w:val="none"/>
        </w:rPr>
        <w:t>。</w:t>
      </w:r>
    </w:p>
    <w:p w14:paraId="299F457C">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（二）定标程序</w:t>
      </w:r>
    </w:p>
    <w:p w14:paraId="71722E21">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应当在评标结束后2个工作日内将评标报告送采购人。</w:t>
      </w:r>
    </w:p>
    <w:p w14:paraId="2054C44C">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采购人应当自收到评标报告之日起５个工作日内，在评标报告确定的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候选人名单中按顺序确定</w:t>
      </w:r>
      <w:r>
        <w:rPr>
          <w:rFonts w:hint="eastAsia" w:ascii="仿宋" w:hAnsi="仿宋" w:eastAsia="仿宋" w:cs="仿宋"/>
          <w:color w:val="auto"/>
          <w:sz w:val="24"/>
          <w:szCs w:val="24"/>
          <w:highlight w:val="none"/>
          <w:lang w:val="en-US" w:eastAsia="zh-CN"/>
        </w:rPr>
        <w:t>1名成交供应商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候选人并列的，由采购人或者采购人委托评标委员会按照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规定的方式确定</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未规定的，采取随机抽取的方式确定。</w:t>
      </w:r>
    </w:p>
    <w:p w14:paraId="5B8FA9C1">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3.采购人应当自</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确定之日起2个工作日内，在重庆市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上公示成交</w:t>
      </w:r>
      <w:r>
        <w:rPr>
          <w:rFonts w:hint="eastAsia" w:ascii="仿宋" w:hAnsi="仿宋" w:eastAsia="仿宋" w:cs="仿宋"/>
          <w:color w:val="auto"/>
          <w:sz w:val="24"/>
          <w:szCs w:val="24"/>
          <w:highlight w:val="none"/>
        </w:rPr>
        <w:t>结果。</w:t>
      </w:r>
      <w:r>
        <w:rPr>
          <w:rFonts w:hint="eastAsia" w:ascii="仿宋" w:hAnsi="仿宋" w:eastAsia="仿宋" w:cs="仿宋"/>
          <w:color w:val="auto"/>
          <w:sz w:val="24"/>
          <w:szCs w:val="24"/>
          <w:highlight w:val="none"/>
          <w:lang w:val="en-US" w:eastAsia="zh-CN"/>
        </w:rPr>
        <w:t>成交结果</w:t>
      </w:r>
      <w:r>
        <w:rPr>
          <w:rFonts w:hint="eastAsia" w:ascii="仿宋" w:hAnsi="仿宋" w:eastAsia="仿宋" w:cs="仿宋"/>
          <w:color w:val="auto"/>
          <w:sz w:val="24"/>
          <w:szCs w:val="24"/>
          <w:highlight w:val="none"/>
        </w:rPr>
        <w:t>公告期限为1个工作日。</w:t>
      </w:r>
    </w:p>
    <w:p w14:paraId="07211406">
      <w:pPr>
        <w:pStyle w:val="9"/>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变更</w:t>
      </w:r>
    </w:p>
    <w:p w14:paraId="08A275A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拒绝与采购人签订合同的，采购人可以按照评标报告推荐的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候选人顺序，确定排名下一位的候选人为</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，也可以重新开展采购活动。</w:t>
      </w:r>
    </w:p>
    <w:p w14:paraId="5DD39200">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lang w:val="en-US" w:eastAsia="zh-CN"/>
        </w:rPr>
      </w:pPr>
      <w:bookmarkStart w:id="110" w:name="_Toc493506310"/>
      <w:bookmarkStart w:id="111" w:name="_Toc6153"/>
      <w:r>
        <w:rPr>
          <w:rFonts w:hint="eastAsia" w:ascii="仿宋" w:hAnsi="仿宋" w:eastAsia="仿宋" w:cs="仿宋"/>
          <w:color w:val="auto"/>
          <w:sz w:val="24"/>
          <w:szCs w:val="24"/>
          <w:highlight w:val="none"/>
          <w:lang w:val="en-US" w:eastAsia="zh-CN"/>
        </w:rPr>
        <w:t>七、成交通知书</w:t>
      </w:r>
      <w:bookmarkEnd w:id="110"/>
      <w:bookmarkEnd w:id="111"/>
    </w:p>
    <w:p w14:paraId="005F989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0"/>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"http://www.cqgp.gov.cn）上发布成交结果公示。"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上</w:t>
      </w:r>
      <w:r>
        <w:rPr>
          <w:rFonts w:hint="eastAsia" w:ascii="仿宋" w:hAnsi="仿宋" w:eastAsia="仿宋" w:cs="仿宋"/>
          <w:color w:val="auto"/>
          <w:sz w:val="24"/>
          <w:szCs w:val="24"/>
          <w:highlight w:val="none"/>
          <w:lang w:val="en-US" w:eastAsia="zh-CN"/>
        </w:rPr>
        <w:t>公示</w:t>
      </w:r>
      <w:r>
        <w:rPr>
          <w:rFonts w:hint="eastAsia" w:ascii="仿宋" w:hAnsi="仿宋" w:eastAsia="仿宋" w:cs="仿宋"/>
          <w:color w:val="auto"/>
          <w:sz w:val="24"/>
          <w:szCs w:val="24"/>
          <w:highlight w:val="none"/>
        </w:rPr>
        <w:t>成交结果公</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14:paraId="576B068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）《成交通知书》将作为签订合同的依据。</w:t>
      </w:r>
    </w:p>
    <w:p w14:paraId="267516D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）如有供应商对成交结果提出质疑的，在质疑处理完毕后发出成交通知书。</w:t>
      </w:r>
    </w:p>
    <w:p w14:paraId="05A0D98C">
      <w:pPr>
        <w:pageBreakBefore w:val="0"/>
        <w:widowControl w:val="0"/>
        <w:kinsoku/>
        <w:wordWrap/>
        <w:overflowPunct/>
        <w:topLinePunct w:val="0"/>
        <w:autoSpaceDE/>
        <w:autoSpaceDN/>
        <w:bidi w:val="0"/>
        <w:adjustRightInd/>
        <w:snapToGrid w:val="0"/>
        <w:spacing w:line="440" w:lineRule="exact"/>
        <w:ind w:firstLine="480" w:firstLineChars="200"/>
        <w:textAlignment w:val="auto"/>
        <w:rPr>
          <w:rStyle w:val="22"/>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lang w:val="en-US" w:eastAsia="zh-CN"/>
        </w:rPr>
        <w:t>（四）成交</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放弃中标，应当承担相应的法律责任。</w:t>
      </w:r>
      <w:bookmarkEnd w:id="26"/>
      <w:bookmarkEnd w:id="102"/>
      <w:bookmarkEnd w:id="103"/>
      <w:bookmarkEnd w:id="104"/>
      <w:bookmarkEnd w:id="105"/>
      <w:bookmarkEnd w:id="106"/>
      <w:bookmarkEnd w:id="107"/>
      <w:bookmarkStart w:id="112" w:name="_Toc12789058"/>
      <w:bookmarkStart w:id="113" w:name="_Toc128744993"/>
    </w:p>
    <w:bookmarkEnd w:id="112"/>
    <w:bookmarkEnd w:id="113"/>
    <w:p w14:paraId="4B487BCE">
      <w:pPr>
        <w:rPr>
          <w:rStyle w:val="22"/>
          <w:rFonts w:hint="eastAsia" w:ascii="仿宋" w:hAnsi="仿宋" w:eastAsia="仿宋" w:cs="仿宋"/>
          <w:b/>
          <w:bCs/>
          <w:color w:val="auto"/>
          <w:sz w:val="36"/>
          <w:szCs w:val="36"/>
          <w:highlight w:val="none"/>
        </w:rPr>
      </w:pPr>
      <w:r>
        <w:rPr>
          <w:rStyle w:val="22"/>
          <w:rFonts w:hint="eastAsia" w:ascii="仿宋" w:hAnsi="仿宋" w:eastAsia="仿宋" w:cs="仿宋"/>
          <w:b/>
          <w:bCs/>
          <w:color w:val="auto"/>
          <w:sz w:val="36"/>
          <w:szCs w:val="36"/>
          <w:highlight w:val="none"/>
        </w:rPr>
        <w:br w:type="page"/>
      </w:r>
    </w:p>
    <w:p w14:paraId="1F781093">
      <w:pPr>
        <w:widowControl/>
        <w:numPr>
          <w:ilvl w:val="0"/>
          <w:numId w:val="0"/>
        </w:numPr>
        <w:ind w:leftChars="0"/>
        <w:jc w:val="center"/>
        <w:rPr>
          <w:rStyle w:val="22"/>
          <w:rFonts w:hint="eastAsia" w:ascii="仿宋" w:hAnsi="仿宋" w:eastAsia="仿宋" w:cs="仿宋"/>
          <w:b/>
          <w:bCs/>
          <w:color w:val="auto"/>
          <w:sz w:val="32"/>
          <w:szCs w:val="32"/>
          <w:highlight w:val="none"/>
        </w:rPr>
      </w:pPr>
      <w:bookmarkStart w:id="114" w:name="_Toc26968"/>
      <w:r>
        <w:rPr>
          <w:rStyle w:val="22"/>
          <w:rFonts w:hint="eastAsia" w:ascii="仿宋" w:hAnsi="仿宋" w:eastAsia="仿宋" w:cs="仿宋"/>
          <w:b/>
          <w:bCs/>
          <w:color w:val="auto"/>
          <w:sz w:val="32"/>
          <w:szCs w:val="32"/>
          <w:highlight w:val="none"/>
          <w:lang w:val="en-US" w:eastAsia="zh-CN"/>
        </w:rPr>
        <w:t>第六篇</w:t>
      </w:r>
      <w:r>
        <w:rPr>
          <w:rStyle w:val="22"/>
          <w:rFonts w:hint="eastAsia" w:ascii="仿宋" w:hAnsi="仿宋" w:eastAsia="仿宋" w:cs="仿宋"/>
          <w:b/>
          <w:bCs/>
          <w:color w:val="auto"/>
          <w:sz w:val="32"/>
          <w:szCs w:val="32"/>
          <w:highlight w:val="none"/>
        </w:rPr>
        <w:t xml:space="preserve"> 合同主要条款和格式合同</w:t>
      </w:r>
      <w:bookmarkEnd w:id="114"/>
    </w:p>
    <w:p w14:paraId="4211D52E">
      <w:pPr>
        <w:pStyle w:val="6"/>
        <w:numPr>
          <w:ilvl w:val="0"/>
          <w:numId w:val="0"/>
        </w:numPr>
        <w:ind w:leftChars="0"/>
        <w:rPr>
          <w:rFonts w:hint="eastAsia" w:ascii="仿宋" w:hAnsi="仿宋" w:eastAsia="仿宋" w:cs="仿宋"/>
          <w:color w:val="auto"/>
          <w:highlight w:val="none"/>
        </w:rPr>
      </w:pPr>
    </w:p>
    <w:p w14:paraId="67A4B96C">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由成交供应商与采购人自行拟定</w:t>
      </w:r>
    </w:p>
    <w:p w14:paraId="6CF746CA">
      <w:pPr>
        <w:widowControl/>
        <w:jc w:val="center"/>
        <w:rPr>
          <w:rFonts w:hint="eastAsia" w:ascii="仿宋" w:hAnsi="仿宋" w:eastAsia="仿宋" w:cs="仿宋"/>
          <w:color w:val="auto"/>
          <w:highlight w:val="none"/>
        </w:rPr>
      </w:pPr>
    </w:p>
    <w:p w14:paraId="5472C8C3">
      <w:pPr>
        <w:widowControl/>
        <w:jc w:val="center"/>
        <w:rPr>
          <w:rFonts w:hint="eastAsia" w:ascii="仿宋" w:hAnsi="仿宋" w:eastAsia="仿宋" w:cs="仿宋"/>
          <w:color w:val="auto"/>
          <w:highlight w:val="none"/>
        </w:rPr>
      </w:pPr>
    </w:p>
    <w:p w14:paraId="0DA762C3">
      <w:pPr>
        <w:widowControl/>
        <w:rPr>
          <w:rFonts w:hint="eastAsia" w:ascii="仿宋" w:hAnsi="仿宋" w:eastAsia="仿宋" w:cs="仿宋"/>
          <w:color w:val="auto"/>
          <w:highlight w:val="none"/>
        </w:rPr>
      </w:pPr>
    </w:p>
    <w:p w14:paraId="3E038DA1">
      <w:pPr>
        <w:widowControl/>
        <w:jc w:val="center"/>
        <w:rPr>
          <w:rFonts w:hint="eastAsia" w:ascii="仿宋" w:hAnsi="仿宋" w:eastAsia="仿宋" w:cs="仿宋"/>
          <w:color w:val="auto"/>
          <w:highlight w:val="none"/>
        </w:rPr>
      </w:pPr>
    </w:p>
    <w:p w14:paraId="1050D716">
      <w:pPr>
        <w:rPr>
          <w:rStyle w:val="22"/>
          <w:rFonts w:hint="eastAsia" w:ascii="仿宋" w:hAnsi="仿宋" w:eastAsia="仿宋" w:cs="仿宋"/>
          <w:color w:val="auto"/>
          <w:sz w:val="36"/>
          <w:szCs w:val="36"/>
          <w:highlight w:val="none"/>
        </w:rPr>
      </w:pPr>
    </w:p>
    <w:p w14:paraId="1101E12A">
      <w:pPr>
        <w:pStyle w:val="3"/>
        <w:jc w:val="center"/>
        <w:rPr>
          <w:rStyle w:val="22"/>
          <w:rFonts w:hint="eastAsia" w:ascii="仿宋" w:hAnsi="仿宋" w:eastAsia="仿宋" w:cs="仿宋"/>
          <w:b/>
          <w:bCs/>
          <w:color w:val="auto"/>
          <w:sz w:val="36"/>
          <w:szCs w:val="36"/>
          <w:highlight w:val="none"/>
        </w:rPr>
      </w:pPr>
      <w:r>
        <w:rPr>
          <w:rFonts w:hint="eastAsia" w:ascii="仿宋" w:hAnsi="仿宋" w:eastAsia="仿宋" w:cs="仿宋"/>
          <w:bCs w:val="0"/>
          <w:color w:val="auto"/>
          <w:sz w:val="36"/>
          <w:szCs w:val="36"/>
          <w:highlight w:val="none"/>
        </w:rPr>
        <w:br w:type="page"/>
      </w:r>
      <w:bookmarkStart w:id="115" w:name="_Toc11628"/>
      <w:r>
        <w:rPr>
          <w:rStyle w:val="22"/>
          <w:rFonts w:hint="eastAsia" w:ascii="仿宋" w:hAnsi="仿宋" w:eastAsia="仿宋" w:cs="仿宋"/>
          <w:b/>
          <w:bCs/>
          <w:color w:val="auto"/>
          <w:sz w:val="32"/>
          <w:szCs w:val="32"/>
          <w:highlight w:val="none"/>
        </w:rPr>
        <w:t>第</w:t>
      </w:r>
      <w:r>
        <w:rPr>
          <w:rStyle w:val="22"/>
          <w:rFonts w:hint="eastAsia" w:ascii="仿宋" w:hAnsi="仿宋" w:eastAsia="仿宋" w:cs="仿宋"/>
          <w:b/>
          <w:bCs/>
          <w:color w:val="auto"/>
          <w:sz w:val="32"/>
          <w:szCs w:val="32"/>
          <w:highlight w:val="none"/>
          <w:lang w:val="en-US" w:eastAsia="zh-CN"/>
        </w:rPr>
        <w:t>七</w:t>
      </w:r>
      <w:r>
        <w:rPr>
          <w:rStyle w:val="22"/>
          <w:rFonts w:hint="eastAsia" w:ascii="仿宋" w:hAnsi="仿宋" w:eastAsia="仿宋" w:cs="仿宋"/>
          <w:b/>
          <w:bCs/>
          <w:color w:val="auto"/>
          <w:sz w:val="32"/>
          <w:szCs w:val="32"/>
          <w:highlight w:val="none"/>
        </w:rPr>
        <w:t>篇  响应文件格式要求</w:t>
      </w:r>
      <w:bookmarkEnd w:id="115"/>
    </w:p>
    <w:p w14:paraId="0B9A948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29B183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9F1AC1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二、技术部分</w:t>
      </w:r>
    </w:p>
    <w:p w14:paraId="3BA2390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）技术响应偏离表</w:t>
      </w:r>
    </w:p>
    <w:p w14:paraId="3934D2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服务方案</w:t>
      </w:r>
    </w:p>
    <w:p w14:paraId="04976FB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158E15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1875126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商务部分相关证明材料</w:t>
      </w:r>
    </w:p>
    <w:p w14:paraId="5F930D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其它优惠承诺</w:t>
      </w:r>
    </w:p>
    <w:p w14:paraId="0887FA6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4CBA294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3398FE7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6A8D1D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2CA9B56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224D7F6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基本资格条件承诺函</w:t>
      </w:r>
      <w:r>
        <w:rPr>
          <w:rFonts w:hint="eastAsia" w:ascii="仿宋" w:hAnsi="仿宋" w:eastAsia="仿宋" w:cs="仿宋"/>
          <w:color w:val="auto"/>
          <w:sz w:val="24"/>
          <w:szCs w:val="24"/>
          <w:highlight w:val="none"/>
        </w:rPr>
        <w:t>（格式）</w:t>
      </w:r>
    </w:p>
    <w:p w14:paraId="20BCCC77">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（六）特定资格条件证明材料（如有）</w:t>
      </w:r>
    </w:p>
    <w:p w14:paraId="74ED104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5E86CD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p>
    <w:p w14:paraId="69B06977">
      <w:pPr>
        <w:pStyle w:val="6"/>
        <w:rPr>
          <w:rFonts w:hint="eastAsia" w:ascii="仿宋" w:hAnsi="仿宋" w:eastAsia="仿宋" w:cs="仿宋"/>
          <w:color w:val="auto"/>
          <w:highlight w:val="none"/>
        </w:rPr>
      </w:pPr>
    </w:p>
    <w:p w14:paraId="589BF458">
      <w:pPr>
        <w:pStyle w:val="25"/>
        <w:ind w:left="0"/>
        <w:jc w:val="both"/>
        <w:rPr>
          <w:rFonts w:hint="eastAsia" w:ascii="仿宋" w:hAnsi="仿宋" w:eastAsia="仿宋" w:cs="仿宋"/>
          <w:color w:val="auto"/>
          <w:highlight w:val="none"/>
        </w:rPr>
        <w:sectPr>
          <w:headerReference r:id="rId9" w:type="default"/>
          <w:footerReference r:id="rId10" w:type="default"/>
          <w:pgSz w:w="11907" w:h="16840"/>
          <w:pgMar w:top="1134" w:right="1191" w:bottom="1134" w:left="1304" w:header="851" w:footer="992" w:gutter="0"/>
          <w:pgNumType w:fmt="decimal"/>
          <w:cols w:space="720" w:num="1"/>
        </w:sectPr>
      </w:pPr>
    </w:p>
    <w:p w14:paraId="4D9EBFDF">
      <w:pPr>
        <w:pStyle w:val="4"/>
        <w:spacing w:before="0" w:after="0" w:line="360" w:lineRule="auto"/>
        <w:rPr>
          <w:rFonts w:hint="eastAsia" w:ascii="仿宋" w:hAnsi="仿宋" w:eastAsia="仿宋" w:cs="仿宋"/>
          <w:color w:val="auto"/>
          <w:sz w:val="28"/>
          <w:szCs w:val="28"/>
          <w:highlight w:val="none"/>
        </w:rPr>
      </w:pPr>
      <w:bookmarkStart w:id="116" w:name="_Toc486608277"/>
      <w:bookmarkStart w:id="117" w:name="_Toc14854"/>
      <w:bookmarkStart w:id="118" w:name="_Toc9358"/>
      <w:bookmarkStart w:id="119" w:name="_Toc486585240"/>
      <w:bookmarkStart w:id="120" w:name="_Toc487204797"/>
      <w:r>
        <w:rPr>
          <w:rFonts w:hint="eastAsia" w:ascii="仿宋" w:hAnsi="仿宋" w:eastAsia="仿宋" w:cs="仿宋"/>
          <w:color w:val="auto"/>
          <w:sz w:val="28"/>
          <w:szCs w:val="28"/>
          <w:highlight w:val="none"/>
        </w:rPr>
        <w:t>一、经济部分</w:t>
      </w:r>
      <w:bookmarkEnd w:id="116"/>
      <w:bookmarkEnd w:id="117"/>
      <w:bookmarkEnd w:id="118"/>
      <w:bookmarkEnd w:id="119"/>
      <w:bookmarkEnd w:id="120"/>
    </w:p>
    <w:p w14:paraId="2CC9C11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EEA76A5">
      <w:pPr>
        <w:tabs>
          <w:tab w:val="left" w:pos="6300"/>
        </w:tabs>
        <w:snapToGrid w:val="0"/>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报价函</w:t>
      </w:r>
    </w:p>
    <w:p w14:paraId="57D02F3B">
      <w:pPr>
        <w:shd w:val="clear"/>
        <w:tabs>
          <w:tab w:val="left" w:pos="6300"/>
        </w:tabs>
        <w:snapToGrid w:val="0"/>
        <w:spacing w:line="312"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0A480893">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rPr>
        <w:t>____________________________</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文件，经详细研究，决定参加该项目的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A226FCC">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文件中的一切要求，提供本项目采购内容及相关服务，</w:t>
      </w:r>
      <w:r>
        <w:rPr>
          <w:rFonts w:hint="eastAsia" w:ascii="仿宋" w:hAnsi="仿宋" w:eastAsia="仿宋" w:cs="仿宋"/>
          <w:color w:val="auto"/>
          <w:sz w:val="24"/>
          <w:szCs w:val="24"/>
          <w:highlight w:val="none"/>
          <w:lang w:val="en-US" w:eastAsia="zh-CN"/>
        </w:rPr>
        <w:t>投标总报价金额为</w:t>
      </w: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元 </w:t>
      </w:r>
      <w:r>
        <w:rPr>
          <w:rFonts w:hint="eastAsia" w:ascii="仿宋" w:hAnsi="仿宋" w:eastAsia="仿宋" w:cs="仿宋"/>
          <w:color w:val="auto"/>
          <w:sz w:val="24"/>
          <w:szCs w:val="24"/>
          <w:highlight w:val="none"/>
        </w:rPr>
        <w:t>。</w:t>
      </w:r>
    </w:p>
    <w:p w14:paraId="52224700">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w:t>
      </w:r>
      <w:r>
        <w:rPr>
          <w:rFonts w:hint="eastAsia" w:ascii="仿宋" w:hAnsi="仿宋" w:eastAsia="仿宋" w:cs="仿宋"/>
          <w:color w:val="auto"/>
          <w:sz w:val="24"/>
          <w:szCs w:val="24"/>
          <w:highlight w:val="none"/>
          <w:lang w:val="en-US" w:eastAsia="zh-CN"/>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rPr>
        <w:t>。</w:t>
      </w:r>
    </w:p>
    <w:p w14:paraId="6A6DCB7E">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45B1C45D">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文件的一切规定和要求及评审办法。</w:t>
      </w:r>
    </w:p>
    <w:p w14:paraId="12DB6A69">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》之规定给予惩罚。</w:t>
      </w:r>
    </w:p>
    <w:p w14:paraId="24176A24">
      <w:pPr>
        <w:shd w:val="clear"/>
        <w:tabs>
          <w:tab w:val="left" w:pos="6300"/>
        </w:tabs>
        <w:snapToGrid w:val="0"/>
        <w:spacing w:line="312"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0546C408">
      <w:pPr>
        <w:shd w:val="clea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如果我方成为成交供应商，保证在接到成交通知书前，向采购代理机构缴纳</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文件规定的采购代理服务费。</w:t>
      </w:r>
    </w:p>
    <w:p w14:paraId="7DC9C6C6">
      <w:pPr>
        <w:shd w:val="clea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1849D5CF">
      <w:pPr>
        <w:shd w:val="clear"/>
        <w:tabs>
          <w:tab w:val="left" w:pos="6300"/>
        </w:tabs>
        <w:snapToGrid w:val="0"/>
        <w:spacing w:line="312" w:lineRule="auto"/>
        <w:ind w:firstLine="570"/>
        <w:rPr>
          <w:rFonts w:hint="eastAsia" w:ascii="仿宋" w:hAnsi="仿宋" w:eastAsia="仿宋" w:cs="仿宋"/>
          <w:color w:val="auto"/>
          <w:sz w:val="24"/>
          <w:szCs w:val="24"/>
          <w:highlight w:val="none"/>
        </w:rPr>
      </w:pPr>
    </w:p>
    <w:p w14:paraId="76B534C2">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83105EC">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6F008BCB">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466DA0D">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9ED557F">
      <w:pPr>
        <w:shd w:val="clea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2E1DA63">
      <w:pPr>
        <w:shd w:val="clea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B77150C">
      <w:pPr>
        <w:pStyle w:val="6"/>
        <w:rPr>
          <w:rFonts w:hint="eastAsia" w:ascii="仿宋" w:hAnsi="仿宋" w:eastAsia="仿宋" w:cs="仿宋"/>
          <w:color w:val="auto"/>
          <w:sz w:val="24"/>
          <w:szCs w:val="24"/>
          <w:highlight w:val="none"/>
        </w:rPr>
      </w:pPr>
    </w:p>
    <w:p w14:paraId="7D8FE5BE">
      <w:pPr>
        <w:rPr>
          <w:rFonts w:hint="eastAsia" w:ascii="仿宋" w:hAnsi="仿宋" w:eastAsia="仿宋" w:cs="仿宋"/>
          <w:color w:val="auto"/>
          <w:sz w:val="28"/>
          <w:szCs w:val="28"/>
          <w:highlight w:val="none"/>
        </w:rPr>
      </w:pPr>
      <w:bookmarkStart w:id="121" w:name="_Toc486585241"/>
      <w:bookmarkStart w:id="122" w:name="_Toc487204798"/>
      <w:bookmarkStart w:id="123" w:name="_Toc24658"/>
      <w:bookmarkStart w:id="124" w:name="_Toc3192"/>
      <w:bookmarkStart w:id="125" w:name="_Toc486608278"/>
      <w:r>
        <w:rPr>
          <w:rFonts w:hint="eastAsia" w:ascii="仿宋" w:hAnsi="仿宋" w:eastAsia="仿宋" w:cs="仿宋"/>
          <w:color w:val="auto"/>
          <w:sz w:val="28"/>
          <w:szCs w:val="28"/>
          <w:highlight w:val="none"/>
        </w:rPr>
        <w:br w:type="page"/>
      </w:r>
    </w:p>
    <w:p w14:paraId="17D5A0FB">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二、技术部分</w:t>
      </w:r>
      <w:bookmarkEnd w:id="121"/>
      <w:bookmarkEnd w:id="122"/>
      <w:bookmarkEnd w:id="123"/>
      <w:bookmarkEnd w:id="124"/>
      <w:bookmarkEnd w:id="125"/>
    </w:p>
    <w:p w14:paraId="58C2D69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（一）技术响应偏离表</w:t>
      </w:r>
    </w:p>
    <w:p w14:paraId="11D99B5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D36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42EC829">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noWrap w:val="0"/>
            <w:vAlign w:val="center"/>
          </w:tcPr>
          <w:p w14:paraId="198854AF">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noWrap w:val="0"/>
            <w:vAlign w:val="center"/>
          </w:tcPr>
          <w:p w14:paraId="43993A23">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noWrap w:val="0"/>
            <w:vAlign w:val="center"/>
          </w:tcPr>
          <w:p w14:paraId="2D765F00">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2A90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5A9D2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C89D9D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7874014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09A9973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257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BB82E0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3CDA65B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78DD757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49238B6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A1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3D111B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8278EA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5E94666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758A25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EB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1EE9E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25E88F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7CEE69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317CAC5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3B4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B7ABA8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7D080E7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60D847B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51996C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BDA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5E902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08A4595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1EDF37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2E78CC5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9E6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C81AAC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658" w:type="dxa"/>
            <w:noWrap w:val="0"/>
            <w:vAlign w:val="center"/>
          </w:tcPr>
          <w:p w14:paraId="537F83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759" w:type="dxa"/>
            <w:noWrap w:val="0"/>
            <w:vAlign w:val="center"/>
          </w:tcPr>
          <w:p w14:paraId="0AE42B5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067" w:type="dxa"/>
            <w:noWrap w:val="0"/>
            <w:vAlign w:val="center"/>
          </w:tcPr>
          <w:p w14:paraId="1AAE258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3D28DF9A">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1431DDC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769402F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153F7C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96A668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 xml:space="preserve">篇  </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需求”中</w:t>
      </w:r>
      <w:r>
        <w:rPr>
          <w:rFonts w:hint="eastAsia" w:ascii="仿宋" w:hAnsi="仿宋" w:eastAsia="仿宋" w:cs="仿宋"/>
          <w:color w:val="auto"/>
          <w:kern w:val="2"/>
          <w:sz w:val="24"/>
          <w:szCs w:val="24"/>
          <w:highlight w:val="none"/>
          <w:lang w:val="en-US" w:eastAsia="zh-CN" w:bidi="ar-SA"/>
        </w:rPr>
        <w:t>的所有内容</w:t>
      </w:r>
      <w:r>
        <w:rPr>
          <w:rFonts w:hint="eastAsia" w:ascii="仿宋" w:hAnsi="仿宋" w:eastAsia="仿宋" w:cs="仿宋"/>
          <w:color w:val="auto"/>
          <w:sz w:val="24"/>
          <w:szCs w:val="24"/>
          <w:highlight w:val="none"/>
        </w:rPr>
        <w:t>进行比较和响应；</w:t>
      </w:r>
    </w:p>
    <w:p w14:paraId="19056C1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5113680A">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49F615A">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7B05A2F1">
      <w:pPr>
        <w:spacing w:line="360" w:lineRule="auto"/>
        <w:ind w:firstLine="480" w:firstLineChars="200"/>
        <w:rPr>
          <w:rFonts w:hint="eastAsia" w:ascii="仿宋" w:hAnsi="仿宋" w:eastAsia="仿宋" w:cs="仿宋"/>
          <w:color w:val="auto"/>
          <w:sz w:val="24"/>
          <w:szCs w:val="24"/>
          <w:highlight w:val="none"/>
        </w:rPr>
      </w:pPr>
    </w:p>
    <w:p w14:paraId="4D5E5B8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73B07F9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（二）服务方案</w:t>
      </w:r>
    </w:p>
    <w:p w14:paraId="522BF339">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供应商根据招标文件“第四篇 资格审查及评标办法”中服务部分的评审标准编制服务方案，</w:t>
      </w:r>
      <w:r>
        <w:rPr>
          <w:rFonts w:hint="eastAsia" w:ascii="仿宋" w:hAnsi="仿宋" w:eastAsia="仿宋" w:cs="仿宋"/>
          <w:color w:val="auto"/>
          <w:sz w:val="24"/>
          <w:szCs w:val="24"/>
          <w:highlight w:val="none"/>
        </w:rPr>
        <w:t>格式自拟</w:t>
      </w:r>
      <w:r>
        <w:rPr>
          <w:rFonts w:hint="eastAsia" w:ascii="仿宋" w:hAnsi="仿宋" w:eastAsia="仿宋" w:cs="仿宋"/>
          <w:color w:val="auto"/>
          <w:sz w:val="24"/>
          <w:szCs w:val="24"/>
          <w:highlight w:val="none"/>
          <w:lang w:eastAsia="zh-CN"/>
        </w:rPr>
        <w:t>。</w:t>
      </w:r>
    </w:p>
    <w:p w14:paraId="5EFC0A68">
      <w:pPr>
        <w:snapToGrid w:val="0"/>
        <w:spacing w:line="360" w:lineRule="auto"/>
        <w:jc w:val="center"/>
        <w:rPr>
          <w:rFonts w:hint="eastAsia" w:ascii="仿宋" w:hAnsi="仿宋" w:eastAsia="仿宋" w:cs="仿宋"/>
          <w:color w:val="auto"/>
          <w:highlight w:val="none"/>
        </w:rPr>
      </w:pPr>
    </w:p>
    <w:p w14:paraId="2668EFBD">
      <w:pPr>
        <w:snapToGrid w:val="0"/>
        <w:spacing w:line="360" w:lineRule="auto"/>
        <w:jc w:val="center"/>
        <w:rPr>
          <w:rFonts w:hint="eastAsia" w:ascii="仿宋" w:hAnsi="仿宋" w:eastAsia="仿宋" w:cs="仿宋"/>
          <w:color w:val="auto"/>
          <w:highlight w:val="none"/>
        </w:rPr>
      </w:pPr>
    </w:p>
    <w:p w14:paraId="0182B7D2">
      <w:pPr>
        <w:snapToGrid w:val="0"/>
        <w:spacing w:line="360" w:lineRule="auto"/>
        <w:jc w:val="center"/>
        <w:rPr>
          <w:rFonts w:hint="eastAsia" w:ascii="仿宋" w:hAnsi="仿宋" w:eastAsia="仿宋" w:cs="仿宋"/>
          <w:color w:val="auto"/>
          <w:highlight w:val="none"/>
        </w:rPr>
      </w:pPr>
    </w:p>
    <w:p w14:paraId="0ABB29A5">
      <w:pPr>
        <w:snapToGrid w:val="0"/>
        <w:spacing w:line="360" w:lineRule="auto"/>
        <w:jc w:val="center"/>
        <w:rPr>
          <w:rFonts w:hint="eastAsia" w:ascii="仿宋" w:hAnsi="仿宋" w:eastAsia="仿宋" w:cs="仿宋"/>
          <w:color w:val="auto"/>
          <w:highlight w:val="none"/>
        </w:rPr>
      </w:pPr>
    </w:p>
    <w:p w14:paraId="1AE80DD0">
      <w:pPr>
        <w:snapToGrid w:val="0"/>
        <w:spacing w:line="360" w:lineRule="auto"/>
        <w:jc w:val="center"/>
        <w:rPr>
          <w:rFonts w:hint="eastAsia" w:ascii="仿宋" w:hAnsi="仿宋" w:eastAsia="仿宋" w:cs="仿宋"/>
          <w:color w:val="auto"/>
          <w:highlight w:val="none"/>
        </w:rPr>
      </w:pPr>
    </w:p>
    <w:p w14:paraId="1B70AD38">
      <w:pPr>
        <w:snapToGrid w:val="0"/>
        <w:spacing w:line="360" w:lineRule="auto"/>
        <w:jc w:val="center"/>
        <w:rPr>
          <w:rFonts w:hint="eastAsia" w:ascii="仿宋" w:hAnsi="仿宋" w:eastAsia="仿宋" w:cs="仿宋"/>
          <w:color w:val="auto"/>
          <w:highlight w:val="none"/>
        </w:rPr>
      </w:pPr>
    </w:p>
    <w:p w14:paraId="4642A976">
      <w:pPr>
        <w:snapToGrid w:val="0"/>
        <w:spacing w:line="360" w:lineRule="auto"/>
        <w:jc w:val="center"/>
        <w:rPr>
          <w:rFonts w:hint="eastAsia" w:ascii="仿宋" w:hAnsi="仿宋" w:eastAsia="仿宋" w:cs="仿宋"/>
          <w:color w:val="auto"/>
          <w:highlight w:val="none"/>
        </w:rPr>
      </w:pPr>
    </w:p>
    <w:p w14:paraId="26DC75A6">
      <w:pPr>
        <w:snapToGrid w:val="0"/>
        <w:spacing w:line="360" w:lineRule="auto"/>
        <w:jc w:val="center"/>
        <w:rPr>
          <w:rFonts w:hint="eastAsia" w:ascii="仿宋" w:hAnsi="仿宋" w:eastAsia="仿宋" w:cs="仿宋"/>
          <w:color w:val="auto"/>
          <w:highlight w:val="none"/>
        </w:rPr>
      </w:pPr>
    </w:p>
    <w:p w14:paraId="24F7998B">
      <w:pPr>
        <w:snapToGrid w:val="0"/>
        <w:spacing w:line="360" w:lineRule="auto"/>
        <w:jc w:val="center"/>
        <w:rPr>
          <w:rFonts w:hint="eastAsia" w:ascii="仿宋" w:hAnsi="仿宋" w:eastAsia="仿宋" w:cs="仿宋"/>
          <w:color w:val="auto"/>
          <w:highlight w:val="none"/>
        </w:rPr>
      </w:pPr>
    </w:p>
    <w:p w14:paraId="47A6588D">
      <w:pPr>
        <w:snapToGrid w:val="0"/>
        <w:spacing w:line="360" w:lineRule="auto"/>
        <w:jc w:val="center"/>
        <w:rPr>
          <w:rFonts w:hint="eastAsia" w:ascii="仿宋" w:hAnsi="仿宋" w:eastAsia="仿宋" w:cs="仿宋"/>
          <w:color w:val="auto"/>
          <w:highlight w:val="none"/>
        </w:rPr>
      </w:pPr>
    </w:p>
    <w:p w14:paraId="05A1692C">
      <w:pPr>
        <w:snapToGrid w:val="0"/>
        <w:spacing w:line="360" w:lineRule="auto"/>
        <w:jc w:val="center"/>
        <w:rPr>
          <w:rFonts w:hint="eastAsia" w:ascii="仿宋" w:hAnsi="仿宋" w:eastAsia="仿宋" w:cs="仿宋"/>
          <w:color w:val="auto"/>
          <w:highlight w:val="none"/>
        </w:rPr>
      </w:pPr>
    </w:p>
    <w:p w14:paraId="307CB040">
      <w:pPr>
        <w:snapToGrid w:val="0"/>
        <w:spacing w:line="360" w:lineRule="auto"/>
        <w:jc w:val="center"/>
        <w:rPr>
          <w:rFonts w:hint="eastAsia" w:ascii="仿宋" w:hAnsi="仿宋" w:eastAsia="仿宋" w:cs="仿宋"/>
          <w:color w:val="auto"/>
          <w:highlight w:val="none"/>
        </w:rPr>
      </w:pPr>
    </w:p>
    <w:p w14:paraId="0C68E20D">
      <w:pPr>
        <w:snapToGrid w:val="0"/>
        <w:spacing w:line="360" w:lineRule="auto"/>
        <w:jc w:val="center"/>
        <w:rPr>
          <w:rFonts w:hint="eastAsia" w:ascii="仿宋" w:hAnsi="仿宋" w:eastAsia="仿宋" w:cs="仿宋"/>
          <w:color w:val="auto"/>
          <w:highlight w:val="none"/>
        </w:rPr>
      </w:pPr>
    </w:p>
    <w:p w14:paraId="23CA4801">
      <w:pPr>
        <w:snapToGrid w:val="0"/>
        <w:spacing w:line="360" w:lineRule="auto"/>
        <w:jc w:val="center"/>
        <w:rPr>
          <w:rFonts w:hint="eastAsia" w:ascii="仿宋" w:hAnsi="仿宋" w:eastAsia="仿宋" w:cs="仿宋"/>
          <w:color w:val="auto"/>
          <w:highlight w:val="none"/>
        </w:rPr>
      </w:pPr>
    </w:p>
    <w:p w14:paraId="2DB86FA2">
      <w:pPr>
        <w:snapToGrid w:val="0"/>
        <w:spacing w:line="360" w:lineRule="auto"/>
        <w:jc w:val="center"/>
        <w:rPr>
          <w:rFonts w:hint="eastAsia" w:ascii="仿宋" w:hAnsi="仿宋" w:eastAsia="仿宋" w:cs="仿宋"/>
          <w:color w:val="auto"/>
          <w:highlight w:val="none"/>
        </w:rPr>
      </w:pPr>
    </w:p>
    <w:p w14:paraId="1B7B260A">
      <w:pPr>
        <w:snapToGrid w:val="0"/>
        <w:spacing w:line="360" w:lineRule="auto"/>
        <w:jc w:val="center"/>
        <w:rPr>
          <w:rFonts w:hint="eastAsia" w:ascii="仿宋" w:hAnsi="仿宋" w:eastAsia="仿宋" w:cs="仿宋"/>
          <w:color w:val="auto"/>
          <w:highlight w:val="none"/>
        </w:rPr>
      </w:pPr>
    </w:p>
    <w:p w14:paraId="1F6E3CCA">
      <w:pPr>
        <w:snapToGrid w:val="0"/>
        <w:spacing w:line="360" w:lineRule="auto"/>
        <w:jc w:val="both"/>
        <w:rPr>
          <w:rFonts w:hint="eastAsia" w:ascii="仿宋" w:hAnsi="仿宋" w:eastAsia="仿宋" w:cs="仿宋"/>
          <w:color w:val="auto"/>
          <w:highlight w:val="none"/>
        </w:rPr>
      </w:pPr>
    </w:p>
    <w:p w14:paraId="40FCFA8C">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26" w:name="_Toc486585242"/>
      <w:bookmarkStart w:id="127" w:name="_Toc486608279"/>
      <w:bookmarkStart w:id="128" w:name="_Toc487204799"/>
      <w:bookmarkStart w:id="129" w:name="_Toc7672"/>
      <w:bookmarkStart w:id="130" w:name="_Toc17029"/>
      <w:r>
        <w:rPr>
          <w:rFonts w:hint="eastAsia" w:ascii="仿宋" w:hAnsi="仿宋" w:eastAsia="仿宋" w:cs="仿宋"/>
          <w:color w:val="auto"/>
          <w:sz w:val="28"/>
          <w:szCs w:val="28"/>
          <w:highlight w:val="none"/>
        </w:rPr>
        <w:t>三、商务部分</w:t>
      </w:r>
      <w:bookmarkEnd w:id="126"/>
      <w:bookmarkEnd w:id="127"/>
      <w:bookmarkEnd w:id="128"/>
      <w:bookmarkEnd w:id="129"/>
      <w:bookmarkEnd w:id="130"/>
    </w:p>
    <w:p w14:paraId="6E8F45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64C2AF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25B8378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的商务要求，如有任何偏离请如实填写下表：</w:t>
      </w:r>
    </w:p>
    <w:p w14:paraId="6189A546">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17"/>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F4F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583E18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noWrap w:val="0"/>
            <w:vAlign w:val="center"/>
          </w:tcPr>
          <w:p w14:paraId="67B44D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需求</w:t>
            </w:r>
          </w:p>
        </w:tc>
        <w:tc>
          <w:tcPr>
            <w:tcW w:w="2434" w:type="dxa"/>
            <w:noWrap w:val="0"/>
            <w:vAlign w:val="center"/>
          </w:tcPr>
          <w:p w14:paraId="6F4AF5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noWrap w:val="0"/>
            <w:vAlign w:val="center"/>
          </w:tcPr>
          <w:p w14:paraId="0AFAE6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差异</w:t>
            </w:r>
            <w:r>
              <w:rPr>
                <w:rFonts w:hint="eastAsia" w:ascii="仿宋" w:hAnsi="仿宋" w:eastAsia="仿宋" w:cs="仿宋"/>
                <w:color w:val="auto"/>
                <w:sz w:val="24"/>
                <w:szCs w:val="24"/>
                <w:highlight w:val="none"/>
              </w:rPr>
              <w:t>说明</w:t>
            </w:r>
          </w:p>
        </w:tc>
      </w:tr>
      <w:tr w14:paraId="4E8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7E961F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2EAEC11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21F0B5D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76B2953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31D8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2BF62D">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6D70D17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506F09A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56C463E4">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186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6EDD402">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0CA2B7AA">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10D2ABF1">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1ADD07C8">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589E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B498943">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01708A9B">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519D3E47">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34D0F8E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3FED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5750E8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769D316F">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21E7880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383F626B">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14:paraId="121D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BC77C9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3179" w:type="dxa"/>
            <w:noWrap w:val="0"/>
            <w:vAlign w:val="center"/>
          </w:tcPr>
          <w:p w14:paraId="5E74E40C">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434" w:type="dxa"/>
            <w:noWrap w:val="0"/>
            <w:vAlign w:val="center"/>
          </w:tcPr>
          <w:p w14:paraId="557E6EE9">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355" w:type="dxa"/>
            <w:noWrap w:val="0"/>
            <w:vAlign w:val="center"/>
          </w:tcPr>
          <w:p w14:paraId="1BF7F9E6">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14:paraId="56C052A7">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2C5A2534">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27ED4CE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7FE2A0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A0D039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 项目商务</w:t>
      </w:r>
      <w:r>
        <w:rPr>
          <w:rFonts w:hint="eastAsia" w:ascii="仿宋" w:hAnsi="仿宋" w:eastAsia="仿宋" w:cs="仿宋"/>
          <w:color w:val="auto"/>
          <w:sz w:val="24"/>
          <w:szCs w:val="24"/>
          <w:highlight w:val="none"/>
          <w:lang w:val="en-US" w:eastAsia="zh-CN"/>
        </w:rPr>
        <w:t>要</w:t>
      </w:r>
      <w:r>
        <w:rPr>
          <w:rFonts w:hint="eastAsia" w:ascii="仿宋" w:hAnsi="仿宋" w:eastAsia="仿宋" w:cs="仿宋"/>
          <w:color w:val="auto"/>
          <w:sz w:val="24"/>
          <w:szCs w:val="24"/>
          <w:highlight w:val="none"/>
        </w:rPr>
        <w:t>求”中</w:t>
      </w:r>
      <w:r>
        <w:rPr>
          <w:rFonts w:hint="eastAsia" w:ascii="仿宋" w:hAnsi="仿宋" w:eastAsia="仿宋" w:cs="仿宋"/>
          <w:color w:val="auto"/>
          <w:kern w:val="2"/>
          <w:sz w:val="24"/>
          <w:szCs w:val="24"/>
          <w:highlight w:val="none"/>
          <w:lang w:val="en-US" w:eastAsia="zh-CN" w:bidi="ar-SA"/>
        </w:rPr>
        <w:t>的所有内容</w:t>
      </w:r>
      <w:r>
        <w:rPr>
          <w:rFonts w:hint="eastAsia" w:ascii="仿宋" w:hAnsi="仿宋" w:eastAsia="仿宋" w:cs="仿宋"/>
          <w:color w:val="auto"/>
          <w:sz w:val="24"/>
          <w:szCs w:val="24"/>
          <w:highlight w:val="none"/>
        </w:rPr>
        <w:t>进行比较和响应；</w:t>
      </w:r>
    </w:p>
    <w:p w14:paraId="57F168C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要求逐条如实填写，根据响应情况在“差异说明”项填写正偏离或负偏离及原因，完全符合的填写“无差异”；</w:t>
      </w:r>
    </w:p>
    <w:p w14:paraId="222C9D3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754C4D3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商务部分相关证明材料</w:t>
      </w:r>
    </w:p>
    <w:p w14:paraId="08F4DA28">
      <w:pPr>
        <w:pStyle w:val="6"/>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供应商根据招标文件“第四篇 资格审查及评标办法”中商务部分的评审标准编制，</w:t>
      </w:r>
      <w:r>
        <w:rPr>
          <w:rFonts w:hint="eastAsia" w:ascii="仿宋" w:hAnsi="仿宋" w:eastAsia="仿宋" w:cs="仿宋"/>
          <w:color w:val="auto"/>
          <w:sz w:val="24"/>
          <w:szCs w:val="24"/>
          <w:highlight w:val="none"/>
        </w:rPr>
        <w:t>格式自拟</w:t>
      </w:r>
      <w:r>
        <w:rPr>
          <w:rFonts w:hint="eastAsia" w:ascii="仿宋" w:hAnsi="仿宋" w:eastAsia="仿宋" w:cs="仿宋"/>
          <w:color w:val="auto"/>
          <w:sz w:val="24"/>
          <w:szCs w:val="24"/>
          <w:highlight w:val="none"/>
          <w:lang w:eastAsia="zh-CN"/>
        </w:rPr>
        <w:t>。</w:t>
      </w:r>
    </w:p>
    <w:p w14:paraId="66552D57">
      <w:pPr>
        <w:spacing w:line="380" w:lineRule="exact"/>
        <w:ind w:firstLine="240" w:firstLineChars="100"/>
        <w:rPr>
          <w:rFonts w:hint="eastAsia" w:ascii="仿宋" w:hAnsi="仿宋" w:eastAsia="仿宋" w:cs="仿宋"/>
          <w:color w:val="auto"/>
          <w:sz w:val="24"/>
          <w:szCs w:val="24"/>
          <w:highlight w:val="none"/>
          <w:lang w:eastAsia="zh-CN"/>
        </w:rPr>
      </w:pPr>
    </w:p>
    <w:p w14:paraId="1EF27E59">
      <w:pPr>
        <w:spacing w:line="3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其它优惠承诺（格式自定）</w:t>
      </w:r>
    </w:p>
    <w:p w14:paraId="327D2F17">
      <w:pPr>
        <w:pStyle w:val="4"/>
        <w:spacing w:before="0" w:after="0" w:line="360" w:lineRule="auto"/>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131" w:name="_Toc8290"/>
      <w:bookmarkStart w:id="132" w:name="_Toc487204800"/>
      <w:bookmarkStart w:id="133" w:name="_Toc486608280"/>
      <w:bookmarkStart w:id="134" w:name="_Toc23557"/>
      <w:bookmarkStart w:id="135" w:name="_Toc486585243"/>
      <w:bookmarkStart w:id="136" w:name="_Toc21733"/>
      <w:r>
        <w:rPr>
          <w:rFonts w:hint="eastAsia" w:ascii="仿宋" w:hAnsi="仿宋" w:eastAsia="仿宋" w:cs="仿宋"/>
          <w:color w:val="auto"/>
          <w:sz w:val="28"/>
          <w:szCs w:val="28"/>
          <w:highlight w:val="none"/>
        </w:rPr>
        <w:t>四、资格条件及其他</w:t>
      </w:r>
      <w:bookmarkEnd w:id="131"/>
      <w:bookmarkEnd w:id="132"/>
      <w:bookmarkEnd w:id="133"/>
      <w:bookmarkEnd w:id="134"/>
      <w:bookmarkEnd w:id="135"/>
      <w:bookmarkEnd w:id="136"/>
    </w:p>
    <w:p w14:paraId="6F03A51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（一）营业执照（副本）或事业单位法人证书（副本）复印件</w:t>
      </w:r>
    </w:p>
    <w:p w14:paraId="78F079E3">
      <w:pPr>
        <w:tabs>
          <w:tab w:val="left" w:pos="6300"/>
        </w:tabs>
        <w:snapToGrid w:val="0"/>
        <w:spacing w:line="360" w:lineRule="auto"/>
        <w:ind w:firstLine="570"/>
        <w:rPr>
          <w:rFonts w:hint="eastAsia" w:ascii="仿宋" w:hAnsi="仿宋" w:eastAsia="仿宋" w:cs="仿宋"/>
          <w:color w:val="auto"/>
          <w:sz w:val="24"/>
          <w:szCs w:val="24"/>
          <w:highlight w:val="none"/>
        </w:rPr>
      </w:pPr>
    </w:p>
    <w:p w14:paraId="4725E5F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（二）组织机构代码证复印件</w:t>
      </w:r>
    </w:p>
    <w:p w14:paraId="488092E4">
      <w:pPr>
        <w:tabs>
          <w:tab w:val="left" w:pos="6300"/>
        </w:tabs>
        <w:snapToGrid w:val="0"/>
        <w:spacing w:line="380" w:lineRule="exact"/>
        <w:ind w:firstLine="570"/>
        <w:rPr>
          <w:rFonts w:hint="eastAsia" w:ascii="仿宋" w:hAnsi="仿宋" w:eastAsia="仿宋" w:cs="仿宋"/>
          <w:color w:val="auto"/>
          <w:sz w:val="24"/>
          <w:szCs w:val="24"/>
          <w:highlight w:val="none"/>
        </w:rPr>
      </w:pPr>
    </w:p>
    <w:p w14:paraId="4DA00369">
      <w:pPr>
        <w:widowControl/>
        <w:spacing w:line="360" w:lineRule="auto"/>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（三）法定代表人身份证明书（格式）</w:t>
      </w:r>
    </w:p>
    <w:p w14:paraId="037BD6FD">
      <w:pPr>
        <w:tabs>
          <w:tab w:val="left" w:pos="6300"/>
        </w:tabs>
        <w:snapToGrid w:val="0"/>
        <w:spacing w:line="360" w:lineRule="auto"/>
        <w:ind w:firstLine="570"/>
        <w:rPr>
          <w:rFonts w:hint="eastAsia" w:ascii="仿宋" w:hAnsi="仿宋" w:eastAsia="仿宋" w:cs="仿宋"/>
          <w:color w:val="auto"/>
          <w:sz w:val="24"/>
          <w:szCs w:val="24"/>
          <w:highlight w:val="none"/>
          <w:lang w:val="en-US" w:eastAsia="zh-CN"/>
        </w:rPr>
      </w:pPr>
    </w:p>
    <w:p w14:paraId="245F1714">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8"/>
          <w:highlight w:val="none"/>
          <w:u w:val="single"/>
          <w:lang w:val="en-US" w:eastAsia="zh-CN"/>
        </w:rPr>
        <w:t xml:space="preserve">                        </w:t>
      </w:r>
    </w:p>
    <w:p w14:paraId="15F31783">
      <w:pPr>
        <w:tabs>
          <w:tab w:val="left" w:pos="6300"/>
        </w:tabs>
        <w:snapToGrid w:val="0"/>
        <w:spacing w:line="360" w:lineRule="auto"/>
        <w:ind w:firstLine="570"/>
        <w:rPr>
          <w:rFonts w:hint="eastAsia" w:ascii="仿宋" w:hAnsi="仿宋" w:eastAsia="仿宋" w:cs="仿宋"/>
          <w:color w:val="auto"/>
          <w:sz w:val="24"/>
          <w:szCs w:val="24"/>
          <w:highlight w:val="none"/>
        </w:rPr>
      </w:pPr>
    </w:p>
    <w:p w14:paraId="55AB7E4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23F54DF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0615170E">
      <w:pPr>
        <w:tabs>
          <w:tab w:val="left" w:pos="6300"/>
        </w:tabs>
        <w:snapToGrid w:val="0"/>
        <w:spacing w:line="360" w:lineRule="auto"/>
        <w:ind w:firstLine="570"/>
        <w:rPr>
          <w:rFonts w:hint="eastAsia" w:ascii="仿宋" w:hAnsi="仿宋" w:eastAsia="仿宋" w:cs="仿宋"/>
          <w:color w:val="auto"/>
          <w:sz w:val="24"/>
          <w:szCs w:val="24"/>
          <w:highlight w:val="none"/>
        </w:rPr>
      </w:pPr>
    </w:p>
    <w:p w14:paraId="6299EFA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2F343431">
      <w:pPr>
        <w:tabs>
          <w:tab w:val="left" w:pos="6300"/>
        </w:tabs>
        <w:snapToGrid w:val="0"/>
        <w:spacing w:line="360" w:lineRule="auto"/>
        <w:ind w:firstLine="570"/>
        <w:rPr>
          <w:rFonts w:hint="eastAsia" w:ascii="仿宋" w:hAnsi="仿宋" w:eastAsia="仿宋" w:cs="仿宋"/>
          <w:color w:val="auto"/>
          <w:sz w:val="24"/>
          <w:szCs w:val="24"/>
          <w:highlight w:val="none"/>
        </w:rPr>
      </w:pPr>
    </w:p>
    <w:p w14:paraId="2ACFA7EC">
      <w:pPr>
        <w:tabs>
          <w:tab w:val="left" w:pos="6300"/>
        </w:tabs>
        <w:snapToGrid w:val="0"/>
        <w:spacing w:line="360" w:lineRule="auto"/>
        <w:ind w:firstLine="570"/>
        <w:rPr>
          <w:rFonts w:hint="eastAsia" w:ascii="仿宋" w:hAnsi="仿宋" w:eastAsia="仿宋" w:cs="仿宋"/>
          <w:color w:val="auto"/>
          <w:sz w:val="24"/>
          <w:szCs w:val="24"/>
          <w:highlight w:val="none"/>
        </w:rPr>
      </w:pPr>
    </w:p>
    <w:p w14:paraId="298ED490">
      <w:pPr>
        <w:tabs>
          <w:tab w:val="left" w:pos="6300"/>
        </w:tabs>
        <w:snapToGrid w:val="0"/>
        <w:spacing w:line="360" w:lineRule="auto"/>
        <w:ind w:firstLine="570"/>
        <w:rPr>
          <w:rFonts w:hint="eastAsia" w:ascii="仿宋" w:hAnsi="仿宋" w:eastAsia="仿宋" w:cs="仿宋"/>
          <w:color w:val="auto"/>
          <w:sz w:val="24"/>
          <w:szCs w:val="24"/>
          <w:highlight w:val="none"/>
        </w:rPr>
      </w:pPr>
    </w:p>
    <w:p w14:paraId="08BB6D4B">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5FDD56EF">
      <w:pPr>
        <w:tabs>
          <w:tab w:val="left" w:pos="6300"/>
        </w:tabs>
        <w:snapToGrid w:val="0"/>
        <w:spacing w:line="360" w:lineRule="auto"/>
        <w:ind w:firstLine="570"/>
        <w:rPr>
          <w:rFonts w:hint="eastAsia" w:ascii="仿宋" w:hAnsi="仿宋" w:eastAsia="仿宋" w:cs="仿宋"/>
          <w:color w:val="auto"/>
          <w:sz w:val="24"/>
          <w:szCs w:val="24"/>
          <w:highlight w:val="none"/>
        </w:rPr>
      </w:pPr>
    </w:p>
    <w:p w14:paraId="3CF6F14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D90BE97">
      <w:pPr>
        <w:tabs>
          <w:tab w:val="left" w:pos="6300"/>
        </w:tabs>
        <w:snapToGrid w:val="0"/>
        <w:spacing w:line="360" w:lineRule="auto"/>
        <w:ind w:firstLine="570"/>
        <w:rPr>
          <w:rFonts w:hint="eastAsia" w:ascii="仿宋" w:hAnsi="仿宋" w:eastAsia="仿宋" w:cs="仿宋"/>
          <w:color w:val="auto"/>
          <w:sz w:val="24"/>
          <w:szCs w:val="24"/>
          <w:highlight w:val="none"/>
        </w:rPr>
      </w:pPr>
    </w:p>
    <w:p w14:paraId="01C0CB6D">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面复印件）</w:t>
      </w:r>
    </w:p>
    <w:p w14:paraId="270C88A5">
      <w:pPr>
        <w:tabs>
          <w:tab w:val="left" w:pos="6300"/>
        </w:tabs>
        <w:snapToGrid w:val="0"/>
        <w:spacing w:line="360" w:lineRule="auto"/>
        <w:ind w:firstLine="570"/>
        <w:rPr>
          <w:rFonts w:hint="eastAsia" w:ascii="仿宋" w:hAnsi="仿宋" w:eastAsia="仿宋" w:cs="仿宋"/>
          <w:color w:val="auto"/>
          <w:sz w:val="24"/>
          <w:szCs w:val="24"/>
          <w:highlight w:val="none"/>
        </w:rPr>
      </w:pPr>
    </w:p>
    <w:p w14:paraId="4F91AF02">
      <w:pPr>
        <w:tabs>
          <w:tab w:val="left" w:pos="6300"/>
        </w:tabs>
        <w:snapToGrid w:val="0"/>
        <w:spacing w:line="380" w:lineRule="exact"/>
        <w:ind w:firstLine="570"/>
        <w:rPr>
          <w:rFonts w:hint="eastAsia" w:ascii="仿宋" w:hAnsi="仿宋" w:eastAsia="仿宋" w:cs="仿宋"/>
          <w:color w:val="auto"/>
          <w:highlight w:val="none"/>
        </w:rPr>
      </w:pPr>
    </w:p>
    <w:p w14:paraId="28CC0D97">
      <w:pPr>
        <w:tabs>
          <w:tab w:val="left" w:pos="6300"/>
        </w:tabs>
        <w:snapToGrid w:val="0"/>
        <w:spacing w:line="380" w:lineRule="exact"/>
        <w:ind w:firstLine="570"/>
        <w:rPr>
          <w:rFonts w:hint="eastAsia" w:ascii="仿宋" w:hAnsi="仿宋" w:eastAsia="仿宋" w:cs="仿宋"/>
          <w:color w:val="auto"/>
          <w:highlight w:val="none"/>
        </w:rPr>
      </w:pPr>
    </w:p>
    <w:p w14:paraId="1F0F2155">
      <w:pPr>
        <w:tabs>
          <w:tab w:val="left" w:pos="6300"/>
        </w:tabs>
        <w:snapToGrid w:val="0"/>
        <w:spacing w:line="380" w:lineRule="exact"/>
        <w:ind w:firstLine="570"/>
        <w:rPr>
          <w:rFonts w:hint="eastAsia" w:ascii="仿宋" w:hAnsi="仿宋" w:eastAsia="仿宋" w:cs="仿宋"/>
          <w:color w:val="auto"/>
          <w:highlight w:val="none"/>
        </w:rPr>
      </w:pPr>
    </w:p>
    <w:p w14:paraId="08821456">
      <w:pPr>
        <w:tabs>
          <w:tab w:val="left" w:pos="6300"/>
        </w:tabs>
        <w:snapToGrid w:val="0"/>
        <w:spacing w:line="380" w:lineRule="exact"/>
        <w:ind w:firstLine="570"/>
        <w:rPr>
          <w:rFonts w:hint="eastAsia" w:ascii="仿宋" w:hAnsi="仿宋" w:eastAsia="仿宋" w:cs="仿宋"/>
          <w:color w:val="auto"/>
          <w:highlight w:val="none"/>
        </w:rPr>
      </w:pPr>
    </w:p>
    <w:p w14:paraId="29B0A663">
      <w:pPr>
        <w:tabs>
          <w:tab w:val="left" w:pos="6300"/>
        </w:tabs>
        <w:snapToGrid w:val="0"/>
        <w:spacing w:line="380" w:lineRule="exact"/>
        <w:ind w:firstLine="570"/>
        <w:rPr>
          <w:rFonts w:hint="eastAsia" w:ascii="仿宋" w:hAnsi="仿宋" w:eastAsia="仿宋" w:cs="仿宋"/>
          <w:color w:val="auto"/>
          <w:highlight w:val="none"/>
        </w:rPr>
      </w:pPr>
    </w:p>
    <w:p w14:paraId="56D40120">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（四）法定代表人授权委托书（格式）</w:t>
      </w:r>
    </w:p>
    <w:p w14:paraId="7932ED45">
      <w:pPr>
        <w:tabs>
          <w:tab w:val="left" w:pos="6300"/>
        </w:tabs>
        <w:snapToGrid w:val="0"/>
        <w:spacing w:line="360" w:lineRule="auto"/>
        <w:ind w:firstLine="570"/>
        <w:rPr>
          <w:rFonts w:hint="eastAsia" w:ascii="仿宋" w:hAnsi="仿宋" w:eastAsia="仿宋" w:cs="仿宋"/>
          <w:color w:val="auto"/>
          <w:sz w:val="24"/>
          <w:szCs w:val="24"/>
          <w:highlight w:val="none"/>
          <w:lang w:val="en-US" w:eastAsia="zh-CN"/>
        </w:rPr>
      </w:pPr>
    </w:p>
    <w:p w14:paraId="268C086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8"/>
          <w:highlight w:val="none"/>
          <w:u w:val="single"/>
          <w:lang w:val="en-US" w:eastAsia="zh-CN"/>
        </w:rPr>
        <w:t xml:space="preserve">                        </w:t>
      </w:r>
    </w:p>
    <w:p w14:paraId="08341C53">
      <w:pPr>
        <w:tabs>
          <w:tab w:val="left" w:pos="6300"/>
        </w:tabs>
        <w:snapToGrid w:val="0"/>
        <w:spacing w:line="360" w:lineRule="auto"/>
        <w:ind w:firstLine="570"/>
        <w:rPr>
          <w:rFonts w:hint="eastAsia" w:ascii="仿宋" w:hAnsi="仿宋" w:eastAsia="仿宋" w:cs="仿宋"/>
          <w:color w:val="auto"/>
          <w:sz w:val="24"/>
          <w:szCs w:val="24"/>
          <w:highlight w:val="none"/>
        </w:rPr>
      </w:pPr>
    </w:p>
    <w:p w14:paraId="1812857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1BFD4E8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、签约等具体工作，并签署全部有关文件、协议及合同。</w:t>
      </w:r>
    </w:p>
    <w:p w14:paraId="08E68B7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5CC4B8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4A49B22E">
      <w:pPr>
        <w:tabs>
          <w:tab w:val="left" w:pos="6300"/>
        </w:tabs>
        <w:snapToGrid w:val="0"/>
        <w:spacing w:line="360" w:lineRule="auto"/>
        <w:ind w:firstLine="570"/>
        <w:rPr>
          <w:rFonts w:hint="eastAsia" w:ascii="仿宋" w:hAnsi="仿宋" w:eastAsia="仿宋" w:cs="仿宋"/>
          <w:color w:val="auto"/>
          <w:sz w:val="24"/>
          <w:szCs w:val="24"/>
          <w:highlight w:val="none"/>
        </w:rPr>
      </w:pPr>
    </w:p>
    <w:p w14:paraId="1BD5DEF7">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43DBEE8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20C61917">
      <w:pPr>
        <w:tabs>
          <w:tab w:val="left" w:pos="6300"/>
        </w:tabs>
        <w:snapToGrid w:val="0"/>
        <w:spacing w:line="360" w:lineRule="auto"/>
        <w:rPr>
          <w:rFonts w:hint="eastAsia" w:ascii="仿宋" w:hAnsi="仿宋" w:eastAsia="仿宋" w:cs="仿宋"/>
          <w:color w:val="auto"/>
          <w:sz w:val="24"/>
          <w:szCs w:val="24"/>
          <w:highlight w:val="none"/>
        </w:rPr>
      </w:pPr>
    </w:p>
    <w:p w14:paraId="212AA9AC">
      <w:pPr>
        <w:tabs>
          <w:tab w:val="left" w:pos="6300"/>
        </w:tabs>
        <w:snapToGrid w:val="0"/>
        <w:spacing w:line="360" w:lineRule="auto"/>
        <w:ind w:firstLine="570"/>
        <w:rPr>
          <w:rFonts w:hint="eastAsia" w:ascii="仿宋" w:hAnsi="仿宋" w:eastAsia="仿宋" w:cs="仿宋"/>
          <w:color w:val="auto"/>
          <w:sz w:val="24"/>
          <w:szCs w:val="24"/>
          <w:highlight w:val="none"/>
        </w:rPr>
      </w:pPr>
    </w:p>
    <w:p w14:paraId="4AF84E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面复印件）</w:t>
      </w:r>
    </w:p>
    <w:p w14:paraId="3F1C4DA9">
      <w:pPr>
        <w:tabs>
          <w:tab w:val="left" w:pos="6300"/>
        </w:tabs>
        <w:snapToGrid w:val="0"/>
        <w:spacing w:line="360" w:lineRule="auto"/>
        <w:ind w:firstLine="570"/>
        <w:rPr>
          <w:rFonts w:hint="eastAsia" w:ascii="仿宋" w:hAnsi="仿宋" w:eastAsia="仿宋" w:cs="仿宋"/>
          <w:color w:val="auto"/>
          <w:sz w:val="24"/>
          <w:szCs w:val="24"/>
          <w:highlight w:val="none"/>
        </w:rPr>
      </w:pPr>
    </w:p>
    <w:p w14:paraId="3D246A1A">
      <w:pPr>
        <w:tabs>
          <w:tab w:val="left" w:pos="6300"/>
        </w:tabs>
        <w:snapToGrid w:val="0"/>
        <w:spacing w:line="360" w:lineRule="auto"/>
        <w:rPr>
          <w:rFonts w:hint="eastAsia" w:ascii="仿宋" w:hAnsi="仿宋" w:eastAsia="仿宋" w:cs="仿宋"/>
          <w:color w:val="auto"/>
          <w:sz w:val="24"/>
          <w:szCs w:val="24"/>
          <w:highlight w:val="none"/>
        </w:rPr>
      </w:pPr>
    </w:p>
    <w:p w14:paraId="02DD13AE">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24ECC74">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6D826FF">
      <w:pPr>
        <w:tabs>
          <w:tab w:val="left" w:pos="6300"/>
        </w:tabs>
        <w:snapToGrid w:val="0"/>
        <w:spacing w:line="360" w:lineRule="auto"/>
        <w:rPr>
          <w:rFonts w:hint="eastAsia" w:ascii="仿宋" w:hAnsi="仿宋" w:eastAsia="仿宋" w:cs="仿宋"/>
          <w:color w:val="auto"/>
          <w:highlight w:val="none"/>
        </w:rPr>
      </w:pPr>
    </w:p>
    <w:p w14:paraId="4CE5E1DE">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p>
    <w:p w14:paraId="39D634C0">
      <w:pPr>
        <w:pStyle w:val="26"/>
        <w:spacing w:line="360" w:lineRule="auto"/>
        <w:ind w:left="0" w:leftChars="0" w:firstLine="0" w:firstLineChars="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五</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基本资格条件承诺函</w:t>
      </w:r>
    </w:p>
    <w:p w14:paraId="12468C3B">
      <w:pPr>
        <w:tabs>
          <w:tab w:val="left" w:pos="6300"/>
        </w:tabs>
        <w:snapToGrid w:val="0"/>
        <w:spacing w:line="360" w:lineRule="auto"/>
        <w:ind w:firstLine="480" w:firstLineChars="200"/>
        <w:rPr>
          <w:rFonts w:hint="eastAsia" w:ascii="仿宋" w:hAnsi="仿宋" w:eastAsia="仿宋" w:cs="仿宋"/>
          <w:color w:val="auto"/>
          <w:sz w:val="24"/>
          <w:szCs w:val="28"/>
          <w:highlight w:val="none"/>
          <w:lang w:val="en-US" w:eastAsia="zh-CN"/>
        </w:rPr>
      </w:pPr>
    </w:p>
    <w:p w14:paraId="6A5C447B">
      <w:pPr>
        <w:tabs>
          <w:tab w:val="left" w:pos="6300"/>
        </w:tabs>
        <w:snapToGrid w:val="0"/>
        <w:spacing w:line="360" w:lineRule="auto"/>
        <w:ind w:firstLine="480" w:firstLineChars="200"/>
        <w:rPr>
          <w:rFonts w:hint="eastAsia" w:ascii="仿宋" w:hAnsi="仿宋" w:eastAsia="仿宋" w:cs="仿宋"/>
          <w:color w:val="auto"/>
          <w:sz w:val="24"/>
          <w:szCs w:val="28"/>
          <w:highlight w:val="none"/>
          <w:u w:val="single"/>
          <w:lang w:val="en-US"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szCs w:val="28"/>
          <w:highlight w:val="none"/>
          <w:u w:val="single"/>
          <w:lang w:val="en-US" w:eastAsia="zh-CN"/>
        </w:rPr>
        <w:t xml:space="preserve">                        </w:t>
      </w:r>
    </w:p>
    <w:p w14:paraId="724D79A9">
      <w:pPr>
        <w:shd w:val="clea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u w:val="single"/>
          <w:lang w:eastAsia="zh-CN"/>
        </w:rPr>
        <w:t>人</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w:t>
      </w:r>
    </w:p>
    <w:p w14:paraId="4A2A2341">
      <w:pPr>
        <w:shd w:val="clear"/>
        <w:tabs>
          <w:tab w:val="left" w:pos="6300"/>
        </w:tabs>
        <w:snapToGrid w:val="0"/>
        <w:spacing w:line="5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094B6C35">
      <w:pPr>
        <w:shd w:val="clea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C3C62E3">
      <w:pPr>
        <w:shd w:val="clear"/>
        <w:snapToGrid w:val="0"/>
        <w:spacing w:line="400" w:lineRule="exact"/>
        <w:rPr>
          <w:rFonts w:hint="eastAsia" w:ascii="仿宋" w:hAnsi="仿宋" w:eastAsia="仿宋" w:cs="仿宋"/>
          <w:color w:val="auto"/>
          <w:sz w:val="24"/>
          <w:szCs w:val="24"/>
          <w:highlight w:val="none"/>
        </w:rPr>
      </w:pPr>
    </w:p>
    <w:p w14:paraId="3608C1AD">
      <w:pPr>
        <w:shd w:val="clear"/>
        <w:tabs>
          <w:tab w:val="left" w:pos="6300"/>
        </w:tabs>
        <w:snapToGrid w:val="0"/>
        <w:spacing w:line="500" w:lineRule="exact"/>
        <w:rPr>
          <w:rFonts w:hint="eastAsia" w:ascii="仿宋" w:hAnsi="仿宋" w:eastAsia="仿宋" w:cs="仿宋"/>
          <w:color w:val="auto"/>
          <w:sz w:val="24"/>
          <w:highlight w:val="none"/>
        </w:rPr>
      </w:pPr>
    </w:p>
    <w:p w14:paraId="302D3558">
      <w:pPr>
        <w:shd w:val="clear"/>
        <w:tabs>
          <w:tab w:val="left" w:pos="6300"/>
        </w:tabs>
        <w:snapToGrid w:val="0"/>
        <w:spacing w:line="500" w:lineRule="exact"/>
        <w:ind w:firstLine="570"/>
        <w:rPr>
          <w:rFonts w:hint="eastAsia" w:ascii="仿宋" w:hAnsi="仿宋" w:eastAsia="仿宋" w:cs="仿宋"/>
          <w:color w:val="auto"/>
          <w:sz w:val="24"/>
          <w:highlight w:val="none"/>
        </w:rPr>
      </w:pPr>
    </w:p>
    <w:p w14:paraId="04DAF343">
      <w:pPr>
        <w:shd w:val="clear"/>
        <w:tabs>
          <w:tab w:val="left" w:pos="6300"/>
        </w:tabs>
        <w:snapToGrid w:val="0"/>
        <w:spacing w:line="500" w:lineRule="exact"/>
        <w:ind w:right="424"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4284100D">
      <w:pPr>
        <w:shd w:val="clea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160BCC53">
      <w:pPr>
        <w:tabs>
          <w:tab w:val="left" w:pos="6300"/>
        </w:tabs>
        <w:snapToGrid w:val="0"/>
        <w:spacing w:line="360" w:lineRule="auto"/>
        <w:ind w:right="480" w:firstLine="570"/>
        <w:jc w:val="right"/>
        <w:rPr>
          <w:rFonts w:hint="eastAsia" w:ascii="仿宋" w:hAnsi="仿宋" w:eastAsia="仿宋" w:cs="仿宋"/>
          <w:color w:val="auto"/>
          <w:sz w:val="24"/>
          <w:szCs w:val="28"/>
          <w:highlight w:val="none"/>
        </w:rPr>
      </w:pPr>
    </w:p>
    <w:p w14:paraId="2C7DA55D">
      <w:pPr>
        <w:tabs>
          <w:tab w:val="left" w:pos="6300"/>
        </w:tabs>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p>
    <w:p w14:paraId="2455789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（六）特定资格条件证明材料（如有）</w:t>
      </w:r>
    </w:p>
    <w:p w14:paraId="0C6D308F">
      <w:pPr>
        <w:pStyle w:val="4"/>
        <w:numPr>
          <w:ilvl w:val="0"/>
          <w:numId w:val="9"/>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37" w:name="_Toc11824"/>
      <w:bookmarkStart w:id="138" w:name="_Toc486608281"/>
      <w:bookmarkStart w:id="139" w:name="_Toc29032"/>
      <w:bookmarkStart w:id="140" w:name="_Toc487204801"/>
      <w:bookmarkStart w:id="141" w:name="_Toc486585244"/>
      <w:bookmarkStart w:id="142" w:name="_Toc22647"/>
      <w:r>
        <w:rPr>
          <w:rFonts w:hint="eastAsia" w:ascii="仿宋" w:hAnsi="仿宋" w:eastAsia="仿宋" w:cs="仿宋"/>
          <w:color w:val="auto"/>
          <w:sz w:val="28"/>
          <w:szCs w:val="28"/>
          <w:highlight w:val="none"/>
        </w:rPr>
        <w:t>其他应提供的资料</w:t>
      </w:r>
      <w:bookmarkEnd w:id="137"/>
      <w:bookmarkEnd w:id="138"/>
      <w:bookmarkEnd w:id="139"/>
      <w:bookmarkEnd w:id="140"/>
      <w:bookmarkEnd w:id="141"/>
      <w:bookmarkEnd w:id="142"/>
    </w:p>
    <w:p w14:paraId="7A05C5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48C5CB4B">
      <w:pPr>
        <w:numPr>
          <w:ilvl w:val="0"/>
          <w:numId w:val="0"/>
        </w:numPr>
        <w:tabs>
          <w:tab w:val="left" w:pos="6300"/>
        </w:tabs>
        <w:snapToGrid w:val="0"/>
        <w:spacing w:line="360" w:lineRule="auto"/>
        <w:ind w:leftChars="200"/>
        <w:jc w:val="center"/>
        <w:rPr>
          <w:rFonts w:hint="eastAsia" w:ascii="仿宋" w:hAnsi="仿宋" w:eastAsia="仿宋" w:cs="仿宋"/>
          <w:color w:val="auto"/>
          <w:sz w:val="24"/>
          <w:szCs w:val="24"/>
          <w:highlight w:val="none"/>
        </w:rPr>
      </w:pPr>
    </w:p>
    <w:p w14:paraId="1C719E03">
      <w:pPr>
        <w:numPr>
          <w:ilvl w:val="0"/>
          <w:numId w:val="0"/>
        </w:numPr>
        <w:tabs>
          <w:tab w:val="left" w:pos="6300"/>
        </w:tabs>
        <w:snapToGrid w:val="0"/>
        <w:spacing w:line="360" w:lineRule="auto"/>
        <w:ind w:left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其他与本项目有关的资料等。</w:t>
      </w:r>
    </w:p>
    <w:p w14:paraId="16D5F3C0">
      <w:pPr>
        <w:tabs>
          <w:tab w:val="left" w:pos="6300"/>
        </w:tabs>
        <w:snapToGrid w:val="0"/>
        <w:spacing w:line="500" w:lineRule="exact"/>
        <w:jc w:val="center"/>
        <w:rPr>
          <w:rFonts w:hint="eastAsia" w:ascii="仿宋" w:hAnsi="仿宋" w:eastAsia="仿宋" w:cs="仿宋"/>
          <w:color w:val="auto"/>
          <w:highlight w:val="none"/>
        </w:rPr>
      </w:pPr>
    </w:p>
    <w:p w14:paraId="0AA6440F">
      <w:pPr>
        <w:tabs>
          <w:tab w:val="left" w:pos="6300"/>
        </w:tabs>
        <w:snapToGrid w:val="0"/>
        <w:spacing w:line="500" w:lineRule="exact"/>
        <w:jc w:val="center"/>
        <w:rPr>
          <w:rFonts w:hint="eastAsia" w:ascii="仿宋" w:hAnsi="仿宋" w:eastAsia="仿宋" w:cs="仿宋"/>
          <w:color w:val="auto"/>
          <w:highlight w:val="none"/>
        </w:rPr>
      </w:pPr>
    </w:p>
    <w:p w14:paraId="0816BF49">
      <w:pPr>
        <w:tabs>
          <w:tab w:val="left" w:pos="6300"/>
        </w:tabs>
        <w:snapToGrid w:val="0"/>
        <w:spacing w:line="500" w:lineRule="exact"/>
        <w:jc w:val="center"/>
        <w:rPr>
          <w:rFonts w:hint="eastAsia" w:ascii="仿宋" w:hAnsi="仿宋" w:eastAsia="仿宋" w:cs="仿宋"/>
          <w:color w:val="auto"/>
          <w:highlight w:val="none"/>
        </w:rPr>
      </w:pPr>
    </w:p>
    <w:p w14:paraId="17F7CCD9">
      <w:pPr>
        <w:tabs>
          <w:tab w:val="left" w:pos="6300"/>
        </w:tabs>
        <w:snapToGrid w:val="0"/>
        <w:spacing w:line="500" w:lineRule="exact"/>
        <w:jc w:val="center"/>
        <w:rPr>
          <w:rFonts w:hint="eastAsia" w:ascii="仿宋" w:hAnsi="仿宋" w:eastAsia="仿宋" w:cs="仿宋"/>
          <w:color w:val="auto"/>
          <w:highlight w:val="none"/>
        </w:rPr>
      </w:pPr>
    </w:p>
    <w:p w14:paraId="7612D0AD">
      <w:pPr>
        <w:tabs>
          <w:tab w:val="left" w:pos="6300"/>
        </w:tabs>
        <w:snapToGrid w:val="0"/>
        <w:spacing w:line="500" w:lineRule="exact"/>
        <w:jc w:val="center"/>
        <w:rPr>
          <w:rFonts w:hint="eastAsia" w:ascii="仿宋" w:hAnsi="仿宋" w:eastAsia="仿宋" w:cs="仿宋"/>
          <w:color w:val="auto"/>
          <w:highlight w:val="none"/>
        </w:rPr>
      </w:pPr>
    </w:p>
    <w:p w14:paraId="2B0D0A74">
      <w:pPr>
        <w:tabs>
          <w:tab w:val="left" w:pos="6300"/>
        </w:tabs>
        <w:snapToGrid w:val="0"/>
        <w:spacing w:line="500" w:lineRule="exact"/>
        <w:jc w:val="center"/>
        <w:rPr>
          <w:rFonts w:hint="eastAsia" w:ascii="仿宋" w:hAnsi="仿宋" w:eastAsia="仿宋" w:cs="仿宋"/>
          <w:color w:val="auto"/>
          <w:highlight w:val="none"/>
        </w:rPr>
      </w:pPr>
    </w:p>
    <w:p w14:paraId="46007604">
      <w:pPr>
        <w:tabs>
          <w:tab w:val="left" w:pos="6300"/>
        </w:tabs>
        <w:snapToGrid w:val="0"/>
        <w:spacing w:line="500" w:lineRule="exact"/>
        <w:jc w:val="center"/>
        <w:rPr>
          <w:rFonts w:hint="eastAsia" w:ascii="仿宋" w:hAnsi="仿宋" w:eastAsia="仿宋" w:cs="仿宋"/>
          <w:color w:val="auto"/>
          <w:highlight w:val="none"/>
        </w:rPr>
      </w:pPr>
    </w:p>
    <w:p w14:paraId="2F00D8D9">
      <w:pPr>
        <w:tabs>
          <w:tab w:val="left" w:pos="6300"/>
        </w:tabs>
        <w:snapToGrid w:val="0"/>
        <w:spacing w:line="500" w:lineRule="exact"/>
        <w:jc w:val="center"/>
        <w:rPr>
          <w:rFonts w:hint="eastAsia" w:ascii="仿宋" w:hAnsi="仿宋" w:eastAsia="仿宋" w:cs="仿宋"/>
          <w:color w:val="auto"/>
          <w:highlight w:val="none"/>
        </w:rPr>
      </w:pPr>
    </w:p>
    <w:p w14:paraId="7B950001">
      <w:pPr>
        <w:tabs>
          <w:tab w:val="left" w:pos="6300"/>
        </w:tabs>
        <w:snapToGrid w:val="0"/>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14:paraId="3AD3ED1E">
      <w:pPr>
        <w:pStyle w:val="6"/>
        <w:rPr>
          <w:rFonts w:hint="eastAsia" w:ascii="仿宋" w:hAnsi="仿宋" w:eastAsia="仿宋" w:cs="仿宋"/>
          <w:color w:val="auto"/>
          <w:highlight w:val="none"/>
        </w:rPr>
      </w:pPr>
    </w:p>
    <w:p w14:paraId="487FE857">
      <w:pPr>
        <w:pStyle w:val="6"/>
        <w:rPr>
          <w:rFonts w:hint="eastAsia" w:ascii="仿宋" w:hAnsi="仿宋" w:eastAsia="仿宋" w:cs="仿宋"/>
          <w:color w:val="auto"/>
          <w:highlight w:val="none"/>
        </w:rPr>
      </w:pPr>
    </w:p>
    <w:p w14:paraId="71641A3C">
      <w:pPr>
        <w:pStyle w:val="6"/>
        <w:rPr>
          <w:rFonts w:hint="eastAsia" w:ascii="仿宋" w:hAnsi="仿宋" w:eastAsia="仿宋" w:cs="仿宋"/>
          <w:color w:val="auto"/>
          <w:highlight w:val="none"/>
        </w:rPr>
      </w:pPr>
    </w:p>
    <w:p w14:paraId="5031860A">
      <w:pPr>
        <w:pStyle w:val="27"/>
        <w:jc w:val="both"/>
        <w:outlineLvl w:val="9"/>
        <w:rPr>
          <w:rFonts w:hint="eastAsia" w:ascii="仿宋" w:hAnsi="仿宋" w:eastAsia="仿宋" w:cs="仿宋"/>
          <w:color w:val="auto"/>
          <w:sz w:val="36"/>
          <w:szCs w:val="36"/>
          <w:highlight w:val="none"/>
        </w:rPr>
      </w:pPr>
      <w:bookmarkStart w:id="143" w:name="_Toc23244"/>
      <w:bookmarkStart w:id="144" w:name="_Toc3096"/>
    </w:p>
    <w:p w14:paraId="45CAFD24">
      <w:pPr>
        <w:pStyle w:val="27"/>
        <w:jc w:val="both"/>
        <w:outlineLvl w:val="9"/>
        <w:rPr>
          <w:rFonts w:hint="eastAsia" w:ascii="仿宋" w:hAnsi="仿宋" w:eastAsia="仿宋" w:cs="仿宋"/>
          <w:color w:val="auto"/>
          <w:sz w:val="36"/>
          <w:szCs w:val="36"/>
          <w:highlight w:val="none"/>
        </w:rPr>
      </w:pPr>
    </w:p>
    <w:bookmarkEnd w:id="143"/>
    <w:bookmarkEnd w:id="144"/>
    <w:p w14:paraId="174A7267">
      <w:pPr>
        <w:rPr>
          <w:rFonts w:hint="eastAsia" w:ascii="仿宋" w:hAnsi="仿宋" w:eastAsia="仿宋" w:cs="仿宋"/>
          <w:color w:val="auto"/>
          <w:highlight w:val="none"/>
        </w:rPr>
      </w:pPr>
    </w:p>
    <w:p w14:paraId="7AD18CB0">
      <w:pPr>
        <w:rPr>
          <w:rFonts w:hint="eastAsia" w:ascii="仿宋" w:hAnsi="仿宋" w:eastAsia="仿宋" w:cs="仿宋"/>
          <w:color w:val="auto"/>
          <w:highlight w:val="none"/>
        </w:rPr>
      </w:pPr>
    </w:p>
    <w:p w14:paraId="4609033B">
      <w:pPr>
        <w:rPr>
          <w:rFonts w:hint="eastAsia" w:ascii="仿宋" w:hAnsi="仿宋" w:eastAsia="仿宋" w:cs="仿宋"/>
          <w:color w:val="auto"/>
          <w:highlight w:val="none"/>
        </w:rPr>
      </w:pPr>
    </w:p>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86C0C69C-E788-42D4-BE88-84AACA8632B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CDB280C-995B-4A4E-B3B5-3393E3583AA2}"/>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2CB0">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DA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EC63">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1D2A7">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71D2A7">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CC3BB">
    <w:pPr>
      <w:pStyle w:val="11"/>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A456E">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7A456E">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BBF9">
    <w:pPr>
      <w:pStyle w:val="11"/>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4BCDD">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74BCDD">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34A7">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67CA">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564C">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AA42">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5BA90">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CCB6EC0"/>
    <w:multiLevelType w:val="singleLevel"/>
    <w:tmpl w:val="ACCB6EC0"/>
    <w:lvl w:ilvl="0" w:tentative="0">
      <w:start w:val="1"/>
      <w:numFmt w:val="chineseCounting"/>
      <w:suff w:val="nothing"/>
      <w:lvlText w:val="%1、"/>
      <w:lvlJc w:val="left"/>
      <w:rPr>
        <w:rFonts w:hint="eastAsia"/>
      </w:rPr>
    </w:lvl>
  </w:abstractNum>
  <w:abstractNum w:abstractNumId="2">
    <w:nsid w:val="CCBEDBC6"/>
    <w:multiLevelType w:val="singleLevel"/>
    <w:tmpl w:val="CCBEDBC6"/>
    <w:lvl w:ilvl="0" w:tentative="0">
      <w:start w:val="1"/>
      <w:numFmt w:val="chineseCounting"/>
      <w:suff w:val="nothing"/>
      <w:lvlText w:val="（%1）"/>
      <w:lvlJc w:val="left"/>
      <w:rPr>
        <w:rFonts w:hint="eastAsia"/>
      </w:rPr>
    </w:lvl>
  </w:abstractNum>
  <w:abstractNum w:abstractNumId="3">
    <w:nsid w:val="D5F6F758"/>
    <w:multiLevelType w:val="singleLevel"/>
    <w:tmpl w:val="D5F6F758"/>
    <w:lvl w:ilvl="0" w:tentative="0">
      <w:start w:val="2"/>
      <w:numFmt w:val="chineseCounting"/>
      <w:suff w:val="space"/>
      <w:lvlText w:val="第%1篇"/>
      <w:lvlJc w:val="left"/>
      <w:rPr>
        <w:rFonts w:hint="eastAsia"/>
      </w:rPr>
    </w:lvl>
  </w:abstractNum>
  <w:abstractNum w:abstractNumId="4">
    <w:nsid w:val="E791D362"/>
    <w:multiLevelType w:val="singleLevel"/>
    <w:tmpl w:val="E791D362"/>
    <w:lvl w:ilvl="0" w:tentative="0">
      <w:start w:val="2"/>
      <w:numFmt w:val="chineseCounting"/>
      <w:suff w:val="nothing"/>
      <w:lvlText w:val="%1、"/>
      <w:lvlJc w:val="left"/>
      <w:rPr>
        <w:rFonts w:hint="eastAsia"/>
      </w:rPr>
    </w:lvl>
  </w:abstractNum>
  <w:abstractNum w:abstractNumId="5">
    <w:nsid w:val="EED9E954"/>
    <w:multiLevelType w:val="singleLevel"/>
    <w:tmpl w:val="EED9E954"/>
    <w:lvl w:ilvl="0" w:tentative="0">
      <w:start w:val="1"/>
      <w:numFmt w:val="chineseCounting"/>
      <w:suff w:val="nothing"/>
      <w:lvlText w:val="（%1）"/>
      <w:lvlJc w:val="left"/>
      <w:rPr>
        <w:rFonts w:hint="eastAsia"/>
      </w:rPr>
    </w:lvl>
  </w:abstractNum>
  <w:abstractNum w:abstractNumId="6">
    <w:nsid w:val="00000001"/>
    <w:multiLevelType w:val="singleLevel"/>
    <w:tmpl w:val="00000001"/>
    <w:lvl w:ilvl="0" w:tentative="0">
      <w:start w:val="5"/>
      <w:numFmt w:val="chineseCounting"/>
      <w:suff w:val="nothing"/>
      <w:lvlText w:val="%1、"/>
      <w:lvlJc w:val="left"/>
      <w:rPr>
        <w:rFonts w:hint="eastAsia"/>
      </w:rPr>
    </w:lvl>
  </w:abstractNum>
  <w:abstractNum w:abstractNumId="7">
    <w:nsid w:val="16B382A4"/>
    <w:multiLevelType w:val="singleLevel"/>
    <w:tmpl w:val="16B382A4"/>
    <w:lvl w:ilvl="0" w:tentative="0">
      <w:start w:val="4"/>
      <w:numFmt w:val="chineseCounting"/>
      <w:suff w:val="space"/>
      <w:lvlText w:val="第%1篇"/>
      <w:lvlJc w:val="left"/>
      <w:rPr>
        <w:rFonts w:hint="eastAsia"/>
      </w:rPr>
    </w:lvl>
  </w:abstractNum>
  <w:abstractNum w:abstractNumId="8">
    <w:nsid w:val="36DC7599"/>
    <w:multiLevelType w:val="singleLevel"/>
    <w:tmpl w:val="36DC7599"/>
    <w:lvl w:ilvl="0" w:tentative="0">
      <w:start w:val="10"/>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DZhMGM2YTZmNTIzNDhkZTA0NDZhYjg5NTkwYjQifQ=="/>
    <w:docVar w:name="KSO_WPS_MARK_KEY" w:val="1c39c587-f34b-48d4-876f-86cebc20392a"/>
  </w:docVars>
  <w:rsids>
    <w:rsidRoot w:val="1C8D0C44"/>
    <w:rsid w:val="049C46C7"/>
    <w:rsid w:val="057C25F5"/>
    <w:rsid w:val="079239F3"/>
    <w:rsid w:val="07CF38EB"/>
    <w:rsid w:val="0A7A286F"/>
    <w:rsid w:val="0E4B287B"/>
    <w:rsid w:val="10797275"/>
    <w:rsid w:val="1A042878"/>
    <w:rsid w:val="1C8D0C44"/>
    <w:rsid w:val="21ED06B5"/>
    <w:rsid w:val="22510FA8"/>
    <w:rsid w:val="23813006"/>
    <w:rsid w:val="24054DB0"/>
    <w:rsid w:val="25AC7C1B"/>
    <w:rsid w:val="283471CD"/>
    <w:rsid w:val="2A43668C"/>
    <w:rsid w:val="2B2D006B"/>
    <w:rsid w:val="31202069"/>
    <w:rsid w:val="3472535D"/>
    <w:rsid w:val="35F3777F"/>
    <w:rsid w:val="37593E49"/>
    <w:rsid w:val="3C1D452D"/>
    <w:rsid w:val="3DEE689E"/>
    <w:rsid w:val="3EAA4E4D"/>
    <w:rsid w:val="43533C84"/>
    <w:rsid w:val="442A3B25"/>
    <w:rsid w:val="44AC3D1A"/>
    <w:rsid w:val="453E4525"/>
    <w:rsid w:val="458738E1"/>
    <w:rsid w:val="467240F7"/>
    <w:rsid w:val="48497435"/>
    <w:rsid w:val="4AB73A5C"/>
    <w:rsid w:val="4C480059"/>
    <w:rsid w:val="50BB3263"/>
    <w:rsid w:val="5C43038C"/>
    <w:rsid w:val="5EA9139F"/>
    <w:rsid w:val="62FD1652"/>
    <w:rsid w:val="636D306F"/>
    <w:rsid w:val="664A4A9D"/>
    <w:rsid w:val="678B2BD1"/>
    <w:rsid w:val="6E9C38B7"/>
    <w:rsid w:val="6F656B1A"/>
    <w:rsid w:val="711A7518"/>
    <w:rsid w:val="74087EBD"/>
    <w:rsid w:val="74420908"/>
    <w:rsid w:val="754142B5"/>
    <w:rsid w:val="75453858"/>
    <w:rsid w:val="75907680"/>
    <w:rsid w:val="767E53A2"/>
    <w:rsid w:val="768371E5"/>
    <w:rsid w:val="7D965541"/>
    <w:rsid w:val="7E0375A8"/>
    <w:rsid w:val="7FFF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4" w:lineRule="exact"/>
      <w:ind w:left="200" w:leftChars="200" w:right="0" w:firstLine="0"/>
      <w:jc w:val="both"/>
      <w:textAlignment w:val="auto"/>
      <w:outlineLvl w:val="9"/>
    </w:pPr>
    <w:rPr>
      <w:rFonts w:ascii="Times New Roman" w:hAnsi="Times New Roman" w:eastAsia="方正仿宋_GBK"/>
      <w:snapToGrid/>
      <w:color w:val="auto"/>
      <w:spacing w:val="0"/>
      <w:w w:val="100"/>
      <w:kern w:val="2"/>
      <w:position w:val="0"/>
      <w:sz w:val="32"/>
      <w:szCs w:val="22"/>
      <w:u w:val="none" w:color="auto"/>
      <w:vertAlign w:val="baseline"/>
      <w:lang w:val="en-US" w:eastAsia="zh-CN"/>
    </w:rPr>
  </w:style>
  <w:style w:type="paragraph" w:styleId="6">
    <w:name w:val="Body Text"/>
    <w:basedOn w:val="1"/>
    <w:next w:val="1"/>
    <w:qFormat/>
    <w:uiPriority w:val="0"/>
    <w:pPr>
      <w:spacing w:after="120"/>
    </w:pPr>
    <w:rPr>
      <w:rFonts w:ascii="Times New Roman" w:hAnsi="Times New Roman" w:eastAsia="宋体" w:cs="Times New Roman"/>
    </w:rPr>
  </w:style>
  <w:style w:type="paragraph" w:styleId="7">
    <w:name w:val="Body Text Indent"/>
    <w:basedOn w:val="1"/>
    <w:next w:val="1"/>
    <w:qFormat/>
    <w:uiPriority w:val="0"/>
    <w:pPr>
      <w:spacing w:line="700" w:lineRule="exact"/>
      <w:ind w:left="960"/>
    </w:pPr>
    <w:rPr>
      <w:rFonts w:ascii="Times New Roman" w:hAnsi="Times New Roman" w:eastAsia="宋体" w:cs="Times New Roman"/>
      <w:sz w:val="44"/>
      <w:szCs w:val="44"/>
    </w:rPr>
  </w:style>
  <w:style w:type="paragraph" w:styleId="8">
    <w:name w:val="toc 3"/>
    <w:basedOn w:val="1"/>
    <w:next w:val="1"/>
    <w:qFormat/>
    <w:uiPriority w:val="0"/>
    <w:pPr>
      <w:widowControl w:val="0"/>
      <w:tabs>
        <w:tab w:val="right" w:leader="dot" w:pos="8300"/>
      </w:tabs>
      <w:spacing w:before="0" w:after="0" w:line="540" w:lineRule="atLeast"/>
      <w:ind w:left="1120" w:leftChars="400" w:right="0"/>
      <w:jc w:val="both"/>
    </w:pPr>
    <w:rPr>
      <w:rFonts w:ascii="宋体" w:hAnsi="宋体" w:eastAsia="宋体" w:cs="宋体"/>
      <w:kern w:val="2"/>
      <w:sz w:val="28"/>
      <w:szCs w:val="28"/>
      <w:lang w:val="en-US" w:eastAsia="zh-CN" w:bidi="ar-SA"/>
    </w:rPr>
  </w:style>
  <w:style w:type="paragraph" w:styleId="9">
    <w:name w:val="Plain Text"/>
    <w:basedOn w:val="1"/>
    <w:qFormat/>
    <w:uiPriority w:val="0"/>
    <w:rPr>
      <w:rFonts w:ascii="宋体" w:hAnsi="Courier New" w:eastAsia="宋体" w:cs="宋体"/>
      <w:sz w:val="21"/>
      <w:szCs w:val="21"/>
    </w:rPr>
  </w:style>
  <w:style w:type="paragraph" w:styleId="10">
    <w:name w:val="Date"/>
    <w:basedOn w:val="1"/>
    <w:next w:val="1"/>
    <w:qFormat/>
    <w:uiPriority w:val="0"/>
    <w:rPr>
      <w:rFonts w:ascii="Times New Roman" w:hAnsi="Times New Roman" w:eastAsia="宋体" w:cs="Times New Roman"/>
      <w:sz w:val="24"/>
      <w:szCs w:val="24"/>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qFormat/>
    <w:uiPriority w:val="0"/>
  </w:style>
  <w:style w:type="paragraph" w:styleId="14">
    <w:name w:val="toc 2"/>
    <w:basedOn w:val="1"/>
    <w:next w:val="1"/>
    <w:qFormat/>
    <w:uiPriority w:val="0"/>
    <w:pPr>
      <w:widowControl w:val="0"/>
      <w:tabs>
        <w:tab w:val="right" w:leader="dot" w:pos="8300"/>
      </w:tabs>
      <w:spacing w:before="0" w:after="0" w:line="360" w:lineRule="auto"/>
      <w:ind w:left="278" w:right="0"/>
      <w:jc w:val="left"/>
    </w:pPr>
    <w:rPr>
      <w:rFonts w:ascii="仿宋_GB2312" w:hAnsi="华文中宋" w:eastAsia="仿宋_GB2312" w:cs="仿宋_GB2312"/>
      <w:kern w:val="2"/>
      <w:sz w:val="28"/>
      <w:szCs w:val="28"/>
      <w:lang w:val="en-US" w:eastAsia="zh-CN" w:bidi="ar-SA"/>
    </w:rPr>
  </w:style>
  <w:style w:type="paragraph" w:styleId="15">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6">
    <w:name w:val="Body Text First Indent"/>
    <w:basedOn w:val="6"/>
    <w:next w:val="1"/>
    <w:qFormat/>
    <w:uiPriority w:val="0"/>
    <w:pPr>
      <w:spacing w:line="360" w:lineRule="auto"/>
      <w:ind w:firstLine="420"/>
    </w:pPr>
    <w:rPr>
      <w:rFonts w:ascii="宋体" w:hAnsi="宋体"/>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22">
    <w:name w:val="标题 2 Char"/>
    <w:link w:val="3"/>
    <w:qFormat/>
    <w:uiPriority w:val="0"/>
    <w:rPr>
      <w:rFonts w:ascii="Arial" w:hAnsi="Arial" w:eastAsia="黑体" w:cs="Arial"/>
      <w:b/>
      <w:bCs/>
      <w:sz w:val="32"/>
      <w:szCs w:val="32"/>
    </w:rPr>
  </w:style>
  <w:style w:type="character" w:customStyle="1" w:styleId="23">
    <w:name w:val="NormalCharacter"/>
    <w:semiHidden/>
    <w:qFormat/>
    <w:uiPriority w:val="0"/>
    <w:rPr>
      <w:rFonts w:ascii="Verdana" w:hAnsi="Verdana" w:eastAsia="仿宋_GB2312"/>
      <w:sz w:val="24"/>
      <w:lang w:val="en-US" w:eastAsia="en-US" w:bidi="ar-SA"/>
    </w:rPr>
  </w:style>
  <w:style w:type="paragraph" w:customStyle="1" w:styleId="24">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2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6">
    <w:name w:val="样式 (中文) 仿宋_GB2312 小四 行距: 固定值 22 磅"/>
    <w:basedOn w:val="1"/>
    <w:qFormat/>
    <w:uiPriority w:val="0"/>
    <w:pPr>
      <w:spacing w:line="400" w:lineRule="exact"/>
      <w:ind w:firstLine="150" w:firstLineChars="150"/>
    </w:pPr>
    <w:rPr>
      <w:rFonts w:ascii="Times New Roman" w:hAnsi="Times New Roman" w:eastAsia="仿宋_GB2312" w:cs="Times New Roman"/>
      <w:sz w:val="24"/>
      <w:szCs w:val="20"/>
    </w:rPr>
  </w:style>
  <w:style w:type="paragraph" w:customStyle="1" w:styleId="2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8">
    <w:name w:val="Default"/>
    <w:next w:val="29"/>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9">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0">
    <w:name w:val="标书正文1"/>
    <w:basedOn w:val="1"/>
    <w:qFormat/>
    <w:uiPriority w:val="0"/>
    <w:pPr>
      <w:spacing w:line="520" w:lineRule="exact"/>
      <w:ind w:firstLine="64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10706</Words>
  <Characters>11145</Characters>
  <Lines>0</Lines>
  <Paragraphs>0</Paragraphs>
  <TotalTime>29</TotalTime>
  <ScaleCrop>false</ScaleCrop>
  <LinksUpToDate>false</LinksUpToDate>
  <CharactersWithSpaces>11480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2024-09-11T09:30:00Z</dcterms:created>
  <dc:creator>小小小朋友o∩_∩o</dc:creator>
  <cp:lastModifiedBy>小小小朋友o∩_∩o</cp:lastModifiedBy>
  <dcterms:modified xsi:type="dcterms:W3CDTF">2025-08-25T03:44:51Z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69E884A05207474DB51C794FF78FFB14_13</vt:lpwstr>
  </property>
  <property fmtid="{D5CDD505-2E9C-101B-9397-08002B2CF9AE}" pid="4" name="KSOTemplateDocerSaveRecord">
    <vt:lpwstr>eyJoZGlkIjoiM2RhODQyMWQ4MGVhMjZlMjQ3MTA0NjIzN2UzZTg1YzkiLCJ1c2VySWQiOiI0MTAxNjMxMDcifQ==</vt:lpwstr>
  </property>
</Properties>
</file>