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D7F38C">
      <w:pPr>
        <w:jc w:val="center"/>
        <w:rPr>
          <w:rFonts w:ascii="宋体" w:hAnsi="宋体" w:cs="宋体"/>
        </w:rPr>
      </w:pPr>
    </w:p>
    <w:p w14:paraId="2E5C58E9">
      <w:pPr>
        <w:jc w:val="center"/>
        <w:rPr>
          <w:rFonts w:ascii="宋体" w:hAnsi="宋体" w:cs="宋体"/>
        </w:rPr>
      </w:pPr>
    </w:p>
    <w:p w14:paraId="5FEB0592">
      <w:pPr>
        <w:jc w:val="center"/>
        <w:rPr>
          <w:rFonts w:ascii="宋体" w:hAnsi="宋体" w:cs="宋体"/>
        </w:rPr>
      </w:pPr>
    </w:p>
    <w:p w14:paraId="4A220206">
      <w:pPr>
        <w:jc w:val="center"/>
        <w:rPr>
          <w:rFonts w:ascii="宋体" w:hAnsi="宋体" w:cs="宋体"/>
        </w:rPr>
      </w:pPr>
    </w:p>
    <w:p w14:paraId="4F7B1A37">
      <w:pPr>
        <w:jc w:val="center"/>
        <w:rPr>
          <w:rFonts w:ascii="宋体" w:hAnsi="宋体" w:cs="宋体"/>
        </w:rPr>
      </w:pPr>
    </w:p>
    <w:p w14:paraId="02AC64FA">
      <w:pPr>
        <w:jc w:val="center"/>
        <w:rPr>
          <w:rFonts w:ascii="宋体" w:hAnsi="宋体" w:cs="宋体"/>
          <w:sz w:val="144"/>
          <w:szCs w:val="144"/>
        </w:rPr>
      </w:pPr>
      <w:r>
        <w:rPr>
          <w:rFonts w:hint="eastAsia" w:ascii="宋体" w:hAnsi="宋体" w:cs="宋体"/>
          <w:sz w:val="112"/>
          <w:szCs w:val="112"/>
        </w:rPr>
        <w:t>竞争性比选文件</w:t>
      </w:r>
    </w:p>
    <w:p w14:paraId="1C0EEC88">
      <w:pPr>
        <w:spacing w:line="700" w:lineRule="exact"/>
        <w:jc w:val="center"/>
        <w:rPr>
          <w:rFonts w:ascii="宋体" w:hAnsi="宋体" w:cs="宋体"/>
          <w:sz w:val="32"/>
        </w:rPr>
      </w:pPr>
    </w:p>
    <w:p w14:paraId="06229876">
      <w:pPr>
        <w:spacing w:line="700" w:lineRule="exact"/>
        <w:jc w:val="center"/>
        <w:rPr>
          <w:rFonts w:ascii="宋体" w:hAnsi="宋体" w:cs="宋体"/>
          <w:sz w:val="32"/>
        </w:rPr>
      </w:pPr>
    </w:p>
    <w:p w14:paraId="5AA5FD37">
      <w:pPr>
        <w:spacing w:line="700" w:lineRule="exact"/>
        <w:jc w:val="center"/>
        <w:rPr>
          <w:rFonts w:ascii="宋体" w:hAnsi="宋体" w:cs="宋体"/>
          <w:sz w:val="32"/>
        </w:rPr>
      </w:pPr>
    </w:p>
    <w:p w14:paraId="591335A8">
      <w:pPr>
        <w:spacing w:line="500" w:lineRule="exact"/>
        <w:ind w:firstLine="2080" w:firstLineChars="650"/>
        <w:outlineLvl w:val="0"/>
        <w:rPr>
          <w:rFonts w:ascii="宋体" w:hAnsi="宋体" w:cs="宋体"/>
          <w:sz w:val="32"/>
          <w:szCs w:val="32"/>
        </w:rPr>
      </w:pPr>
      <w:r>
        <w:rPr>
          <w:rFonts w:hint="eastAsia" w:ascii="宋体" w:hAnsi="宋体" w:cs="宋体"/>
          <w:sz w:val="32"/>
          <w:szCs w:val="32"/>
        </w:rPr>
        <w:t xml:space="preserve"> </w:t>
      </w:r>
    </w:p>
    <w:p w14:paraId="4AB7CCE9">
      <w:pPr>
        <w:spacing w:line="600" w:lineRule="exact"/>
        <w:jc w:val="center"/>
        <w:rPr>
          <w:rFonts w:ascii="宋体" w:hAnsi="宋体" w:cs="宋体"/>
          <w:sz w:val="32"/>
          <w:szCs w:val="32"/>
        </w:rPr>
      </w:pPr>
      <w:r>
        <w:rPr>
          <w:rFonts w:hint="eastAsia" w:ascii="宋体" w:hAnsi="宋体" w:cs="宋体"/>
          <w:sz w:val="32"/>
          <w:szCs w:val="32"/>
        </w:rPr>
        <w:t>采购执行编号：JZHYZB-20250623</w:t>
      </w:r>
    </w:p>
    <w:p w14:paraId="2BA87F3B">
      <w:pPr>
        <w:spacing w:line="600" w:lineRule="exact"/>
        <w:jc w:val="center"/>
        <w:rPr>
          <w:rFonts w:ascii="宋体" w:hAnsi="宋体" w:cs="宋体"/>
          <w:sz w:val="32"/>
          <w:szCs w:val="32"/>
        </w:rPr>
      </w:pPr>
      <w:r>
        <w:rPr>
          <w:rFonts w:hint="eastAsia" w:ascii="宋体" w:hAnsi="宋体" w:cs="宋体"/>
          <w:sz w:val="32"/>
          <w:szCs w:val="32"/>
        </w:rPr>
        <w:t>比选项目名称：北国风光小区13栋两台电梯更新改造工程</w:t>
      </w:r>
    </w:p>
    <w:p w14:paraId="7180FA6A">
      <w:pPr>
        <w:spacing w:line="600" w:lineRule="exact"/>
        <w:jc w:val="center"/>
        <w:rPr>
          <w:rFonts w:ascii="宋体" w:hAnsi="宋体" w:cs="宋体"/>
          <w:sz w:val="32"/>
          <w:szCs w:val="32"/>
        </w:rPr>
      </w:pPr>
    </w:p>
    <w:p w14:paraId="2FD95681">
      <w:pPr>
        <w:spacing w:line="600" w:lineRule="exact"/>
        <w:jc w:val="center"/>
        <w:rPr>
          <w:rFonts w:ascii="宋体" w:hAnsi="宋体" w:cs="宋体"/>
          <w:sz w:val="32"/>
          <w:szCs w:val="32"/>
        </w:rPr>
      </w:pPr>
    </w:p>
    <w:p w14:paraId="03C8A79C">
      <w:pPr>
        <w:spacing w:line="600" w:lineRule="exact"/>
        <w:jc w:val="center"/>
        <w:rPr>
          <w:rFonts w:ascii="宋体" w:hAnsi="宋体" w:cs="宋体"/>
          <w:sz w:val="32"/>
          <w:szCs w:val="32"/>
        </w:rPr>
      </w:pPr>
    </w:p>
    <w:p w14:paraId="05E3B626">
      <w:pPr>
        <w:spacing w:line="600" w:lineRule="exact"/>
        <w:jc w:val="center"/>
        <w:rPr>
          <w:rFonts w:ascii="宋体" w:hAnsi="宋体" w:cs="宋体"/>
          <w:sz w:val="32"/>
          <w:szCs w:val="32"/>
        </w:rPr>
      </w:pPr>
    </w:p>
    <w:p w14:paraId="3C1A17D0">
      <w:pPr>
        <w:spacing w:line="600" w:lineRule="exact"/>
        <w:jc w:val="center"/>
        <w:rPr>
          <w:rFonts w:ascii="宋体" w:hAnsi="宋体" w:cs="宋体"/>
          <w:sz w:val="32"/>
          <w:szCs w:val="32"/>
        </w:rPr>
      </w:pPr>
      <w:r>
        <w:rPr>
          <w:rFonts w:hint="eastAsia" w:ascii="宋体" w:hAnsi="宋体" w:cs="宋体"/>
          <w:sz w:val="32"/>
          <w:szCs w:val="32"/>
        </w:rPr>
        <w:t xml:space="preserve">采购人：重庆华宇物业服务集团有限公司 </w:t>
      </w:r>
    </w:p>
    <w:p w14:paraId="5C424622">
      <w:pPr>
        <w:spacing w:line="600" w:lineRule="exact"/>
        <w:jc w:val="center"/>
        <w:rPr>
          <w:rFonts w:ascii="宋体" w:hAnsi="宋体" w:cs="宋体"/>
          <w:sz w:val="32"/>
          <w:szCs w:val="32"/>
        </w:rPr>
      </w:pPr>
      <w:r>
        <w:rPr>
          <w:rFonts w:hint="eastAsia" w:ascii="宋体" w:hAnsi="宋体" w:cs="宋体"/>
          <w:sz w:val="32"/>
          <w:szCs w:val="32"/>
        </w:rPr>
        <w:t>采购代理机构：重庆靖正恒悦项目管理有限公司</w:t>
      </w:r>
    </w:p>
    <w:p w14:paraId="185BA0CE">
      <w:pPr>
        <w:spacing w:line="600" w:lineRule="exact"/>
        <w:jc w:val="center"/>
        <w:rPr>
          <w:rFonts w:ascii="宋体" w:hAnsi="宋体" w:cs="宋体"/>
          <w:sz w:val="32"/>
          <w:szCs w:val="32"/>
        </w:rPr>
      </w:pPr>
      <w:r>
        <w:rPr>
          <w:rFonts w:hint="eastAsia" w:ascii="宋体" w:hAnsi="宋体" w:cs="宋体"/>
          <w:sz w:val="32"/>
          <w:szCs w:val="32"/>
        </w:rPr>
        <w:t>二〇二五年六月</w:t>
      </w:r>
    </w:p>
    <w:p w14:paraId="31DB2FC4">
      <w:pPr>
        <w:spacing w:line="600" w:lineRule="exact"/>
        <w:jc w:val="center"/>
        <w:rPr>
          <w:rFonts w:ascii="宋体" w:hAnsi="宋体" w:cs="宋体"/>
          <w:sz w:val="32"/>
          <w:szCs w:val="32"/>
        </w:rPr>
        <w:sectPr>
          <w:footerReference r:id="rId6" w:type="first"/>
          <w:headerReference r:id="rId3" w:type="default"/>
          <w:footerReference r:id="rId4" w:type="default"/>
          <w:footerReference r:id="rId5" w:type="even"/>
          <w:pgSz w:w="11907" w:h="16840"/>
          <w:pgMar w:top="1134" w:right="953" w:bottom="1134" w:left="1134" w:header="851" w:footer="992" w:gutter="0"/>
          <w:pgNumType w:fmt="numberInDash" w:start="1"/>
          <w:cols w:space="720" w:num="1"/>
          <w:titlePg/>
          <w:docGrid w:linePitch="381" w:charSpace="-5735"/>
        </w:sectPr>
      </w:pPr>
    </w:p>
    <w:p w14:paraId="4556064E">
      <w:pPr>
        <w:pStyle w:val="38"/>
        <w:tabs>
          <w:tab w:val="right" w:leader="dot" w:pos="9355"/>
        </w:tabs>
        <w:rPr>
          <w:rFonts w:ascii="宋体" w:hAnsi="宋体" w:cs="宋体"/>
          <w:sz w:val="36"/>
          <w:szCs w:val="30"/>
        </w:rPr>
      </w:pPr>
      <w:bookmarkStart w:id="0" w:name="_Toc12789052"/>
      <w:bookmarkStart w:id="1" w:name="_Toc24817"/>
      <w:bookmarkStart w:id="2" w:name="_Toc7502"/>
      <w:bookmarkStart w:id="3" w:name="_Toc24173"/>
      <w:bookmarkStart w:id="4" w:name="_Toc15726"/>
      <w:bookmarkStart w:id="5" w:name="_Toc11641050"/>
      <w:bookmarkStart w:id="6" w:name="_Toc65660329"/>
    </w:p>
    <w:p w14:paraId="0DE1087B">
      <w:pPr>
        <w:pStyle w:val="38"/>
        <w:tabs>
          <w:tab w:val="right" w:leader="dot" w:pos="9355"/>
        </w:tabs>
        <w:spacing w:line="720" w:lineRule="exact"/>
        <w:rPr>
          <w:rFonts w:ascii="宋体" w:hAnsi="宋体" w:cs="宋体"/>
          <w:sz w:val="36"/>
          <w:szCs w:val="30"/>
        </w:rPr>
      </w:pPr>
      <w:r>
        <w:rPr>
          <w:rFonts w:hint="eastAsia" w:ascii="宋体" w:hAnsi="宋体" w:cs="宋体"/>
          <w:sz w:val="36"/>
          <w:szCs w:val="30"/>
        </w:rPr>
        <w:t>目  录</w:t>
      </w:r>
    </w:p>
    <w:p w14:paraId="1F8E757C">
      <w:pPr>
        <w:pStyle w:val="38"/>
        <w:tabs>
          <w:tab w:val="right" w:leader="dot" w:pos="9355"/>
        </w:tabs>
        <w:rPr>
          <w:rFonts w:ascii="宋体" w:hAnsi="宋体" w:cs="宋体"/>
          <w:sz w:val="36"/>
          <w:szCs w:val="30"/>
        </w:rPr>
      </w:pPr>
    </w:p>
    <w:p w14:paraId="057E57ED">
      <w:pPr>
        <w:pStyle w:val="38"/>
        <w:tabs>
          <w:tab w:val="right" w:leader="dot" w:pos="9355"/>
        </w:tabs>
      </w:pPr>
      <w:r>
        <w:rPr>
          <w:rFonts w:hint="eastAsia" w:ascii="宋体" w:hAnsi="宋体" w:cs="宋体"/>
          <w:sz w:val="36"/>
          <w:szCs w:val="30"/>
        </w:rPr>
        <w:fldChar w:fldCharType="begin"/>
      </w:r>
      <w:r>
        <w:rPr>
          <w:rFonts w:hint="eastAsia" w:ascii="宋体" w:hAnsi="宋体" w:cs="宋体"/>
          <w:sz w:val="36"/>
          <w:szCs w:val="30"/>
        </w:rPr>
        <w:instrText xml:space="preserve">TOC \o "1-1" \h \u </w:instrText>
      </w:r>
      <w:r>
        <w:rPr>
          <w:rFonts w:hint="eastAsia" w:ascii="宋体" w:hAnsi="宋体" w:cs="宋体"/>
          <w:sz w:val="36"/>
          <w:szCs w:val="30"/>
        </w:rPr>
        <w:fldChar w:fldCharType="separate"/>
      </w:r>
      <w:r>
        <w:fldChar w:fldCharType="begin"/>
      </w:r>
      <w:r>
        <w:instrText xml:space="preserve"> HYPERLINK \l "_Toc24374" </w:instrText>
      </w:r>
      <w:r>
        <w:fldChar w:fldCharType="separate"/>
      </w:r>
      <w:r>
        <w:rPr>
          <w:rFonts w:hint="eastAsia" w:ascii="宋体" w:hAnsi="宋体" w:cs="宋体"/>
          <w:bCs/>
          <w:szCs w:val="30"/>
        </w:rPr>
        <w:t xml:space="preserve">第一篇  </w:t>
      </w:r>
      <w:r>
        <w:rPr>
          <w:rFonts w:hint="eastAsia" w:hAnsi="宋体" w:cs="宋体"/>
          <w:bCs/>
          <w:szCs w:val="30"/>
        </w:rPr>
        <w:t>比选</w:t>
      </w:r>
      <w:r>
        <w:rPr>
          <w:rFonts w:hint="eastAsia" w:ascii="宋体" w:hAnsi="宋体" w:cs="宋体"/>
          <w:bCs/>
          <w:szCs w:val="30"/>
        </w:rPr>
        <w:t>采购邀请书</w:t>
      </w:r>
      <w:r>
        <w:tab/>
      </w:r>
      <w:r>
        <w:fldChar w:fldCharType="begin"/>
      </w:r>
      <w:r>
        <w:instrText xml:space="preserve"> PAGEREF _Toc24374 \h </w:instrText>
      </w:r>
      <w:r>
        <w:fldChar w:fldCharType="separate"/>
      </w:r>
      <w:r>
        <w:t>- 3 -</w:t>
      </w:r>
      <w:r>
        <w:fldChar w:fldCharType="end"/>
      </w:r>
      <w:r>
        <w:fldChar w:fldCharType="end"/>
      </w:r>
    </w:p>
    <w:p w14:paraId="1C70A553">
      <w:pPr>
        <w:pStyle w:val="38"/>
        <w:tabs>
          <w:tab w:val="right" w:leader="dot" w:pos="9355"/>
        </w:tabs>
      </w:pPr>
      <w:r>
        <w:fldChar w:fldCharType="begin"/>
      </w:r>
      <w:r>
        <w:instrText xml:space="preserve"> HYPERLINK \l "_Toc7067" </w:instrText>
      </w:r>
      <w:r>
        <w:fldChar w:fldCharType="separate"/>
      </w:r>
      <w:r>
        <w:rPr>
          <w:rFonts w:hint="eastAsia" w:ascii="宋体" w:hAnsi="宋体" w:cs="宋体"/>
          <w:bCs/>
          <w:szCs w:val="30"/>
        </w:rPr>
        <w:t xml:space="preserve">第二篇  </w:t>
      </w:r>
      <w:r>
        <w:rPr>
          <w:rFonts w:hint="eastAsia" w:hAnsi="宋体" w:cs="宋体"/>
          <w:bCs/>
          <w:szCs w:val="30"/>
        </w:rPr>
        <w:t>比选</w:t>
      </w:r>
      <w:r>
        <w:rPr>
          <w:rFonts w:hint="eastAsia" w:ascii="宋体" w:hAnsi="宋体" w:cs="宋体"/>
          <w:bCs/>
          <w:szCs w:val="30"/>
        </w:rPr>
        <w:t>项目技术（质量）需求</w:t>
      </w:r>
      <w:r>
        <w:tab/>
      </w:r>
      <w:r>
        <w:fldChar w:fldCharType="begin"/>
      </w:r>
      <w:r>
        <w:instrText xml:space="preserve"> PAGEREF _Toc7067 \h </w:instrText>
      </w:r>
      <w:r>
        <w:fldChar w:fldCharType="separate"/>
      </w:r>
      <w:r>
        <w:t>- 7 -</w:t>
      </w:r>
      <w:r>
        <w:fldChar w:fldCharType="end"/>
      </w:r>
      <w:r>
        <w:fldChar w:fldCharType="end"/>
      </w:r>
    </w:p>
    <w:p w14:paraId="2DED46A7">
      <w:pPr>
        <w:pStyle w:val="38"/>
        <w:tabs>
          <w:tab w:val="right" w:leader="dot" w:pos="9355"/>
        </w:tabs>
      </w:pPr>
      <w:r>
        <w:fldChar w:fldCharType="begin"/>
      </w:r>
      <w:r>
        <w:instrText xml:space="preserve"> HYPERLINK \l "_Toc16875" </w:instrText>
      </w:r>
      <w:r>
        <w:fldChar w:fldCharType="separate"/>
      </w:r>
      <w:r>
        <w:rPr>
          <w:rFonts w:hint="eastAsia" w:ascii="宋体" w:hAnsi="宋体" w:cs="宋体"/>
          <w:bCs/>
          <w:szCs w:val="30"/>
        </w:rPr>
        <w:t xml:space="preserve">第三篇  </w:t>
      </w:r>
      <w:r>
        <w:rPr>
          <w:rFonts w:hint="eastAsia" w:hAnsi="宋体" w:cs="宋体"/>
          <w:bCs/>
          <w:szCs w:val="30"/>
        </w:rPr>
        <w:t>比选</w:t>
      </w:r>
      <w:r>
        <w:rPr>
          <w:rFonts w:hint="eastAsia" w:ascii="宋体" w:hAnsi="宋体" w:cs="宋体"/>
          <w:bCs/>
          <w:szCs w:val="30"/>
        </w:rPr>
        <w:t>项目商务需求</w:t>
      </w:r>
      <w:r>
        <w:tab/>
      </w:r>
      <w:r>
        <w:fldChar w:fldCharType="begin"/>
      </w:r>
      <w:r>
        <w:instrText xml:space="preserve"> PAGEREF _Toc16875 \h </w:instrText>
      </w:r>
      <w:r>
        <w:fldChar w:fldCharType="separate"/>
      </w:r>
      <w:r>
        <w:t>- 16 -</w:t>
      </w:r>
      <w:r>
        <w:fldChar w:fldCharType="end"/>
      </w:r>
      <w:r>
        <w:fldChar w:fldCharType="end"/>
      </w:r>
    </w:p>
    <w:p w14:paraId="21FE76B5">
      <w:pPr>
        <w:pStyle w:val="38"/>
        <w:tabs>
          <w:tab w:val="right" w:leader="dot" w:pos="9355"/>
        </w:tabs>
      </w:pPr>
      <w:r>
        <w:fldChar w:fldCharType="begin"/>
      </w:r>
      <w:r>
        <w:instrText xml:space="preserve"> HYPERLINK \l "_Toc24816" </w:instrText>
      </w:r>
      <w:r>
        <w:fldChar w:fldCharType="separate"/>
      </w:r>
      <w:r>
        <w:rPr>
          <w:rFonts w:hint="eastAsia" w:ascii="宋体" w:hAnsi="宋体" w:cs="宋体"/>
          <w:bCs/>
          <w:szCs w:val="30"/>
        </w:rPr>
        <w:t>第四篇  采购程序、评定成交的标准、无效报价及采购终止</w:t>
      </w:r>
      <w:r>
        <w:tab/>
      </w:r>
      <w:r>
        <w:fldChar w:fldCharType="begin"/>
      </w:r>
      <w:r>
        <w:instrText xml:space="preserve"> PAGEREF _Toc24816 \h </w:instrText>
      </w:r>
      <w:r>
        <w:fldChar w:fldCharType="separate"/>
      </w:r>
      <w:r>
        <w:t>- 18 -</w:t>
      </w:r>
      <w:r>
        <w:fldChar w:fldCharType="end"/>
      </w:r>
      <w:r>
        <w:fldChar w:fldCharType="end"/>
      </w:r>
    </w:p>
    <w:p w14:paraId="70F7F505">
      <w:pPr>
        <w:pStyle w:val="38"/>
        <w:tabs>
          <w:tab w:val="right" w:leader="dot" w:pos="9355"/>
        </w:tabs>
      </w:pPr>
      <w:r>
        <w:fldChar w:fldCharType="begin"/>
      </w:r>
      <w:r>
        <w:instrText xml:space="preserve"> HYPERLINK \l "_Toc8372" </w:instrText>
      </w:r>
      <w:r>
        <w:fldChar w:fldCharType="separate"/>
      </w:r>
      <w:r>
        <w:rPr>
          <w:rFonts w:hint="eastAsia" w:ascii="宋体" w:hAnsi="宋体" w:cs="宋体"/>
          <w:bCs/>
          <w:szCs w:val="30"/>
        </w:rPr>
        <w:t>第五篇  供应商须知</w:t>
      </w:r>
      <w:r>
        <w:tab/>
      </w:r>
      <w:r>
        <w:fldChar w:fldCharType="begin"/>
      </w:r>
      <w:r>
        <w:instrText xml:space="preserve"> PAGEREF _Toc8372 \h </w:instrText>
      </w:r>
      <w:r>
        <w:fldChar w:fldCharType="separate"/>
      </w:r>
      <w:r>
        <w:t>- 22 -</w:t>
      </w:r>
      <w:r>
        <w:fldChar w:fldCharType="end"/>
      </w:r>
      <w:r>
        <w:fldChar w:fldCharType="end"/>
      </w:r>
    </w:p>
    <w:p w14:paraId="002958E9">
      <w:pPr>
        <w:pStyle w:val="38"/>
        <w:tabs>
          <w:tab w:val="right" w:leader="dot" w:pos="9355"/>
        </w:tabs>
      </w:pPr>
      <w:r>
        <w:fldChar w:fldCharType="begin"/>
      </w:r>
      <w:r>
        <w:instrText xml:space="preserve"> HYPERLINK \l "_Toc21218" </w:instrText>
      </w:r>
      <w:r>
        <w:fldChar w:fldCharType="separate"/>
      </w:r>
      <w:r>
        <w:rPr>
          <w:rFonts w:hint="eastAsia" w:ascii="宋体" w:hAnsi="宋体" w:cs="宋体"/>
          <w:bCs/>
          <w:szCs w:val="30"/>
        </w:rPr>
        <w:t>第六篇  合同草案条款</w:t>
      </w:r>
      <w:r>
        <w:tab/>
      </w:r>
      <w:r>
        <w:fldChar w:fldCharType="begin"/>
      </w:r>
      <w:r>
        <w:instrText xml:space="preserve"> PAGEREF _Toc21218 \h </w:instrText>
      </w:r>
      <w:r>
        <w:fldChar w:fldCharType="separate"/>
      </w:r>
      <w:r>
        <w:t>- 26 -</w:t>
      </w:r>
      <w:r>
        <w:fldChar w:fldCharType="end"/>
      </w:r>
      <w:r>
        <w:fldChar w:fldCharType="end"/>
      </w:r>
    </w:p>
    <w:p w14:paraId="5A0DE792">
      <w:pPr>
        <w:pStyle w:val="38"/>
        <w:tabs>
          <w:tab w:val="right" w:leader="dot" w:pos="9355"/>
        </w:tabs>
      </w:pPr>
      <w:r>
        <w:fldChar w:fldCharType="begin"/>
      </w:r>
      <w:r>
        <w:instrText xml:space="preserve"> HYPERLINK \l "_Toc20499" </w:instrText>
      </w:r>
      <w:r>
        <w:fldChar w:fldCharType="separate"/>
      </w:r>
      <w:r>
        <w:rPr>
          <w:rFonts w:hint="eastAsia" w:ascii="宋体" w:hAnsi="宋体" w:cs="宋体"/>
          <w:bCs/>
          <w:szCs w:val="30"/>
        </w:rPr>
        <w:t>第七篇  响应文件格式要求</w:t>
      </w:r>
      <w:r>
        <w:tab/>
      </w:r>
      <w:r>
        <w:fldChar w:fldCharType="begin"/>
      </w:r>
      <w:r>
        <w:instrText xml:space="preserve"> PAGEREF _Toc20499 \h </w:instrText>
      </w:r>
      <w:r>
        <w:fldChar w:fldCharType="separate"/>
      </w:r>
      <w:r>
        <w:t>- 30 -</w:t>
      </w:r>
      <w:r>
        <w:fldChar w:fldCharType="end"/>
      </w:r>
      <w:r>
        <w:fldChar w:fldCharType="end"/>
      </w:r>
    </w:p>
    <w:p w14:paraId="76143230">
      <w:pPr>
        <w:rPr>
          <w:rFonts w:ascii="宋体" w:hAnsi="宋体" w:cs="宋体"/>
          <w:sz w:val="36"/>
          <w:szCs w:val="30"/>
        </w:rPr>
      </w:pPr>
      <w:r>
        <w:rPr>
          <w:rFonts w:hint="eastAsia" w:ascii="宋体" w:hAnsi="宋体" w:cs="宋体"/>
          <w:szCs w:val="30"/>
        </w:rPr>
        <w:fldChar w:fldCharType="end"/>
      </w:r>
    </w:p>
    <w:p w14:paraId="142B26C6">
      <w:pPr>
        <w:rPr>
          <w:rFonts w:ascii="宋体" w:hAnsi="宋体" w:cs="宋体"/>
        </w:rPr>
      </w:pPr>
      <w:r>
        <w:rPr>
          <w:rFonts w:hint="eastAsia" w:ascii="宋体" w:hAnsi="宋体" w:cs="宋体"/>
        </w:rPr>
        <w:br w:type="page"/>
      </w:r>
    </w:p>
    <w:p w14:paraId="2BC71519">
      <w:pPr>
        <w:pStyle w:val="3"/>
        <w:jc w:val="center"/>
        <w:rPr>
          <w:rFonts w:hAnsi="宋体" w:cs="宋体"/>
          <w:b/>
          <w:bCs/>
          <w:sz w:val="30"/>
          <w:szCs w:val="30"/>
        </w:rPr>
      </w:pPr>
      <w:bookmarkStart w:id="7" w:name="_Toc24374"/>
      <w:r>
        <w:rPr>
          <w:rFonts w:hint="eastAsia" w:hAnsi="宋体" w:cs="宋体"/>
          <w:b/>
          <w:bCs/>
          <w:sz w:val="30"/>
          <w:szCs w:val="30"/>
        </w:rPr>
        <w:t>第一篇  比选采购邀请书</w:t>
      </w:r>
      <w:bookmarkEnd w:id="0"/>
      <w:bookmarkEnd w:id="1"/>
      <w:bookmarkEnd w:id="2"/>
      <w:bookmarkEnd w:id="3"/>
      <w:bookmarkEnd w:id="4"/>
      <w:bookmarkEnd w:id="5"/>
      <w:bookmarkEnd w:id="6"/>
      <w:bookmarkEnd w:id="7"/>
    </w:p>
    <w:p w14:paraId="37B7374C">
      <w:pPr>
        <w:snapToGrid w:val="0"/>
        <w:spacing w:line="392" w:lineRule="exact"/>
        <w:ind w:firstLine="480" w:firstLineChars="200"/>
        <w:rPr>
          <w:rFonts w:ascii="宋体" w:hAnsi="宋体" w:cs="宋体"/>
          <w:sz w:val="24"/>
          <w:szCs w:val="24"/>
        </w:rPr>
      </w:pPr>
      <w:r>
        <w:rPr>
          <w:rFonts w:hint="eastAsia" w:ascii="宋体" w:hAnsi="宋体" w:cs="宋体"/>
          <w:sz w:val="24"/>
          <w:szCs w:val="24"/>
          <w:u w:val="single"/>
        </w:rPr>
        <w:t>重庆靖正恒悦项目管理有限公司</w:t>
      </w:r>
      <w:r>
        <w:rPr>
          <w:rFonts w:hint="eastAsia" w:ascii="宋体" w:hAnsi="宋体" w:cs="宋体"/>
          <w:sz w:val="24"/>
          <w:szCs w:val="24"/>
        </w:rPr>
        <w:t>（以下简称：采购代理机构）接受</w:t>
      </w:r>
      <w:r>
        <w:rPr>
          <w:rFonts w:hint="eastAsia" w:ascii="宋体" w:hAnsi="宋体" w:cs="宋体"/>
          <w:sz w:val="24"/>
          <w:szCs w:val="24"/>
          <w:u w:val="single"/>
        </w:rPr>
        <w:t xml:space="preserve">重庆华宇物业服务集团有限公司 </w:t>
      </w:r>
      <w:r>
        <w:rPr>
          <w:rFonts w:hint="eastAsia" w:ascii="宋体" w:hAnsi="宋体" w:cs="宋体"/>
          <w:sz w:val="24"/>
          <w:szCs w:val="24"/>
        </w:rPr>
        <w:t>（以下简称：采购人）的委托，对</w:t>
      </w:r>
      <w:r>
        <w:rPr>
          <w:rFonts w:hint="eastAsia" w:ascii="宋体" w:hAnsi="宋体" w:cs="宋体"/>
          <w:sz w:val="24"/>
          <w:szCs w:val="24"/>
          <w:u w:val="single"/>
        </w:rPr>
        <w:t>北国风光小区13栋两台电梯更新改造工程</w:t>
      </w:r>
      <w:r>
        <w:rPr>
          <w:rFonts w:hint="eastAsia" w:ascii="宋体" w:hAnsi="宋体" w:cs="宋体"/>
          <w:sz w:val="24"/>
          <w:szCs w:val="24"/>
        </w:rPr>
        <w:t>进行竞争性比选采购。欢迎有资格的供应商前来参加报价。</w:t>
      </w:r>
    </w:p>
    <w:p w14:paraId="2E01F924">
      <w:pPr>
        <w:keepNext/>
        <w:keepLines/>
        <w:adjustRightInd w:val="0"/>
        <w:snapToGrid w:val="0"/>
        <w:spacing w:line="392" w:lineRule="exact"/>
        <w:ind w:firstLine="482" w:firstLineChars="200"/>
        <w:outlineLvl w:val="1"/>
        <w:rPr>
          <w:rFonts w:ascii="宋体" w:hAnsi="宋体" w:cs="宋体"/>
          <w:b/>
          <w:sz w:val="24"/>
        </w:rPr>
      </w:pPr>
      <w:bookmarkStart w:id="8" w:name="_Toc9650"/>
      <w:bookmarkStart w:id="9" w:name="_Toc313893526"/>
      <w:bookmarkStart w:id="10" w:name="_Toc7758"/>
      <w:bookmarkStart w:id="11" w:name="_Toc317775175"/>
      <w:bookmarkStart w:id="12" w:name="_Toc65660330"/>
      <w:bookmarkStart w:id="13" w:name="_Toc18246"/>
      <w:bookmarkStart w:id="14" w:name="_Toc26091"/>
      <w:r>
        <w:rPr>
          <w:rFonts w:hint="eastAsia" w:ascii="宋体" w:hAnsi="宋体" w:cs="宋体"/>
          <w:b/>
          <w:sz w:val="24"/>
        </w:rPr>
        <w:t>一、比选内容</w:t>
      </w:r>
      <w:bookmarkEnd w:id="8"/>
      <w:bookmarkEnd w:id="9"/>
      <w:bookmarkEnd w:id="10"/>
      <w:bookmarkEnd w:id="11"/>
      <w:bookmarkEnd w:id="12"/>
      <w:bookmarkEnd w:id="13"/>
      <w:bookmarkEnd w:id="14"/>
    </w:p>
    <w:tbl>
      <w:tblPr>
        <w:tblStyle w:val="59"/>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4"/>
        <w:gridCol w:w="1845"/>
        <w:gridCol w:w="1392"/>
        <w:gridCol w:w="1739"/>
      </w:tblGrid>
      <w:tr w14:paraId="6025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2" w:type="pct"/>
            <w:tcBorders>
              <w:top w:val="single" w:color="auto" w:sz="4" w:space="0"/>
              <w:left w:val="single" w:color="auto" w:sz="4" w:space="0"/>
              <w:right w:val="single" w:color="auto" w:sz="4" w:space="0"/>
            </w:tcBorders>
            <w:vAlign w:val="center"/>
          </w:tcPr>
          <w:p w14:paraId="12B9E6E1">
            <w:pPr>
              <w:widowControl/>
              <w:jc w:val="center"/>
              <w:rPr>
                <w:rFonts w:ascii="宋体" w:hAnsi="宋体" w:cs="宋体"/>
                <w:b/>
                <w:bCs/>
                <w:kern w:val="0"/>
                <w:sz w:val="21"/>
                <w:szCs w:val="24"/>
              </w:rPr>
            </w:pPr>
            <w:r>
              <w:rPr>
                <w:rFonts w:hint="eastAsia" w:ascii="宋体" w:hAnsi="宋体" w:cs="宋体"/>
                <w:b/>
                <w:bCs/>
                <w:kern w:val="0"/>
                <w:sz w:val="21"/>
                <w:szCs w:val="24"/>
              </w:rPr>
              <w:t>名称</w:t>
            </w:r>
          </w:p>
        </w:tc>
        <w:tc>
          <w:tcPr>
            <w:tcW w:w="1048" w:type="pct"/>
            <w:tcBorders>
              <w:top w:val="single" w:color="auto" w:sz="4" w:space="0"/>
              <w:left w:val="single" w:color="auto" w:sz="4" w:space="0"/>
              <w:right w:val="single" w:color="auto" w:sz="4" w:space="0"/>
            </w:tcBorders>
            <w:vAlign w:val="center"/>
          </w:tcPr>
          <w:p w14:paraId="46C93921">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791" w:type="pct"/>
            <w:tcBorders>
              <w:top w:val="single" w:color="auto" w:sz="4" w:space="0"/>
              <w:left w:val="single" w:color="auto" w:sz="4" w:space="0"/>
              <w:right w:val="single" w:color="auto" w:sz="4" w:space="0"/>
            </w:tcBorders>
            <w:vAlign w:val="center"/>
          </w:tcPr>
          <w:p w14:paraId="13053915">
            <w:pPr>
              <w:widowControl/>
              <w:jc w:val="center"/>
              <w:rPr>
                <w:rFonts w:ascii="宋体" w:hAnsi="宋体" w:cs="宋体"/>
                <w:b/>
                <w:bCs/>
                <w:kern w:val="0"/>
                <w:sz w:val="21"/>
                <w:szCs w:val="24"/>
              </w:rPr>
            </w:pPr>
            <w:r>
              <w:rPr>
                <w:rFonts w:hint="eastAsia" w:ascii="宋体" w:hAnsi="宋体" w:cs="宋体"/>
                <w:b/>
                <w:bCs/>
                <w:kern w:val="0"/>
                <w:sz w:val="21"/>
                <w:szCs w:val="24"/>
              </w:rPr>
              <w:t>投标保证金</w:t>
            </w:r>
          </w:p>
          <w:p w14:paraId="1A331F8D">
            <w:pPr>
              <w:jc w:val="center"/>
              <w:rPr>
                <w:rFonts w:ascii="宋体" w:hAnsi="宋体" w:cs="宋体"/>
                <w:b/>
                <w:bCs/>
                <w:kern w:val="0"/>
                <w:sz w:val="21"/>
                <w:szCs w:val="24"/>
              </w:rPr>
            </w:pPr>
            <w:r>
              <w:rPr>
                <w:rFonts w:hint="eastAsia" w:ascii="宋体" w:hAnsi="宋体" w:cs="宋体"/>
                <w:b/>
                <w:bCs/>
                <w:kern w:val="0"/>
                <w:sz w:val="21"/>
                <w:szCs w:val="24"/>
              </w:rPr>
              <w:t>（万元）</w:t>
            </w:r>
          </w:p>
        </w:tc>
        <w:tc>
          <w:tcPr>
            <w:tcW w:w="988" w:type="pct"/>
            <w:tcBorders>
              <w:top w:val="single" w:color="auto" w:sz="4" w:space="0"/>
              <w:left w:val="single" w:color="auto" w:sz="4" w:space="0"/>
              <w:right w:val="single" w:color="auto" w:sz="4" w:space="0"/>
            </w:tcBorders>
            <w:vAlign w:val="center"/>
          </w:tcPr>
          <w:p w14:paraId="5E92B572">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14:paraId="5E97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14:paraId="64252D97">
            <w:pPr>
              <w:widowControl/>
              <w:jc w:val="center"/>
              <w:rPr>
                <w:rFonts w:ascii="宋体" w:hAnsi="宋体" w:cs="宋体"/>
                <w:kern w:val="0"/>
                <w:sz w:val="21"/>
                <w:szCs w:val="24"/>
              </w:rPr>
            </w:pPr>
            <w:bookmarkStart w:id="15" w:name="_Hlk344477914"/>
            <w:r>
              <w:rPr>
                <w:rFonts w:hint="eastAsia" w:ascii="宋体" w:hAnsi="宋体" w:cs="宋体"/>
                <w:sz w:val="24"/>
                <w:szCs w:val="24"/>
              </w:rPr>
              <w:t>北国风光小区13栋两台电梯更新改造工程</w:t>
            </w:r>
          </w:p>
        </w:tc>
        <w:tc>
          <w:tcPr>
            <w:tcW w:w="1048" w:type="pct"/>
            <w:tcBorders>
              <w:top w:val="single" w:color="auto" w:sz="4" w:space="0"/>
              <w:left w:val="single" w:color="auto" w:sz="4" w:space="0"/>
              <w:bottom w:val="single" w:color="auto" w:sz="4" w:space="0"/>
              <w:right w:val="single" w:color="auto" w:sz="4" w:space="0"/>
            </w:tcBorders>
            <w:vAlign w:val="center"/>
          </w:tcPr>
          <w:p w14:paraId="73E88D38">
            <w:pPr>
              <w:jc w:val="center"/>
              <w:rPr>
                <w:rFonts w:ascii="宋体" w:hAnsi="宋体" w:cs="宋体"/>
                <w:sz w:val="21"/>
                <w:szCs w:val="21"/>
              </w:rPr>
            </w:pPr>
            <w:r>
              <w:rPr>
                <w:rFonts w:hint="eastAsia" w:ascii="宋体" w:hAnsi="宋体" w:cs="宋体"/>
                <w:sz w:val="21"/>
                <w:szCs w:val="21"/>
              </w:rPr>
              <w:t xml:space="preserve">以预算评审为准   </w:t>
            </w:r>
          </w:p>
        </w:tc>
        <w:tc>
          <w:tcPr>
            <w:tcW w:w="791" w:type="pct"/>
            <w:tcBorders>
              <w:top w:val="single" w:color="auto" w:sz="4" w:space="0"/>
              <w:left w:val="single" w:color="auto" w:sz="4" w:space="0"/>
              <w:bottom w:val="single" w:color="auto" w:sz="4" w:space="0"/>
              <w:right w:val="single" w:color="auto" w:sz="4" w:space="0"/>
            </w:tcBorders>
            <w:vAlign w:val="center"/>
          </w:tcPr>
          <w:p w14:paraId="092FECCF">
            <w:pPr>
              <w:jc w:val="center"/>
              <w:rPr>
                <w:rFonts w:ascii="宋体" w:hAnsi="宋体" w:cs="宋体"/>
                <w:sz w:val="21"/>
                <w:szCs w:val="21"/>
              </w:rPr>
            </w:pPr>
            <w:r>
              <w:rPr>
                <w:rFonts w:hint="eastAsia" w:ascii="宋体" w:hAnsi="宋体" w:cs="宋体"/>
                <w:sz w:val="21"/>
                <w:szCs w:val="21"/>
              </w:rPr>
              <w:t xml:space="preserve">1  </w:t>
            </w:r>
          </w:p>
        </w:tc>
        <w:tc>
          <w:tcPr>
            <w:tcW w:w="988" w:type="pct"/>
            <w:tcBorders>
              <w:top w:val="single" w:color="auto" w:sz="4" w:space="0"/>
              <w:left w:val="single" w:color="auto" w:sz="4" w:space="0"/>
              <w:bottom w:val="single" w:color="auto" w:sz="4" w:space="0"/>
              <w:right w:val="single" w:color="auto" w:sz="4" w:space="0"/>
            </w:tcBorders>
            <w:vAlign w:val="center"/>
          </w:tcPr>
          <w:p w14:paraId="0C1A66D4">
            <w:pPr>
              <w:jc w:val="center"/>
              <w:rPr>
                <w:rFonts w:ascii="宋体" w:hAnsi="宋体" w:cs="宋体"/>
                <w:sz w:val="21"/>
                <w:szCs w:val="21"/>
              </w:rPr>
            </w:pPr>
            <w:r>
              <w:rPr>
                <w:rFonts w:hint="eastAsia" w:ascii="宋体" w:hAnsi="宋体" w:cs="宋体"/>
                <w:sz w:val="21"/>
                <w:szCs w:val="21"/>
              </w:rPr>
              <w:t>1</w:t>
            </w:r>
          </w:p>
        </w:tc>
      </w:tr>
      <w:bookmarkEnd w:id="15"/>
    </w:tbl>
    <w:p w14:paraId="4FE0FA51">
      <w:pPr>
        <w:keepNext/>
        <w:keepLines/>
        <w:adjustRightInd w:val="0"/>
        <w:snapToGrid w:val="0"/>
        <w:spacing w:line="392" w:lineRule="exact"/>
        <w:ind w:firstLine="482" w:firstLineChars="200"/>
        <w:outlineLvl w:val="1"/>
        <w:rPr>
          <w:rFonts w:ascii="宋体" w:hAnsi="宋体" w:cs="宋体"/>
          <w:b/>
          <w:sz w:val="24"/>
        </w:rPr>
      </w:pPr>
      <w:bookmarkStart w:id="16" w:name="_Toc65660331"/>
      <w:bookmarkStart w:id="17" w:name="_Toc4424"/>
      <w:bookmarkStart w:id="18" w:name="_Toc3256"/>
      <w:bookmarkStart w:id="19" w:name="_Toc27028"/>
      <w:bookmarkStart w:id="20" w:name="_Toc29483"/>
      <w:bookmarkStart w:id="21" w:name="_Toc373860293"/>
      <w:bookmarkStart w:id="22" w:name="_Toc317775178"/>
      <w:r>
        <w:rPr>
          <w:rFonts w:hint="eastAsia" w:ascii="宋体" w:hAnsi="宋体" w:cs="宋体"/>
          <w:b/>
          <w:sz w:val="24"/>
        </w:rPr>
        <w:t>二、资金来源</w:t>
      </w:r>
      <w:bookmarkEnd w:id="16"/>
      <w:bookmarkEnd w:id="17"/>
      <w:bookmarkEnd w:id="18"/>
      <w:bookmarkEnd w:id="19"/>
      <w:bookmarkEnd w:id="20"/>
    </w:p>
    <w:p w14:paraId="6EAB14C1">
      <w:pPr>
        <w:spacing w:line="392" w:lineRule="exact"/>
        <w:ind w:firstLine="420"/>
        <w:rPr>
          <w:rFonts w:ascii="宋体" w:hAnsi="宋体" w:cs="宋体"/>
          <w:sz w:val="24"/>
          <w:szCs w:val="24"/>
        </w:rPr>
      </w:pPr>
      <w:r>
        <w:rPr>
          <w:rFonts w:hint="eastAsia" w:ascii="宋体" w:hAnsi="宋体" w:cs="宋体"/>
          <w:sz w:val="24"/>
          <w:szCs w:val="24"/>
        </w:rPr>
        <w:t>物业专项维修资金和争取国债补贴。</w:t>
      </w:r>
      <w:bookmarkStart w:id="23" w:name="_Toc64731996"/>
      <w:bookmarkStart w:id="24" w:name="_Toc2244"/>
      <w:bookmarkStart w:id="25" w:name="_Toc18548"/>
      <w:bookmarkStart w:id="26" w:name="_Toc13541"/>
      <w:bookmarkStart w:id="27" w:name="_Toc65660332"/>
      <w:bookmarkStart w:id="28" w:name="_Toc20867"/>
    </w:p>
    <w:p w14:paraId="5ED65A34">
      <w:pPr>
        <w:numPr>
          <w:ilvl w:val="0"/>
          <w:numId w:val="12"/>
        </w:numPr>
        <w:spacing w:line="392" w:lineRule="exact"/>
        <w:ind w:firstLine="482" w:firstLineChars="200"/>
        <w:rPr>
          <w:rFonts w:ascii="宋体" w:hAnsi="宋体" w:cs="宋体"/>
          <w:b/>
          <w:sz w:val="24"/>
        </w:rPr>
      </w:pPr>
      <w:r>
        <w:rPr>
          <w:rFonts w:hint="eastAsia" w:ascii="宋体" w:hAnsi="宋体" w:cs="宋体"/>
          <w:b/>
          <w:sz w:val="24"/>
        </w:rPr>
        <w:t>供应商资格条件</w:t>
      </w:r>
      <w:bookmarkEnd w:id="23"/>
      <w:bookmarkEnd w:id="24"/>
      <w:bookmarkEnd w:id="25"/>
      <w:bookmarkEnd w:id="26"/>
      <w:bookmarkEnd w:id="27"/>
      <w:bookmarkEnd w:id="28"/>
      <w:bookmarkStart w:id="29" w:name="_Toc16272"/>
      <w:bookmarkStart w:id="30" w:name="_Toc9086"/>
      <w:bookmarkStart w:id="31" w:name="_Toc20379"/>
      <w:bookmarkStart w:id="32" w:name="_Toc19434"/>
      <w:bookmarkStart w:id="33" w:name="_Toc1386"/>
      <w:bookmarkStart w:id="34" w:name="_Toc13903"/>
      <w:bookmarkStart w:id="35" w:name="_Toc11908"/>
      <w:bookmarkStart w:id="36" w:name="_Toc65660333"/>
      <w:bookmarkStart w:id="37" w:name="_Toc30747"/>
    </w:p>
    <w:p w14:paraId="3B950374">
      <w:pPr>
        <w:spacing w:line="392" w:lineRule="exact"/>
        <w:ind w:firstLine="420"/>
        <w:rPr>
          <w:rFonts w:ascii="宋体" w:hAnsi="宋体" w:cs="宋体"/>
          <w:b/>
          <w:bCs/>
        </w:rPr>
      </w:pPr>
      <w:r>
        <w:rPr>
          <w:rFonts w:hint="eastAsia" w:ascii="宋体" w:hAnsi="宋体" w:cs="宋体"/>
          <w:b/>
          <w:bCs/>
          <w:sz w:val="24"/>
          <w:szCs w:val="24"/>
        </w:rPr>
        <w:t>（一）基本资格条件</w:t>
      </w:r>
      <w:bookmarkEnd w:id="29"/>
      <w:bookmarkEnd w:id="30"/>
      <w:bookmarkEnd w:id="31"/>
      <w:bookmarkEnd w:id="32"/>
    </w:p>
    <w:p w14:paraId="17749448">
      <w:pPr>
        <w:spacing w:line="392" w:lineRule="exact"/>
        <w:ind w:firstLine="480" w:firstLineChars="200"/>
        <w:rPr>
          <w:rFonts w:ascii="宋体" w:hAnsi="宋体" w:cs="宋体"/>
          <w:sz w:val="24"/>
          <w:szCs w:val="24"/>
        </w:rPr>
      </w:pPr>
      <w:r>
        <w:rPr>
          <w:rFonts w:hint="eastAsia" w:ascii="宋体" w:hAnsi="宋体" w:cs="宋体"/>
          <w:sz w:val="24"/>
          <w:szCs w:val="24"/>
        </w:rPr>
        <w:t>1. 具有独立承担民事责任的能力；</w:t>
      </w:r>
    </w:p>
    <w:p w14:paraId="44C0EF4C">
      <w:pPr>
        <w:spacing w:line="392" w:lineRule="exact"/>
        <w:ind w:firstLine="480" w:firstLineChars="200"/>
        <w:rPr>
          <w:rFonts w:ascii="宋体" w:hAnsi="宋体" w:cs="宋体"/>
          <w:sz w:val="24"/>
          <w:szCs w:val="24"/>
        </w:rPr>
      </w:pPr>
      <w:r>
        <w:rPr>
          <w:rFonts w:hint="eastAsia" w:ascii="宋体" w:hAnsi="宋体" w:cs="宋体"/>
          <w:sz w:val="24"/>
          <w:szCs w:val="24"/>
        </w:rPr>
        <w:t>2. 具有良好的商业信誉和健全的财务会计制度；</w:t>
      </w:r>
    </w:p>
    <w:p w14:paraId="27DACB15">
      <w:pPr>
        <w:spacing w:line="392" w:lineRule="exact"/>
        <w:ind w:firstLine="480" w:firstLineChars="200"/>
        <w:rPr>
          <w:rFonts w:ascii="宋体" w:hAnsi="宋体" w:cs="宋体"/>
          <w:sz w:val="24"/>
          <w:szCs w:val="24"/>
        </w:rPr>
      </w:pPr>
      <w:r>
        <w:rPr>
          <w:rFonts w:hint="eastAsia" w:ascii="宋体" w:hAnsi="宋体" w:cs="宋体"/>
          <w:sz w:val="24"/>
          <w:szCs w:val="24"/>
        </w:rPr>
        <w:t>3. 具有履行合同所必需的设备和专业技术能力；</w:t>
      </w:r>
    </w:p>
    <w:p w14:paraId="7866F672">
      <w:pPr>
        <w:spacing w:line="392" w:lineRule="exact"/>
        <w:ind w:firstLine="480" w:firstLineChars="200"/>
        <w:rPr>
          <w:rFonts w:ascii="宋体" w:hAnsi="宋体" w:cs="宋体"/>
          <w:sz w:val="24"/>
          <w:szCs w:val="24"/>
        </w:rPr>
      </w:pPr>
      <w:r>
        <w:rPr>
          <w:rFonts w:hint="eastAsia" w:ascii="宋体" w:hAnsi="宋体" w:cs="宋体"/>
          <w:sz w:val="24"/>
          <w:szCs w:val="24"/>
        </w:rPr>
        <w:t>4. 有依法缴纳税收和社会保障资金的良好记录；</w:t>
      </w:r>
    </w:p>
    <w:p w14:paraId="7C82691D">
      <w:pPr>
        <w:spacing w:line="392" w:lineRule="exact"/>
        <w:ind w:firstLine="480" w:firstLineChars="200"/>
        <w:rPr>
          <w:rFonts w:ascii="宋体" w:hAnsi="宋体" w:cs="宋体"/>
          <w:sz w:val="24"/>
          <w:szCs w:val="24"/>
        </w:rPr>
      </w:pPr>
      <w:r>
        <w:rPr>
          <w:rFonts w:hint="eastAsia" w:ascii="宋体" w:hAnsi="宋体" w:cs="宋体"/>
          <w:sz w:val="24"/>
          <w:szCs w:val="24"/>
        </w:rPr>
        <w:t>5. 参加政府采购活动前三年内，在经营活动中没有重大违法记录；</w:t>
      </w:r>
    </w:p>
    <w:p w14:paraId="60629B69">
      <w:pPr>
        <w:spacing w:line="392" w:lineRule="exact"/>
        <w:ind w:firstLine="480" w:firstLineChars="200"/>
        <w:rPr>
          <w:rFonts w:ascii="宋体" w:hAnsi="宋体" w:cs="宋体"/>
          <w:sz w:val="24"/>
          <w:szCs w:val="24"/>
        </w:rPr>
      </w:pPr>
      <w:r>
        <w:rPr>
          <w:rFonts w:hint="eastAsia" w:ascii="宋体" w:hAnsi="宋体" w:cs="宋体"/>
          <w:sz w:val="24"/>
          <w:szCs w:val="24"/>
        </w:rPr>
        <w:t>6. 法律、行政法规规定的其他条件。</w:t>
      </w:r>
    </w:p>
    <w:p w14:paraId="7CE90D0E">
      <w:pPr>
        <w:spacing w:line="392" w:lineRule="exact"/>
        <w:ind w:firstLine="420"/>
        <w:rPr>
          <w:rFonts w:ascii="宋体" w:hAnsi="宋体" w:cs="宋体"/>
          <w:b/>
          <w:bCs/>
          <w:sz w:val="24"/>
          <w:szCs w:val="24"/>
        </w:rPr>
      </w:pPr>
      <w:bookmarkStart w:id="38" w:name="_Toc31900"/>
      <w:bookmarkStart w:id="39" w:name="_Toc10828"/>
      <w:bookmarkStart w:id="40" w:name="_Toc12446"/>
      <w:bookmarkStart w:id="41" w:name="_Toc22654"/>
      <w:r>
        <w:rPr>
          <w:rFonts w:hint="eastAsia" w:ascii="宋体" w:hAnsi="宋体" w:cs="宋体"/>
          <w:b/>
          <w:bCs/>
          <w:sz w:val="24"/>
          <w:szCs w:val="24"/>
        </w:rPr>
        <w:t>（二）特定资格条件</w:t>
      </w:r>
      <w:bookmarkEnd w:id="38"/>
      <w:bookmarkEnd w:id="39"/>
      <w:bookmarkEnd w:id="40"/>
      <w:bookmarkEnd w:id="41"/>
    </w:p>
    <w:p w14:paraId="3E863C21">
      <w:pPr>
        <w:spacing w:line="392" w:lineRule="exact"/>
        <w:ind w:firstLine="420"/>
        <w:rPr>
          <w:rFonts w:ascii="宋体" w:hAnsi="宋体" w:cs="宋体"/>
          <w:b/>
          <w:bCs/>
          <w:sz w:val="24"/>
          <w:szCs w:val="24"/>
        </w:rPr>
      </w:pPr>
      <w:r>
        <w:rPr>
          <w:rFonts w:hint="eastAsia" w:ascii="宋体" w:hAnsi="宋体" w:cs="宋体"/>
          <w:b/>
          <w:bCs/>
          <w:sz w:val="24"/>
          <w:szCs w:val="24"/>
        </w:rPr>
        <w:t>1、若供应商为所投电梯制造商的</w:t>
      </w:r>
    </w:p>
    <w:p w14:paraId="7AFD751A">
      <w:pPr>
        <w:spacing w:line="392" w:lineRule="exact"/>
        <w:ind w:firstLine="420"/>
        <w:rPr>
          <w:rFonts w:ascii="宋体" w:hAnsi="宋体" w:cs="宋体"/>
          <w:b/>
          <w:bCs/>
          <w:sz w:val="24"/>
          <w:szCs w:val="24"/>
        </w:rPr>
      </w:pPr>
      <w:r>
        <w:rPr>
          <w:rFonts w:hint="eastAsia" w:ascii="宋体" w:hAnsi="宋体" w:cs="宋体"/>
          <w:sz w:val="24"/>
          <w:szCs w:val="24"/>
        </w:rPr>
        <w:t>须具有《中华人民共和国特种设备生产许可证》[许可项目为电梯制造（含安装、修理、改造）]，或具有《中华人民共和国特种设备制造许可证》（曳引驱动乘客电梯）B级及以上资质和《中华人民共和国特种设备安装改造维修（或修理）许可证》（电梯）[乘客电梯或曳引驱动乘客电梯B级及以上资质]</w:t>
      </w:r>
      <w:r>
        <w:rPr>
          <w:rFonts w:hint="eastAsia" w:ascii="宋体" w:hAnsi="宋体" w:cs="宋体"/>
          <w:b/>
          <w:bCs/>
          <w:sz w:val="24"/>
          <w:szCs w:val="24"/>
        </w:rPr>
        <w:t>（提供证书复印件加盖供应商公章）。</w:t>
      </w:r>
    </w:p>
    <w:p w14:paraId="0967F830">
      <w:pPr>
        <w:spacing w:line="392" w:lineRule="exact"/>
        <w:ind w:firstLine="420"/>
        <w:rPr>
          <w:rFonts w:ascii="宋体" w:hAnsi="宋体" w:cs="宋体"/>
          <w:b/>
          <w:bCs/>
          <w:sz w:val="24"/>
          <w:szCs w:val="24"/>
        </w:rPr>
      </w:pPr>
      <w:r>
        <w:rPr>
          <w:rFonts w:hint="eastAsia" w:ascii="宋体" w:hAnsi="宋体" w:cs="宋体"/>
          <w:b/>
          <w:bCs/>
          <w:sz w:val="24"/>
          <w:szCs w:val="24"/>
        </w:rPr>
        <w:t>2、若供应商为代理商或经销商的</w:t>
      </w:r>
    </w:p>
    <w:p w14:paraId="3373FB0A">
      <w:pPr>
        <w:spacing w:line="392" w:lineRule="exact"/>
        <w:ind w:firstLine="420"/>
        <w:rPr>
          <w:rFonts w:ascii="宋体" w:hAnsi="宋体" w:cs="宋体"/>
          <w:b/>
          <w:bCs/>
          <w:sz w:val="24"/>
          <w:szCs w:val="24"/>
        </w:rPr>
      </w:pPr>
      <w:r>
        <w:rPr>
          <w:rFonts w:hint="eastAsia" w:ascii="宋体" w:hAnsi="宋体" w:cs="宋体"/>
          <w:sz w:val="24"/>
          <w:szCs w:val="24"/>
        </w:rPr>
        <w:t>（1）所投产品制造商应具备以上要求1的前提下，供应商还须具有《中华人民共和国特种设备生产许可证》[许可项目为电梯安装（含修理）]或《中华人民共和国特种设备安装改造维修（或修理）许可证》（电梯）[乘客电梯或曳引驱动乘客电梯B级及以上资质]</w:t>
      </w:r>
      <w:r>
        <w:rPr>
          <w:rFonts w:hint="eastAsia" w:ascii="宋体" w:hAnsi="宋体" w:cs="宋体"/>
          <w:b/>
          <w:bCs/>
          <w:sz w:val="24"/>
          <w:szCs w:val="24"/>
        </w:rPr>
        <w:t>（提供证书复印件加盖供应商公章）。</w:t>
      </w:r>
    </w:p>
    <w:p w14:paraId="0769FDE5">
      <w:pPr>
        <w:spacing w:line="392" w:lineRule="exact"/>
        <w:ind w:firstLine="420"/>
        <w:rPr>
          <w:rFonts w:ascii="宋体" w:hAnsi="宋体" w:cs="宋体"/>
          <w:b/>
          <w:bCs/>
          <w:sz w:val="24"/>
          <w:szCs w:val="24"/>
        </w:rPr>
      </w:pPr>
      <w:r>
        <w:rPr>
          <w:rFonts w:hint="eastAsia" w:ascii="宋体" w:hAnsi="宋体" w:cs="宋体"/>
          <w:sz w:val="24"/>
          <w:szCs w:val="24"/>
        </w:rPr>
        <w:t>（2）须提供所投电梯品牌制造商针对本项目的唯一授权书。特别提醒：同一品牌电梯只能一家供应商参与投标。</w:t>
      </w:r>
      <w:r>
        <w:rPr>
          <w:rFonts w:hint="eastAsia" w:ascii="宋体" w:hAnsi="宋体" w:cs="宋体"/>
          <w:b/>
          <w:bCs/>
          <w:sz w:val="24"/>
          <w:szCs w:val="24"/>
        </w:rPr>
        <w:t>（提供所投电梯品牌制造商针对本项目授权资料复印件并加盖供应商公章。）</w:t>
      </w:r>
    </w:p>
    <w:p w14:paraId="00766EED">
      <w:pPr>
        <w:spacing w:line="392" w:lineRule="exact"/>
        <w:ind w:firstLine="420"/>
        <w:rPr>
          <w:rFonts w:ascii="宋体" w:hAnsi="宋体" w:cs="宋体"/>
          <w:b/>
          <w:bCs/>
          <w:sz w:val="24"/>
          <w:szCs w:val="24"/>
        </w:rPr>
      </w:pPr>
      <w:r>
        <w:rPr>
          <w:rFonts w:hint="eastAsia" w:ascii="宋体" w:hAnsi="宋体" w:cs="宋体"/>
          <w:b/>
          <w:bCs/>
          <w:sz w:val="24"/>
          <w:szCs w:val="24"/>
        </w:rPr>
        <w:t>3、电梯品牌要求</w:t>
      </w:r>
    </w:p>
    <w:p w14:paraId="298A6990">
      <w:pPr>
        <w:spacing w:line="392" w:lineRule="exact"/>
        <w:ind w:firstLine="420"/>
        <w:rPr>
          <w:rFonts w:ascii="宋体" w:hAnsi="宋体" w:cs="宋体"/>
          <w:sz w:val="24"/>
          <w:szCs w:val="24"/>
        </w:rPr>
      </w:pPr>
      <w:r>
        <w:rPr>
          <w:rFonts w:hint="eastAsia" w:ascii="宋体" w:hAnsi="宋体" w:cs="宋体"/>
          <w:sz w:val="24"/>
          <w:szCs w:val="24"/>
        </w:rPr>
        <w:t xml:space="preserve"> 本次招标电梯品牌要求须达到以下推荐知名品牌的中、高端系列质量，并满足厂家唯一授权且原厂质保及维保，如下：上海三菱、日立、奥的斯（中国）、蒂升（克虏伯）</w:t>
      </w:r>
    </w:p>
    <w:p w14:paraId="523C588E">
      <w:pPr>
        <w:spacing w:line="392" w:lineRule="exact"/>
        <w:ind w:firstLine="420"/>
        <w:rPr>
          <w:rFonts w:ascii="宋体" w:hAnsi="宋体" w:cs="宋体"/>
          <w:b/>
          <w:bCs/>
          <w:sz w:val="24"/>
          <w:szCs w:val="24"/>
        </w:rPr>
      </w:pPr>
      <w:r>
        <w:rPr>
          <w:rFonts w:hint="eastAsia" w:ascii="宋体" w:hAnsi="宋体" w:cs="宋体"/>
          <w:b/>
          <w:bCs/>
          <w:sz w:val="24"/>
          <w:szCs w:val="24"/>
        </w:rPr>
        <w:t>（供应商自行承诺所投电梯品牌且提供此电梯后续维修零部件更换清单报价，供应商须邀请厂家协助到开标现场，由厂家或厂家授权单位负责承诺所投电梯品牌提供免费维保期，及免费维保期结束后的维保费单报价（免费维保期满后到整机质保或单个零配件质保期之间的维保单价）。格式自拟，并加盖厂家或厂家授权单位公章。此承诺函将作为合同附件）。格式自拟，并加盖供应商公章。</w:t>
      </w:r>
    </w:p>
    <w:p w14:paraId="669F46C4">
      <w:pPr>
        <w:spacing w:line="392" w:lineRule="exact"/>
        <w:ind w:firstLine="420"/>
        <w:rPr>
          <w:rFonts w:ascii="宋体" w:hAnsi="宋体" w:cs="宋体"/>
          <w:b/>
          <w:bCs/>
          <w:sz w:val="24"/>
          <w:szCs w:val="24"/>
        </w:rPr>
      </w:pPr>
      <w:r>
        <w:rPr>
          <w:rFonts w:hint="eastAsia" w:ascii="宋体" w:hAnsi="宋体" w:cs="宋体"/>
          <w:b/>
          <w:bCs/>
          <w:sz w:val="24"/>
          <w:szCs w:val="24"/>
        </w:rPr>
        <w:t>4.业绩要求</w:t>
      </w:r>
    </w:p>
    <w:p w14:paraId="36F0C707">
      <w:pPr>
        <w:spacing w:line="392" w:lineRule="exact"/>
        <w:ind w:firstLine="420"/>
        <w:rPr>
          <w:rFonts w:ascii="宋体" w:hAnsi="宋体" w:cs="宋体"/>
          <w:sz w:val="24"/>
          <w:szCs w:val="24"/>
        </w:rPr>
      </w:pPr>
      <w:r>
        <w:rPr>
          <w:rFonts w:hint="eastAsia" w:ascii="宋体" w:hAnsi="宋体" w:cs="宋体"/>
          <w:sz w:val="24"/>
          <w:szCs w:val="24"/>
        </w:rPr>
        <w:t>供应商自2023年6月1日起至投标截止日止</w:t>
      </w:r>
      <w:r>
        <w:rPr>
          <w:rFonts w:hint="eastAsia" w:ascii="宋体" w:hAnsi="宋体" w:cs="宋体"/>
          <w:b/>
          <w:bCs/>
          <w:sz w:val="24"/>
          <w:szCs w:val="24"/>
        </w:rPr>
        <w:t>（以合同签订时间为准）</w:t>
      </w:r>
      <w:r>
        <w:rPr>
          <w:rFonts w:hint="eastAsia" w:ascii="宋体" w:hAnsi="宋体" w:cs="宋体"/>
          <w:sz w:val="24"/>
          <w:szCs w:val="24"/>
        </w:rPr>
        <w:t>，至少承接过1个电梯更新或更换项目。</w:t>
      </w:r>
    </w:p>
    <w:p w14:paraId="627B146D">
      <w:pPr>
        <w:spacing w:line="392" w:lineRule="exact"/>
        <w:ind w:firstLine="420"/>
        <w:rPr>
          <w:rFonts w:ascii="宋体" w:hAnsi="宋体" w:cs="宋体"/>
          <w:b/>
          <w:bCs/>
          <w:sz w:val="24"/>
          <w:szCs w:val="24"/>
        </w:rPr>
      </w:pPr>
      <w:r>
        <w:rPr>
          <w:rFonts w:hint="eastAsia" w:ascii="宋体" w:hAnsi="宋体" w:cs="宋体"/>
          <w:b/>
          <w:bCs/>
          <w:sz w:val="24"/>
          <w:szCs w:val="24"/>
        </w:rPr>
        <w:t>（提供合同复印件并加盖供应商公章）。</w:t>
      </w:r>
    </w:p>
    <w:p w14:paraId="2302089D">
      <w:pPr>
        <w:spacing w:line="392" w:lineRule="exact"/>
        <w:ind w:firstLine="420"/>
        <w:rPr>
          <w:rFonts w:ascii="宋体" w:hAnsi="宋体" w:cs="宋体"/>
          <w:b/>
          <w:bCs/>
          <w:sz w:val="24"/>
          <w:szCs w:val="24"/>
        </w:rPr>
      </w:pPr>
      <w:r>
        <w:rPr>
          <w:rFonts w:hint="eastAsia" w:ascii="宋体" w:hAnsi="宋体" w:cs="宋体"/>
          <w:b/>
          <w:bCs/>
          <w:sz w:val="24"/>
          <w:szCs w:val="24"/>
        </w:rPr>
        <w:t>四、比选有关说明</w:t>
      </w:r>
      <w:bookmarkEnd w:id="21"/>
      <w:bookmarkEnd w:id="33"/>
      <w:bookmarkEnd w:id="34"/>
      <w:bookmarkEnd w:id="35"/>
      <w:bookmarkEnd w:id="36"/>
      <w:bookmarkEnd w:id="37"/>
    </w:p>
    <w:p w14:paraId="205EEE2E">
      <w:pPr>
        <w:spacing w:line="392" w:lineRule="exact"/>
        <w:ind w:firstLine="420"/>
        <w:rPr>
          <w:rFonts w:ascii="宋体" w:hAnsi="宋体" w:cs="宋体"/>
          <w:sz w:val="24"/>
          <w:szCs w:val="24"/>
        </w:rPr>
      </w:pPr>
      <w:r>
        <w:rPr>
          <w:rFonts w:hint="eastAsia" w:ascii="宋体" w:hAnsi="宋体" w:cs="宋体"/>
          <w:b/>
          <w:bCs/>
          <w:sz w:val="24"/>
          <w:szCs w:val="24"/>
        </w:rPr>
        <w:t>（一）凡有意参加比选的供应商，必须在“ 行采家 ”服务平台注册，成为正式供应商。供应商请于公告发布之日起至响应文件递交截止时间之前，在“行采家”（https://www.gec123.com/）上下载本项目竞争性比选文件以及补遗等比选前公布的所有项目资料，无论供应商下载与否，均视为已知晓所有比选实质性要求内容。本比选采购邀请书同时在行采家平台发布和北国风光小区公告栏张贴。</w:t>
      </w:r>
    </w:p>
    <w:p w14:paraId="7D6C124A">
      <w:pPr>
        <w:spacing w:line="392" w:lineRule="exact"/>
        <w:ind w:firstLine="420"/>
        <w:rPr>
          <w:rFonts w:ascii="宋体" w:hAnsi="宋体" w:cs="宋体"/>
          <w:b/>
          <w:bCs/>
          <w:sz w:val="24"/>
          <w:szCs w:val="24"/>
        </w:rPr>
      </w:pPr>
      <w:r>
        <w:rPr>
          <w:rFonts w:hint="eastAsia" w:ascii="宋体" w:hAnsi="宋体" w:cs="宋体"/>
          <w:b/>
          <w:bCs/>
          <w:sz w:val="24"/>
          <w:szCs w:val="24"/>
        </w:rPr>
        <w:t>（二）</w:t>
      </w:r>
      <w:bookmarkEnd w:id="22"/>
      <w:bookmarkStart w:id="42" w:name="_Toc525047161"/>
      <w:bookmarkStart w:id="43" w:name="_Toc521053053"/>
      <w:bookmarkStart w:id="44" w:name="_Toc373860294"/>
      <w:bookmarkStart w:id="45" w:name="_Toc65660334"/>
      <w:bookmarkStart w:id="46" w:name="_Toc11956"/>
      <w:bookmarkStart w:id="47" w:name="_Toc4638"/>
      <w:bookmarkStart w:id="48" w:name="_Toc6178"/>
      <w:r>
        <w:rPr>
          <w:rFonts w:hint="eastAsia" w:ascii="宋体" w:hAnsi="宋体" w:cs="宋体"/>
          <w:b/>
          <w:bCs/>
          <w:sz w:val="24"/>
          <w:szCs w:val="24"/>
        </w:rPr>
        <w:t>报名及比选文件发售：</w:t>
      </w:r>
    </w:p>
    <w:p w14:paraId="3CE21B55">
      <w:pPr>
        <w:spacing w:line="392" w:lineRule="exact"/>
        <w:ind w:firstLine="420"/>
        <w:rPr>
          <w:rFonts w:ascii="宋体" w:hAnsi="宋体" w:cs="宋体"/>
          <w:sz w:val="24"/>
          <w:szCs w:val="24"/>
        </w:rPr>
      </w:pPr>
      <w:bookmarkStart w:id="49" w:name="_Toc23330"/>
      <w:r>
        <w:rPr>
          <w:rFonts w:hint="eastAsia" w:ascii="宋体" w:hAnsi="宋体" w:cs="宋体"/>
          <w:b/>
          <w:bCs/>
          <w:sz w:val="24"/>
          <w:szCs w:val="24"/>
        </w:rPr>
        <w:t>1.报名期限和比选文件发售期：公告发布之日（2025年</w:t>
      </w:r>
      <w:r>
        <w:rPr>
          <w:rFonts w:hint="eastAsia" w:ascii="宋体" w:hAnsi="宋体" w:cs="宋体"/>
          <w:b/>
          <w:bCs/>
          <w:sz w:val="24"/>
          <w:szCs w:val="24"/>
          <w:lang w:val="en-US" w:eastAsia="zh-CN"/>
        </w:rPr>
        <w:t>07</w:t>
      </w:r>
      <w:r>
        <w:rPr>
          <w:rFonts w:hint="eastAsia" w:ascii="宋体" w:hAnsi="宋体" w:cs="宋体"/>
          <w:b/>
          <w:bCs/>
          <w:sz w:val="24"/>
          <w:szCs w:val="24"/>
        </w:rPr>
        <w:t>月</w:t>
      </w:r>
      <w:r>
        <w:rPr>
          <w:rFonts w:hint="eastAsia" w:ascii="宋体" w:hAnsi="宋体" w:cs="宋体"/>
          <w:b/>
          <w:bCs/>
          <w:sz w:val="24"/>
          <w:szCs w:val="24"/>
          <w:lang w:val="en-US" w:eastAsia="zh-CN"/>
        </w:rPr>
        <w:t>07</w:t>
      </w:r>
      <w:r>
        <w:rPr>
          <w:rFonts w:hint="eastAsia" w:ascii="宋体" w:hAnsi="宋体" w:cs="宋体"/>
          <w:b/>
          <w:bCs/>
          <w:sz w:val="24"/>
          <w:szCs w:val="24"/>
        </w:rPr>
        <w:t xml:space="preserve">日）起至（2025年 </w:t>
      </w:r>
      <w:r>
        <w:rPr>
          <w:rFonts w:hint="eastAsia" w:ascii="宋体" w:hAnsi="宋体" w:cs="宋体"/>
          <w:b/>
          <w:bCs/>
          <w:sz w:val="24"/>
          <w:szCs w:val="24"/>
          <w:lang w:val="en-US" w:eastAsia="zh-CN"/>
        </w:rPr>
        <w:t>07</w:t>
      </w:r>
      <w:r>
        <w:rPr>
          <w:rFonts w:hint="eastAsia" w:ascii="宋体" w:hAnsi="宋体" w:cs="宋体"/>
          <w:b/>
          <w:bCs/>
          <w:sz w:val="24"/>
          <w:szCs w:val="24"/>
        </w:rPr>
        <w:t>月</w:t>
      </w:r>
      <w:r>
        <w:rPr>
          <w:rFonts w:hint="eastAsia" w:ascii="宋体" w:hAnsi="宋体" w:cs="宋体"/>
          <w:b/>
          <w:bCs/>
          <w:sz w:val="24"/>
          <w:szCs w:val="24"/>
          <w:lang w:val="en-US" w:eastAsia="zh-CN"/>
        </w:rPr>
        <w:t>11</w:t>
      </w:r>
      <w:r>
        <w:rPr>
          <w:rFonts w:hint="eastAsia" w:ascii="宋体" w:hAnsi="宋体" w:cs="宋体"/>
          <w:b/>
          <w:bCs/>
          <w:sz w:val="24"/>
          <w:szCs w:val="24"/>
        </w:rPr>
        <w:t>日）17时00分止。</w:t>
      </w:r>
    </w:p>
    <w:p w14:paraId="7B72DFBF">
      <w:pPr>
        <w:spacing w:line="392" w:lineRule="exact"/>
        <w:ind w:firstLine="420"/>
        <w:rPr>
          <w:rFonts w:ascii="宋体" w:hAnsi="宋体" w:cs="宋体"/>
          <w:sz w:val="24"/>
          <w:szCs w:val="24"/>
        </w:rPr>
      </w:pPr>
      <w:r>
        <w:rPr>
          <w:rFonts w:hint="eastAsia" w:ascii="宋体" w:hAnsi="宋体" w:cs="宋体"/>
          <w:b/>
          <w:bCs/>
          <w:sz w:val="24"/>
          <w:szCs w:val="24"/>
        </w:rPr>
        <w:t>2.比选文件售价：</w:t>
      </w:r>
      <w:r>
        <w:rPr>
          <w:rFonts w:hint="eastAsia" w:ascii="宋体" w:hAnsi="宋体" w:cs="宋体"/>
          <w:sz w:val="24"/>
          <w:szCs w:val="24"/>
        </w:rPr>
        <w:t>人民币1000元/份（售后不退）。</w:t>
      </w:r>
    </w:p>
    <w:p w14:paraId="1AC4011A">
      <w:pPr>
        <w:spacing w:line="392" w:lineRule="exact"/>
        <w:ind w:firstLine="420"/>
        <w:rPr>
          <w:rFonts w:ascii="宋体" w:hAnsi="宋体" w:cs="宋体"/>
          <w:sz w:val="24"/>
          <w:szCs w:val="24"/>
        </w:rPr>
      </w:pPr>
      <w:r>
        <w:rPr>
          <w:rFonts w:hint="eastAsia" w:ascii="宋体" w:hAnsi="宋体" w:cs="宋体"/>
          <w:b/>
          <w:bCs/>
          <w:sz w:val="24"/>
          <w:szCs w:val="24"/>
        </w:rPr>
        <w:t>3.报名方式</w:t>
      </w:r>
      <w:r>
        <w:rPr>
          <w:rFonts w:hint="eastAsia" w:ascii="宋体" w:hAnsi="宋体" w:cs="宋体"/>
          <w:sz w:val="24"/>
          <w:szCs w:val="24"/>
        </w:rPr>
        <w:t>：在报名期限和比选文件发售期内，供应商将比选文件购买费用汇至以下账户（转账时备注：</w:t>
      </w:r>
      <w:r>
        <w:fldChar w:fldCharType="begin"/>
      </w:r>
      <w:r>
        <w:instrText xml:space="preserve"> HYPERLINK "mailto:投标单位简称+龙凤云洲4、5栋电梯文件费），同时将填写完善的《报名登记表》（格式详见本章比选公告附件）加盖投标人公章扫描后发送至23214839@qq.com（电子邮箱）或到招标代理机构处现场缴纳文件费并递交《报名登记表》报名，在比选文件发售期内报名的投标人，其投标文件才能被接收。" </w:instrText>
      </w:r>
      <w:r>
        <w:fldChar w:fldCharType="separate"/>
      </w:r>
      <w:r>
        <w:rPr>
          <w:rFonts w:hint="eastAsia" w:ascii="宋体" w:hAnsi="宋体" w:cs="宋体"/>
          <w:sz w:val="24"/>
          <w:szCs w:val="24"/>
        </w:rPr>
        <w:t>供应商简称+北国风光电梯文件费），同时将填写完善的《报名登记表》（格式详见本篇附件）加盖供应商公章扫描后发送至215206226@qq.com（电子邮箱）或到采购代理机构处现场缴纳文件费并递交《报名登记表》报名，在报名期限和比选文件发售期内报名并交纳比选文件费的供应商，其响应文件才能被接收。</w:t>
      </w:r>
      <w:r>
        <w:rPr>
          <w:rFonts w:ascii="宋体" w:hAnsi="宋体" w:cs="宋体"/>
          <w:sz w:val="24"/>
          <w:szCs w:val="24"/>
        </w:rPr>
        <w:fldChar w:fldCharType="end"/>
      </w:r>
    </w:p>
    <w:p w14:paraId="4A5DDB11">
      <w:pPr>
        <w:spacing w:line="392" w:lineRule="exact"/>
        <w:ind w:firstLine="420"/>
        <w:rPr>
          <w:rFonts w:ascii="宋体" w:hAnsi="宋体" w:cs="宋体"/>
          <w:sz w:val="24"/>
          <w:szCs w:val="24"/>
        </w:rPr>
      </w:pPr>
      <w:r>
        <w:rPr>
          <w:rFonts w:hint="eastAsia" w:ascii="宋体" w:hAnsi="宋体" w:cs="宋体"/>
          <w:sz w:val="24"/>
          <w:szCs w:val="24"/>
        </w:rPr>
        <w:t>户  名：重庆靖正恒悦项目管理有限公司</w:t>
      </w:r>
    </w:p>
    <w:p w14:paraId="48AB2D1B">
      <w:pPr>
        <w:spacing w:line="392" w:lineRule="exact"/>
        <w:ind w:firstLine="420"/>
        <w:rPr>
          <w:rFonts w:ascii="宋体" w:hAnsi="宋体" w:cs="宋体"/>
          <w:sz w:val="24"/>
          <w:szCs w:val="24"/>
        </w:rPr>
      </w:pPr>
      <w:r>
        <w:rPr>
          <w:rFonts w:hint="eastAsia" w:ascii="宋体" w:hAnsi="宋体" w:cs="宋体"/>
          <w:sz w:val="24"/>
          <w:szCs w:val="24"/>
        </w:rPr>
        <w:t>开户行：浙商银行重庆沙坪坝支行</w:t>
      </w:r>
    </w:p>
    <w:p w14:paraId="23D4E42E">
      <w:pPr>
        <w:spacing w:line="392" w:lineRule="exact"/>
        <w:ind w:firstLine="420"/>
        <w:rPr>
          <w:rFonts w:ascii="宋体" w:hAnsi="宋体" w:cs="宋体"/>
          <w:sz w:val="24"/>
          <w:szCs w:val="24"/>
        </w:rPr>
      </w:pPr>
      <w:r>
        <w:rPr>
          <w:rFonts w:hint="eastAsia" w:ascii="宋体" w:hAnsi="宋体" w:cs="宋体"/>
          <w:sz w:val="24"/>
          <w:szCs w:val="24"/>
        </w:rPr>
        <w:t>账  号：6530000810120100049709</w:t>
      </w:r>
    </w:p>
    <w:p w14:paraId="318D66E4">
      <w:pPr>
        <w:spacing w:line="392" w:lineRule="exact"/>
        <w:ind w:firstLine="420"/>
        <w:rPr>
          <w:rFonts w:ascii="宋体" w:hAnsi="宋体" w:cs="宋体"/>
          <w:b/>
          <w:bCs/>
          <w:sz w:val="24"/>
          <w:szCs w:val="24"/>
        </w:rPr>
      </w:pPr>
      <w:r>
        <w:rPr>
          <w:rFonts w:hint="eastAsia" w:ascii="宋体" w:hAnsi="宋体" w:cs="宋体"/>
          <w:b/>
          <w:bCs/>
          <w:sz w:val="24"/>
          <w:szCs w:val="24"/>
        </w:rPr>
        <w:t>（三）本项目采用线上+线下相结合的投标方式，请各供应商按如下要求进行投标：</w:t>
      </w:r>
    </w:p>
    <w:p w14:paraId="0047D3DD">
      <w:pPr>
        <w:spacing w:line="392" w:lineRule="exact"/>
        <w:ind w:firstLine="420"/>
        <w:rPr>
          <w:rFonts w:ascii="宋体" w:hAnsi="宋体" w:cs="宋体"/>
          <w:b/>
          <w:bCs/>
          <w:sz w:val="24"/>
          <w:szCs w:val="24"/>
        </w:rPr>
      </w:pPr>
      <w:r>
        <w:rPr>
          <w:rFonts w:hint="eastAsia" w:ascii="宋体" w:hAnsi="宋体" w:cs="宋体"/>
          <w:b/>
          <w:bCs/>
          <w:sz w:val="24"/>
          <w:szCs w:val="24"/>
        </w:rPr>
        <w:t>1.线上报价及上传响应文件电子文档</w:t>
      </w:r>
    </w:p>
    <w:p w14:paraId="0CC16E5C">
      <w:pPr>
        <w:spacing w:line="392" w:lineRule="exact"/>
        <w:ind w:firstLine="420"/>
        <w:rPr>
          <w:rFonts w:ascii="宋体" w:hAnsi="宋体" w:cs="宋体"/>
          <w:sz w:val="24"/>
          <w:szCs w:val="24"/>
        </w:rPr>
      </w:pPr>
      <w:r>
        <w:rPr>
          <w:rFonts w:hint="eastAsia" w:ascii="宋体" w:hAnsi="宋体" w:cs="宋体"/>
          <w:sz w:val="24"/>
          <w:szCs w:val="24"/>
        </w:rPr>
        <w:t>线上报价时间：</w:t>
      </w:r>
      <w:r>
        <w:rPr>
          <w:rFonts w:hint="eastAsia" w:ascii="宋体" w:hAnsi="宋体" w:cs="宋体"/>
          <w:b/>
          <w:bCs/>
          <w:sz w:val="24"/>
          <w:szCs w:val="24"/>
        </w:rPr>
        <w:t>2025年</w:t>
      </w:r>
      <w:r>
        <w:rPr>
          <w:rFonts w:hint="eastAsia" w:ascii="宋体" w:hAnsi="宋体" w:cs="宋体"/>
          <w:b/>
          <w:bCs/>
          <w:sz w:val="24"/>
          <w:szCs w:val="24"/>
          <w:lang w:val="en-US" w:eastAsia="zh-CN"/>
        </w:rPr>
        <w:t>07</w:t>
      </w:r>
      <w:r>
        <w:rPr>
          <w:rFonts w:hint="eastAsia" w:ascii="宋体" w:hAnsi="宋体" w:cs="宋体"/>
          <w:b/>
          <w:bCs/>
          <w:sz w:val="24"/>
          <w:szCs w:val="24"/>
        </w:rPr>
        <w:t>月14日16时00分至2025年</w:t>
      </w:r>
      <w:r>
        <w:rPr>
          <w:rFonts w:hint="eastAsia" w:ascii="宋体" w:hAnsi="宋体" w:cs="宋体"/>
          <w:b/>
          <w:bCs/>
          <w:sz w:val="24"/>
          <w:szCs w:val="24"/>
          <w:lang w:val="en-US" w:eastAsia="zh-CN"/>
        </w:rPr>
        <w:t>07</w:t>
      </w:r>
      <w:r>
        <w:rPr>
          <w:rFonts w:hint="eastAsia" w:ascii="宋体" w:hAnsi="宋体" w:cs="宋体"/>
          <w:b/>
          <w:bCs/>
          <w:sz w:val="24"/>
          <w:szCs w:val="24"/>
        </w:rPr>
        <w:t>月</w:t>
      </w:r>
      <w:r>
        <w:rPr>
          <w:rFonts w:hint="eastAsia" w:ascii="宋体" w:hAnsi="宋体" w:cs="宋体"/>
          <w:b/>
          <w:bCs/>
          <w:sz w:val="24"/>
          <w:szCs w:val="24"/>
          <w:lang w:val="en-US" w:eastAsia="zh-CN"/>
        </w:rPr>
        <w:t>15</w:t>
      </w:r>
      <w:r>
        <w:rPr>
          <w:rFonts w:hint="eastAsia" w:ascii="宋体" w:hAnsi="宋体" w:cs="宋体"/>
          <w:b/>
          <w:bCs/>
          <w:sz w:val="24"/>
          <w:szCs w:val="24"/>
        </w:rPr>
        <w:t>日10时00分</w:t>
      </w:r>
      <w:r>
        <w:rPr>
          <w:rFonts w:hint="eastAsia" w:ascii="宋体" w:hAnsi="宋体" w:cs="宋体"/>
          <w:sz w:val="24"/>
          <w:szCs w:val="24"/>
        </w:rPr>
        <w:t>。</w:t>
      </w:r>
    </w:p>
    <w:p w14:paraId="74B9DEEF">
      <w:pPr>
        <w:spacing w:line="392" w:lineRule="exact"/>
        <w:ind w:firstLine="420"/>
        <w:rPr>
          <w:rFonts w:ascii="宋体" w:hAnsi="宋体" w:cs="宋体"/>
          <w:sz w:val="24"/>
          <w:szCs w:val="24"/>
        </w:rPr>
      </w:pPr>
      <w:r>
        <w:rPr>
          <w:rFonts w:hint="eastAsia" w:ascii="宋体" w:hAnsi="宋体" w:cs="宋体"/>
          <w:sz w:val="24"/>
          <w:szCs w:val="24"/>
        </w:rPr>
        <w:t>线上报价要求：按本项目规定的线上报价时间内在行采家（https://www.gec123.com/）上进行线上报价，并在规定的时间内上传响应文件电子文档。未在规定时间内报价和上传响应文件电子文档的供应商不具备比选资格。行采家上传的响应文件电子文档应为签字盖章齐全的纸质响应文件正本的扫描件（PDF格式），若与纸质响应文件正本不一致的，以纸质响应文件正本为准。</w:t>
      </w:r>
    </w:p>
    <w:p w14:paraId="047D5100">
      <w:pPr>
        <w:spacing w:line="392" w:lineRule="exact"/>
        <w:ind w:firstLine="420"/>
        <w:rPr>
          <w:rFonts w:ascii="宋体" w:hAnsi="宋体" w:cs="宋体"/>
          <w:b/>
          <w:bCs/>
          <w:sz w:val="24"/>
          <w:szCs w:val="24"/>
        </w:rPr>
      </w:pPr>
      <w:r>
        <w:rPr>
          <w:rFonts w:hint="eastAsia" w:ascii="宋体" w:hAnsi="宋体" w:cs="宋体"/>
          <w:b/>
          <w:bCs/>
          <w:sz w:val="24"/>
          <w:szCs w:val="24"/>
        </w:rPr>
        <w:t>2.线下递交纸质响应文件</w:t>
      </w:r>
      <w:bookmarkStart w:id="306" w:name="_GoBack"/>
      <w:bookmarkEnd w:id="306"/>
    </w:p>
    <w:p w14:paraId="5DE3C4D2">
      <w:pPr>
        <w:spacing w:line="392" w:lineRule="exact"/>
        <w:ind w:firstLine="420"/>
        <w:rPr>
          <w:rFonts w:ascii="宋体" w:hAnsi="宋体" w:cs="宋体"/>
          <w:sz w:val="24"/>
          <w:szCs w:val="24"/>
        </w:rPr>
      </w:pPr>
      <w:r>
        <w:rPr>
          <w:rFonts w:hint="eastAsia" w:ascii="宋体" w:hAnsi="宋体" w:cs="宋体"/>
          <w:sz w:val="24"/>
          <w:szCs w:val="24"/>
        </w:rPr>
        <w:t>线下递交纸质响应文件开始时间：</w:t>
      </w:r>
      <w:r>
        <w:rPr>
          <w:rFonts w:hint="eastAsia" w:ascii="宋体" w:hAnsi="宋体" w:cs="宋体"/>
          <w:b/>
          <w:bCs/>
          <w:sz w:val="24"/>
          <w:szCs w:val="24"/>
        </w:rPr>
        <w:t>2025年</w:t>
      </w:r>
      <w:r>
        <w:rPr>
          <w:rFonts w:hint="eastAsia" w:ascii="宋体" w:hAnsi="宋体" w:cs="宋体"/>
          <w:b/>
          <w:bCs/>
          <w:sz w:val="24"/>
          <w:szCs w:val="24"/>
          <w:lang w:val="en-US" w:eastAsia="zh-CN"/>
        </w:rPr>
        <w:t>07</w:t>
      </w:r>
      <w:r>
        <w:rPr>
          <w:rFonts w:hint="eastAsia" w:ascii="宋体" w:hAnsi="宋体" w:cs="宋体"/>
          <w:b/>
          <w:bCs/>
          <w:sz w:val="24"/>
          <w:szCs w:val="24"/>
        </w:rPr>
        <w:t>月</w:t>
      </w:r>
      <w:r>
        <w:rPr>
          <w:rFonts w:hint="eastAsia" w:ascii="宋体" w:hAnsi="宋体" w:cs="宋体"/>
          <w:b/>
          <w:bCs/>
          <w:sz w:val="24"/>
          <w:szCs w:val="24"/>
          <w:lang w:val="en-US" w:eastAsia="zh-CN"/>
        </w:rPr>
        <w:t>15</w:t>
      </w:r>
      <w:r>
        <w:rPr>
          <w:rFonts w:hint="eastAsia" w:ascii="宋体" w:hAnsi="宋体" w:cs="宋体"/>
          <w:b/>
          <w:bCs/>
          <w:sz w:val="24"/>
          <w:szCs w:val="24"/>
        </w:rPr>
        <w:t>日 9时30分。</w:t>
      </w:r>
    </w:p>
    <w:p w14:paraId="76FCC7A4">
      <w:pPr>
        <w:spacing w:line="392" w:lineRule="exact"/>
        <w:ind w:firstLine="420"/>
        <w:rPr>
          <w:rFonts w:ascii="宋体" w:hAnsi="宋体" w:cs="宋体"/>
          <w:sz w:val="24"/>
          <w:szCs w:val="24"/>
        </w:rPr>
      </w:pPr>
      <w:r>
        <w:rPr>
          <w:rFonts w:hint="eastAsia" w:ascii="宋体" w:hAnsi="宋体" w:cs="宋体"/>
          <w:sz w:val="24"/>
          <w:szCs w:val="24"/>
        </w:rPr>
        <w:t>线下递交纸质响应文件截止时间：</w:t>
      </w:r>
      <w:r>
        <w:rPr>
          <w:rFonts w:hint="eastAsia" w:ascii="宋体" w:hAnsi="宋体" w:cs="宋体"/>
          <w:b/>
          <w:bCs/>
          <w:sz w:val="24"/>
          <w:szCs w:val="24"/>
        </w:rPr>
        <w:t>2025年07月15日10时00分。</w:t>
      </w:r>
    </w:p>
    <w:p w14:paraId="7C4C846A">
      <w:pPr>
        <w:spacing w:line="392" w:lineRule="exact"/>
        <w:ind w:firstLine="420"/>
        <w:rPr>
          <w:rFonts w:ascii="宋体" w:hAnsi="宋体" w:cs="宋体"/>
          <w:sz w:val="24"/>
          <w:szCs w:val="24"/>
        </w:rPr>
      </w:pPr>
      <w:r>
        <w:rPr>
          <w:rFonts w:hint="eastAsia" w:ascii="宋体" w:hAnsi="宋体" w:cs="宋体"/>
          <w:sz w:val="24"/>
          <w:szCs w:val="24"/>
        </w:rPr>
        <w:t>线下递交纸质响应文件地点：北国风光小区客户服务中心【具体会议室以现场安排为准】。逾期送达的或者未送达指定地点的响应文件，采购人不予受理。</w:t>
      </w:r>
    </w:p>
    <w:p w14:paraId="3E5C5870">
      <w:pPr>
        <w:spacing w:line="392" w:lineRule="exact"/>
        <w:ind w:firstLine="420"/>
        <w:rPr>
          <w:rFonts w:ascii="宋体" w:hAnsi="宋体" w:cs="宋体"/>
          <w:b/>
          <w:bCs/>
          <w:sz w:val="24"/>
          <w:szCs w:val="24"/>
        </w:rPr>
      </w:pPr>
      <w:r>
        <w:rPr>
          <w:rFonts w:hint="eastAsia" w:ascii="宋体" w:hAnsi="宋体" w:cs="宋体"/>
          <w:b/>
          <w:bCs/>
          <w:sz w:val="24"/>
          <w:szCs w:val="24"/>
        </w:rPr>
        <w:t>3.开标时间：同线下递交纸质响应文件截止时间。</w:t>
      </w:r>
    </w:p>
    <w:p w14:paraId="33ED5C07">
      <w:pPr>
        <w:spacing w:line="392" w:lineRule="exact"/>
        <w:ind w:firstLine="420"/>
        <w:rPr>
          <w:rFonts w:ascii="宋体" w:hAnsi="宋体" w:cs="宋体"/>
          <w:b/>
          <w:bCs/>
          <w:sz w:val="24"/>
          <w:szCs w:val="24"/>
        </w:rPr>
      </w:pPr>
      <w:r>
        <w:rPr>
          <w:rFonts w:hint="eastAsia" w:ascii="宋体" w:hAnsi="宋体" w:cs="宋体"/>
          <w:b/>
          <w:bCs/>
          <w:sz w:val="24"/>
          <w:szCs w:val="24"/>
        </w:rPr>
        <w:t>4.开标地点：同线下递交纸质响应文件地点。</w:t>
      </w:r>
    </w:p>
    <w:p w14:paraId="28BD708D">
      <w:pPr>
        <w:spacing w:line="392" w:lineRule="exact"/>
        <w:ind w:firstLine="420"/>
        <w:rPr>
          <w:rFonts w:ascii="宋体" w:hAnsi="宋体" w:cs="宋体"/>
          <w:b/>
          <w:bCs/>
          <w:sz w:val="24"/>
          <w:szCs w:val="24"/>
        </w:rPr>
      </w:pPr>
      <w:r>
        <w:rPr>
          <w:rFonts w:hint="eastAsia" w:ascii="宋体" w:hAnsi="宋体" w:cs="宋体"/>
          <w:b/>
          <w:bCs/>
          <w:sz w:val="24"/>
          <w:szCs w:val="24"/>
        </w:rPr>
        <w:t>5.供应商须满足以下要件，其响应文件才被接受：</w:t>
      </w:r>
    </w:p>
    <w:p w14:paraId="5F6261D0">
      <w:pPr>
        <w:spacing w:line="392" w:lineRule="exact"/>
        <w:ind w:firstLine="420"/>
        <w:rPr>
          <w:rFonts w:ascii="宋体" w:hAnsi="宋体" w:cs="宋体"/>
          <w:sz w:val="24"/>
          <w:szCs w:val="24"/>
        </w:rPr>
      </w:pPr>
      <w:r>
        <w:rPr>
          <w:rFonts w:hint="eastAsia" w:ascii="宋体" w:hAnsi="宋体" w:cs="宋体"/>
          <w:sz w:val="24"/>
          <w:szCs w:val="24"/>
        </w:rPr>
        <w:t>（1）按时报名。</w:t>
      </w:r>
    </w:p>
    <w:p w14:paraId="03944FF2">
      <w:pPr>
        <w:spacing w:line="392" w:lineRule="exact"/>
        <w:ind w:firstLine="420"/>
        <w:rPr>
          <w:rFonts w:ascii="宋体" w:hAnsi="宋体" w:cs="宋体"/>
          <w:sz w:val="24"/>
          <w:szCs w:val="24"/>
        </w:rPr>
      </w:pPr>
      <w:r>
        <w:rPr>
          <w:rFonts w:hint="eastAsia" w:ascii="宋体" w:hAnsi="宋体" w:cs="宋体"/>
          <w:sz w:val="24"/>
          <w:szCs w:val="24"/>
        </w:rPr>
        <w:t>（2）按时在行采家（https://www.gec123.com/）进行线上报价并上传签字盖章齐全的pdf格式的响应文件电子文档。</w:t>
      </w:r>
    </w:p>
    <w:p w14:paraId="6C491CCC">
      <w:pPr>
        <w:spacing w:line="392" w:lineRule="exact"/>
        <w:ind w:firstLine="420"/>
        <w:rPr>
          <w:rFonts w:ascii="宋体" w:hAnsi="宋体" w:cs="宋体"/>
          <w:sz w:val="24"/>
          <w:szCs w:val="24"/>
        </w:rPr>
      </w:pPr>
      <w:r>
        <w:rPr>
          <w:rFonts w:hint="eastAsia" w:ascii="宋体" w:hAnsi="宋体" w:cs="宋体"/>
          <w:sz w:val="24"/>
          <w:szCs w:val="24"/>
        </w:rPr>
        <w:t>（3）按时线下递交纸质响应文件。</w:t>
      </w:r>
    </w:p>
    <w:p w14:paraId="6EDB1B4E">
      <w:pPr>
        <w:spacing w:line="392" w:lineRule="exact"/>
        <w:ind w:firstLine="420"/>
        <w:rPr>
          <w:rFonts w:ascii="宋体" w:hAnsi="宋体" w:cs="宋体"/>
          <w:sz w:val="24"/>
          <w:szCs w:val="24"/>
        </w:rPr>
      </w:pPr>
      <w:r>
        <w:rPr>
          <w:rFonts w:hint="eastAsia" w:ascii="宋体" w:hAnsi="宋体" w:cs="宋体"/>
          <w:sz w:val="24"/>
          <w:szCs w:val="24"/>
        </w:rPr>
        <w:t>（4）按时签到并按时缴纳投标保证金。</w:t>
      </w:r>
    </w:p>
    <w:p w14:paraId="43E7D4F5">
      <w:pPr>
        <w:spacing w:line="392" w:lineRule="exact"/>
        <w:ind w:firstLine="420"/>
        <w:rPr>
          <w:rFonts w:ascii="宋体" w:hAnsi="宋体" w:cs="宋体"/>
          <w:b/>
          <w:bCs/>
          <w:sz w:val="24"/>
          <w:szCs w:val="24"/>
        </w:rPr>
      </w:pPr>
      <w:r>
        <w:rPr>
          <w:rFonts w:hint="eastAsia" w:ascii="宋体" w:hAnsi="宋体" w:cs="宋体"/>
          <w:b/>
          <w:bCs/>
          <w:sz w:val="24"/>
          <w:szCs w:val="24"/>
        </w:rPr>
        <w:t>五、投标保证金</w:t>
      </w:r>
      <w:bookmarkEnd w:id="42"/>
      <w:bookmarkEnd w:id="43"/>
      <w:bookmarkEnd w:id="44"/>
      <w:bookmarkEnd w:id="45"/>
      <w:bookmarkEnd w:id="46"/>
      <w:bookmarkEnd w:id="47"/>
      <w:bookmarkEnd w:id="48"/>
      <w:bookmarkEnd w:id="49"/>
    </w:p>
    <w:p w14:paraId="5DD33285">
      <w:pPr>
        <w:spacing w:line="392" w:lineRule="exact"/>
        <w:ind w:firstLine="420"/>
        <w:rPr>
          <w:rFonts w:ascii="宋体" w:hAnsi="宋体" w:cs="宋体"/>
          <w:sz w:val="24"/>
          <w:szCs w:val="24"/>
        </w:rPr>
      </w:pPr>
      <w:r>
        <w:rPr>
          <w:rFonts w:hint="eastAsia" w:ascii="宋体" w:hAnsi="宋体" w:cs="宋体"/>
          <w:sz w:val="24"/>
          <w:szCs w:val="24"/>
        </w:rPr>
        <w:t>（一）保证金递交</w:t>
      </w:r>
    </w:p>
    <w:p w14:paraId="1D0BA032">
      <w:pPr>
        <w:spacing w:line="392" w:lineRule="exact"/>
        <w:ind w:firstLine="420"/>
        <w:rPr>
          <w:rFonts w:ascii="宋体" w:hAnsi="宋体" w:cs="宋体"/>
          <w:sz w:val="24"/>
          <w:szCs w:val="24"/>
        </w:rPr>
      </w:pPr>
      <w:r>
        <w:rPr>
          <w:rFonts w:hint="eastAsia" w:ascii="宋体" w:hAnsi="宋体" w:cs="宋体"/>
          <w:sz w:val="24"/>
          <w:szCs w:val="24"/>
        </w:rPr>
        <w:t>1.供应商应足额交纳保证金（保证金金额详见本篇，一、比选内容），并汇至如下账户，保证金的到账截止时间同提交响应文件截止时间。</w:t>
      </w:r>
    </w:p>
    <w:p w14:paraId="03173549">
      <w:pPr>
        <w:spacing w:line="392" w:lineRule="exact"/>
        <w:ind w:firstLine="420"/>
        <w:rPr>
          <w:rFonts w:ascii="宋体" w:hAnsi="宋体" w:cs="宋体"/>
          <w:sz w:val="24"/>
          <w:szCs w:val="24"/>
        </w:rPr>
      </w:pPr>
      <w:r>
        <w:rPr>
          <w:rFonts w:hint="eastAsia" w:ascii="宋体" w:hAnsi="宋体" w:cs="宋体"/>
          <w:sz w:val="24"/>
          <w:szCs w:val="24"/>
        </w:rPr>
        <w:t>保证金账户：</w:t>
      </w:r>
    </w:p>
    <w:p w14:paraId="7876D94D">
      <w:pPr>
        <w:spacing w:line="392" w:lineRule="exact"/>
        <w:ind w:firstLine="420"/>
        <w:rPr>
          <w:rFonts w:ascii="宋体" w:hAnsi="宋体" w:cs="宋体"/>
          <w:sz w:val="24"/>
          <w:szCs w:val="24"/>
        </w:rPr>
      </w:pPr>
      <w:r>
        <w:rPr>
          <w:rFonts w:hint="eastAsia" w:ascii="宋体" w:hAnsi="宋体" w:cs="宋体"/>
          <w:sz w:val="24"/>
          <w:szCs w:val="24"/>
        </w:rPr>
        <w:t>户  名：重庆靖正恒悦项目管理有限公司</w:t>
      </w:r>
    </w:p>
    <w:p w14:paraId="7C4895FC">
      <w:pPr>
        <w:spacing w:line="392" w:lineRule="exact"/>
        <w:ind w:firstLine="420"/>
        <w:rPr>
          <w:rFonts w:ascii="宋体" w:hAnsi="宋体" w:cs="宋体"/>
          <w:sz w:val="24"/>
          <w:szCs w:val="24"/>
        </w:rPr>
      </w:pPr>
      <w:r>
        <w:rPr>
          <w:rFonts w:hint="eastAsia" w:ascii="宋体" w:hAnsi="宋体" w:cs="宋体"/>
          <w:sz w:val="24"/>
          <w:szCs w:val="24"/>
        </w:rPr>
        <w:t>开户行：浙商银行重庆沙坪坝支行</w:t>
      </w:r>
    </w:p>
    <w:p w14:paraId="0A676178">
      <w:pPr>
        <w:spacing w:line="392" w:lineRule="exact"/>
        <w:ind w:firstLine="420"/>
        <w:rPr>
          <w:rFonts w:ascii="宋体" w:hAnsi="宋体" w:cs="宋体"/>
          <w:sz w:val="24"/>
          <w:szCs w:val="24"/>
        </w:rPr>
      </w:pPr>
      <w:r>
        <w:rPr>
          <w:rFonts w:hint="eastAsia" w:ascii="宋体" w:hAnsi="宋体" w:cs="宋体"/>
          <w:sz w:val="24"/>
          <w:szCs w:val="24"/>
        </w:rPr>
        <w:t>账  号：6530000810120100049709</w:t>
      </w:r>
    </w:p>
    <w:p w14:paraId="0077F162">
      <w:pPr>
        <w:spacing w:line="392" w:lineRule="exact"/>
        <w:ind w:firstLine="420"/>
        <w:rPr>
          <w:rFonts w:ascii="宋体" w:hAnsi="宋体" w:cs="宋体"/>
          <w:sz w:val="24"/>
          <w:szCs w:val="24"/>
        </w:rPr>
      </w:pPr>
      <w:r>
        <w:rPr>
          <w:rFonts w:hint="eastAsia" w:ascii="宋体" w:hAnsi="宋体" w:cs="宋体"/>
          <w:sz w:val="24"/>
          <w:szCs w:val="24"/>
        </w:rPr>
        <w:t>2.各供应商在银行转账（电汇）时，须充分考虑银行转账（电汇）的时间差风险，如同城转账、异地转账或汇款、跨行转账或电汇的时间要求。</w:t>
      </w:r>
    </w:p>
    <w:p w14:paraId="69F94DC4">
      <w:pPr>
        <w:spacing w:line="392" w:lineRule="exact"/>
        <w:ind w:firstLine="420"/>
        <w:rPr>
          <w:rFonts w:ascii="宋体" w:hAnsi="宋体" w:cs="宋体"/>
          <w:sz w:val="24"/>
          <w:szCs w:val="24"/>
        </w:rPr>
      </w:pPr>
      <w:r>
        <w:rPr>
          <w:rFonts w:hint="eastAsia" w:ascii="宋体" w:hAnsi="宋体" w:cs="宋体"/>
          <w:sz w:val="24"/>
          <w:szCs w:val="24"/>
        </w:rPr>
        <w:t>（二）保证金退还方式</w:t>
      </w:r>
    </w:p>
    <w:p w14:paraId="11C0EADC">
      <w:pPr>
        <w:spacing w:line="392" w:lineRule="exact"/>
        <w:ind w:firstLine="420"/>
        <w:rPr>
          <w:rFonts w:ascii="宋体" w:hAnsi="宋体" w:cs="宋体"/>
          <w:sz w:val="24"/>
          <w:szCs w:val="24"/>
        </w:rPr>
      </w:pPr>
      <w:r>
        <w:rPr>
          <w:rFonts w:hint="eastAsia" w:ascii="宋体" w:hAnsi="宋体" w:cs="宋体"/>
          <w:sz w:val="24"/>
          <w:szCs w:val="24"/>
        </w:rPr>
        <w:t>1.未成交供应商的保证金，在成交通知书发放后，采购代理机构在五个工作日内按来款渠道无息直接退还。</w:t>
      </w:r>
    </w:p>
    <w:p w14:paraId="58D69620">
      <w:pPr>
        <w:spacing w:line="392" w:lineRule="exact"/>
        <w:ind w:firstLine="420"/>
        <w:rPr>
          <w:rFonts w:ascii="宋体" w:hAnsi="宋体" w:cs="宋体"/>
          <w:sz w:val="24"/>
          <w:szCs w:val="24"/>
        </w:rPr>
      </w:pPr>
      <w:r>
        <w:rPr>
          <w:rFonts w:hint="eastAsia" w:ascii="宋体" w:hAnsi="宋体" w:cs="宋体"/>
          <w:sz w:val="24"/>
          <w:szCs w:val="24"/>
        </w:rPr>
        <w:t>2.成交供应商的保证金，在成交供应商与采购人签订合同后，采购代理机构在五个工作日内按资金来款渠道无息直接退还。</w:t>
      </w:r>
    </w:p>
    <w:p w14:paraId="6B0344CE">
      <w:pPr>
        <w:numPr>
          <w:ilvl w:val="0"/>
          <w:numId w:val="13"/>
        </w:numPr>
        <w:spacing w:line="392" w:lineRule="exact"/>
        <w:ind w:firstLine="420"/>
        <w:rPr>
          <w:rFonts w:ascii="宋体" w:hAnsi="宋体" w:cs="宋体"/>
          <w:b/>
          <w:bCs/>
          <w:sz w:val="24"/>
          <w:szCs w:val="24"/>
        </w:rPr>
      </w:pPr>
      <w:bookmarkStart w:id="50" w:name="_Toc12296"/>
      <w:bookmarkStart w:id="51" w:name="_Toc6810"/>
      <w:bookmarkStart w:id="52" w:name="_Toc65660335"/>
      <w:bookmarkStart w:id="53" w:name="_Toc525047162"/>
      <w:bookmarkStart w:id="54" w:name="_Toc4355"/>
      <w:bookmarkStart w:id="55" w:name="_Toc479668114"/>
      <w:bookmarkStart w:id="56" w:name="_Toc2945"/>
      <w:bookmarkStart w:id="57" w:name="_Toc521053054"/>
      <w:r>
        <w:rPr>
          <w:rFonts w:hint="eastAsia" w:ascii="宋体" w:hAnsi="宋体" w:cs="宋体"/>
          <w:b/>
          <w:bCs/>
          <w:sz w:val="24"/>
          <w:szCs w:val="24"/>
        </w:rPr>
        <w:t>定标原则</w:t>
      </w:r>
    </w:p>
    <w:p w14:paraId="06750C0A">
      <w:pPr>
        <w:spacing w:line="392" w:lineRule="exact"/>
        <w:ind w:firstLine="420"/>
        <w:rPr>
          <w:rFonts w:ascii="宋体" w:hAnsi="宋体" w:cs="宋体"/>
          <w:sz w:val="24"/>
          <w:szCs w:val="24"/>
        </w:rPr>
      </w:pPr>
      <w:r>
        <w:rPr>
          <w:rFonts w:hint="eastAsia" w:ascii="宋体" w:hAnsi="宋体" w:cs="宋体"/>
          <w:sz w:val="24"/>
          <w:szCs w:val="24"/>
        </w:rPr>
        <w:t>经评审小组专家评审后按评审得分由高到低的顺序推荐三名候选人，由本楼栋业主对评审专家推荐的三名候选人进行投票，采购人或采购代理机构按由高到低的顺序汇总三名候选人的最终得票数，得票数最高的供应商为中标人。</w:t>
      </w:r>
    </w:p>
    <w:p w14:paraId="510C18F2">
      <w:pPr>
        <w:spacing w:line="392" w:lineRule="exact"/>
        <w:ind w:firstLine="420"/>
        <w:rPr>
          <w:rFonts w:ascii="宋体" w:hAnsi="宋体" w:cs="宋体"/>
          <w:b/>
          <w:bCs/>
          <w:sz w:val="24"/>
          <w:szCs w:val="24"/>
        </w:rPr>
      </w:pPr>
      <w:r>
        <w:rPr>
          <w:rFonts w:hint="eastAsia" w:ascii="宋体" w:hAnsi="宋体" w:cs="宋体"/>
          <w:b/>
          <w:bCs/>
          <w:sz w:val="24"/>
          <w:szCs w:val="24"/>
        </w:rPr>
        <w:t>七、</w:t>
      </w:r>
      <w:bookmarkEnd w:id="50"/>
      <w:bookmarkEnd w:id="51"/>
      <w:bookmarkEnd w:id="52"/>
      <w:bookmarkEnd w:id="53"/>
      <w:bookmarkEnd w:id="54"/>
      <w:bookmarkEnd w:id="55"/>
      <w:bookmarkEnd w:id="56"/>
      <w:bookmarkEnd w:id="57"/>
      <w:r>
        <w:rPr>
          <w:rFonts w:hint="eastAsia" w:ascii="宋体" w:hAnsi="宋体" w:cs="宋体"/>
          <w:b/>
          <w:bCs/>
          <w:sz w:val="24"/>
          <w:szCs w:val="24"/>
        </w:rPr>
        <w:t>其他有关规定</w:t>
      </w:r>
    </w:p>
    <w:p w14:paraId="4B327EAA">
      <w:pPr>
        <w:spacing w:line="392" w:lineRule="exact"/>
        <w:ind w:firstLine="420"/>
        <w:rPr>
          <w:rFonts w:ascii="宋体" w:hAnsi="宋体" w:cs="宋体"/>
          <w:sz w:val="24"/>
          <w:szCs w:val="24"/>
        </w:rPr>
      </w:pPr>
      <w:bookmarkStart w:id="58" w:name="_Toc4164"/>
      <w:r>
        <w:rPr>
          <w:rFonts w:hint="eastAsia" w:ascii="宋体" w:hAnsi="宋体" w:cs="宋体"/>
          <w:sz w:val="24"/>
          <w:szCs w:val="24"/>
        </w:rPr>
        <w:t>（一）单位负责人为同一人或者存在直接控股、管理关系的不同供应商，不得参加同一合同项下的采购活动，否则均为无效响应。</w:t>
      </w:r>
      <w:bookmarkStart w:id="59" w:name="_Toc27096"/>
      <w:bookmarkStart w:id="60" w:name="_Toc26534"/>
      <w:bookmarkStart w:id="61" w:name="_Toc7523"/>
    </w:p>
    <w:p w14:paraId="3229C4B8">
      <w:pPr>
        <w:spacing w:line="392" w:lineRule="exact"/>
        <w:ind w:firstLine="420"/>
        <w:rPr>
          <w:rFonts w:ascii="宋体" w:hAnsi="宋体" w:cs="宋体"/>
          <w:sz w:val="24"/>
          <w:szCs w:val="24"/>
        </w:rPr>
      </w:pPr>
      <w:r>
        <w:rPr>
          <w:rFonts w:hint="eastAsia" w:ascii="宋体" w:hAnsi="宋体" w:cs="宋体"/>
          <w:sz w:val="24"/>
          <w:szCs w:val="24"/>
        </w:rPr>
        <w:t>（二）为采购项目提供规范编制或者项目管理、监理、检测等服务的供应商，不得再参加该采购项目的其他采购活动，否则均为无效响应。</w:t>
      </w:r>
      <w:bookmarkEnd w:id="59"/>
      <w:bookmarkEnd w:id="60"/>
      <w:bookmarkEnd w:id="61"/>
      <w:bookmarkStart w:id="62" w:name="_Toc12146"/>
      <w:bookmarkStart w:id="63" w:name="_Toc28271"/>
      <w:bookmarkStart w:id="64" w:name="_Toc28581"/>
    </w:p>
    <w:p w14:paraId="052F30CC">
      <w:pPr>
        <w:spacing w:line="392" w:lineRule="exact"/>
        <w:ind w:firstLine="420"/>
        <w:rPr>
          <w:rFonts w:ascii="宋体" w:hAnsi="宋体" w:cs="宋体"/>
          <w:sz w:val="24"/>
          <w:szCs w:val="24"/>
        </w:rPr>
      </w:pPr>
      <w:r>
        <w:rPr>
          <w:rFonts w:hint="eastAsia" w:ascii="宋体" w:hAnsi="宋体" w:cs="宋体"/>
          <w:sz w:val="24"/>
          <w:szCs w:val="24"/>
        </w:rPr>
        <w:t>（三）本项目的补遗文件（如果有）一律在“行采家”（https://www.gec123.com/）上发布，请各供应商注意下载；无论供应商下载与否，均视同供应商已知晓本项目补遗文件（如果有）的内容。</w:t>
      </w:r>
      <w:bookmarkEnd w:id="62"/>
      <w:bookmarkEnd w:id="63"/>
      <w:bookmarkEnd w:id="64"/>
      <w:bookmarkStart w:id="65" w:name="_Toc24100"/>
      <w:bookmarkStart w:id="66" w:name="_Toc25083"/>
      <w:bookmarkStart w:id="67" w:name="_Toc15302"/>
    </w:p>
    <w:p w14:paraId="68CFF899">
      <w:pPr>
        <w:spacing w:line="392" w:lineRule="exact"/>
        <w:ind w:firstLine="420"/>
        <w:rPr>
          <w:rFonts w:ascii="宋体" w:hAnsi="宋体" w:cs="宋体"/>
          <w:sz w:val="24"/>
          <w:szCs w:val="24"/>
        </w:rPr>
      </w:pPr>
      <w:r>
        <w:rPr>
          <w:rFonts w:hint="eastAsia" w:ascii="宋体" w:hAnsi="宋体" w:cs="宋体"/>
          <w:sz w:val="24"/>
          <w:szCs w:val="24"/>
        </w:rPr>
        <w:t>（四）超过响应文件截止时间递交的响应文件，恕不接收。</w:t>
      </w:r>
      <w:bookmarkEnd w:id="65"/>
      <w:bookmarkEnd w:id="66"/>
      <w:bookmarkEnd w:id="67"/>
      <w:bookmarkStart w:id="68" w:name="_Toc8595"/>
      <w:bookmarkStart w:id="69" w:name="_Toc17096"/>
      <w:bookmarkStart w:id="70" w:name="_Toc21653"/>
    </w:p>
    <w:p w14:paraId="14B85318">
      <w:pPr>
        <w:spacing w:line="392" w:lineRule="exact"/>
        <w:ind w:firstLine="420"/>
        <w:rPr>
          <w:rFonts w:ascii="宋体" w:hAnsi="宋体" w:cs="宋体"/>
          <w:sz w:val="24"/>
          <w:szCs w:val="24"/>
        </w:rPr>
      </w:pPr>
      <w:r>
        <w:rPr>
          <w:rFonts w:hint="eastAsia" w:ascii="宋体" w:hAnsi="宋体" w:cs="宋体"/>
          <w:sz w:val="24"/>
          <w:szCs w:val="24"/>
        </w:rPr>
        <w:t>（五）比选费用：无论比选结果如何，供应商参与本项目比选的所有费用均应由供应商自行承担。</w:t>
      </w:r>
      <w:bookmarkEnd w:id="68"/>
      <w:bookmarkEnd w:id="69"/>
      <w:bookmarkEnd w:id="70"/>
      <w:bookmarkStart w:id="71" w:name="_Toc20776"/>
      <w:bookmarkStart w:id="72" w:name="_Toc10564"/>
      <w:bookmarkStart w:id="73" w:name="_Toc31172"/>
    </w:p>
    <w:p w14:paraId="06A5DA90">
      <w:pPr>
        <w:spacing w:line="392" w:lineRule="exact"/>
        <w:ind w:firstLine="420"/>
        <w:rPr>
          <w:rFonts w:ascii="宋体" w:hAnsi="宋体" w:cs="宋体"/>
          <w:sz w:val="24"/>
          <w:szCs w:val="24"/>
        </w:rPr>
      </w:pPr>
      <w:r>
        <w:rPr>
          <w:rFonts w:hint="eastAsia" w:ascii="宋体" w:hAnsi="宋体" w:cs="宋体"/>
          <w:sz w:val="24"/>
          <w:szCs w:val="24"/>
        </w:rPr>
        <w:t>（六）本项目不接受联合体投标。</w:t>
      </w:r>
      <w:bookmarkEnd w:id="71"/>
      <w:bookmarkEnd w:id="72"/>
      <w:bookmarkEnd w:id="73"/>
    </w:p>
    <w:p w14:paraId="11A644B2">
      <w:pPr>
        <w:spacing w:line="392" w:lineRule="exact"/>
        <w:ind w:firstLine="420"/>
        <w:rPr>
          <w:rFonts w:ascii="宋体" w:hAnsi="宋体" w:cs="宋体"/>
          <w:sz w:val="24"/>
          <w:szCs w:val="24"/>
        </w:rPr>
      </w:pPr>
      <w:r>
        <w:rPr>
          <w:rFonts w:hint="eastAsia" w:ascii="宋体" w:hAnsi="宋体" w:cs="宋体"/>
          <w:b/>
          <w:bCs/>
          <w:sz w:val="24"/>
          <w:szCs w:val="24"/>
        </w:rPr>
        <w:t>八、现场踏勘</w:t>
      </w:r>
      <w:bookmarkEnd w:id="58"/>
    </w:p>
    <w:p w14:paraId="7A62975F">
      <w:pPr>
        <w:spacing w:line="392" w:lineRule="exact"/>
        <w:ind w:firstLine="420"/>
        <w:rPr>
          <w:rFonts w:ascii="宋体" w:hAnsi="宋体" w:cs="宋体"/>
          <w:sz w:val="24"/>
          <w:szCs w:val="24"/>
        </w:rPr>
      </w:pPr>
      <w:bookmarkStart w:id="74" w:name="_Toc65660337"/>
      <w:bookmarkStart w:id="75" w:name="_Toc1552"/>
      <w:bookmarkStart w:id="76" w:name="_Toc521053056"/>
      <w:bookmarkStart w:id="77" w:name="_Toc1733"/>
      <w:bookmarkStart w:id="78" w:name="_Toc10415"/>
      <w:bookmarkStart w:id="79" w:name="_Toc525047164"/>
      <w:r>
        <w:rPr>
          <w:rFonts w:hint="eastAsia" w:ascii="宋体" w:hAnsi="宋体" w:cs="宋体"/>
          <w:sz w:val="24"/>
          <w:szCs w:val="24"/>
        </w:rPr>
        <w:t>为确保项目的正常实施开展，了解项目有关情况，供应商可以在竞争性比选文件公告期间进行现场自行踏勘，不管供应商踏勘与否，均视作供应商已了解本项目的所有工作内容。</w:t>
      </w:r>
      <w:r>
        <w:rPr>
          <w:rFonts w:hint="eastAsia" w:ascii="宋体" w:hAnsi="宋体" w:cs="宋体"/>
          <w:sz w:val="24"/>
          <w:szCs w:val="24"/>
        </w:rPr>
        <w:tab/>
      </w:r>
      <w:bookmarkStart w:id="80" w:name="_Toc1061"/>
    </w:p>
    <w:p w14:paraId="7E058828">
      <w:pPr>
        <w:spacing w:line="392" w:lineRule="exact"/>
        <w:ind w:firstLine="420"/>
        <w:rPr>
          <w:rFonts w:ascii="宋体" w:hAnsi="宋体" w:cs="宋体"/>
          <w:b/>
          <w:bCs/>
          <w:sz w:val="24"/>
          <w:szCs w:val="24"/>
        </w:rPr>
      </w:pPr>
      <w:r>
        <w:rPr>
          <w:rFonts w:hint="eastAsia" w:ascii="宋体" w:hAnsi="宋体" w:cs="宋体"/>
          <w:b/>
          <w:bCs/>
          <w:sz w:val="24"/>
          <w:szCs w:val="24"/>
        </w:rPr>
        <w:t>九、联系方式</w:t>
      </w:r>
      <w:bookmarkEnd w:id="74"/>
      <w:bookmarkEnd w:id="75"/>
      <w:bookmarkEnd w:id="76"/>
      <w:bookmarkEnd w:id="77"/>
      <w:bookmarkEnd w:id="78"/>
      <w:bookmarkEnd w:id="79"/>
      <w:bookmarkEnd w:id="80"/>
    </w:p>
    <w:p w14:paraId="5CFBD283">
      <w:pPr>
        <w:spacing w:line="392" w:lineRule="exact"/>
        <w:ind w:firstLine="420"/>
        <w:rPr>
          <w:rFonts w:ascii="宋体" w:hAnsi="宋体" w:cs="宋体"/>
          <w:sz w:val="24"/>
          <w:szCs w:val="24"/>
        </w:rPr>
      </w:pPr>
      <w:r>
        <w:rPr>
          <w:rFonts w:hint="eastAsia" w:ascii="宋体" w:hAnsi="宋体" w:cs="宋体"/>
          <w:sz w:val="24"/>
          <w:szCs w:val="24"/>
        </w:rPr>
        <w:t xml:space="preserve">（一）采购人：重庆华宇物业服务集团有限公司 </w:t>
      </w:r>
    </w:p>
    <w:p w14:paraId="54C8D5DD">
      <w:pPr>
        <w:spacing w:line="392" w:lineRule="exact"/>
        <w:ind w:firstLine="420"/>
        <w:rPr>
          <w:rFonts w:ascii="宋体" w:hAnsi="宋体" w:cs="宋体"/>
          <w:sz w:val="24"/>
          <w:szCs w:val="24"/>
        </w:rPr>
      </w:pPr>
      <w:r>
        <w:rPr>
          <w:rFonts w:hint="eastAsia" w:ascii="宋体" w:hAnsi="宋体" w:cs="宋体"/>
          <w:sz w:val="24"/>
          <w:szCs w:val="24"/>
        </w:rPr>
        <w:t>联系人：刘老师</w:t>
      </w:r>
    </w:p>
    <w:p w14:paraId="57974BA1">
      <w:pPr>
        <w:spacing w:line="392" w:lineRule="exact"/>
        <w:ind w:firstLine="420"/>
        <w:rPr>
          <w:rFonts w:ascii="宋体" w:hAnsi="宋体" w:cs="宋体"/>
          <w:sz w:val="24"/>
          <w:szCs w:val="24"/>
        </w:rPr>
      </w:pPr>
      <w:r>
        <w:rPr>
          <w:rFonts w:hint="eastAsia" w:ascii="宋体" w:hAnsi="宋体" w:cs="宋体"/>
          <w:sz w:val="24"/>
          <w:szCs w:val="24"/>
        </w:rPr>
        <w:t>电  话：18623553978</w:t>
      </w:r>
    </w:p>
    <w:p w14:paraId="07C4069F">
      <w:pPr>
        <w:spacing w:line="392" w:lineRule="exact"/>
        <w:ind w:firstLine="420"/>
        <w:rPr>
          <w:rFonts w:ascii="宋体" w:hAnsi="宋体" w:cs="宋体"/>
          <w:sz w:val="24"/>
          <w:szCs w:val="24"/>
        </w:rPr>
      </w:pPr>
      <w:r>
        <w:rPr>
          <w:rFonts w:hint="eastAsia" w:ascii="宋体" w:hAnsi="宋体" w:cs="宋体"/>
          <w:sz w:val="24"/>
          <w:szCs w:val="24"/>
        </w:rPr>
        <w:t>地  址：重庆市江北区建新西路399号</w:t>
      </w:r>
    </w:p>
    <w:p w14:paraId="4015214C">
      <w:pPr>
        <w:spacing w:line="392" w:lineRule="exact"/>
        <w:ind w:firstLine="420"/>
        <w:rPr>
          <w:rFonts w:ascii="宋体" w:hAnsi="宋体" w:cs="宋体"/>
          <w:sz w:val="24"/>
          <w:szCs w:val="24"/>
        </w:rPr>
      </w:pPr>
      <w:r>
        <w:rPr>
          <w:rFonts w:hint="eastAsia" w:ascii="宋体" w:hAnsi="宋体" w:cs="宋体"/>
          <w:sz w:val="24"/>
          <w:szCs w:val="24"/>
        </w:rPr>
        <w:t>（二）采购代理机构：重庆靖正恒悦项目管理有限公司</w:t>
      </w:r>
    </w:p>
    <w:p w14:paraId="74CE1A57">
      <w:pPr>
        <w:spacing w:line="392" w:lineRule="exact"/>
        <w:ind w:firstLine="420"/>
        <w:rPr>
          <w:rFonts w:ascii="宋体" w:hAnsi="宋体" w:cs="宋体"/>
          <w:sz w:val="24"/>
          <w:szCs w:val="24"/>
        </w:rPr>
      </w:pPr>
      <w:r>
        <w:rPr>
          <w:rFonts w:hint="eastAsia" w:ascii="宋体" w:hAnsi="宋体" w:cs="宋体"/>
          <w:sz w:val="24"/>
          <w:szCs w:val="24"/>
        </w:rPr>
        <w:t>联系人：吕老师</w:t>
      </w:r>
    </w:p>
    <w:p w14:paraId="5BEE48FC">
      <w:pPr>
        <w:spacing w:line="392" w:lineRule="exact"/>
        <w:ind w:firstLine="420"/>
        <w:rPr>
          <w:rFonts w:ascii="宋体" w:hAnsi="宋体" w:cs="宋体"/>
          <w:sz w:val="24"/>
          <w:szCs w:val="24"/>
        </w:rPr>
      </w:pPr>
      <w:r>
        <w:rPr>
          <w:rFonts w:hint="eastAsia" w:ascii="宋体" w:hAnsi="宋体" w:cs="宋体"/>
          <w:sz w:val="24"/>
          <w:szCs w:val="24"/>
        </w:rPr>
        <w:t>电  话：13658264361</w:t>
      </w:r>
    </w:p>
    <w:p w14:paraId="1E96050D">
      <w:pPr>
        <w:spacing w:line="392" w:lineRule="exact"/>
        <w:ind w:firstLine="420"/>
        <w:rPr>
          <w:rFonts w:ascii="宋体" w:hAnsi="宋体" w:cs="宋体"/>
          <w:sz w:val="24"/>
          <w:szCs w:val="24"/>
        </w:rPr>
      </w:pPr>
      <w:r>
        <w:rPr>
          <w:rFonts w:hint="eastAsia" w:ascii="宋体" w:hAnsi="宋体" w:cs="宋体"/>
          <w:sz w:val="24"/>
          <w:szCs w:val="24"/>
        </w:rPr>
        <w:t xml:space="preserve">地  址：重庆市江北区爱丁新甸双鱼 A 座 </w:t>
      </w:r>
    </w:p>
    <w:p w14:paraId="7C523061">
      <w:pPr>
        <w:spacing w:line="392" w:lineRule="exact"/>
        <w:rPr>
          <w:rFonts w:ascii="宋体" w:hAnsi="宋体" w:cs="宋体"/>
        </w:rPr>
      </w:pPr>
    </w:p>
    <w:p w14:paraId="5B40E0A2">
      <w:pPr>
        <w:snapToGrid w:val="0"/>
        <w:spacing w:line="380" w:lineRule="exact"/>
        <w:ind w:firstLine="480" w:firstLineChars="200"/>
        <w:rPr>
          <w:rFonts w:ascii="宋体" w:hAnsi="宋体" w:cs="宋体"/>
          <w:sz w:val="24"/>
          <w:szCs w:val="24"/>
        </w:rPr>
      </w:pPr>
      <w:r>
        <w:rPr>
          <w:rFonts w:hint="eastAsia" w:ascii="宋体" w:hAnsi="宋体" w:cs="宋体"/>
          <w:sz w:val="24"/>
          <w:szCs w:val="24"/>
        </w:rPr>
        <w:t>附件：</w:t>
      </w:r>
    </w:p>
    <w:p w14:paraId="4445C1D7">
      <w:pPr>
        <w:snapToGrid w:val="0"/>
        <w:spacing w:line="520" w:lineRule="exact"/>
        <w:ind w:firstLine="880" w:firstLineChars="200"/>
        <w:jc w:val="center"/>
        <w:rPr>
          <w:rFonts w:ascii="宋体" w:hAnsi="宋体" w:cs="宋体"/>
          <w:sz w:val="24"/>
          <w:szCs w:val="24"/>
        </w:rPr>
      </w:pPr>
      <w:r>
        <w:rPr>
          <w:rFonts w:hint="eastAsia" w:ascii="宋体" w:hAnsi="宋体" w:cs="宋体"/>
          <w:sz w:val="44"/>
          <w:szCs w:val="44"/>
        </w:rPr>
        <w:t>《报名登记表》</w:t>
      </w:r>
      <w:r>
        <w:rPr>
          <w:rFonts w:hint="eastAsia" w:ascii="宋体" w:hAnsi="宋体" w:cs="宋体"/>
          <w:sz w:val="44"/>
          <w:szCs w:val="44"/>
        </w:rPr>
        <w:br w:type="textWrapping"/>
      </w:r>
    </w:p>
    <w:tbl>
      <w:tblPr>
        <w:tblStyle w:val="59"/>
        <w:tblW w:w="97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6183"/>
      </w:tblGrid>
      <w:tr w14:paraId="4B798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6" w:type="dxa"/>
            <w:vAlign w:val="center"/>
          </w:tcPr>
          <w:p w14:paraId="181D10E2">
            <w:pPr>
              <w:snapToGrid w:val="0"/>
              <w:spacing w:line="320" w:lineRule="exact"/>
              <w:ind w:firstLine="480" w:firstLineChars="200"/>
              <w:rPr>
                <w:rFonts w:ascii="宋体" w:hAnsi="宋体" w:cs="宋体"/>
                <w:sz w:val="24"/>
                <w:szCs w:val="24"/>
              </w:rPr>
            </w:pPr>
            <w:r>
              <w:rPr>
                <w:rFonts w:hint="eastAsia" w:ascii="宋体" w:hAnsi="宋体" w:cs="宋体"/>
                <w:sz w:val="24"/>
                <w:szCs w:val="24"/>
              </w:rPr>
              <w:t>项目名称</w:t>
            </w:r>
          </w:p>
        </w:tc>
        <w:tc>
          <w:tcPr>
            <w:tcW w:w="6183" w:type="dxa"/>
            <w:vAlign w:val="center"/>
          </w:tcPr>
          <w:p w14:paraId="6EACB348">
            <w:pPr>
              <w:snapToGrid w:val="0"/>
              <w:spacing w:line="320" w:lineRule="exact"/>
              <w:ind w:firstLine="480" w:firstLineChars="200"/>
              <w:rPr>
                <w:rFonts w:ascii="宋体" w:hAnsi="宋体" w:cs="宋体"/>
                <w:sz w:val="24"/>
                <w:szCs w:val="24"/>
              </w:rPr>
            </w:pPr>
          </w:p>
        </w:tc>
      </w:tr>
      <w:tr w14:paraId="3106B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586" w:type="dxa"/>
            <w:vAlign w:val="center"/>
          </w:tcPr>
          <w:p w14:paraId="5A5DCF17">
            <w:pPr>
              <w:snapToGrid w:val="0"/>
              <w:spacing w:line="320" w:lineRule="exact"/>
              <w:ind w:firstLine="480" w:firstLineChars="200"/>
              <w:rPr>
                <w:rFonts w:ascii="宋体" w:hAnsi="宋体" w:cs="宋体"/>
                <w:sz w:val="24"/>
                <w:szCs w:val="24"/>
              </w:rPr>
            </w:pPr>
            <w:r>
              <w:rPr>
                <w:rFonts w:hint="eastAsia" w:ascii="宋体" w:hAnsi="宋体" w:cs="宋体"/>
                <w:sz w:val="24"/>
                <w:szCs w:val="24"/>
              </w:rPr>
              <w:t>供应商名称</w:t>
            </w:r>
          </w:p>
        </w:tc>
        <w:tc>
          <w:tcPr>
            <w:tcW w:w="6183" w:type="dxa"/>
            <w:vAlign w:val="bottom"/>
          </w:tcPr>
          <w:p w14:paraId="59E80A07">
            <w:pPr>
              <w:snapToGrid w:val="0"/>
              <w:spacing w:line="320" w:lineRule="exact"/>
              <w:ind w:firstLine="3840" w:firstLineChars="1600"/>
              <w:rPr>
                <w:rFonts w:ascii="宋体" w:hAnsi="宋体" w:cs="宋体"/>
                <w:sz w:val="24"/>
                <w:szCs w:val="24"/>
              </w:rPr>
            </w:pPr>
            <w:r>
              <w:rPr>
                <w:rFonts w:hint="eastAsia" w:ascii="宋体" w:hAnsi="宋体" w:cs="宋体"/>
                <w:sz w:val="24"/>
                <w:szCs w:val="24"/>
              </w:rPr>
              <w:t>（供应商加盖公章）</w:t>
            </w:r>
          </w:p>
        </w:tc>
      </w:tr>
      <w:tr w14:paraId="331246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6" w:type="dxa"/>
            <w:vAlign w:val="center"/>
          </w:tcPr>
          <w:p w14:paraId="4A9EF9BB">
            <w:pPr>
              <w:snapToGrid w:val="0"/>
              <w:spacing w:line="320" w:lineRule="exact"/>
              <w:ind w:firstLine="480" w:firstLineChars="200"/>
              <w:rPr>
                <w:rFonts w:ascii="宋体" w:hAnsi="宋体" w:cs="宋体"/>
                <w:sz w:val="24"/>
                <w:szCs w:val="24"/>
              </w:rPr>
            </w:pPr>
            <w:r>
              <w:rPr>
                <w:rFonts w:hint="eastAsia" w:ascii="宋体" w:hAnsi="宋体" w:cs="宋体"/>
                <w:sz w:val="24"/>
                <w:szCs w:val="24"/>
              </w:rPr>
              <w:t>供应商联系人及手机号码</w:t>
            </w:r>
          </w:p>
        </w:tc>
        <w:tc>
          <w:tcPr>
            <w:tcW w:w="6183" w:type="dxa"/>
            <w:vAlign w:val="center"/>
          </w:tcPr>
          <w:p w14:paraId="037C603C">
            <w:pPr>
              <w:snapToGrid w:val="0"/>
              <w:spacing w:line="320" w:lineRule="exact"/>
              <w:ind w:firstLine="480" w:firstLineChars="200"/>
              <w:rPr>
                <w:rFonts w:ascii="宋体" w:hAnsi="宋体" w:cs="宋体"/>
                <w:sz w:val="24"/>
                <w:szCs w:val="24"/>
              </w:rPr>
            </w:pPr>
          </w:p>
        </w:tc>
      </w:tr>
      <w:tr w14:paraId="0E41E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6" w:type="dxa"/>
            <w:vAlign w:val="center"/>
          </w:tcPr>
          <w:p w14:paraId="6631D9EB">
            <w:pPr>
              <w:snapToGrid w:val="0"/>
              <w:spacing w:line="320" w:lineRule="exact"/>
              <w:ind w:firstLine="480" w:firstLineChars="200"/>
              <w:rPr>
                <w:rFonts w:ascii="宋体" w:hAnsi="宋体" w:cs="宋体"/>
                <w:sz w:val="24"/>
                <w:szCs w:val="24"/>
              </w:rPr>
            </w:pPr>
            <w:r>
              <w:rPr>
                <w:rFonts w:hint="eastAsia" w:ascii="宋体" w:hAnsi="宋体" w:cs="宋体"/>
                <w:sz w:val="24"/>
                <w:szCs w:val="24"/>
              </w:rPr>
              <w:t>供应商电子邮箱</w:t>
            </w:r>
          </w:p>
        </w:tc>
        <w:tc>
          <w:tcPr>
            <w:tcW w:w="6183" w:type="dxa"/>
            <w:vAlign w:val="center"/>
          </w:tcPr>
          <w:p w14:paraId="7AA3C2B2">
            <w:pPr>
              <w:snapToGrid w:val="0"/>
              <w:spacing w:line="320" w:lineRule="exact"/>
              <w:ind w:firstLine="480" w:firstLineChars="200"/>
              <w:rPr>
                <w:rFonts w:ascii="宋体" w:hAnsi="宋体" w:cs="宋体"/>
                <w:sz w:val="24"/>
                <w:szCs w:val="24"/>
              </w:rPr>
            </w:pPr>
          </w:p>
        </w:tc>
      </w:tr>
      <w:tr w14:paraId="3E263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6" w:type="dxa"/>
            <w:vAlign w:val="center"/>
          </w:tcPr>
          <w:p w14:paraId="1D3A69CF">
            <w:pPr>
              <w:snapToGrid w:val="0"/>
              <w:spacing w:line="320" w:lineRule="exact"/>
              <w:ind w:firstLine="480" w:firstLineChars="200"/>
              <w:rPr>
                <w:rFonts w:ascii="宋体" w:hAnsi="宋体" w:cs="宋体"/>
                <w:sz w:val="24"/>
                <w:szCs w:val="24"/>
              </w:rPr>
            </w:pPr>
            <w:r>
              <w:rPr>
                <w:rFonts w:hint="eastAsia" w:ascii="宋体" w:hAnsi="宋体" w:cs="宋体"/>
                <w:sz w:val="24"/>
                <w:szCs w:val="24"/>
              </w:rPr>
              <w:t>供应商地址</w:t>
            </w:r>
          </w:p>
        </w:tc>
        <w:tc>
          <w:tcPr>
            <w:tcW w:w="6183" w:type="dxa"/>
            <w:vAlign w:val="center"/>
          </w:tcPr>
          <w:p w14:paraId="766E1B82">
            <w:pPr>
              <w:snapToGrid w:val="0"/>
              <w:spacing w:line="320" w:lineRule="exact"/>
              <w:ind w:firstLine="480" w:firstLineChars="200"/>
              <w:rPr>
                <w:rFonts w:ascii="宋体" w:hAnsi="宋体" w:cs="宋体"/>
                <w:sz w:val="24"/>
                <w:szCs w:val="24"/>
              </w:rPr>
            </w:pPr>
          </w:p>
        </w:tc>
      </w:tr>
      <w:tr w14:paraId="0BDDF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6" w:type="dxa"/>
            <w:vAlign w:val="center"/>
          </w:tcPr>
          <w:p w14:paraId="1DD87AD1">
            <w:pPr>
              <w:snapToGrid w:val="0"/>
              <w:spacing w:line="320" w:lineRule="exact"/>
              <w:ind w:firstLine="480" w:firstLineChars="200"/>
              <w:rPr>
                <w:rFonts w:ascii="宋体" w:hAnsi="宋体" w:cs="宋体"/>
                <w:sz w:val="24"/>
                <w:szCs w:val="24"/>
              </w:rPr>
            </w:pPr>
            <w:r>
              <w:rPr>
                <w:rFonts w:hint="eastAsia" w:ascii="宋体" w:hAnsi="宋体" w:cs="宋体"/>
                <w:sz w:val="24"/>
                <w:szCs w:val="24"/>
              </w:rPr>
              <w:t>所投电梯品牌</w:t>
            </w:r>
          </w:p>
        </w:tc>
        <w:tc>
          <w:tcPr>
            <w:tcW w:w="6183" w:type="dxa"/>
            <w:vAlign w:val="center"/>
          </w:tcPr>
          <w:p w14:paraId="78B8C32C">
            <w:pPr>
              <w:snapToGrid w:val="0"/>
              <w:spacing w:line="320" w:lineRule="exact"/>
              <w:ind w:firstLine="480" w:firstLineChars="200"/>
              <w:rPr>
                <w:rFonts w:ascii="宋体" w:hAnsi="宋体" w:cs="宋体"/>
                <w:sz w:val="24"/>
                <w:szCs w:val="24"/>
              </w:rPr>
            </w:pPr>
          </w:p>
        </w:tc>
      </w:tr>
      <w:tr w14:paraId="11674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69" w:type="dxa"/>
            <w:gridSpan w:val="2"/>
            <w:vAlign w:val="center"/>
          </w:tcPr>
          <w:p w14:paraId="27F19E11">
            <w:pPr>
              <w:snapToGrid w:val="0"/>
              <w:spacing w:line="320" w:lineRule="exact"/>
              <w:ind w:firstLine="480" w:firstLineChars="200"/>
              <w:rPr>
                <w:rFonts w:ascii="宋体" w:hAnsi="宋体" w:cs="宋体"/>
                <w:sz w:val="24"/>
                <w:szCs w:val="24"/>
              </w:rPr>
            </w:pPr>
            <w:r>
              <w:rPr>
                <w:rFonts w:hint="eastAsia" w:ascii="宋体" w:hAnsi="宋体" w:cs="宋体"/>
                <w:sz w:val="24"/>
                <w:szCs w:val="24"/>
              </w:rPr>
              <w:t xml:space="preserve">报名及获取比选文件日期：     年    月    日 </w:t>
            </w:r>
          </w:p>
        </w:tc>
      </w:tr>
    </w:tbl>
    <w:p w14:paraId="69B869A1">
      <w:pPr>
        <w:snapToGrid w:val="0"/>
        <w:spacing w:line="380" w:lineRule="exact"/>
        <w:ind w:firstLine="480" w:firstLineChars="200"/>
        <w:rPr>
          <w:rFonts w:ascii="宋体" w:hAnsi="宋体" w:cs="宋体"/>
          <w:sz w:val="24"/>
          <w:szCs w:val="24"/>
        </w:rPr>
        <w:sectPr>
          <w:pgSz w:w="11907" w:h="16840"/>
          <w:pgMar w:top="1134" w:right="1134" w:bottom="1134" w:left="1418" w:header="964" w:footer="992" w:gutter="0"/>
          <w:pgNumType w:fmt="numberInDash"/>
          <w:cols w:space="720" w:num="1"/>
          <w:docGrid w:linePitch="312" w:charSpace="0"/>
        </w:sectPr>
      </w:pPr>
    </w:p>
    <w:p w14:paraId="4F2207EC">
      <w:pPr>
        <w:pStyle w:val="3"/>
        <w:jc w:val="center"/>
        <w:rPr>
          <w:rFonts w:hAnsi="宋体" w:cs="宋体"/>
          <w:b/>
          <w:bCs/>
          <w:sz w:val="30"/>
          <w:szCs w:val="30"/>
        </w:rPr>
      </w:pPr>
      <w:bookmarkStart w:id="81" w:name="_Toc14516"/>
      <w:bookmarkStart w:id="82" w:name="_Toc1292"/>
      <w:bookmarkStart w:id="83" w:name="_Toc11327"/>
      <w:bookmarkStart w:id="84" w:name="_Toc18519"/>
      <w:bookmarkStart w:id="85" w:name="_Toc65660338"/>
      <w:bookmarkStart w:id="86" w:name="_Toc7067"/>
      <w:bookmarkStart w:id="87" w:name="_Toc102227313"/>
      <w:r>
        <w:rPr>
          <w:rFonts w:hint="eastAsia" w:hAnsi="宋体" w:cs="宋体"/>
          <w:b/>
          <w:bCs/>
          <w:sz w:val="30"/>
          <w:szCs w:val="30"/>
        </w:rPr>
        <w:t>第二篇  比选项目技术（质量）需求</w:t>
      </w:r>
      <w:bookmarkEnd w:id="81"/>
      <w:bookmarkEnd w:id="82"/>
      <w:bookmarkEnd w:id="83"/>
      <w:bookmarkEnd w:id="84"/>
      <w:bookmarkEnd w:id="85"/>
      <w:bookmarkEnd w:id="86"/>
    </w:p>
    <w:p w14:paraId="0EF2DE76">
      <w:pPr>
        <w:snapToGrid w:val="0"/>
        <w:spacing w:line="392" w:lineRule="exact"/>
        <w:ind w:firstLine="361" w:firstLineChars="150"/>
        <w:rPr>
          <w:rFonts w:ascii="宋体" w:hAnsi="宋体" w:cs="宋体"/>
          <w:b/>
          <w:bCs/>
          <w:sz w:val="24"/>
          <w:szCs w:val="24"/>
        </w:rPr>
      </w:pPr>
      <w:r>
        <w:rPr>
          <w:rFonts w:hint="eastAsia" w:ascii="宋体" w:hAnsi="宋体" w:cs="宋体"/>
          <w:b/>
          <w:bCs/>
          <w:sz w:val="24"/>
          <w:szCs w:val="24"/>
        </w:rPr>
        <w:t>一、项目概况</w:t>
      </w:r>
    </w:p>
    <w:p w14:paraId="1A2BFA71">
      <w:pPr>
        <w:snapToGrid w:val="0"/>
        <w:spacing w:line="392" w:lineRule="exact"/>
        <w:ind w:firstLine="360" w:firstLineChars="150"/>
        <w:rPr>
          <w:rFonts w:ascii="宋体" w:hAnsi="宋体" w:cs="宋体"/>
          <w:sz w:val="24"/>
          <w:szCs w:val="24"/>
        </w:rPr>
      </w:pPr>
      <w:r>
        <w:rPr>
          <w:rFonts w:hint="eastAsia" w:ascii="宋体" w:hAnsi="宋体" w:cs="宋体"/>
          <w:sz w:val="24"/>
          <w:szCs w:val="24"/>
        </w:rPr>
        <w:t>北国风光小区自2007年交房至今近18年，小区共有46台电梯。因电梯使用频率高及使用年限较久，为了切实提高电梯运行的安全性和可靠性，保障业主的安全出行，13栋业主现对本栋 2台电梯进行更新改造。</w:t>
      </w:r>
    </w:p>
    <w:p w14:paraId="23B9F11C">
      <w:pPr>
        <w:snapToGrid w:val="0"/>
        <w:spacing w:line="392" w:lineRule="exact"/>
        <w:ind w:firstLine="361" w:firstLineChars="150"/>
        <w:rPr>
          <w:rFonts w:ascii="宋体" w:hAnsi="宋体" w:cs="宋体"/>
          <w:b/>
          <w:bCs/>
          <w:sz w:val="24"/>
          <w:szCs w:val="24"/>
        </w:rPr>
      </w:pPr>
      <w:r>
        <w:rPr>
          <w:rFonts w:hint="eastAsia" w:ascii="宋体" w:hAnsi="宋体" w:cs="宋体"/>
          <w:b/>
          <w:bCs/>
          <w:sz w:val="24"/>
          <w:szCs w:val="24"/>
        </w:rPr>
        <w:t>二、项目技术（质量）需求</w:t>
      </w:r>
    </w:p>
    <w:p w14:paraId="4C5A0040">
      <w:pPr>
        <w:snapToGrid w:val="0"/>
        <w:spacing w:line="392" w:lineRule="exact"/>
        <w:ind w:firstLine="361" w:firstLineChars="150"/>
        <w:rPr>
          <w:rFonts w:ascii="宋体" w:hAnsi="宋体" w:cs="宋体"/>
          <w:b/>
          <w:bCs/>
          <w:sz w:val="24"/>
          <w:szCs w:val="24"/>
        </w:rPr>
      </w:pPr>
      <w:r>
        <w:rPr>
          <w:rFonts w:hint="eastAsia" w:ascii="宋体" w:hAnsi="宋体" w:cs="宋体"/>
          <w:b/>
          <w:bCs/>
          <w:sz w:val="24"/>
          <w:szCs w:val="24"/>
        </w:rPr>
        <w:t>（一）电梯更新总体要求</w:t>
      </w:r>
    </w:p>
    <w:p w14:paraId="5E96155B">
      <w:pPr>
        <w:snapToGrid w:val="0"/>
        <w:spacing w:line="392" w:lineRule="exact"/>
        <w:ind w:firstLine="360" w:firstLineChars="150"/>
        <w:rPr>
          <w:rFonts w:ascii="宋体" w:hAnsi="宋体" w:cs="宋体"/>
          <w:sz w:val="24"/>
          <w:szCs w:val="24"/>
        </w:rPr>
      </w:pPr>
      <w:r>
        <w:rPr>
          <w:rFonts w:hint="eastAsia" w:ascii="宋体" w:hAnsi="宋体" w:cs="宋体"/>
          <w:sz w:val="24"/>
          <w:szCs w:val="24"/>
        </w:rPr>
        <w:t>1、投标产品及其所有零部件应是技术先进、设计正确、结构合理、安全可靠、节省能源、遵守机械、电器及建筑方面的通用技术要求，并维护方便的产品。投标产品须具有先进、完善的控制系统及自我诊断功能，控制系统、驱动系统和安全保证系统必须具有极好的配套性能，不得有能通过设置密码等技术屏障，影响电梯正常运行和维护保养相关功能。</w:t>
      </w:r>
    </w:p>
    <w:p w14:paraId="065EABFF">
      <w:pPr>
        <w:snapToGrid w:val="0"/>
        <w:spacing w:line="392" w:lineRule="exact"/>
        <w:ind w:firstLine="360" w:firstLineChars="150"/>
        <w:rPr>
          <w:rFonts w:ascii="宋体" w:hAnsi="宋体" w:cs="宋体"/>
          <w:sz w:val="24"/>
          <w:szCs w:val="24"/>
        </w:rPr>
      </w:pPr>
      <w:r>
        <w:rPr>
          <w:rFonts w:hint="eastAsia" w:ascii="宋体" w:hAnsi="宋体" w:cs="宋体"/>
          <w:sz w:val="24"/>
          <w:szCs w:val="24"/>
        </w:rPr>
        <w:t>2、所有电梯的设计、产品质量、制造及安装调试均符合GB7588.1和GB7588.2《电梯制造与安装安全规范》和GB/T10060-2011《电梯技术验收规范》等相关国家标准（同时要求满足消防运行服务功能要求）和《重庆市电梯安全管理办法》等地方法律法规。电梯的设计、制造及调试均应符合国家电梯制造标准，如果国家有最新规定的，从其规定。安装调试以重庆市市场监督管理局检测验收合格为准。</w:t>
      </w:r>
    </w:p>
    <w:p w14:paraId="6433976B">
      <w:pPr>
        <w:snapToGrid w:val="0"/>
        <w:spacing w:line="392" w:lineRule="exact"/>
        <w:ind w:firstLine="360" w:firstLineChars="150"/>
        <w:rPr>
          <w:rFonts w:ascii="宋体" w:hAnsi="宋体" w:cs="宋体"/>
          <w:sz w:val="24"/>
          <w:szCs w:val="24"/>
        </w:rPr>
      </w:pPr>
      <w:r>
        <w:rPr>
          <w:rFonts w:hint="eastAsia" w:ascii="宋体" w:hAnsi="宋体" w:cs="宋体"/>
          <w:sz w:val="24"/>
          <w:szCs w:val="24"/>
        </w:rPr>
        <w:t>3、制造电梯的所有零部件和材料都必须达到技术标准，应是全新的，未曾使用过的。</w:t>
      </w:r>
    </w:p>
    <w:p w14:paraId="15C93CC2">
      <w:pPr>
        <w:snapToGrid w:val="0"/>
        <w:spacing w:line="392" w:lineRule="exact"/>
        <w:ind w:firstLine="360" w:firstLineChars="150"/>
        <w:rPr>
          <w:rFonts w:ascii="宋体" w:hAnsi="宋体" w:cs="宋体"/>
          <w:sz w:val="24"/>
          <w:szCs w:val="24"/>
        </w:rPr>
      </w:pPr>
      <w:r>
        <w:rPr>
          <w:rFonts w:hint="eastAsia" w:ascii="宋体" w:hAnsi="宋体" w:cs="宋体"/>
          <w:sz w:val="24"/>
          <w:szCs w:val="24"/>
        </w:rPr>
        <w:t>4、电梯的井道、机房和滑轮间、层门以及轿厢等的构件尺寸和配合距离均应满足GB7588.1和GB7588.2《电梯制造与安装安全规范》的要求，如果国家有最新规定的，从其规定，并配有完备的安全装置和故障应急措施，能确保乘客、操作人员和维修人员的人身安全。</w:t>
      </w:r>
    </w:p>
    <w:p w14:paraId="1864BB97">
      <w:pPr>
        <w:snapToGrid w:val="0"/>
        <w:spacing w:line="392" w:lineRule="exact"/>
        <w:ind w:firstLine="360" w:firstLineChars="150"/>
        <w:rPr>
          <w:rFonts w:ascii="宋体" w:hAnsi="宋体" w:cs="宋体"/>
          <w:sz w:val="24"/>
          <w:szCs w:val="24"/>
        </w:rPr>
      </w:pPr>
      <w:r>
        <w:rPr>
          <w:rFonts w:hint="eastAsia" w:ascii="宋体" w:hAnsi="宋体" w:cs="宋体"/>
          <w:sz w:val="24"/>
          <w:szCs w:val="24"/>
        </w:rPr>
        <w:t>5、电梯换新；外呼装置(外呼显示装置和按钮装置)的装饰衔接及恢复；电梯厅地面(如有破坏)的装饰衔接及恢复。</w:t>
      </w:r>
    </w:p>
    <w:p w14:paraId="4BBF3C3E">
      <w:pPr>
        <w:snapToGrid w:val="0"/>
        <w:spacing w:line="392" w:lineRule="exact"/>
        <w:ind w:firstLine="360" w:firstLineChars="150"/>
        <w:rPr>
          <w:rFonts w:ascii="宋体" w:hAnsi="宋体" w:cs="宋体"/>
          <w:sz w:val="24"/>
          <w:szCs w:val="24"/>
        </w:rPr>
      </w:pPr>
      <w:r>
        <w:rPr>
          <w:rFonts w:hint="eastAsia" w:ascii="宋体" w:hAnsi="宋体" w:cs="宋体"/>
          <w:sz w:val="24"/>
          <w:szCs w:val="24"/>
        </w:rPr>
        <w:t>6、轿厢内应安装高清摄像头，五方应急通话系统和应急照明系统，达到安全、美观与舒适的效果。</w:t>
      </w:r>
    </w:p>
    <w:p w14:paraId="76B4AA6F">
      <w:pPr>
        <w:snapToGrid w:val="0"/>
        <w:spacing w:line="392" w:lineRule="exact"/>
        <w:ind w:firstLine="360" w:firstLineChars="150"/>
        <w:rPr>
          <w:rFonts w:ascii="宋体" w:hAnsi="宋体" w:cs="宋体"/>
          <w:sz w:val="24"/>
          <w:szCs w:val="24"/>
        </w:rPr>
      </w:pPr>
      <w:r>
        <w:rPr>
          <w:rFonts w:hint="eastAsia" w:ascii="宋体" w:hAnsi="宋体" w:cs="宋体"/>
          <w:sz w:val="24"/>
          <w:szCs w:val="24"/>
        </w:rPr>
        <w:t>7、本次电梯更新改造工程为“交钥匙工程”，内容包括但不限于电梯及配件的深化设计、制造、运输（含包装、运输和货到现场的二次装卸）、保险（包括但不限于运输、施工、及施工现场涉及的第三方人员等）、现场保管、仓储、井道测量、预埋件、综合布线（工作界面为甲方电梯电源箱出线端以后）、机房及层门门套和层门地坎工作界面修复和回填工作、五方通话、轿内监控摄像头(含轿内监控视频传输设备)、安装（含吊装、施工机具及施工期间的安全及防护、安装人员现场住宿）、调试（含调试材料）、试运行、检验、税费、备品备件、专用工具、技术资料、技术服务、安全文明施工费、措施费、电梯安全评估费用、安装和调试期间与建筑施工单位配合协调、配合消防验收（联动）、直至取得《特种设备使用标志》且本项目通过验收后交付给招标人和质保期内及免费维保期的所有费用（除年检费）包含限速器检测费、125%载荷试验费等；同时还应承担设备质量、小区内运输、堆放现场施工安全、施工现场人员（含路人）安全、进度、施工设备、劳务、以及设备安装完毕取证后等所有涉及电梯设备的相关的工作并承担相应责任。</w:t>
      </w:r>
    </w:p>
    <w:p w14:paraId="046EDFE4">
      <w:pPr>
        <w:snapToGrid w:val="0"/>
        <w:spacing w:line="392" w:lineRule="exact"/>
        <w:ind w:firstLine="360" w:firstLineChars="150"/>
        <w:rPr>
          <w:rFonts w:ascii="宋体" w:hAnsi="宋体" w:cs="宋体"/>
          <w:sz w:val="24"/>
          <w:szCs w:val="24"/>
        </w:rPr>
      </w:pPr>
      <w:r>
        <w:rPr>
          <w:rFonts w:hint="eastAsia" w:ascii="宋体" w:hAnsi="宋体" w:cs="宋体"/>
          <w:sz w:val="24"/>
          <w:szCs w:val="24"/>
        </w:rPr>
        <w:t>8、供应商自行踏勘现场，了解项目位置、施工情况、材料运输等地点及其他足以影响项目价格的情况，无论供应商是否踏勘现场，均视为已了解现场全部情况，结算时对上述因素产生的价格变化不予调整。如未进行查勘，造成一切后果及风险由供应商自行承担。</w:t>
      </w:r>
    </w:p>
    <w:p w14:paraId="0270EDFC">
      <w:pPr>
        <w:snapToGrid w:val="0"/>
        <w:spacing w:line="392" w:lineRule="exact"/>
        <w:ind w:firstLine="360" w:firstLineChars="150"/>
        <w:rPr>
          <w:rFonts w:ascii="宋体" w:hAnsi="宋体" w:cs="宋体"/>
          <w:sz w:val="24"/>
          <w:szCs w:val="24"/>
        </w:rPr>
      </w:pPr>
      <w:r>
        <w:rPr>
          <w:rFonts w:hint="eastAsia" w:ascii="宋体" w:hAnsi="宋体" w:cs="宋体"/>
          <w:sz w:val="24"/>
          <w:szCs w:val="24"/>
        </w:rPr>
        <w:t>9.满足“市监特设发〔2025〕52号”文关于“市场监管总局办公厅关于进一步做好住宅老旧电梯更新有关工作的通知”及附件要求。</w:t>
      </w:r>
    </w:p>
    <w:p w14:paraId="1889A21D">
      <w:pPr>
        <w:snapToGrid w:val="0"/>
        <w:spacing w:line="392" w:lineRule="exact"/>
        <w:ind w:firstLine="360" w:firstLineChars="150"/>
        <w:rPr>
          <w:rFonts w:ascii="宋体" w:hAnsi="宋体" w:cs="宋体"/>
          <w:sz w:val="24"/>
          <w:szCs w:val="24"/>
        </w:rPr>
      </w:pPr>
      <w:r>
        <w:rPr>
          <w:rFonts w:hint="eastAsia" w:ascii="宋体" w:hAnsi="宋体" w:cs="宋体"/>
          <w:sz w:val="24"/>
          <w:szCs w:val="24"/>
        </w:rPr>
        <w:t>10、原厂整梯质保期为10年（大于等于），原厂整机免费维保期为5年（大于等于）。质保期从重庆市特种设备检测研究院验收合格之日算起，质保期内使用配件必须为原厂配件。</w:t>
      </w:r>
    </w:p>
    <w:p w14:paraId="3B246491">
      <w:pPr>
        <w:snapToGrid w:val="0"/>
        <w:spacing w:line="392" w:lineRule="exact"/>
        <w:ind w:firstLine="360" w:firstLineChars="150"/>
        <w:rPr>
          <w:rFonts w:ascii="宋体" w:hAnsi="宋体" w:cs="宋体"/>
          <w:sz w:val="24"/>
          <w:szCs w:val="24"/>
        </w:rPr>
      </w:pPr>
      <w:r>
        <w:rPr>
          <w:rFonts w:hint="eastAsia" w:ascii="宋体" w:hAnsi="宋体" w:cs="宋体"/>
          <w:sz w:val="24"/>
          <w:szCs w:val="24"/>
        </w:rPr>
        <w:t>11、曳引钢丝绳D10以上（大于等于）</w:t>
      </w:r>
    </w:p>
    <w:p w14:paraId="19665BE0">
      <w:pPr>
        <w:snapToGrid w:val="0"/>
        <w:spacing w:line="392" w:lineRule="exact"/>
        <w:ind w:firstLine="360" w:firstLineChars="150"/>
        <w:rPr>
          <w:rFonts w:ascii="宋体" w:hAnsi="宋体" w:cs="宋体"/>
          <w:sz w:val="24"/>
          <w:szCs w:val="24"/>
        </w:rPr>
      </w:pPr>
      <w:r>
        <w:rPr>
          <w:rFonts w:hint="eastAsia" w:ascii="宋体" w:hAnsi="宋体" w:cs="宋体"/>
          <w:sz w:val="24"/>
          <w:szCs w:val="24"/>
        </w:rPr>
        <w:t>12、须增加曳引绳断丝断股装置（如原厂未配置的可以在安装后进行加装）。</w:t>
      </w:r>
    </w:p>
    <w:p w14:paraId="52B3EF2F">
      <w:pPr>
        <w:snapToGrid w:val="0"/>
        <w:spacing w:line="392" w:lineRule="exact"/>
        <w:ind w:firstLine="360" w:firstLineChars="150"/>
        <w:rPr>
          <w:rFonts w:ascii="宋体" w:hAnsi="宋体" w:cs="宋体"/>
          <w:sz w:val="24"/>
          <w:szCs w:val="24"/>
        </w:rPr>
      </w:pPr>
      <w:r>
        <w:rPr>
          <w:rFonts w:hint="eastAsia" w:ascii="宋体" w:hAnsi="宋体" w:cs="宋体"/>
          <w:sz w:val="24"/>
          <w:szCs w:val="24"/>
        </w:rPr>
        <w:t>13、轿厢长、宽、高尺寸不能低于现在使用的轿厢尺寸。</w:t>
      </w:r>
    </w:p>
    <w:p w14:paraId="42F65160">
      <w:pPr>
        <w:snapToGrid w:val="0"/>
        <w:spacing w:line="392" w:lineRule="exact"/>
        <w:ind w:firstLine="360" w:firstLineChars="150"/>
        <w:rPr>
          <w:rFonts w:ascii="宋体" w:hAnsi="宋体" w:cs="宋体"/>
          <w:sz w:val="24"/>
          <w:szCs w:val="24"/>
        </w:rPr>
      </w:pPr>
      <w:r>
        <w:rPr>
          <w:rFonts w:hint="eastAsia" w:ascii="宋体" w:hAnsi="宋体" w:cs="宋体"/>
          <w:sz w:val="24"/>
          <w:szCs w:val="24"/>
        </w:rPr>
        <w:t>14、主机防护等级按最新国家标准。</w:t>
      </w:r>
    </w:p>
    <w:p w14:paraId="15349AD7">
      <w:pPr>
        <w:snapToGrid w:val="0"/>
        <w:spacing w:line="500" w:lineRule="exact"/>
        <w:rPr>
          <w:rFonts w:ascii="宋体" w:hAnsi="宋体" w:cs="宋体"/>
          <w:sz w:val="24"/>
          <w:szCs w:val="24"/>
        </w:rPr>
      </w:pPr>
    </w:p>
    <w:p w14:paraId="2C94029A">
      <w:pPr>
        <w:snapToGrid w:val="0"/>
        <w:spacing w:line="500" w:lineRule="exact"/>
        <w:ind w:firstLine="361" w:firstLineChars="150"/>
        <w:rPr>
          <w:rFonts w:ascii="宋体" w:hAnsi="宋体" w:cs="宋体"/>
          <w:b/>
          <w:bCs/>
          <w:sz w:val="24"/>
          <w:szCs w:val="24"/>
        </w:rPr>
      </w:pPr>
      <w:r>
        <w:rPr>
          <w:rFonts w:hint="eastAsia" w:ascii="宋体" w:hAnsi="宋体" w:cs="宋体"/>
          <w:b/>
          <w:bCs/>
          <w:sz w:val="24"/>
          <w:szCs w:val="24"/>
        </w:rPr>
        <w:t>（二）整机及系统主要配置要求</w:t>
      </w:r>
    </w:p>
    <w:tbl>
      <w:tblPr>
        <w:tblStyle w:val="59"/>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2"/>
        <w:gridCol w:w="1675"/>
        <w:gridCol w:w="5939"/>
      </w:tblGrid>
      <w:tr w14:paraId="1BDE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6CADD4FE">
            <w:pPr>
              <w:snapToGrid w:val="0"/>
              <w:spacing w:line="360" w:lineRule="exact"/>
              <w:ind w:firstLine="361" w:firstLineChars="150"/>
              <w:jc w:val="center"/>
              <w:rPr>
                <w:rFonts w:ascii="宋体" w:hAnsi="宋体" w:cs="宋体"/>
                <w:b/>
                <w:bCs/>
                <w:sz w:val="24"/>
                <w:szCs w:val="24"/>
              </w:rPr>
            </w:pPr>
            <w:r>
              <w:rPr>
                <w:rFonts w:hint="eastAsia" w:ascii="宋体" w:hAnsi="宋体" w:cs="宋体"/>
                <w:b/>
                <w:bCs/>
                <w:sz w:val="24"/>
                <w:szCs w:val="24"/>
              </w:rPr>
              <w:t>序号</w:t>
            </w:r>
          </w:p>
        </w:tc>
        <w:tc>
          <w:tcPr>
            <w:tcW w:w="1675" w:type="dxa"/>
            <w:tcBorders>
              <w:top w:val="single" w:color="000000" w:sz="4" w:space="0"/>
              <w:left w:val="single" w:color="000000" w:sz="4" w:space="0"/>
              <w:bottom w:val="single" w:color="000000" w:sz="4" w:space="0"/>
              <w:right w:val="single" w:color="000000" w:sz="4" w:space="0"/>
            </w:tcBorders>
            <w:vAlign w:val="center"/>
          </w:tcPr>
          <w:p w14:paraId="586F6E0A">
            <w:pPr>
              <w:snapToGrid w:val="0"/>
              <w:spacing w:line="360" w:lineRule="exact"/>
              <w:ind w:firstLine="361" w:firstLineChars="150"/>
              <w:jc w:val="center"/>
              <w:rPr>
                <w:rFonts w:ascii="宋体" w:hAnsi="宋体" w:cs="宋体"/>
                <w:b/>
                <w:bCs/>
                <w:sz w:val="24"/>
                <w:szCs w:val="24"/>
              </w:rPr>
            </w:pPr>
            <w:r>
              <w:rPr>
                <w:rFonts w:hint="eastAsia" w:ascii="宋体" w:hAnsi="宋体" w:cs="宋体"/>
                <w:b/>
                <w:bCs/>
                <w:sz w:val="24"/>
                <w:szCs w:val="24"/>
              </w:rPr>
              <w:t>名称</w:t>
            </w:r>
          </w:p>
        </w:tc>
        <w:tc>
          <w:tcPr>
            <w:tcW w:w="5939" w:type="dxa"/>
            <w:tcBorders>
              <w:top w:val="single" w:color="000000" w:sz="4" w:space="0"/>
              <w:left w:val="single" w:color="000000" w:sz="4" w:space="0"/>
              <w:bottom w:val="single" w:color="000000" w:sz="4" w:space="0"/>
              <w:right w:val="single" w:color="auto" w:sz="4" w:space="0"/>
            </w:tcBorders>
            <w:vAlign w:val="center"/>
          </w:tcPr>
          <w:p w14:paraId="61DB902C">
            <w:pPr>
              <w:snapToGrid w:val="0"/>
              <w:spacing w:line="360" w:lineRule="exact"/>
              <w:ind w:firstLine="361" w:firstLineChars="150"/>
              <w:jc w:val="center"/>
              <w:rPr>
                <w:rFonts w:ascii="宋体" w:hAnsi="宋体" w:cs="宋体"/>
                <w:b/>
                <w:bCs/>
                <w:sz w:val="24"/>
                <w:szCs w:val="24"/>
              </w:rPr>
            </w:pPr>
            <w:r>
              <w:rPr>
                <w:rFonts w:hint="eastAsia" w:ascii="宋体" w:hAnsi="宋体" w:cs="宋体"/>
                <w:b/>
                <w:bCs/>
                <w:sz w:val="24"/>
                <w:szCs w:val="24"/>
              </w:rPr>
              <w:t>配置要求</w:t>
            </w:r>
          </w:p>
        </w:tc>
      </w:tr>
      <w:tr w14:paraId="3BE3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42DDAF75">
            <w:pPr>
              <w:snapToGrid w:val="0"/>
              <w:spacing w:line="320" w:lineRule="exact"/>
              <w:jc w:val="center"/>
              <w:rPr>
                <w:rFonts w:ascii="宋体" w:hAnsi="宋体" w:cs="宋体"/>
                <w:sz w:val="21"/>
                <w:szCs w:val="21"/>
              </w:rPr>
            </w:pPr>
            <w:r>
              <w:rPr>
                <w:rFonts w:hint="eastAsia" w:ascii="宋体" w:hAnsi="宋体" w:cs="宋体"/>
                <w:sz w:val="21"/>
                <w:szCs w:val="21"/>
              </w:rPr>
              <w:t>1</w:t>
            </w:r>
          </w:p>
        </w:tc>
        <w:tc>
          <w:tcPr>
            <w:tcW w:w="1675" w:type="dxa"/>
            <w:tcBorders>
              <w:top w:val="single" w:color="000000" w:sz="4" w:space="0"/>
              <w:left w:val="single" w:color="000000" w:sz="4" w:space="0"/>
              <w:bottom w:val="single" w:color="000000" w:sz="4" w:space="0"/>
              <w:right w:val="single" w:color="000000" w:sz="4" w:space="0"/>
            </w:tcBorders>
            <w:vAlign w:val="center"/>
          </w:tcPr>
          <w:p w14:paraId="4F4C9D0D">
            <w:pPr>
              <w:snapToGrid w:val="0"/>
              <w:spacing w:line="320" w:lineRule="exact"/>
              <w:jc w:val="center"/>
              <w:rPr>
                <w:rFonts w:ascii="宋体" w:hAnsi="宋体" w:cs="宋体"/>
                <w:sz w:val="21"/>
                <w:szCs w:val="21"/>
              </w:rPr>
            </w:pPr>
            <w:r>
              <w:rPr>
                <w:rFonts w:hAnsi="宋体" w:cs="宋体"/>
                <w:sz w:val="21"/>
                <w:szCs w:val="21"/>
              </w:rPr>
              <w:t>操作系统</w:t>
            </w:r>
          </w:p>
        </w:tc>
        <w:tc>
          <w:tcPr>
            <w:tcW w:w="5939" w:type="dxa"/>
            <w:tcBorders>
              <w:top w:val="single" w:color="000000" w:sz="4" w:space="0"/>
              <w:left w:val="single" w:color="000000" w:sz="4" w:space="0"/>
              <w:bottom w:val="single" w:color="000000" w:sz="4" w:space="0"/>
              <w:right w:val="single" w:color="auto" w:sz="4" w:space="0"/>
            </w:tcBorders>
            <w:vAlign w:val="center"/>
          </w:tcPr>
          <w:p w14:paraId="22315EE1">
            <w:pPr>
              <w:snapToGrid w:val="0"/>
              <w:spacing w:line="320" w:lineRule="exact"/>
              <w:jc w:val="center"/>
              <w:rPr>
                <w:rFonts w:ascii="宋体" w:hAnsi="宋体" w:cs="宋体"/>
                <w:sz w:val="21"/>
                <w:szCs w:val="21"/>
              </w:rPr>
            </w:pPr>
            <w:r>
              <w:rPr>
                <w:rFonts w:hAnsi="宋体" w:cs="宋体"/>
                <w:sz w:val="21"/>
                <w:szCs w:val="21"/>
              </w:rPr>
              <w:t>全电脑全集选方式</w:t>
            </w:r>
          </w:p>
        </w:tc>
      </w:tr>
      <w:tr w14:paraId="33A3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4392D889">
            <w:pPr>
              <w:snapToGrid w:val="0"/>
              <w:spacing w:line="320" w:lineRule="exact"/>
              <w:jc w:val="center"/>
              <w:rPr>
                <w:rFonts w:ascii="宋体" w:hAnsi="宋体" w:cs="宋体"/>
                <w:sz w:val="21"/>
                <w:szCs w:val="21"/>
              </w:rPr>
            </w:pPr>
            <w:r>
              <w:rPr>
                <w:rFonts w:hint="eastAsia" w:ascii="宋体" w:hAnsi="宋体" w:cs="宋体"/>
                <w:sz w:val="21"/>
                <w:szCs w:val="21"/>
              </w:rPr>
              <w:t>2</w:t>
            </w:r>
          </w:p>
        </w:tc>
        <w:tc>
          <w:tcPr>
            <w:tcW w:w="1675" w:type="dxa"/>
            <w:tcBorders>
              <w:top w:val="single" w:color="000000" w:sz="4" w:space="0"/>
              <w:left w:val="single" w:color="000000" w:sz="4" w:space="0"/>
              <w:bottom w:val="single" w:color="000000" w:sz="4" w:space="0"/>
              <w:right w:val="single" w:color="000000" w:sz="4" w:space="0"/>
            </w:tcBorders>
            <w:vAlign w:val="center"/>
          </w:tcPr>
          <w:p w14:paraId="7E36B45B">
            <w:pPr>
              <w:snapToGrid w:val="0"/>
              <w:spacing w:line="320" w:lineRule="exact"/>
              <w:jc w:val="center"/>
              <w:rPr>
                <w:rFonts w:ascii="宋体" w:hAnsi="宋体" w:cs="宋体"/>
                <w:sz w:val="21"/>
                <w:szCs w:val="21"/>
              </w:rPr>
            </w:pPr>
            <w:r>
              <w:rPr>
                <w:rFonts w:hAnsi="宋体" w:cs="宋体"/>
                <w:sz w:val="21"/>
                <w:szCs w:val="21"/>
              </w:rPr>
              <w:t>控制系统</w:t>
            </w:r>
          </w:p>
        </w:tc>
        <w:tc>
          <w:tcPr>
            <w:tcW w:w="5939" w:type="dxa"/>
            <w:tcBorders>
              <w:top w:val="single" w:color="000000" w:sz="4" w:space="0"/>
              <w:left w:val="single" w:color="000000" w:sz="4" w:space="0"/>
              <w:bottom w:val="single" w:color="000000" w:sz="4" w:space="0"/>
              <w:right w:val="single" w:color="auto" w:sz="4" w:space="0"/>
            </w:tcBorders>
            <w:vAlign w:val="center"/>
          </w:tcPr>
          <w:p w14:paraId="757B13E5">
            <w:pPr>
              <w:snapToGrid w:val="0"/>
              <w:spacing w:line="320" w:lineRule="exact"/>
              <w:jc w:val="center"/>
              <w:rPr>
                <w:rFonts w:hAnsi="宋体" w:cs="宋体"/>
                <w:sz w:val="21"/>
                <w:szCs w:val="21"/>
              </w:rPr>
            </w:pPr>
            <w:r>
              <w:rPr>
                <w:rFonts w:hAnsi="宋体" w:cs="宋体"/>
                <w:sz w:val="21"/>
                <w:szCs w:val="21"/>
              </w:rPr>
              <w:t>一体化电脑软件控制系统，</w:t>
            </w:r>
          </w:p>
          <w:p w14:paraId="4833AADE">
            <w:pPr>
              <w:snapToGrid w:val="0"/>
              <w:spacing w:line="320" w:lineRule="exact"/>
              <w:jc w:val="center"/>
              <w:rPr>
                <w:rFonts w:ascii="宋体" w:hAnsi="宋体" w:cs="宋体"/>
                <w:sz w:val="21"/>
                <w:szCs w:val="21"/>
              </w:rPr>
            </w:pPr>
            <w:r>
              <w:rPr>
                <w:rFonts w:hAnsi="宋体" w:cs="宋体"/>
                <w:sz w:val="21"/>
                <w:szCs w:val="21"/>
              </w:rPr>
              <w:t>传输通讯网络系统串行</w:t>
            </w:r>
          </w:p>
        </w:tc>
      </w:tr>
      <w:tr w14:paraId="7917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0A9F1C1A">
            <w:pPr>
              <w:snapToGrid w:val="0"/>
              <w:spacing w:line="320" w:lineRule="exact"/>
              <w:jc w:val="center"/>
              <w:rPr>
                <w:rFonts w:ascii="宋体" w:hAnsi="宋体" w:cs="宋体"/>
                <w:sz w:val="21"/>
                <w:szCs w:val="21"/>
              </w:rPr>
            </w:pPr>
            <w:r>
              <w:rPr>
                <w:rFonts w:hint="eastAsia" w:ascii="宋体" w:hAnsi="宋体" w:cs="宋体"/>
                <w:sz w:val="21"/>
                <w:szCs w:val="21"/>
              </w:rPr>
              <w:t>3</w:t>
            </w:r>
          </w:p>
        </w:tc>
        <w:tc>
          <w:tcPr>
            <w:tcW w:w="1675" w:type="dxa"/>
            <w:tcBorders>
              <w:top w:val="single" w:color="000000" w:sz="4" w:space="0"/>
              <w:left w:val="single" w:color="000000" w:sz="4" w:space="0"/>
              <w:bottom w:val="single" w:color="000000" w:sz="4" w:space="0"/>
              <w:right w:val="single" w:color="000000" w:sz="4" w:space="0"/>
            </w:tcBorders>
            <w:vAlign w:val="center"/>
          </w:tcPr>
          <w:p w14:paraId="44145484">
            <w:pPr>
              <w:snapToGrid w:val="0"/>
              <w:spacing w:line="320" w:lineRule="exact"/>
              <w:jc w:val="center"/>
              <w:rPr>
                <w:rFonts w:ascii="宋体" w:hAnsi="宋体" w:cs="宋体"/>
                <w:sz w:val="21"/>
                <w:szCs w:val="21"/>
              </w:rPr>
            </w:pPr>
            <w:r>
              <w:rPr>
                <w:rFonts w:hAnsi="宋体" w:cs="宋体"/>
                <w:sz w:val="21"/>
                <w:szCs w:val="21"/>
              </w:rPr>
              <w:t>拖动系统</w:t>
            </w:r>
          </w:p>
        </w:tc>
        <w:tc>
          <w:tcPr>
            <w:tcW w:w="5939" w:type="dxa"/>
            <w:tcBorders>
              <w:top w:val="single" w:color="000000" w:sz="4" w:space="0"/>
              <w:left w:val="single" w:color="000000" w:sz="4" w:space="0"/>
              <w:bottom w:val="single" w:color="000000" w:sz="4" w:space="0"/>
              <w:right w:val="single" w:color="auto" w:sz="4" w:space="0"/>
            </w:tcBorders>
            <w:vAlign w:val="center"/>
          </w:tcPr>
          <w:p w14:paraId="172454D8">
            <w:pPr>
              <w:snapToGrid w:val="0"/>
              <w:spacing w:line="320" w:lineRule="exact"/>
              <w:jc w:val="center"/>
              <w:rPr>
                <w:rFonts w:ascii="宋体" w:hAnsi="宋体" w:cs="宋体"/>
                <w:sz w:val="21"/>
                <w:szCs w:val="21"/>
              </w:rPr>
            </w:pPr>
            <w:r>
              <w:rPr>
                <w:rFonts w:hAnsi="宋体" w:cs="宋体"/>
                <w:sz w:val="21"/>
                <w:szCs w:val="21"/>
              </w:rPr>
              <w:t>交流变频变压无齿轮拖动系统</w:t>
            </w:r>
          </w:p>
        </w:tc>
      </w:tr>
      <w:tr w14:paraId="55F5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29C39FCD">
            <w:pPr>
              <w:snapToGrid w:val="0"/>
              <w:spacing w:line="320" w:lineRule="exact"/>
              <w:jc w:val="center"/>
              <w:rPr>
                <w:rFonts w:ascii="宋体" w:hAnsi="宋体" w:cs="宋体"/>
                <w:sz w:val="21"/>
                <w:szCs w:val="21"/>
              </w:rPr>
            </w:pPr>
            <w:r>
              <w:rPr>
                <w:rFonts w:hint="eastAsia" w:ascii="宋体" w:hAnsi="宋体" w:cs="宋体"/>
                <w:sz w:val="21"/>
                <w:szCs w:val="21"/>
              </w:rPr>
              <w:t>4</w:t>
            </w:r>
          </w:p>
        </w:tc>
        <w:tc>
          <w:tcPr>
            <w:tcW w:w="1675" w:type="dxa"/>
            <w:tcBorders>
              <w:top w:val="single" w:color="000000" w:sz="4" w:space="0"/>
              <w:left w:val="single" w:color="000000" w:sz="4" w:space="0"/>
              <w:bottom w:val="single" w:color="000000" w:sz="4" w:space="0"/>
              <w:right w:val="single" w:color="000000" w:sz="4" w:space="0"/>
            </w:tcBorders>
            <w:vAlign w:val="center"/>
          </w:tcPr>
          <w:p w14:paraId="080AEB46">
            <w:pPr>
              <w:snapToGrid w:val="0"/>
              <w:spacing w:line="320" w:lineRule="exact"/>
              <w:jc w:val="center"/>
              <w:rPr>
                <w:rFonts w:ascii="宋体" w:hAnsi="宋体" w:cs="宋体"/>
                <w:sz w:val="21"/>
                <w:szCs w:val="21"/>
              </w:rPr>
            </w:pPr>
            <w:r>
              <w:rPr>
                <w:rFonts w:hAnsi="宋体" w:cs="宋体"/>
                <w:sz w:val="21"/>
                <w:szCs w:val="21"/>
              </w:rPr>
              <w:t>曳引机</w:t>
            </w:r>
          </w:p>
        </w:tc>
        <w:tc>
          <w:tcPr>
            <w:tcW w:w="5939" w:type="dxa"/>
            <w:tcBorders>
              <w:top w:val="single" w:color="000000" w:sz="4" w:space="0"/>
              <w:left w:val="single" w:color="000000" w:sz="4" w:space="0"/>
              <w:bottom w:val="single" w:color="000000" w:sz="4" w:space="0"/>
              <w:right w:val="single" w:color="auto" w:sz="4" w:space="0"/>
            </w:tcBorders>
            <w:vAlign w:val="center"/>
          </w:tcPr>
          <w:p w14:paraId="4E86BDBE">
            <w:pPr>
              <w:snapToGrid w:val="0"/>
              <w:spacing w:line="320" w:lineRule="exact"/>
              <w:rPr>
                <w:rFonts w:ascii="宋体" w:hAnsi="宋体" w:cs="宋体"/>
                <w:sz w:val="21"/>
                <w:szCs w:val="21"/>
              </w:rPr>
            </w:pPr>
            <w:r>
              <w:rPr>
                <w:rFonts w:hAnsi="宋体" w:cs="宋体"/>
                <w:sz w:val="21"/>
                <w:szCs w:val="21"/>
              </w:rPr>
              <w:t>原厂原品牌生产。符合国家防护要求</w:t>
            </w:r>
          </w:p>
        </w:tc>
      </w:tr>
      <w:tr w14:paraId="1D8B5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3A6FC078">
            <w:pPr>
              <w:snapToGrid w:val="0"/>
              <w:spacing w:line="320" w:lineRule="exact"/>
              <w:jc w:val="center"/>
              <w:rPr>
                <w:rFonts w:ascii="宋体" w:hAnsi="宋体" w:cs="宋体"/>
                <w:sz w:val="21"/>
                <w:szCs w:val="21"/>
              </w:rPr>
            </w:pPr>
            <w:r>
              <w:rPr>
                <w:rFonts w:hint="eastAsia" w:ascii="宋体" w:hAnsi="宋体" w:cs="宋体"/>
                <w:sz w:val="21"/>
                <w:szCs w:val="21"/>
              </w:rPr>
              <w:t>5</w:t>
            </w:r>
          </w:p>
        </w:tc>
        <w:tc>
          <w:tcPr>
            <w:tcW w:w="1675" w:type="dxa"/>
            <w:tcBorders>
              <w:top w:val="single" w:color="000000" w:sz="4" w:space="0"/>
              <w:left w:val="single" w:color="000000" w:sz="4" w:space="0"/>
              <w:bottom w:val="single" w:color="000000" w:sz="4" w:space="0"/>
              <w:right w:val="single" w:color="000000" w:sz="4" w:space="0"/>
            </w:tcBorders>
            <w:vAlign w:val="center"/>
          </w:tcPr>
          <w:p w14:paraId="32FAFF11">
            <w:pPr>
              <w:snapToGrid w:val="0"/>
              <w:spacing w:line="320" w:lineRule="exact"/>
              <w:rPr>
                <w:rFonts w:ascii="宋体" w:hAnsi="宋体" w:cs="宋体"/>
                <w:sz w:val="21"/>
                <w:szCs w:val="21"/>
              </w:rPr>
            </w:pPr>
            <w:r>
              <w:rPr>
                <w:rFonts w:hAnsi="宋体" w:cs="宋体"/>
                <w:sz w:val="21"/>
                <w:szCs w:val="21"/>
              </w:rPr>
              <w:t>曳引钢丝绳（或钢带）</w:t>
            </w:r>
          </w:p>
        </w:tc>
        <w:tc>
          <w:tcPr>
            <w:tcW w:w="5939" w:type="dxa"/>
            <w:tcBorders>
              <w:top w:val="single" w:color="000000" w:sz="4" w:space="0"/>
              <w:left w:val="single" w:color="000000" w:sz="4" w:space="0"/>
              <w:bottom w:val="single" w:color="000000" w:sz="4" w:space="0"/>
              <w:right w:val="single" w:color="auto" w:sz="4" w:space="0"/>
            </w:tcBorders>
            <w:vAlign w:val="center"/>
          </w:tcPr>
          <w:p w14:paraId="7CF95F37">
            <w:pPr>
              <w:snapToGrid w:val="0"/>
              <w:spacing w:line="320" w:lineRule="exact"/>
              <w:rPr>
                <w:rFonts w:ascii="宋体" w:hAnsi="宋体" w:cs="宋体"/>
                <w:sz w:val="21"/>
                <w:szCs w:val="21"/>
              </w:rPr>
            </w:pPr>
            <w:r>
              <w:rPr>
                <w:rFonts w:hAnsi="宋体" w:cs="宋体"/>
                <w:sz w:val="21"/>
                <w:szCs w:val="21"/>
              </w:rPr>
              <w:t>5根 D10电梯专用钢丝绳，应满足国标《电梯用钢丝》GB8903-2005 的要求，如果国家有最新规定的，从其规定</w:t>
            </w:r>
            <w:r>
              <w:rPr>
                <w:rFonts w:hint="eastAsia" w:hAnsi="宋体" w:cs="宋体"/>
                <w:sz w:val="21"/>
                <w:szCs w:val="21"/>
              </w:rPr>
              <w:t>。</w:t>
            </w:r>
          </w:p>
        </w:tc>
      </w:tr>
      <w:tr w14:paraId="4BA1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711DDF9F">
            <w:pPr>
              <w:snapToGrid w:val="0"/>
              <w:spacing w:line="320" w:lineRule="exact"/>
              <w:jc w:val="center"/>
              <w:rPr>
                <w:rFonts w:ascii="宋体" w:hAnsi="宋体" w:cs="宋体"/>
                <w:sz w:val="21"/>
                <w:szCs w:val="21"/>
              </w:rPr>
            </w:pPr>
            <w:r>
              <w:rPr>
                <w:rFonts w:hint="eastAsia" w:ascii="宋体" w:hAnsi="宋体" w:cs="宋体"/>
                <w:sz w:val="21"/>
                <w:szCs w:val="21"/>
              </w:rPr>
              <w:t>6</w:t>
            </w:r>
          </w:p>
        </w:tc>
        <w:tc>
          <w:tcPr>
            <w:tcW w:w="1675" w:type="dxa"/>
            <w:tcBorders>
              <w:top w:val="single" w:color="000000" w:sz="4" w:space="0"/>
              <w:left w:val="single" w:color="000000" w:sz="4" w:space="0"/>
              <w:bottom w:val="single" w:color="000000" w:sz="4" w:space="0"/>
              <w:right w:val="single" w:color="000000" w:sz="4" w:space="0"/>
            </w:tcBorders>
            <w:vAlign w:val="center"/>
          </w:tcPr>
          <w:p w14:paraId="48515FC1">
            <w:pPr>
              <w:snapToGrid w:val="0"/>
              <w:spacing w:line="320" w:lineRule="exact"/>
              <w:jc w:val="center"/>
              <w:rPr>
                <w:rFonts w:ascii="宋体" w:hAnsi="宋体" w:cs="宋体"/>
                <w:sz w:val="21"/>
                <w:szCs w:val="21"/>
              </w:rPr>
            </w:pPr>
            <w:r>
              <w:rPr>
                <w:rFonts w:hAnsi="宋体" w:cs="宋体"/>
                <w:sz w:val="21"/>
                <w:szCs w:val="21"/>
              </w:rPr>
              <w:t>门机</w:t>
            </w:r>
          </w:p>
        </w:tc>
        <w:tc>
          <w:tcPr>
            <w:tcW w:w="5939" w:type="dxa"/>
            <w:tcBorders>
              <w:top w:val="single" w:color="000000" w:sz="4" w:space="0"/>
              <w:left w:val="single" w:color="000000" w:sz="4" w:space="0"/>
              <w:bottom w:val="single" w:color="000000" w:sz="4" w:space="0"/>
              <w:right w:val="single" w:color="auto" w:sz="4" w:space="0"/>
            </w:tcBorders>
            <w:vAlign w:val="center"/>
          </w:tcPr>
          <w:p w14:paraId="246B8408">
            <w:pPr>
              <w:snapToGrid w:val="0"/>
              <w:spacing w:line="320" w:lineRule="exact"/>
              <w:rPr>
                <w:rFonts w:ascii="宋体" w:hAnsi="宋体" w:cs="宋体"/>
                <w:sz w:val="21"/>
                <w:szCs w:val="21"/>
              </w:rPr>
            </w:pPr>
            <w:r>
              <w:rPr>
                <w:rFonts w:hAnsi="宋体" w:cs="宋体"/>
                <w:sz w:val="21"/>
                <w:szCs w:val="21"/>
              </w:rPr>
              <w:t>原厂原品牌生产。</w:t>
            </w:r>
          </w:p>
        </w:tc>
      </w:tr>
      <w:tr w14:paraId="13CFD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770F09F1">
            <w:pPr>
              <w:snapToGrid w:val="0"/>
              <w:spacing w:line="320" w:lineRule="exact"/>
              <w:jc w:val="center"/>
              <w:rPr>
                <w:rFonts w:ascii="宋体" w:hAnsi="宋体" w:cs="宋体"/>
                <w:sz w:val="21"/>
                <w:szCs w:val="21"/>
              </w:rPr>
            </w:pPr>
            <w:r>
              <w:rPr>
                <w:rFonts w:hint="eastAsia" w:ascii="宋体" w:hAnsi="宋体" w:cs="宋体"/>
                <w:sz w:val="21"/>
                <w:szCs w:val="21"/>
              </w:rPr>
              <w:t>7</w:t>
            </w:r>
          </w:p>
        </w:tc>
        <w:tc>
          <w:tcPr>
            <w:tcW w:w="1675" w:type="dxa"/>
            <w:tcBorders>
              <w:top w:val="single" w:color="000000" w:sz="4" w:space="0"/>
              <w:left w:val="single" w:color="000000" w:sz="4" w:space="0"/>
              <w:bottom w:val="single" w:color="000000" w:sz="4" w:space="0"/>
              <w:right w:val="single" w:color="000000" w:sz="4" w:space="0"/>
            </w:tcBorders>
            <w:vAlign w:val="center"/>
          </w:tcPr>
          <w:p w14:paraId="644056D2">
            <w:pPr>
              <w:snapToGrid w:val="0"/>
              <w:spacing w:line="320" w:lineRule="exact"/>
              <w:jc w:val="center"/>
              <w:rPr>
                <w:rFonts w:ascii="宋体" w:hAnsi="宋体" w:cs="宋体"/>
                <w:sz w:val="21"/>
                <w:szCs w:val="21"/>
              </w:rPr>
            </w:pPr>
            <w:r>
              <w:rPr>
                <w:rFonts w:hAnsi="宋体" w:cs="宋体"/>
                <w:sz w:val="21"/>
                <w:szCs w:val="21"/>
              </w:rPr>
              <w:t>控制柜</w:t>
            </w:r>
          </w:p>
        </w:tc>
        <w:tc>
          <w:tcPr>
            <w:tcW w:w="5939" w:type="dxa"/>
            <w:tcBorders>
              <w:top w:val="single" w:color="000000" w:sz="4" w:space="0"/>
              <w:left w:val="single" w:color="000000" w:sz="4" w:space="0"/>
              <w:bottom w:val="single" w:color="000000" w:sz="4" w:space="0"/>
              <w:right w:val="single" w:color="auto" w:sz="4" w:space="0"/>
            </w:tcBorders>
            <w:vAlign w:val="center"/>
          </w:tcPr>
          <w:p w14:paraId="6916D23D">
            <w:pPr>
              <w:snapToGrid w:val="0"/>
              <w:spacing w:line="320" w:lineRule="exact"/>
              <w:rPr>
                <w:rFonts w:ascii="宋体" w:hAnsi="宋体" w:cs="宋体"/>
                <w:sz w:val="21"/>
                <w:szCs w:val="21"/>
              </w:rPr>
            </w:pPr>
            <w:r>
              <w:rPr>
                <w:rFonts w:hAnsi="宋体" w:cs="宋体"/>
                <w:sz w:val="21"/>
                <w:szCs w:val="21"/>
              </w:rPr>
              <w:t>原厂原品牌生产。</w:t>
            </w:r>
          </w:p>
        </w:tc>
      </w:tr>
      <w:tr w14:paraId="1111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21374D7D">
            <w:pPr>
              <w:snapToGrid w:val="0"/>
              <w:spacing w:line="320" w:lineRule="exact"/>
              <w:jc w:val="center"/>
              <w:rPr>
                <w:rFonts w:ascii="宋体" w:hAnsi="宋体" w:cs="宋体"/>
                <w:sz w:val="21"/>
                <w:szCs w:val="21"/>
              </w:rPr>
            </w:pPr>
            <w:r>
              <w:rPr>
                <w:rFonts w:hint="eastAsia" w:ascii="宋体" w:hAnsi="宋体" w:cs="宋体"/>
                <w:sz w:val="21"/>
                <w:szCs w:val="21"/>
              </w:rPr>
              <w:t>8</w:t>
            </w:r>
          </w:p>
        </w:tc>
        <w:tc>
          <w:tcPr>
            <w:tcW w:w="1675" w:type="dxa"/>
            <w:tcBorders>
              <w:top w:val="single" w:color="000000" w:sz="4" w:space="0"/>
              <w:left w:val="single" w:color="000000" w:sz="4" w:space="0"/>
              <w:bottom w:val="single" w:color="000000" w:sz="4" w:space="0"/>
              <w:right w:val="single" w:color="000000" w:sz="4" w:space="0"/>
            </w:tcBorders>
            <w:vAlign w:val="center"/>
          </w:tcPr>
          <w:p w14:paraId="113E9B09">
            <w:pPr>
              <w:snapToGrid w:val="0"/>
              <w:spacing w:line="320" w:lineRule="exact"/>
              <w:jc w:val="center"/>
              <w:rPr>
                <w:rFonts w:ascii="宋体" w:hAnsi="宋体" w:cs="宋体"/>
                <w:sz w:val="21"/>
                <w:szCs w:val="21"/>
              </w:rPr>
            </w:pPr>
            <w:r>
              <w:rPr>
                <w:rFonts w:hAnsi="宋体" w:cs="宋体"/>
                <w:sz w:val="21"/>
                <w:szCs w:val="21"/>
              </w:rPr>
              <w:t>缓冲器</w:t>
            </w:r>
          </w:p>
        </w:tc>
        <w:tc>
          <w:tcPr>
            <w:tcW w:w="5939" w:type="dxa"/>
            <w:tcBorders>
              <w:top w:val="single" w:color="000000" w:sz="4" w:space="0"/>
              <w:left w:val="single" w:color="000000" w:sz="4" w:space="0"/>
              <w:bottom w:val="single" w:color="000000" w:sz="4" w:space="0"/>
              <w:right w:val="single" w:color="auto" w:sz="4" w:space="0"/>
            </w:tcBorders>
            <w:vAlign w:val="center"/>
          </w:tcPr>
          <w:p w14:paraId="3AFF579C">
            <w:pPr>
              <w:snapToGrid w:val="0"/>
              <w:spacing w:line="320" w:lineRule="exact"/>
              <w:rPr>
                <w:rFonts w:ascii="宋体" w:hAnsi="宋体" w:cs="宋体"/>
                <w:sz w:val="21"/>
                <w:szCs w:val="21"/>
              </w:rPr>
            </w:pPr>
            <w:r>
              <w:rPr>
                <w:rFonts w:hAnsi="宋体" w:cs="宋体"/>
                <w:sz w:val="21"/>
                <w:szCs w:val="21"/>
              </w:rPr>
              <w:t>原厂原品牌生产</w:t>
            </w:r>
          </w:p>
        </w:tc>
      </w:tr>
      <w:tr w14:paraId="3FAE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334F3EB3">
            <w:pPr>
              <w:snapToGrid w:val="0"/>
              <w:spacing w:line="320" w:lineRule="exact"/>
              <w:jc w:val="center"/>
              <w:rPr>
                <w:rFonts w:ascii="宋体" w:hAnsi="宋体" w:cs="宋体"/>
                <w:sz w:val="21"/>
                <w:szCs w:val="21"/>
              </w:rPr>
            </w:pPr>
            <w:r>
              <w:rPr>
                <w:rFonts w:hint="eastAsia" w:ascii="宋体" w:hAnsi="宋体" w:cs="宋体"/>
                <w:sz w:val="21"/>
                <w:szCs w:val="21"/>
              </w:rPr>
              <w:t>9</w:t>
            </w:r>
          </w:p>
        </w:tc>
        <w:tc>
          <w:tcPr>
            <w:tcW w:w="1675" w:type="dxa"/>
            <w:tcBorders>
              <w:top w:val="single" w:color="000000" w:sz="4" w:space="0"/>
              <w:left w:val="single" w:color="000000" w:sz="4" w:space="0"/>
              <w:bottom w:val="single" w:color="000000" w:sz="4" w:space="0"/>
              <w:right w:val="single" w:color="000000" w:sz="4" w:space="0"/>
            </w:tcBorders>
            <w:vAlign w:val="center"/>
          </w:tcPr>
          <w:p w14:paraId="2EBE5096">
            <w:pPr>
              <w:snapToGrid w:val="0"/>
              <w:spacing w:line="320" w:lineRule="exact"/>
              <w:jc w:val="center"/>
              <w:rPr>
                <w:rFonts w:ascii="宋体" w:hAnsi="宋体" w:cs="宋体"/>
                <w:sz w:val="21"/>
                <w:szCs w:val="21"/>
              </w:rPr>
            </w:pPr>
            <w:r>
              <w:rPr>
                <w:rFonts w:hAnsi="宋体" w:cs="宋体"/>
                <w:sz w:val="21"/>
                <w:szCs w:val="21"/>
              </w:rPr>
              <w:t>门保护装置</w:t>
            </w:r>
          </w:p>
        </w:tc>
        <w:tc>
          <w:tcPr>
            <w:tcW w:w="5939" w:type="dxa"/>
            <w:tcBorders>
              <w:top w:val="single" w:color="000000" w:sz="4" w:space="0"/>
              <w:left w:val="single" w:color="000000" w:sz="4" w:space="0"/>
              <w:bottom w:val="single" w:color="000000" w:sz="4" w:space="0"/>
              <w:right w:val="single" w:color="auto" w:sz="4" w:space="0"/>
            </w:tcBorders>
            <w:vAlign w:val="center"/>
          </w:tcPr>
          <w:p w14:paraId="3D95B10C">
            <w:pPr>
              <w:snapToGrid w:val="0"/>
              <w:spacing w:line="320" w:lineRule="exact"/>
              <w:rPr>
                <w:rFonts w:ascii="宋体" w:hAnsi="宋体" w:cs="宋体"/>
                <w:sz w:val="21"/>
                <w:szCs w:val="21"/>
              </w:rPr>
            </w:pPr>
            <w:r>
              <w:rPr>
                <w:rFonts w:hAnsi="宋体" w:cs="宋体"/>
                <w:sz w:val="21"/>
                <w:szCs w:val="21"/>
              </w:rPr>
              <w:t>光幕保护≥174束</w:t>
            </w:r>
          </w:p>
        </w:tc>
      </w:tr>
      <w:tr w14:paraId="1B20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024E23BB">
            <w:pPr>
              <w:snapToGrid w:val="0"/>
              <w:spacing w:line="320" w:lineRule="exact"/>
              <w:jc w:val="center"/>
              <w:rPr>
                <w:rFonts w:ascii="宋体" w:hAnsi="宋体" w:cs="宋体"/>
                <w:sz w:val="21"/>
                <w:szCs w:val="21"/>
              </w:rPr>
            </w:pPr>
            <w:r>
              <w:rPr>
                <w:rFonts w:hint="eastAsia" w:ascii="宋体" w:hAnsi="宋体" w:cs="宋体"/>
                <w:sz w:val="21"/>
                <w:szCs w:val="21"/>
              </w:rPr>
              <w:t>10</w:t>
            </w:r>
          </w:p>
        </w:tc>
        <w:tc>
          <w:tcPr>
            <w:tcW w:w="1675" w:type="dxa"/>
            <w:tcBorders>
              <w:top w:val="single" w:color="000000" w:sz="4" w:space="0"/>
              <w:left w:val="single" w:color="000000" w:sz="4" w:space="0"/>
              <w:bottom w:val="single" w:color="000000" w:sz="4" w:space="0"/>
              <w:right w:val="single" w:color="000000" w:sz="4" w:space="0"/>
            </w:tcBorders>
            <w:vAlign w:val="center"/>
          </w:tcPr>
          <w:p w14:paraId="73C90CB7">
            <w:pPr>
              <w:snapToGrid w:val="0"/>
              <w:spacing w:line="320" w:lineRule="exact"/>
              <w:jc w:val="center"/>
              <w:rPr>
                <w:rFonts w:ascii="宋体" w:hAnsi="宋体" w:cs="宋体"/>
                <w:sz w:val="21"/>
                <w:szCs w:val="21"/>
              </w:rPr>
            </w:pPr>
            <w:r>
              <w:rPr>
                <w:rFonts w:hAnsi="宋体" w:cs="宋体"/>
                <w:sz w:val="21"/>
                <w:szCs w:val="21"/>
              </w:rPr>
              <w:t>限速器</w:t>
            </w:r>
          </w:p>
        </w:tc>
        <w:tc>
          <w:tcPr>
            <w:tcW w:w="5939" w:type="dxa"/>
            <w:tcBorders>
              <w:top w:val="single" w:color="000000" w:sz="4" w:space="0"/>
              <w:left w:val="single" w:color="000000" w:sz="4" w:space="0"/>
              <w:bottom w:val="single" w:color="000000" w:sz="4" w:space="0"/>
              <w:right w:val="single" w:color="auto" w:sz="4" w:space="0"/>
            </w:tcBorders>
            <w:vAlign w:val="center"/>
          </w:tcPr>
          <w:p w14:paraId="078383F6">
            <w:pPr>
              <w:widowControl/>
              <w:snapToGrid w:val="0"/>
              <w:spacing w:line="320" w:lineRule="exact"/>
              <w:rPr>
                <w:rFonts w:ascii="宋体" w:hAnsi="宋体" w:cs="宋体"/>
                <w:sz w:val="21"/>
                <w:szCs w:val="21"/>
              </w:rPr>
            </w:pPr>
            <w:r>
              <w:rPr>
                <w:rFonts w:hAnsi="宋体" w:cs="宋体"/>
                <w:sz w:val="21"/>
                <w:szCs w:val="21"/>
              </w:rPr>
              <w:t>原厂原品牌生产</w:t>
            </w:r>
          </w:p>
        </w:tc>
      </w:tr>
      <w:tr w14:paraId="03BB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12" w:type="dxa"/>
            <w:tcBorders>
              <w:top w:val="single" w:color="000000" w:sz="4" w:space="0"/>
              <w:left w:val="single" w:color="000000" w:sz="4" w:space="0"/>
              <w:bottom w:val="single" w:color="000000" w:sz="4" w:space="0"/>
              <w:right w:val="single" w:color="000000" w:sz="4" w:space="0"/>
            </w:tcBorders>
            <w:vAlign w:val="center"/>
          </w:tcPr>
          <w:p w14:paraId="7DD31B51">
            <w:pPr>
              <w:snapToGrid w:val="0"/>
              <w:spacing w:line="320" w:lineRule="exact"/>
              <w:jc w:val="center"/>
              <w:rPr>
                <w:rFonts w:ascii="宋体" w:hAnsi="宋体" w:cs="宋体"/>
                <w:sz w:val="21"/>
                <w:szCs w:val="21"/>
              </w:rPr>
            </w:pPr>
            <w:r>
              <w:rPr>
                <w:rFonts w:hint="eastAsia" w:ascii="宋体" w:hAnsi="宋体" w:cs="宋体"/>
                <w:sz w:val="21"/>
                <w:szCs w:val="21"/>
              </w:rPr>
              <w:t>11</w:t>
            </w:r>
          </w:p>
        </w:tc>
        <w:tc>
          <w:tcPr>
            <w:tcW w:w="1675" w:type="dxa"/>
            <w:tcBorders>
              <w:top w:val="single" w:color="000000" w:sz="4" w:space="0"/>
              <w:left w:val="single" w:color="000000" w:sz="4" w:space="0"/>
              <w:bottom w:val="single" w:color="000000" w:sz="4" w:space="0"/>
              <w:right w:val="single" w:color="000000" w:sz="4" w:space="0"/>
            </w:tcBorders>
            <w:vAlign w:val="center"/>
          </w:tcPr>
          <w:p w14:paraId="7A5E4971">
            <w:pPr>
              <w:snapToGrid w:val="0"/>
              <w:spacing w:line="320" w:lineRule="exact"/>
              <w:jc w:val="center"/>
              <w:rPr>
                <w:rFonts w:ascii="宋体" w:hAnsi="宋体" w:cs="宋体"/>
                <w:sz w:val="21"/>
                <w:szCs w:val="21"/>
              </w:rPr>
            </w:pPr>
            <w:r>
              <w:rPr>
                <w:rFonts w:hAnsi="宋体" w:cs="宋体"/>
                <w:sz w:val="21"/>
                <w:szCs w:val="21"/>
              </w:rPr>
              <w:t>安全钳</w:t>
            </w:r>
          </w:p>
        </w:tc>
        <w:tc>
          <w:tcPr>
            <w:tcW w:w="5939" w:type="dxa"/>
            <w:tcBorders>
              <w:top w:val="single" w:color="000000" w:sz="4" w:space="0"/>
              <w:left w:val="single" w:color="000000" w:sz="4" w:space="0"/>
              <w:bottom w:val="single" w:color="000000" w:sz="4" w:space="0"/>
              <w:right w:val="single" w:color="auto" w:sz="4" w:space="0"/>
            </w:tcBorders>
            <w:vAlign w:val="center"/>
          </w:tcPr>
          <w:p w14:paraId="114B13DB">
            <w:pPr>
              <w:snapToGrid w:val="0"/>
              <w:spacing w:line="320" w:lineRule="exact"/>
              <w:rPr>
                <w:rFonts w:ascii="宋体" w:hAnsi="宋体" w:cs="宋体"/>
                <w:sz w:val="21"/>
                <w:szCs w:val="21"/>
              </w:rPr>
            </w:pPr>
            <w:r>
              <w:rPr>
                <w:rFonts w:hAnsi="宋体" w:cs="宋体"/>
                <w:sz w:val="21"/>
                <w:szCs w:val="21"/>
              </w:rPr>
              <w:t>原厂原品牌生产</w:t>
            </w:r>
          </w:p>
        </w:tc>
      </w:tr>
    </w:tbl>
    <w:p w14:paraId="793A2934">
      <w:pPr>
        <w:snapToGrid w:val="0"/>
        <w:spacing w:line="500" w:lineRule="exact"/>
        <w:ind w:firstLine="361" w:firstLineChars="150"/>
        <w:rPr>
          <w:rFonts w:ascii="宋体" w:hAnsi="宋体" w:cs="宋体"/>
          <w:b/>
          <w:bCs/>
          <w:sz w:val="24"/>
          <w:szCs w:val="24"/>
        </w:rPr>
      </w:pPr>
    </w:p>
    <w:p w14:paraId="566C91B0">
      <w:pPr>
        <w:snapToGrid w:val="0"/>
        <w:spacing w:line="500" w:lineRule="exact"/>
        <w:ind w:firstLine="361" w:firstLineChars="150"/>
        <w:rPr>
          <w:rFonts w:ascii="宋体" w:hAnsi="宋体" w:cs="宋体"/>
          <w:b/>
          <w:bCs/>
          <w:sz w:val="24"/>
          <w:szCs w:val="24"/>
        </w:rPr>
      </w:pPr>
    </w:p>
    <w:p w14:paraId="5EB57F79">
      <w:pPr>
        <w:snapToGrid w:val="0"/>
        <w:spacing w:line="500" w:lineRule="exact"/>
        <w:ind w:firstLine="361" w:firstLineChars="150"/>
        <w:rPr>
          <w:rFonts w:ascii="宋体" w:hAnsi="宋体" w:cs="宋体"/>
          <w:b/>
          <w:bCs/>
          <w:sz w:val="24"/>
          <w:szCs w:val="24"/>
        </w:rPr>
      </w:pPr>
      <w:r>
        <w:rPr>
          <w:rFonts w:hint="eastAsia" w:ascii="宋体" w:hAnsi="宋体" w:cs="宋体"/>
          <w:b/>
          <w:bCs/>
          <w:sz w:val="24"/>
          <w:szCs w:val="24"/>
        </w:rPr>
        <w:t>（三）电梯主要技术参数</w:t>
      </w:r>
    </w:p>
    <w:tbl>
      <w:tblPr>
        <w:tblStyle w:val="59"/>
        <w:tblpPr w:leftFromText="180" w:rightFromText="180" w:vertAnchor="text" w:horzAnchor="page" w:tblpX="1474" w:tblpY="300"/>
        <w:tblOverlap w:val="never"/>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2977"/>
        <w:gridCol w:w="5173"/>
      </w:tblGrid>
      <w:tr w14:paraId="0B236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288" w:type="dxa"/>
            <w:gridSpan w:val="3"/>
            <w:tcBorders>
              <w:top w:val="single" w:color="000000" w:sz="4" w:space="0"/>
              <w:left w:val="single" w:color="000000" w:sz="4" w:space="0"/>
              <w:bottom w:val="single" w:color="000000" w:sz="4" w:space="0"/>
              <w:right w:val="single" w:color="000000" w:sz="4" w:space="0"/>
            </w:tcBorders>
            <w:vAlign w:val="center"/>
          </w:tcPr>
          <w:p w14:paraId="28052451">
            <w:pPr>
              <w:tabs>
                <w:tab w:val="left" w:pos="1510"/>
              </w:tabs>
              <w:snapToGrid w:val="0"/>
              <w:spacing w:line="320" w:lineRule="exact"/>
              <w:jc w:val="center"/>
              <w:rPr>
                <w:rFonts w:ascii="宋体" w:hAnsi="宋体" w:cs="宋体"/>
                <w:sz w:val="21"/>
                <w:szCs w:val="21"/>
              </w:rPr>
            </w:pPr>
            <w:r>
              <w:rPr>
                <w:rFonts w:hint="eastAsia" w:ascii="宋体" w:hAnsi="宋体" w:cs="宋体"/>
                <w:b/>
                <w:bCs/>
                <w:sz w:val="24"/>
                <w:szCs w:val="24"/>
              </w:rPr>
              <w:t>2台电梯：13栋1#、2#</w:t>
            </w:r>
          </w:p>
        </w:tc>
      </w:tr>
      <w:tr w14:paraId="4EB7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41D0A236">
            <w:pPr>
              <w:snapToGrid w:val="0"/>
              <w:spacing w:line="320" w:lineRule="exact"/>
              <w:jc w:val="center"/>
              <w:rPr>
                <w:rFonts w:ascii="宋体" w:hAnsi="宋体" w:cs="宋体"/>
                <w:b/>
                <w:bCs/>
                <w:sz w:val="21"/>
                <w:szCs w:val="21"/>
              </w:rPr>
            </w:pPr>
            <w:r>
              <w:rPr>
                <w:rFonts w:hint="eastAsia" w:ascii="宋体" w:hAnsi="宋体" w:cs="宋体"/>
                <w:b/>
                <w:bCs/>
                <w:sz w:val="21"/>
                <w:szCs w:val="21"/>
              </w:rPr>
              <w:t>序号</w:t>
            </w:r>
          </w:p>
        </w:tc>
        <w:tc>
          <w:tcPr>
            <w:tcW w:w="2977" w:type="dxa"/>
            <w:tcBorders>
              <w:top w:val="single" w:color="000000" w:sz="4" w:space="0"/>
              <w:left w:val="single" w:color="000000" w:sz="4" w:space="0"/>
              <w:bottom w:val="single" w:color="000000" w:sz="4" w:space="0"/>
              <w:right w:val="single" w:color="000000" w:sz="4" w:space="0"/>
            </w:tcBorders>
            <w:vAlign w:val="center"/>
          </w:tcPr>
          <w:p w14:paraId="34ECE4E3">
            <w:pPr>
              <w:snapToGrid w:val="0"/>
              <w:spacing w:line="320" w:lineRule="exact"/>
              <w:jc w:val="center"/>
              <w:rPr>
                <w:rFonts w:ascii="宋体" w:hAnsi="宋体" w:cs="宋体"/>
                <w:b/>
                <w:bCs/>
                <w:sz w:val="21"/>
                <w:szCs w:val="21"/>
              </w:rPr>
            </w:pPr>
            <w:r>
              <w:rPr>
                <w:rFonts w:hint="eastAsia" w:ascii="宋体" w:hAnsi="宋体" w:cs="宋体"/>
                <w:b/>
                <w:bCs/>
                <w:sz w:val="21"/>
                <w:szCs w:val="21"/>
              </w:rPr>
              <w:t>名称</w:t>
            </w:r>
          </w:p>
        </w:tc>
        <w:tc>
          <w:tcPr>
            <w:tcW w:w="5173" w:type="dxa"/>
            <w:tcBorders>
              <w:top w:val="single" w:color="000000" w:sz="4" w:space="0"/>
              <w:left w:val="single" w:color="000000" w:sz="4" w:space="0"/>
              <w:bottom w:val="single" w:color="000000" w:sz="4" w:space="0"/>
              <w:right w:val="single" w:color="000000" w:sz="4" w:space="0"/>
            </w:tcBorders>
            <w:vAlign w:val="center"/>
          </w:tcPr>
          <w:p w14:paraId="61F18437">
            <w:pPr>
              <w:snapToGrid w:val="0"/>
              <w:spacing w:line="320" w:lineRule="exact"/>
              <w:jc w:val="center"/>
              <w:rPr>
                <w:rFonts w:ascii="宋体" w:hAnsi="宋体" w:cs="宋体"/>
                <w:b/>
                <w:bCs/>
                <w:sz w:val="21"/>
                <w:szCs w:val="21"/>
              </w:rPr>
            </w:pPr>
            <w:r>
              <w:rPr>
                <w:rFonts w:hint="eastAsia" w:ascii="宋体" w:hAnsi="宋体" w:cs="宋体"/>
                <w:b/>
                <w:bCs/>
                <w:sz w:val="21"/>
                <w:szCs w:val="21"/>
              </w:rPr>
              <w:t>技术参数要求</w:t>
            </w:r>
          </w:p>
        </w:tc>
      </w:tr>
      <w:tr w14:paraId="6846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21B0D441">
            <w:pPr>
              <w:spacing w:line="240" w:lineRule="exact"/>
              <w:jc w:val="center"/>
              <w:rPr>
                <w:rFonts w:ascii="宋体" w:hAnsi="宋体" w:cs="宋体"/>
                <w:sz w:val="21"/>
                <w:szCs w:val="21"/>
              </w:rPr>
            </w:pPr>
            <w:r>
              <w:rPr>
                <w:rFonts w:hint="eastAsia" w:ascii="宋体" w:hAnsi="宋体" w:cs="宋体"/>
                <w:sz w:val="21"/>
                <w:szCs w:val="21"/>
              </w:rPr>
              <w:t>1</w:t>
            </w:r>
          </w:p>
        </w:tc>
        <w:tc>
          <w:tcPr>
            <w:tcW w:w="2977" w:type="dxa"/>
            <w:tcBorders>
              <w:top w:val="single" w:color="000000" w:sz="4" w:space="0"/>
              <w:left w:val="single" w:color="000000" w:sz="4" w:space="0"/>
              <w:bottom w:val="single" w:color="000000" w:sz="4" w:space="0"/>
              <w:right w:val="single" w:color="000000" w:sz="4" w:space="0"/>
            </w:tcBorders>
            <w:vAlign w:val="center"/>
          </w:tcPr>
          <w:p w14:paraId="4E107BB6">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电梯类型</w:t>
            </w:r>
          </w:p>
        </w:tc>
        <w:tc>
          <w:tcPr>
            <w:tcW w:w="5173" w:type="dxa"/>
            <w:tcBorders>
              <w:top w:val="single" w:color="000000" w:sz="4" w:space="0"/>
              <w:left w:val="single" w:color="000000" w:sz="4" w:space="0"/>
              <w:bottom w:val="single" w:color="000000" w:sz="4" w:space="0"/>
              <w:right w:val="single" w:color="000000" w:sz="4" w:space="0"/>
            </w:tcBorders>
            <w:vAlign w:val="center"/>
          </w:tcPr>
          <w:p w14:paraId="36BAD9B7">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有机房乘客电梯</w:t>
            </w:r>
          </w:p>
        </w:tc>
      </w:tr>
      <w:tr w14:paraId="4377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1E78E854">
            <w:pPr>
              <w:spacing w:line="240" w:lineRule="exact"/>
              <w:jc w:val="center"/>
              <w:rPr>
                <w:rFonts w:ascii="宋体" w:hAnsi="宋体" w:cs="宋体"/>
                <w:sz w:val="21"/>
                <w:szCs w:val="21"/>
              </w:rPr>
            </w:pPr>
            <w:r>
              <w:rPr>
                <w:rFonts w:hint="eastAsia" w:ascii="宋体" w:hAnsi="宋体" w:cs="宋体"/>
                <w:sz w:val="21"/>
                <w:szCs w:val="21"/>
              </w:rPr>
              <w:t>2</w:t>
            </w:r>
          </w:p>
        </w:tc>
        <w:tc>
          <w:tcPr>
            <w:tcW w:w="2977" w:type="dxa"/>
            <w:tcBorders>
              <w:top w:val="single" w:color="000000" w:sz="4" w:space="0"/>
              <w:left w:val="single" w:color="000000" w:sz="4" w:space="0"/>
              <w:bottom w:val="single" w:color="000000" w:sz="4" w:space="0"/>
              <w:right w:val="single" w:color="000000" w:sz="4" w:space="0"/>
            </w:tcBorders>
            <w:vAlign w:val="center"/>
          </w:tcPr>
          <w:p w14:paraId="4E7B16F4">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层/站/门</w:t>
            </w:r>
          </w:p>
        </w:tc>
        <w:tc>
          <w:tcPr>
            <w:tcW w:w="5173" w:type="dxa"/>
            <w:tcBorders>
              <w:top w:val="single" w:color="000000" w:sz="4" w:space="0"/>
              <w:left w:val="single" w:color="000000" w:sz="4" w:space="0"/>
              <w:bottom w:val="single" w:color="000000" w:sz="4" w:space="0"/>
              <w:right w:val="single" w:color="000000" w:sz="4" w:space="0"/>
            </w:tcBorders>
            <w:vAlign w:val="center"/>
          </w:tcPr>
          <w:p w14:paraId="078D49CB">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34/层34站/34门</w:t>
            </w:r>
          </w:p>
        </w:tc>
      </w:tr>
      <w:tr w14:paraId="0E66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7866E817">
            <w:pPr>
              <w:spacing w:line="240" w:lineRule="exact"/>
              <w:jc w:val="center"/>
              <w:rPr>
                <w:rFonts w:ascii="宋体" w:hAnsi="宋体" w:cs="宋体"/>
                <w:sz w:val="21"/>
                <w:szCs w:val="21"/>
              </w:rPr>
            </w:pPr>
            <w:r>
              <w:rPr>
                <w:rFonts w:hint="eastAsia" w:ascii="宋体" w:hAnsi="宋体" w:cs="宋体"/>
                <w:sz w:val="21"/>
                <w:szCs w:val="21"/>
              </w:rPr>
              <w:t>3</w:t>
            </w:r>
          </w:p>
        </w:tc>
        <w:tc>
          <w:tcPr>
            <w:tcW w:w="2977" w:type="dxa"/>
            <w:tcBorders>
              <w:top w:val="single" w:color="000000" w:sz="4" w:space="0"/>
              <w:left w:val="single" w:color="000000" w:sz="4" w:space="0"/>
              <w:bottom w:val="single" w:color="000000" w:sz="4" w:space="0"/>
              <w:right w:val="single" w:color="000000" w:sz="4" w:space="0"/>
            </w:tcBorders>
            <w:vAlign w:val="center"/>
          </w:tcPr>
          <w:p w14:paraId="0CD87E93">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数量（台）</w:t>
            </w:r>
          </w:p>
        </w:tc>
        <w:tc>
          <w:tcPr>
            <w:tcW w:w="5173" w:type="dxa"/>
            <w:tcBorders>
              <w:top w:val="single" w:color="000000" w:sz="4" w:space="0"/>
              <w:left w:val="single" w:color="000000" w:sz="4" w:space="0"/>
              <w:bottom w:val="single" w:color="000000" w:sz="4" w:space="0"/>
              <w:right w:val="single" w:color="000000" w:sz="4" w:space="0"/>
            </w:tcBorders>
            <w:vAlign w:val="center"/>
          </w:tcPr>
          <w:p w14:paraId="3D75B560">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2台（全部更换）</w:t>
            </w:r>
          </w:p>
        </w:tc>
      </w:tr>
      <w:tr w14:paraId="378F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6D752A45">
            <w:pPr>
              <w:spacing w:line="240" w:lineRule="exact"/>
              <w:jc w:val="center"/>
              <w:rPr>
                <w:rFonts w:ascii="宋体" w:hAnsi="宋体" w:cs="宋体"/>
                <w:sz w:val="21"/>
                <w:szCs w:val="21"/>
              </w:rPr>
            </w:pPr>
            <w:r>
              <w:rPr>
                <w:rFonts w:hint="eastAsia" w:ascii="宋体" w:hAnsi="宋体" w:cs="宋体"/>
                <w:sz w:val="21"/>
                <w:szCs w:val="21"/>
              </w:rPr>
              <w:t>4</w:t>
            </w:r>
          </w:p>
        </w:tc>
        <w:tc>
          <w:tcPr>
            <w:tcW w:w="2977" w:type="dxa"/>
            <w:tcBorders>
              <w:top w:val="single" w:color="000000" w:sz="4" w:space="0"/>
              <w:left w:val="single" w:color="000000" w:sz="4" w:space="0"/>
              <w:bottom w:val="single" w:color="000000" w:sz="4" w:space="0"/>
              <w:right w:val="single" w:color="000000" w:sz="4" w:space="0"/>
            </w:tcBorders>
            <w:vAlign w:val="center"/>
          </w:tcPr>
          <w:p w14:paraId="06984D4F">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额定速度（m/s）</w:t>
            </w:r>
          </w:p>
        </w:tc>
        <w:tc>
          <w:tcPr>
            <w:tcW w:w="5173" w:type="dxa"/>
            <w:tcBorders>
              <w:top w:val="single" w:color="000000" w:sz="4" w:space="0"/>
              <w:left w:val="single" w:color="000000" w:sz="4" w:space="0"/>
              <w:bottom w:val="single" w:color="000000" w:sz="4" w:space="0"/>
              <w:right w:val="single" w:color="000000" w:sz="4" w:space="0"/>
            </w:tcBorders>
            <w:vAlign w:val="center"/>
          </w:tcPr>
          <w:p w14:paraId="5879F574">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2.5m/s</w:t>
            </w:r>
          </w:p>
        </w:tc>
      </w:tr>
      <w:tr w14:paraId="3A6C3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2BE511E4">
            <w:pPr>
              <w:spacing w:line="240" w:lineRule="exact"/>
              <w:jc w:val="center"/>
              <w:rPr>
                <w:rFonts w:ascii="宋体" w:hAnsi="宋体" w:cs="宋体"/>
                <w:sz w:val="21"/>
                <w:szCs w:val="21"/>
              </w:rPr>
            </w:pPr>
            <w:r>
              <w:rPr>
                <w:rFonts w:hint="eastAsia" w:ascii="宋体" w:hAnsi="宋体" w:cs="宋体"/>
                <w:sz w:val="21"/>
                <w:szCs w:val="21"/>
              </w:rPr>
              <w:t>5</w:t>
            </w:r>
          </w:p>
        </w:tc>
        <w:tc>
          <w:tcPr>
            <w:tcW w:w="2977" w:type="dxa"/>
            <w:tcBorders>
              <w:top w:val="single" w:color="000000" w:sz="4" w:space="0"/>
              <w:left w:val="single" w:color="000000" w:sz="4" w:space="0"/>
              <w:bottom w:val="single" w:color="000000" w:sz="4" w:space="0"/>
              <w:right w:val="single" w:color="000000" w:sz="4" w:space="0"/>
            </w:tcBorders>
            <w:vAlign w:val="center"/>
          </w:tcPr>
          <w:p w14:paraId="11158C2F">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额定载重（kg）</w:t>
            </w:r>
          </w:p>
        </w:tc>
        <w:tc>
          <w:tcPr>
            <w:tcW w:w="5173" w:type="dxa"/>
            <w:tcBorders>
              <w:top w:val="single" w:color="000000" w:sz="4" w:space="0"/>
              <w:left w:val="single" w:color="000000" w:sz="4" w:space="0"/>
              <w:bottom w:val="single" w:color="000000" w:sz="4" w:space="0"/>
              <w:right w:val="single" w:color="000000" w:sz="4" w:space="0"/>
            </w:tcBorders>
            <w:vAlign w:val="center"/>
          </w:tcPr>
          <w:p w14:paraId="50296050">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≥1000</w:t>
            </w:r>
          </w:p>
        </w:tc>
      </w:tr>
      <w:tr w14:paraId="4404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0F143CAE">
            <w:pPr>
              <w:spacing w:line="240" w:lineRule="exact"/>
              <w:jc w:val="center"/>
              <w:rPr>
                <w:rFonts w:ascii="宋体" w:hAnsi="宋体" w:cs="宋体"/>
                <w:sz w:val="21"/>
                <w:szCs w:val="21"/>
              </w:rPr>
            </w:pPr>
            <w:r>
              <w:rPr>
                <w:rFonts w:hint="eastAsia" w:ascii="宋体" w:hAnsi="宋体" w:cs="宋体"/>
                <w:sz w:val="21"/>
                <w:szCs w:val="21"/>
              </w:rPr>
              <w:t>6</w:t>
            </w:r>
          </w:p>
        </w:tc>
        <w:tc>
          <w:tcPr>
            <w:tcW w:w="2977" w:type="dxa"/>
            <w:tcBorders>
              <w:top w:val="single" w:color="000000" w:sz="4" w:space="0"/>
              <w:left w:val="single" w:color="000000" w:sz="4" w:space="0"/>
              <w:bottom w:val="single" w:color="000000" w:sz="4" w:space="0"/>
              <w:right w:val="single" w:color="000000" w:sz="4" w:space="0"/>
            </w:tcBorders>
            <w:vAlign w:val="center"/>
          </w:tcPr>
          <w:p w14:paraId="5E32C9DA">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顶层高度（mm）</w:t>
            </w:r>
          </w:p>
        </w:tc>
        <w:tc>
          <w:tcPr>
            <w:tcW w:w="5173" w:type="dxa"/>
            <w:tcBorders>
              <w:top w:val="single" w:color="000000" w:sz="4" w:space="0"/>
              <w:left w:val="single" w:color="000000" w:sz="4" w:space="0"/>
              <w:bottom w:val="single" w:color="000000" w:sz="4" w:space="0"/>
              <w:right w:val="single" w:color="000000" w:sz="4" w:space="0"/>
            </w:tcBorders>
            <w:vAlign w:val="bottom"/>
          </w:tcPr>
          <w:p w14:paraId="50B24CD9">
            <w:pPr>
              <w:widowControl/>
              <w:spacing w:line="240" w:lineRule="exact"/>
              <w:jc w:val="center"/>
              <w:textAlignment w:val="bottom"/>
              <w:rPr>
                <w:rFonts w:ascii="宋体" w:hAnsi="宋体" w:cs="宋体"/>
                <w:sz w:val="21"/>
                <w:szCs w:val="21"/>
              </w:rPr>
            </w:pPr>
            <w:r>
              <w:rPr>
                <w:rFonts w:hint="eastAsia" w:ascii="宋体" w:hAnsi="宋体" w:cs="宋体"/>
                <w:kern w:val="0"/>
                <w:sz w:val="21"/>
                <w:szCs w:val="21"/>
                <w:lang w:bidi="ar"/>
              </w:rPr>
              <w:t xml:space="preserve"> (现场自行实际测量为准)</w:t>
            </w:r>
          </w:p>
        </w:tc>
      </w:tr>
      <w:tr w14:paraId="34C4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004DF427">
            <w:pPr>
              <w:spacing w:line="240" w:lineRule="exact"/>
              <w:jc w:val="center"/>
              <w:rPr>
                <w:rFonts w:ascii="宋体" w:hAnsi="宋体" w:cs="宋体"/>
                <w:sz w:val="21"/>
                <w:szCs w:val="21"/>
              </w:rPr>
            </w:pPr>
            <w:r>
              <w:rPr>
                <w:rFonts w:hint="eastAsia" w:ascii="宋体" w:hAnsi="宋体" w:cs="宋体"/>
                <w:sz w:val="21"/>
                <w:szCs w:val="21"/>
              </w:rPr>
              <w:t>7</w:t>
            </w:r>
          </w:p>
        </w:tc>
        <w:tc>
          <w:tcPr>
            <w:tcW w:w="2977" w:type="dxa"/>
            <w:tcBorders>
              <w:top w:val="single" w:color="000000" w:sz="4" w:space="0"/>
              <w:left w:val="single" w:color="000000" w:sz="4" w:space="0"/>
              <w:bottom w:val="single" w:color="000000" w:sz="4" w:space="0"/>
              <w:right w:val="single" w:color="000000" w:sz="4" w:space="0"/>
            </w:tcBorders>
            <w:vAlign w:val="center"/>
          </w:tcPr>
          <w:p w14:paraId="4A5FD07F">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井道尺寸长*宽（mm）</w:t>
            </w:r>
          </w:p>
        </w:tc>
        <w:tc>
          <w:tcPr>
            <w:tcW w:w="5173" w:type="dxa"/>
            <w:tcBorders>
              <w:top w:val="single" w:color="000000" w:sz="4" w:space="0"/>
              <w:left w:val="single" w:color="000000" w:sz="4" w:space="0"/>
              <w:bottom w:val="single" w:color="000000" w:sz="4" w:space="0"/>
              <w:right w:val="single" w:color="000000" w:sz="4" w:space="0"/>
            </w:tcBorders>
            <w:vAlign w:val="center"/>
          </w:tcPr>
          <w:p w14:paraId="26D40582">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现场自行实际测量为准</w:t>
            </w:r>
          </w:p>
        </w:tc>
      </w:tr>
      <w:tr w14:paraId="7646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12AC4FA4">
            <w:pPr>
              <w:spacing w:line="240" w:lineRule="exact"/>
              <w:jc w:val="center"/>
              <w:rPr>
                <w:rFonts w:ascii="宋体" w:hAnsi="宋体" w:cs="宋体"/>
                <w:sz w:val="21"/>
                <w:szCs w:val="21"/>
              </w:rPr>
            </w:pPr>
            <w:r>
              <w:rPr>
                <w:rFonts w:hint="eastAsia" w:ascii="宋体" w:hAnsi="宋体" w:cs="宋体"/>
                <w:sz w:val="21"/>
                <w:szCs w:val="21"/>
              </w:rPr>
              <w:t>8</w:t>
            </w:r>
          </w:p>
        </w:tc>
        <w:tc>
          <w:tcPr>
            <w:tcW w:w="2977" w:type="dxa"/>
            <w:tcBorders>
              <w:top w:val="single" w:color="000000" w:sz="4" w:space="0"/>
              <w:left w:val="single" w:color="000000" w:sz="4" w:space="0"/>
              <w:bottom w:val="single" w:color="000000" w:sz="4" w:space="0"/>
              <w:right w:val="single" w:color="000000" w:sz="4" w:space="0"/>
            </w:tcBorders>
            <w:vAlign w:val="center"/>
          </w:tcPr>
          <w:p w14:paraId="0D07271D">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提升高度(m)</w:t>
            </w:r>
          </w:p>
        </w:tc>
        <w:tc>
          <w:tcPr>
            <w:tcW w:w="5173" w:type="dxa"/>
            <w:tcBorders>
              <w:top w:val="single" w:color="000000" w:sz="4" w:space="0"/>
              <w:left w:val="single" w:color="000000" w:sz="4" w:space="0"/>
              <w:bottom w:val="single" w:color="000000" w:sz="4" w:space="0"/>
              <w:right w:val="single" w:color="000000" w:sz="4" w:space="0"/>
            </w:tcBorders>
            <w:vAlign w:val="center"/>
          </w:tcPr>
          <w:p w14:paraId="6A2D3206">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现场自行实际测量为准</w:t>
            </w:r>
          </w:p>
        </w:tc>
      </w:tr>
      <w:tr w14:paraId="1C8D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254E3510">
            <w:pPr>
              <w:spacing w:line="240" w:lineRule="exact"/>
              <w:jc w:val="center"/>
              <w:rPr>
                <w:rFonts w:ascii="宋体" w:hAnsi="宋体" w:cs="宋体"/>
                <w:sz w:val="21"/>
                <w:szCs w:val="21"/>
              </w:rPr>
            </w:pPr>
            <w:r>
              <w:rPr>
                <w:rFonts w:hint="eastAsia" w:ascii="宋体" w:hAnsi="宋体" w:cs="宋体"/>
                <w:sz w:val="21"/>
                <w:szCs w:val="21"/>
              </w:rPr>
              <w:t>9</w:t>
            </w:r>
          </w:p>
        </w:tc>
        <w:tc>
          <w:tcPr>
            <w:tcW w:w="2977" w:type="dxa"/>
            <w:tcBorders>
              <w:top w:val="single" w:color="000000" w:sz="4" w:space="0"/>
              <w:left w:val="single" w:color="000000" w:sz="4" w:space="0"/>
              <w:bottom w:val="single" w:color="000000" w:sz="4" w:space="0"/>
              <w:right w:val="single" w:color="000000" w:sz="4" w:space="0"/>
            </w:tcBorders>
            <w:vAlign w:val="center"/>
          </w:tcPr>
          <w:p w14:paraId="41DDDBBE">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底坑深度(mm)</w:t>
            </w:r>
          </w:p>
        </w:tc>
        <w:tc>
          <w:tcPr>
            <w:tcW w:w="5173" w:type="dxa"/>
            <w:tcBorders>
              <w:top w:val="single" w:color="000000" w:sz="4" w:space="0"/>
              <w:left w:val="single" w:color="000000" w:sz="4" w:space="0"/>
              <w:bottom w:val="single" w:color="000000" w:sz="4" w:space="0"/>
              <w:right w:val="single" w:color="000000" w:sz="4" w:space="0"/>
            </w:tcBorders>
            <w:vAlign w:val="center"/>
          </w:tcPr>
          <w:p w14:paraId="2DC42CEB">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(现场自行实际测量为准)</w:t>
            </w:r>
          </w:p>
        </w:tc>
      </w:tr>
      <w:tr w14:paraId="47355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062AD75F">
            <w:pPr>
              <w:spacing w:line="240" w:lineRule="exact"/>
              <w:jc w:val="center"/>
              <w:rPr>
                <w:rFonts w:ascii="宋体" w:hAnsi="宋体" w:cs="宋体"/>
                <w:sz w:val="21"/>
                <w:szCs w:val="21"/>
              </w:rPr>
            </w:pPr>
            <w:r>
              <w:rPr>
                <w:rFonts w:hint="eastAsia" w:ascii="宋体" w:hAnsi="宋体" w:cs="宋体"/>
                <w:sz w:val="21"/>
                <w:szCs w:val="21"/>
              </w:rPr>
              <w:t>10</w:t>
            </w:r>
          </w:p>
        </w:tc>
        <w:tc>
          <w:tcPr>
            <w:tcW w:w="2977" w:type="dxa"/>
            <w:tcBorders>
              <w:top w:val="single" w:color="000000" w:sz="4" w:space="0"/>
              <w:left w:val="single" w:color="000000" w:sz="4" w:space="0"/>
              <w:bottom w:val="single" w:color="000000" w:sz="4" w:space="0"/>
              <w:right w:val="single" w:color="000000" w:sz="4" w:space="0"/>
            </w:tcBorders>
            <w:vAlign w:val="center"/>
          </w:tcPr>
          <w:p w14:paraId="1FB15466">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轿厢内净尺寸mm</w:t>
            </w:r>
          </w:p>
        </w:tc>
        <w:tc>
          <w:tcPr>
            <w:tcW w:w="5173" w:type="dxa"/>
            <w:tcBorders>
              <w:top w:val="single" w:color="000000" w:sz="4" w:space="0"/>
              <w:left w:val="single" w:color="000000" w:sz="4" w:space="0"/>
              <w:bottom w:val="single" w:color="000000" w:sz="4" w:space="0"/>
              <w:right w:val="single" w:color="000000" w:sz="4" w:space="0"/>
            </w:tcBorders>
            <w:vAlign w:val="center"/>
          </w:tcPr>
          <w:p w14:paraId="3F9E9C05">
            <w:pPr>
              <w:widowControl/>
              <w:spacing w:line="2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 xml:space="preserve">1600 毫米(宽) X 1500 毫米(深) </w:t>
            </w:r>
          </w:p>
          <w:p w14:paraId="517E326D">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X 2500 毫米(高) (现场自行实际测量为准)</w:t>
            </w:r>
          </w:p>
        </w:tc>
      </w:tr>
      <w:tr w14:paraId="156A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044B92B8">
            <w:pPr>
              <w:spacing w:line="240" w:lineRule="exact"/>
              <w:jc w:val="center"/>
              <w:rPr>
                <w:rFonts w:ascii="宋体" w:hAnsi="宋体" w:cs="宋体"/>
                <w:sz w:val="21"/>
                <w:szCs w:val="21"/>
              </w:rPr>
            </w:pPr>
            <w:r>
              <w:rPr>
                <w:rFonts w:hint="eastAsia" w:ascii="宋体" w:hAnsi="宋体" w:cs="宋体"/>
                <w:sz w:val="21"/>
                <w:szCs w:val="21"/>
              </w:rPr>
              <w:t>11</w:t>
            </w:r>
          </w:p>
        </w:tc>
        <w:tc>
          <w:tcPr>
            <w:tcW w:w="2977" w:type="dxa"/>
            <w:tcBorders>
              <w:top w:val="single" w:color="000000" w:sz="4" w:space="0"/>
              <w:left w:val="single" w:color="000000" w:sz="4" w:space="0"/>
              <w:bottom w:val="single" w:color="000000" w:sz="4" w:space="0"/>
              <w:right w:val="single" w:color="000000" w:sz="4" w:space="0"/>
            </w:tcBorders>
            <w:vAlign w:val="center"/>
          </w:tcPr>
          <w:p w14:paraId="07C8367B">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开门方式</w:t>
            </w:r>
          </w:p>
        </w:tc>
        <w:tc>
          <w:tcPr>
            <w:tcW w:w="5173" w:type="dxa"/>
            <w:tcBorders>
              <w:top w:val="single" w:color="000000" w:sz="4" w:space="0"/>
              <w:left w:val="single" w:color="000000" w:sz="4" w:space="0"/>
              <w:bottom w:val="single" w:color="000000" w:sz="4" w:space="0"/>
              <w:right w:val="single" w:color="000000" w:sz="4" w:space="0"/>
            </w:tcBorders>
            <w:vAlign w:val="center"/>
          </w:tcPr>
          <w:p w14:paraId="3773D19B">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中分</w:t>
            </w:r>
          </w:p>
        </w:tc>
      </w:tr>
      <w:tr w14:paraId="313D0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364A7B64">
            <w:pPr>
              <w:spacing w:line="240" w:lineRule="exact"/>
              <w:jc w:val="center"/>
              <w:rPr>
                <w:rFonts w:ascii="宋体" w:hAnsi="宋体" w:cs="宋体"/>
                <w:sz w:val="21"/>
                <w:szCs w:val="21"/>
              </w:rPr>
            </w:pPr>
            <w:r>
              <w:rPr>
                <w:rFonts w:hint="eastAsia" w:ascii="宋体" w:hAnsi="宋体" w:cs="宋体"/>
                <w:sz w:val="21"/>
                <w:szCs w:val="21"/>
              </w:rPr>
              <w:t>12</w:t>
            </w:r>
          </w:p>
        </w:tc>
        <w:tc>
          <w:tcPr>
            <w:tcW w:w="2977" w:type="dxa"/>
            <w:tcBorders>
              <w:top w:val="single" w:color="000000" w:sz="4" w:space="0"/>
              <w:left w:val="single" w:color="000000" w:sz="4" w:space="0"/>
              <w:bottom w:val="single" w:color="000000" w:sz="4" w:space="0"/>
              <w:right w:val="single" w:color="000000" w:sz="4" w:space="0"/>
            </w:tcBorders>
            <w:vAlign w:val="bottom"/>
          </w:tcPr>
          <w:p w14:paraId="3850EEE9">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控制方式</w:t>
            </w:r>
          </w:p>
        </w:tc>
        <w:tc>
          <w:tcPr>
            <w:tcW w:w="5173" w:type="dxa"/>
            <w:tcBorders>
              <w:top w:val="single" w:color="000000" w:sz="4" w:space="0"/>
              <w:left w:val="single" w:color="000000" w:sz="4" w:space="0"/>
              <w:bottom w:val="single" w:color="000000" w:sz="4" w:space="0"/>
              <w:right w:val="single" w:color="000000" w:sz="4" w:space="0"/>
            </w:tcBorders>
            <w:vAlign w:val="bottom"/>
          </w:tcPr>
          <w:p w14:paraId="5F6687AF">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2台并联，可单独控制。</w:t>
            </w:r>
          </w:p>
        </w:tc>
      </w:tr>
      <w:tr w14:paraId="37307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1FB5A9B7">
            <w:pPr>
              <w:spacing w:line="240" w:lineRule="exact"/>
              <w:jc w:val="center"/>
              <w:rPr>
                <w:rFonts w:ascii="宋体" w:hAnsi="宋体" w:cs="宋体"/>
                <w:sz w:val="21"/>
                <w:szCs w:val="21"/>
              </w:rPr>
            </w:pPr>
            <w:r>
              <w:rPr>
                <w:rFonts w:hint="eastAsia" w:ascii="宋体" w:hAnsi="宋体" w:cs="宋体"/>
                <w:sz w:val="21"/>
                <w:szCs w:val="21"/>
              </w:rPr>
              <w:t>13</w:t>
            </w:r>
          </w:p>
        </w:tc>
        <w:tc>
          <w:tcPr>
            <w:tcW w:w="2977" w:type="dxa"/>
            <w:tcBorders>
              <w:top w:val="single" w:color="000000" w:sz="4" w:space="0"/>
              <w:left w:val="single" w:color="000000" w:sz="4" w:space="0"/>
              <w:bottom w:val="single" w:color="000000" w:sz="4" w:space="0"/>
              <w:right w:val="single" w:color="000000" w:sz="4" w:space="0"/>
            </w:tcBorders>
            <w:vAlign w:val="bottom"/>
          </w:tcPr>
          <w:p w14:paraId="72D2970A">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入口尺寸</w:t>
            </w:r>
          </w:p>
        </w:tc>
        <w:tc>
          <w:tcPr>
            <w:tcW w:w="5173" w:type="dxa"/>
            <w:tcBorders>
              <w:top w:val="single" w:color="000000" w:sz="4" w:space="0"/>
              <w:left w:val="single" w:color="000000" w:sz="4" w:space="0"/>
              <w:bottom w:val="single" w:color="000000" w:sz="4" w:space="0"/>
              <w:right w:val="single" w:color="000000" w:sz="4" w:space="0"/>
            </w:tcBorders>
            <w:vAlign w:val="bottom"/>
          </w:tcPr>
          <w:p w14:paraId="237A9B18">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900 毫米(宽) X 2100 毫米(高) (现场自行实际测量为准)</w:t>
            </w:r>
          </w:p>
        </w:tc>
      </w:tr>
      <w:tr w14:paraId="024D2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3BF73A72">
            <w:pPr>
              <w:spacing w:line="240" w:lineRule="exact"/>
              <w:jc w:val="center"/>
              <w:rPr>
                <w:rFonts w:ascii="宋体" w:hAnsi="宋体" w:cs="宋体"/>
                <w:sz w:val="21"/>
                <w:szCs w:val="21"/>
              </w:rPr>
            </w:pPr>
            <w:r>
              <w:rPr>
                <w:rFonts w:hint="eastAsia" w:ascii="宋体" w:hAnsi="宋体" w:cs="宋体"/>
                <w:sz w:val="21"/>
                <w:szCs w:val="21"/>
              </w:rPr>
              <w:t>14</w:t>
            </w:r>
          </w:p>
        </w:tc>
        <w:tc>
          <w:tcPr>
            <w:tcW w:w="2977" w:type="dxa"/>
            <w:tcBorders>
              <w:top w:val="single" w:color="000000" w:sz="4" w:space="0"/>
              <w:left w:val="single" w:color="000000" w:sz="4" w:space="0"/>
              <w:bottom w:val="single" w:color="000000" w:sz="4" w:space="0"/>
              <w:right w:val="single" w:color="000000" w:sz="4" w:space="0"/>
            </w:tcBorders>
            <w:vAlign w:val="bottom"/>
          </w:tcPr>
          <w:p w14:paraId="24C360C8">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入口类型</w:t>
            </w:r>
          </w:p>
        </w:tc>
        <w:tc>
          <w:tcPr>
            <w:tcW w:w="5173" w:type="dxa"/>
            <w:tcBorders>
              <w:top w:val="single" w:color="000000" w:sz="4" w:space="0"/>
              <w:left w:val="single" w:color="000000" w:sz="4" w:space="0"/>
              <w:bottom w:val="single" w:color="000000" w:sz="4" w:space="0"/>
              <w:right w:val="single" w:color="000000" w:sz="4" w:space="0"/>
            </w:tcBorders>
            <w:vAlign w:val="bottom"/>
          </w:tcPr>
          <w:p w14:paraId="702DA853">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2 扇中分自动门</w:t>
            </w:r>
          </w:p>
        </w:tc>
      </w:tr>
      <w:tr w14:paraId="736A8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7FE3FED4">
            <w:pPr>
              <w:spacing w:line="240" w:lineRule="exact"/>
              <w:jc w:val="center"/>
              <w:rPr>
                <w:rFonts w:ascii="宋体" w:hAnsi="宋体" w:cs="宋体"/>
                <w:sz w:val="21"/>
                <w:szCs w:val="21"/>
              </w:rPr>
            </w:pPr>
            <w:r>
              <w:rPr>
                <w:rFonts w:hint="eastAsia" w:ascii="宋体" w:hAnsi="宋体" w:cs="宋体"/>
                <w:sz w:val="21"/>
                <w:szCs w:val="21"/>
              </w:rPr>
              <w:t>15</w:t>
            </w:r>
          </w:p>
        </w:tc>
        <w:tc>
          <w:tcPr>
            <w:tcW w:w="2977" w:type="dxa"/>
            <w:tcBorders>
              <w:top w:val="single" w:color="000000" w:sz="4" w:space="0"/>
              <w:left w:val="single" w:color="000000" w:sz="4" w:space="0"/>
              <w:bottom w:val="single" w:color="000000" w:sz="4" w:space="0"/>
              <w:right w:val="single" w:color="000000" w:sz="4" w:space="0"/>
            </w:tcBorders>
            <w:vAlign w:val="bottom"/>
          </w:tcPr>
          <w:p w14:paraId="51FC269D">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平层准确度</w:t>
            </w:r>
          </w:p>
        </w:tc>
        <w:tc>
          <w:tcPr>
            <w:tcW w:w="5173" w:type="dxa"/>
            <w:tcBorders>
              <w:top w:val="single" w:color="000000" w:sz="4" w:space="0"/>
              <w:left w:val="single" w:color="000000" w:sz="4" w:space="0"/>
              <w:bottom w:val="single" w:color="000000" w:sz="4" w:space="0"/>
              <w:right w:val="single" w:color="000000" w:sz="4" w:space="0"/>
            </w:tcBorders>
            <w:vAlign w:val="bottom"/>
          </w:tcPr>
          <w:p w14:paraId="5252176B">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≤±5（mm）</w:t>
            </w:r>
          </w:p>
        </w:tc>
      </w:tr>
      <w:tr w14:paraId="77807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38" w:type="dxa"/>
            <w:tcBorders>
              <w:top w:val="single" w:color="000000" w:sz="4" w:space="0"/>
              <w:left w:val="single" w:color="000000" w:sz="4" w:space="0"/>
              <w:bottom w:val="single" w:color="000000" w:sz="4" w:space="0"/>
              <w:right w:val="single" w:color="000000" w:sz="4" w:space="0"/>
            </w:tcBorders>
            <w:vAlign w:val="center"/>
          </w:tcPr>
          <w:p w14:paraId="66531683">
            <w:pPr>
              <w:spacing w:line="240" w:lineRule="exact"/>
              <w:jc w:val="center"/>
              <w:rPr>
                <w:rFonts w:ascii="宋体" w:hAnsi="宋体" w:cs="宋体"/>
                <w:sz w:val="21"/>
                <w:szCs w:val="21"/>
              </w:rPr>
            </w:pPr>
            <w:r>
              <w:rPr>
                <w:rFonts w:hint="eastAsia" w:ascii="宋体" w:hAnsi="宋体" w:cs="宋体"/>
                <w:sz w:val="21"/>
                <w:szCs w:val="21"/>
              </w:rPr>
              <w:t>16</w:t>
            </w:r>
          </w:p>
        </w:tc>
        <w:tc>
          <w:tcPr>
            <w:tcW w:w="2977" w:type="dxa"/>
            <w:tcBorders>
              <w:top w:val="single" w:color="000000" w:sz="4" w:space="0"/>
              <w:left w:val="single" w:color="000000" w:sz="4" w:space="0"/>
              <w:bottom w:val="single" w:color="000000" w:sz="4" w:space="0"/>
              <w:right w:val="single" w:color="000000" w:sz="4" w:space="0"/>
            </w:tcBorders>
            <w:vAlign w:val="center"/>
          </w:tcPr>
          <w:p w14:paraId="3FF20A89">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电源电压</w:t>
            </w:r>
          </w:p>
        </w:tc>
        <w:tc>
          <w:tcPr>
            <w:tcW w:w="5173" w:type="dxa"/>
            <w:tcBorders>
              <w:top w:val="single" w:color="000000" w:sz="4" w:space="0"/>
              <w:left w:val="single" w:color="000000" w:sz="4" w:space="0"/>
              <w:bottom w:val="single" w:color="000000" w:sz="4" w:space="0"/>
              <w:right w:val="single" w:color="000000" w:sz="4" w:space="0"/>
            </w:tcBorders>
            <w:vAlign w:val="bottom"/>
          </w:tcPr>
          <w:p w14:paraId="5D8FF740">
            <w:pPr>
              <w:widowControl/>
              <w:spacing w:line="2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三相五线制动力电源380V</w:t>
            </w:r>
          </w:p>
          <w:p w14:paraId="4DDD1267">
            <w:pPr>
              <w:widowControl/>
              <w:spacing w:line="240" w:lineRule="exact"/>
              <w:jc w:val="center"/>
              <w:textAlignment w:val="center"/>
              <w:rPr>
                <w:rFonts w:ascii="宋体" w:hAnsi="宋体" w:cs="宋体"/>
                <w:sz w:val="21"/>
                <w:szCs w:val="21"/>
              </w:rPr>
            </w:pPr>
            <w:r>
              <w:rPr>
                <w:rFonts w:hint="eastAsia" w:ascii="宋体" w:hAnsi="宋体" w:cs="宋体"/>
                <w:kern w:val="0"/>
                <w:sz w:val="21"/>
                <w:szCs w:val="21"/>
                <w:lang w:bidi="ar"/>
              </w:rPr>
              <w:t>/照明电源220V50Hz</w:t>
            </w:r>
          </w:p>
        </w:tc>
      </w:tr>
    </w:tbl>
    <w:p w14:paraId="1933F4E1">
      <w:pPr>
        <w:snapToGrid w:val="0"/>
        <w:spacing w:line="320" w:lineRule="exact"/>
        <w:ind w:firstLine="315" w:firstLineChars="150"/>
        <w:rPr>
          <w:rFonts w:ascii="宋体" w:hAnsi="宋体" w:cs="宋体"/>
          <w:sz w:val="21"/>
          <w:szCs w:val="21"/>
        </w:rPr>
      </w:pPr>
      <w:r>
        <w:rPr>
          <w:rFonts w:hint="eastAsia" w:ascii="宋体" w:hAnsi="宋体" w:cs="宋体"/>
          <w:sz w:val="21"/>
          <w:szCs w:val="21"/>
        </w:rPr>
        <w:t>注：本表中的部分长宽高以现场实际数据为准。</w:t>
      </w:r>
    </w:p>
    <w:p w14:paraId="64E6FA86">
      <w:pPr>
        <w:snapToGrid w:val="0"/>
        <w:spacing w:line="320" w:lineRule="exact"/>
        <w:ind w:firstLine="315" w:firstLineChars="150"/>
        <w:rPr>
          <w:rFonts w:ascii="宋体" w:hAnsi="宋体" w:cs="宋体"/>
          <w:sz w:val="21"/>
          <w:szCs w:val="21"/>
        </w:rPr>
      </w:pPr>
    </w:p>
    <w:p w14:paraId="5FB9E9E4">
      <w:pPr>
        <w:snapToGrid w:val="0"/>
        <w:spacing w:line="320" w:lineRule="exact"/>
        <w:ind w:firstLine="315" w:firstLineChars="150"/>
        <w:rPr>
          <w:rFonts w:ascii="宋体" w:hAnsi="宋体" w:cs="宋体"/>
          <w:sz w:val="21"/>
          <w:szCs w:val="21"/>
        </w:rPr>
      </w:pPr>
    </w:p>
    <w:p w14:paraId="7CC315C5">
      <w:pPr>
        <w:snapToGrid w:val="0"/>
        <w:spacing w:line="320" w:lineRule="exact"/>
        <w:ind w:firstLine="315" w:firstLineChars="150"/>
        <w:rPr>
          <w:rFonts w:ascii="宋体" w:hAnsi="宋体" w:cs="宋体"/>
          <w:sz w:val="21"/>
          <w:szCs w:val="21"/>
        </w:rPr>
      </w:pPr>
    </w:p>
    <w:p w14:paraId="0BC7F892">
      <w:pPr>
        <w:numPr>
          <w:ilvl w:val="0"/>
          <w:numId w:val="14"/>
        </w:numPr>
        <w:snapToGrid w:val="0"/>
        <w:spacing w:line="320" w:lineRule="exact"/>
        <w:ind w:left="420" w:leftChars="150"/>
        <w:jc w:val="left"/>
        <w:rPr>
          <w:rFonts w:ascii="宋体" w:hAnsi="宋体" w:cs="宋体"/>
          <w:b/>
          <w:bCs/>
          <w:sz w:val="24"/>
          <w:szCs w:val="24"/>
        </w:rPr>
      </w:pPr>
      <w:bookmarkStart w:id="88" w:name="_Toc13356"/>
      <w:bookmarkStart w:id="89" w:name="_Toc523"/>
      <w:bookmarkStart w:id="90" w:name="_Toc65660341"/>
      <w:bookmarkStart w:id="91" w:name="_Toc29745"/>
      <w:bookmarkStart w:id="92" w:name="_Toc15492"/>
      <w:r>
        <w:rPr>
          <w:rFonts w:hint="eastAsia" w:ascii="宋体" w:hAnsi="宋体" w:cs="宋体"/>
          <w:b/>
          <w:bCs/>
          <w:sz w:val="24"/>
          <w:szCs w:val="24"/>
        </w:rPr>
        <w:t>电梯功能配置要求表</w:t>
      </w:r>
    </w:p>
    <w:tbl>
      <w:tblPr>
        <w:tblStyle w:val="59"/>
        <w:tblpPr w:leftFromText="180" w:rightFromText="180" w:vertAnchor="text" w:horzAnchor="page" w:tblpX="1261" w:tblpY="654"/>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923"/>
        <w:gridCol w:w="6400"/>
      </w:tblGrid>
      <w:tr w14:paraId="08E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1772744">
            <w:pPr>
              <w:snapToGrid w:val="0"/>
              <w:spacing w:line="320" w:lineRule="exact"/>
              <w:jc w:val="center"/>
              <w:rPr>
                <w:rFonts w:hAnsi="宋体" w:cs="宋体"/>
                <w:b/>
                <w:sz w:val="21"/>
                <w:szCs w:val="21"/>
              </w:rPr>
            </w:pPr>
            <w:r>
              <w:rPr>
                <w:rFonts w:hAnsi="宋体" w:cs="宋体"/>
                <w:b/>
                <w:sz w:val="21"/>
                <w:szCs w:val="21"/>
              </w:rPr>
              <w:t>序号</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C74F8C5">
            <w:pPr>
              <w:snapToGrid w:val="0"/>
              <w:spacing w:line="320" w:lineRule="exact"/>
              <w:jc w:val="center"/>
              <w:rPr>
                <w:rFonts w:hAnsi="宋体" w:cs="宋体"/>
                <w:b/>
                <w:sz w:val="21"/>
                <w:szCs w:val="21"/>
              </w:rPr>
            </w:pPr>
            <w:r>
              <w:rPr>
                <w:rFonts w:hAnsi="宋体" w:cs="宋体"/>
                <w:b/>
                <w:sz w:val="21"/>
                <w:szCs w:val="21"/>
              </w:rPr>
              <w:t>项目</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72B9E4B">
            <w:pPr>
              <w:snapToGrid w:val="0"/>
              <w:spacing w:line="320" w:lineRule="exact"/>
              <w:jc w:val="center"/>
              <w:rPr>
                <w:rFonts w:hAnsi="宋体" w:cs="宋体"/>
                <w:b/>
                <w:sz w:val="21"/>
                <w:szCs w:val="21"/>
              </w:rPr>
            </w:pPr>
            <w:r>
              <w:rPr>
                <w:rFonts w:hAnsi="宋体" w:cs="宋体"/>
                <w:b/>
                <w:sz w:val="21"/>
                <w:szCs w:val="21"/>
              </w:rPr>
              <w:t>详细描述</w:t>
            </w:r>
          </w:p>
        </w:tc>
      </w:tr>
      <w:tr w14:paraId="0EF1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616DA79">
            <w:pPr>
              <w:snapToGrid w:val="0"/>
              <w:spacing w:line="320" w:lineRule="exact"/>
              <w:ind w:firstLine="315" w:firstLineChars="150"/>
              <w:rPr>
                <w:rFonts w:hAnsi="宋体" w:cs="宋体"/>
                <w:sz w:val="21"/>
                <w:szCs w:val="21"/>
              </w:rPr>
            </w:pPr>
            <w:r>
              <w:rPr>
                <w:rFonts w:hAnsi="宋体" w:cs="宋体"/>
                <w:sz w:val="21"/>
                <w:szCs w:val="21"/>
              </w:rPr>
              <w:t>系统可靠类功能</w:t>
            </w:r>
          </w:p>
        </w:tc>
      </w:tr>
      <w:tr w14:paraId="4BB6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C187EA8">
            <w:pPr>
              <w:snapToGrid w:val="0"/>
              <w:spacing w:line="320" w:lineRule="exact"/>
              <w:jc w:val="center"/>
              <w:rPr>
                <w:rFonts w:hAnsi="宋体" w:cs="宋体"/>
                <w:sz w:val="21"/>
                <w:szCs w:val="21"/>
              </w:rPr>
            </w:pPr>
            <w:r>
              <w:rPr>
                <w:rFonts w:hAnsi="宋体" w:cs="宋体"/>
                <w:sz w:val="21"/>
                <w:szCs w:val="21"/>
              </w:rPr>
              <w:t>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220B61F">
            <w:pPr>
              <w:snapToGrid w:val="0"/>
              <w:spacing w:line="320" w:lineRule="exact"/>
              <w:jc w:val="center"/>
              <w:rPr>
                <w:rFonts w:hAnsi="宋体" w:cs="宋体"/>
                <w:sz w:val="21"/>
                <w:szCs w:val="21"/>
              </w:rPr>
            </w:pPr>
            <w:r>
              <w:rPr>
                <w:rFonts w:hAnsi="宋体" w:cs="宋体"/>
                <w:sz w:val="21"/>
                <w:szCs w:val="21"/>
              </w:rPr>
              <w:t>电机过热保护</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2604C61">
            <w:pPr>
              <w:snapToGrid w:val="0"/>
              <w:spacing w:line="320" w:lineRule="exact"/>
              <w:ind w:firstLine="315" w:firstLineChars="150"/>
              <w:rPr>
                <w:rFonts w:hAnsi="宋体" w:cs="宋体"/>
                <w:sz w:val="21"/>
                <w:szCs w:val="21"/>
              </w:rPr>
            </w:pPr>
            <w:r>
              <w:rPr>
                <w:rFonts w:hAnsi="宋体" w:cs="宋体"/>
                <w:sz w:val="21"/>
                <w:szCs w:val="21"/>
              </w:rPr>
              <w:t>当电机过热时暂停运转以保护电机，延长使用寿命。</w:t>
            </w:r>
          </w:p>
        </w:tc>
      </w:tr>
      <w:tr w14:paraId="746A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013DC41">
            <w:pPr>
              <w:snapToGrid w:val="0"/>
              <w:spacing w:line="320" w:lineRule="exact"/>
              <w:jc w:val="center"/>
              <w:rPr>
                <w:rFonts w:hAnsi="宋体" w:cs="宋体"/>
                <w:sz w:val="21"/>
                <w:szCs w:val="21"/>
              </w:rPr>
            </w:pPr>
            <w:r>
              <w:rPr>
                <w:rFonts w:hAnsi="宋体" w:cs="宋体"/>
                <w:sz w:val="21"/>
                <w:szCs w:val="21"/>
              </w:rPr>
              <w:t>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187212F">
            <w:pPr>
              <w:snapToGrid w:val="0"/>
              <w:spacing w:line="320" w:lineRule="exact"/>
              <w:jc w:val="center"/>
              <w:rPr>
                <w:rFonts w:hAnsi="宋体" w:cs="宋体"/>
                <w:sz w:val="21"/>
                <w:szCs w:val="21"/>
              </w:rPr>
            </w:pPr>
            <w:r>
              <w:rPr>
                <w:rFonts w:hAnsi="宋体" w:cs="宋体"/>
                <w:sz w:val="21"/>
                <w:szCs w:val="21"/>
              </w:rPr>
              <w:t>电源缺相检修</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65D934B">
            <w:pPr>
              <w:snapToGrid w:val="0"/>
              <w:spacing w:line="320" w:lineRule="exact"/>
              <w:ind w:firstLine="315" w:firstLineChars="150"/>
              <w:rPr>
                <w:rFonts w:hAnsi="宋体" w:cs="宋体"/>
                <w:sz w:val="21"/>
                <w:szCs w:val="21"/>
              </w:rPr>
            </w:pPr>
            <w:r>
              <w:rPr>
                <w:rFonts w:hAnsi="宋体" w:cs="宋体"/>
                <w:sz w:val="21"/>
                <w:szCs w:val="21"/>
              </w:rPr>
              <w:t>电梯自动检测电源状况，当电动状态出现缺相时，主机停止运动以保护主机。</w:t>
            </w:r>
          </w:p>
        </w:tc>
      </w:tr>
      <w:tr w14:paraId="33E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36F91A7">
            <w:pPr>
              <w:snapToGrid w:val="0"/>
              <w:spacing w:line="320" w:lineRule="exact"/>
              <w:jc w:val="center"/>
              <w:rPr>
                <w:rFonts w:hAnsi="宋体" w:cs="宋体"/>
                <w:sz w:val="21"/>
                <w:szCs w:val="21"/>
              </w:rPr>
            </w:pPr>
            <w:r>
              <w:rPr>
                <w:rFonts w:hAnsi="宋体" w:cs="宋体"/>
                <w:sz w:val="21"/>
                <w:szCs w:val="21"/>
              </w:rPr>
              <w:t>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307A937">
            <w:pPr>
              <w:snapToGrid w:val="0"/>
              <w:spacing w:line="320" w:lineRule="exact"/>
              <w:jc w:val="center"/>
              <w:rPr>
                <w:rFonts w:hAnsi="宋体" w:cs="宋体"/>
                <w:sz w:val="21"/>
                <w:szCs w:val="21"/>
              </w:rPr>
            </w:pPr>
            <w:r>
              <w:rPr>
                <w:rFonts w:hAnsi="宋体" w:cs="宋体"/>
                <w:sz w:val="21"/>
                <w:szCs w:val="21"/>
              </w:rPr>
              <w:t>电磁干扰滤波</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53CEB37">
            <w:pPr>
              <w:snapToGrid w:val="0"/>
              <w:spacing w:line="320" w:lineRule="exact"/>
              <w:ind w:firstLine="315" w:firstLineChars="150"/>
              <w:rPr>
                <w:rFonts w:hAnsi="宋体" w:cs="宋体"/>
                <w:sz w:val="21"/>
                <w:szCs w:val="21"/>
              </w:rPr>
            </w:pPr>
            <w:r>
              <w:rPr>
                <w:rFonts w:hAnsi="宋体" w:cs="宋体"/>
                <w:sz w:val="21"/>
                <w:szCs w:val="21"/>
              </w:rPr>
              <w:t>此功能用以防止由于电梯运行产生对建筑物内其它的电子设备的干扰。</w:t>
            </w:r>
          </w:p>
        </w:tc>
      </w:tr>
      <w:tr w14:paraId="4FFF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57ED540">
            <w:pPr>
              <w:snapToGrid w:val="0"/>
              <w:spacing w:line="320" w:lineRule="exact"/>
              <w:jc w:val="center"/>
              <w:rPr>
                <w:rFonts w:hAnsi="宋体" w:cs="宋体"/>
                <w:sz w:val="21"/>
                <w:szCs w:val="21"/>
              </w:rPr>
            </w:pPr>
            <w:r>
              <w:rPr>
                <w:rFonts w:hAnsi="宋体" w:cs="宋体"/>
                <w:sz w:val="21"/>
                <w:szCs w:val="21"/>
              </w:rPr>
              <w:t>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4E74461">
            <w:pPr>
              <w:snapToGrid w:val="0"/>
              <w:spacing w:line="320" w:lineRule="exact"/>
              <w:jc w:val="center"/>
              <w:rPr>
                <w:rFonts w:hAnsi="宋体" w:cs="宋体"/>
                <w:sz w:val="21"/>
                <w:szCs w:val="21"/>
              </w:rPr>
            </w:pPr>
            <w:r>
              <w:rPr>
                <w:rFonts w:hAnsi="宋体" w:cs="宋体"/>
                <w:sz w:val="21"/>
                <w:szCs w:val="21"/>
              </w:rPr>
              <w:t>限速器涨紧开关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60096C3">
            <w:pPr>
              <w:snapToGrid w:val="0"/>
              <w:spacing w:line="320" w:lineRule="exact"/>
              <w:ind w:firstLine="315" w:firstLineChars="150"/>
              <w:rPr>
                <w:rFonts w:hAnsi="宋体" w:cs="宋体"/>
                <w:sz w:val="21"/>
                <w:szCs w:val="21"/>
              </w:rPr>
            </w:pPr>
            <w:r>
              <w:rPr>
                <w:rFonts w:hAnsi="宋体" w:cs="宋体"/>
                <w:sz w:val="21"/>
                <w:szCs w:val="21"/>
              </w:rPr>
              <w:t>设置在涨紧轮上的一个电气开关，在限速器动作后，此开关也会动作并切换电梯的安全回路以通过抱闸制停电梯。</w:t>
            </w:r>
          </w:p>
        </w:tc>
      </w:tr>
      <w:tr w14:paraId="4E0E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63CA1C1">
            <w:pPr>
              <w:snapToGrid w:val="0"/>
              <w:spacing w:line="320" w:lineRule="exact"/>
              <w:ind w:firstLine="315" w:firstLineChars="150"/>
              <w:rPr>
                <w:rFonts w:hAnsi="宋体" w:cs="宋体"/>
                <w:sz w:val="21"/>
                <w:szCs w:val="21"/>
              </w:rPr>
            </w:pPr>
            <w:r>
              <w:rPr>
                <w:rFonts w:hAnsi="宋体" w:cs="宋体"/>
                <w:sz w:val="21"/>
                <w:szCs w:val="21"/>
              </w:rPr>
              <w:t>电梯运行功能</w:t>
            </w:r>
          </w:p>
        </w:tc>
      </w:tr>
      <w:tr w14:paraId="5612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B3324EE">
            <w:pPr>
              <w:snapToGrid w:val="0"/>
              <w:spacing w:line="320" w:lineRule="exact"/>
              <w:jc w:val="center"/>
              <w:rPr>
                <w:rFonts w:hAnsi="宋体" w:cs="宋体"/>
                <w:sz w:val="21"/>
                <w:szCs w:val="21"/>
              </w:rPr>
            </w:pPr>
            <w:r>
              <w:rPr>
                <w:rFonts w:hAnsi="宋体" w:cs="宋体"/>
                <w:sz w:val="21"/>
                <w:szCs w:val="21"/>
              </w:rPr>
              <w:t>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BEA1C7F">
            <w:pPr>
              <w:snapToGrid w:val="0"/>
              <w:spacing w:line="320" w:lineRule="exact"/>
              <w:jc w:val="center"/>
              <w:rPr>
                <w:rFonts w:hAnsi="宋体" w:cs="宋体"/>
                <w:sz w:val="21"/>
                <w:szCs w:val="21"/>
              </w:rPr>
            </w:pPr>
            <w:r>
              <w:rPr>
                <w:rFonts w:hAnsi="宋体" w:cs="宋体"/>
                <w:sz w:val="21"/>
                <w:szCs w:val="21"/>
              </w:rPr>
              <w:t xml:space="preserve">电梯变频驱动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CBA6E8D">
            <w:pPr>
              <w:snapToGrid w:val="0"/>
              <w:spacing w:line="320" w:lineRule="exact"/>
              <w:ind w:firstLine="315" w:firstLineChars="150"/>
              <w:rPr>
                <w:rFonts w:hAnsi="宋体" w:cs="宋体"/>
                <w:sz w:val="21"/>
                <w:szCs w:val="21"/>
              </w:rPr>
            </w:pPr>
            <w:r>
              <w:rPr>
                <w:rFonts w:hAnsi="宋体" w:cs="宋体"/>
                <w:sz w:val="21"/>
                <w:szCs w:val="21"/>
              </w:rPr>
              <w:t xml:space="preserve">精确调整电动机转速，令电梯启动、运行、停止时的速度曲线平稳，圆滑，获得良好的舒适感。 </w:t>
            </w:r>
          </w:p>
        </w:tc>
      </w:tr>
      <w:tr w14:paraId="095A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E41B0C1">
            <w:pPr>
              <w:snapToGrid w:val="0"/>
              <w:spacing w:line="320" w:lineRule="exact"/>
              <w:jc w:val="center"/>
              <w:rPr>
                <w:rFonts w:hAnsi="宋体" w:cs="宋体"/>
                <w:sz w:val="21"/>
                <w:szCs w:val="21"/>
              </w:rPr>
            </w:pPr>
            <w:r>
              <w:rPr>
                <w:rFonts w:hAnsi="宋体" w:cs="宋体"/>
                <w:sz w:val="21"/>
                <w:szCs w:val="21"/>
              </w:rPr>
              <w:t>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03E3D0A">
            <w:pPr>
              <w:snapToGrid w:val="0"/>
              <w:spacing w:line="320" w:lineRule="exact"/>
              <w:jc w:val="center"/>
              <w:rPr>
                <w:rFonts w:hAnsi="宋体" w:cs="宋体"/>
                <w:sz w:val="21"/>
                <w:szCs w:val="21"/>
              </w:rPr>
            </w:pPr>
            <w:r>
              <w:rPr>
                <w:rFonts w:hAnsi="宋体" w:cs="宋体"/>
                <w:sz w:val="21"/>
                <w:szCs w:val="21"/>
              </w:rPr>
              <w:t>强迫开关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86AA0FD">
            <w:pPr>
              <w:snapToGrid w:val="0"/>
              <w:spacing w:line="320" w:lineRule="exact"/>
              <w:ind w:firstLine="315" w:firstLineChars="150"/>
              <w:rPr>
                <w:rFonts w:hAnsi="宋体" w:cs="宋体"/>
                <w:sz w:val="21"/>
                <w:szCs w:val="21"/>
              </w:rPr>
            </w:pPr>
            <w:r>
              <w:rPr>
                <w:rFonts w:hAnsi="宋体" w:cs="宋体"/>
                <w:sz w:val="21"/>
                <w:szCs w:val="21"/>
              </w:rPr>
              <w:t>如果电梯门保持开门的时间超过预定时间，强制功能工作，蜂鸣器发声，门开始以缓慢的速度关闭。</w:t>
            </w:r>
          </w:p>
        </w:tc>
      </w:tr>
      <w:tr w14:paraId="3F54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F772B60">
            <w:pPr>
              <w:snapToGrid w:val="0"/>
              <w:spacing w:line="320" w:lineRule="exact"/>
              <w:jc w:val="center"/>
              <w:rPr>
                <w:rFonts w:hAnsi="宋体" w:cs="宋体"/>
                <w:sz w:val="21"/>
                <w:szCs w:val="21"/>
              </w:rPr>
            </w:pPr>
            <w:r>
              <w:rPr>
                <w:rFonts w:hAnsi="宋体" w:cs="宋体"/>
                <w:sz w:val="21"/>
                <w:szCs w:val="21"/>
              </w:rPr>
              <w:t>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80C2A6E">
            <w:pPr>
              <w:snapToGrid w:val="0"/>
              <w:spacing w:line="320" w:lineRule="exact"/>
              <w:jc w:val="center"/>
              <w:rPr>
                <w:rFonts w:hAnsi="宋体" w:cs="宋体"/>
                <w:sz w:val="21"/>
                <w:szCs w:val="21"/>
              </w:rPr>
            </w:pPr>
            <w:r>
              <w:rPr>
                <w:rFonts w:hAnsi="宋体" w:cs="宋体"/>
                <w:sz w:val="21"/>
                <w:szCs w:val="21"/>
              </w:rPr>
              <w:t xml:space="preserve">控制模式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8302488">
            <w:pPr>
              <w:snapToGrid w:val="0"/>
              <w:spacing w:line="320" w:lineRule="exact"/>
              <w:ind w:firstLine="315" w:firstLineChars="150"/>
              <w:rPr>
                <w:rFonts w:hAnsi="宋体" w:cs="宋体"/>
                <w:sz w:val="21"/>
                <w:szCs w:val="21"/>
              </w:rPr>
            </w:pPr>
            <w:r>
              <w:rPr>
                <w:rFonts w:hAnsi="宋体" w:cs="宋体"/>
                <w:sz w:val="21"/>
                <w:szCs w:val="21"/>
              </w:rPr>
              <w:t>同一单元电梯采用联动控制（群控）提升运行效率(消防模式下单独控制)，并可无条件免费根据用户需求调整电梯并联或者群控控制及单双层切换模式等需求。电梯同时具备司机以及普通等运行控制模式。</w:t>
            </w:r>
          </w:p>
        </w:tc>
      </w:tr>
      <w:tr w14:paraId="2D31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0B3CE29">
            <w:pPr>
              <w:snapToGrid w:val="0"/>
              <w:spacing w:line="320" w:lineRule="exact"/>
              <w:jc w:val="center"/>
              <w:rPr>
                <w:rFonts w:hAnsi="宋体" w:cs="宋体"/>
                <w:sz w:val="21"/>
                <w:szCs w:val="21"/>
              </w:rPr>
            </w:pPr>
            <w:r>
              <w:rPr>
                <w:rFonts w:hAnsi="宋体" w:cs="宋体"/>
                <w:sz w:val="21"/>
                <w:szCs w:val="21"/>
              </w:rPr>
              <w:t>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61E6B2D">
            <w:pPr>
              <w:snapToGrid w:val="0"/>
              <w:spacing w:line="320" w:lineRule="exact"/>
              <w:jc w:val="center"/>
              <w:rPr>
                <w:rFonts w:hAnsi="宋体" w:cs="宋体"/>
                <w:sz w:val="21"/>
                <w:szCs w:val="21"/>
              </w:rPr>
            </w:pPr>
            <w:r>
              <w:rPr>
                <w:rFonts w:hAnsi="宋体" w:cs="宋体"/>
                <w:sz w:val="21"/>
                <w:szCs w:val="21"/>
              </w:rPr>
              <w:t xml:space="preserve">分时服务层选择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799B65B">
            <w:pPr>
              <w:snapToGrid w:val="0"/>
              <w:spacing w:line="320" w:lineRule="exact"/>
              <w:ind w:firstLine="315" w:firstLineChars="150"/>
              <w:rPr>
                <w:rFonts w:hAnsi="宋体" w:cs="宋体"/>
                <w:sz w:val="21"/>
                <w:szCs w:val="21"/>
              </w:rPr>
            </w:pPr>
            <w:r>
              <w:rPr>
                <w:rFonts w:hAnsi="宋体" w:cs="宋体"/>
                <w:sz w:val="21"/>
                <w:szCs w:val="21"/>
              </w:rPr>
              <w:t xml:space="preserve">系统可以灵活设定分时服务时间段和相应的分时服务楼层。 </w:t>
            </w:r>
          </w:p>
        </w:tc>
      </w:tr>
      <w:tr w14:paraId="3F0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54A79A2">
            <w:pPr>
              <w:snapToGrid w:val="0"/>
              <w:spacing w:line="320" w:lineRule="exact"/>
              <w:jc w:val="center"/>
              <w:rPr>
                <w:rFonts w:hAnsi="宋体" w:cs="宋体"/>
                <w:sz w:val="21"/>
                <w:szCs w:val="21"/>
              </w:rPr>
            </w:pPr>
            <w:r>
              <w:rPr>
                <w:rFonts w:hAnsi="宋体" w:cs="宋体"/>
                <w:sz w:val="21"/>
                <w:szCs w:val="21"/>
              </w:rPr>
              <w:t>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0C1ACE7">
            <w:pPr>
              <w:snapToGrid w:val="0"/>
              <w:spacing w:line="320" w:lineRule="exact"/>
              <w:jc w:val="center"/>
              <w:rPr>
                <w:rFonts w:hAnsi="宋体" w:cs="宋体"/>
                <w:sz w:val="21"/>
                <w:szCs w:val="21"/>
              </w:rPr>
            </w:pPr>
            <w:r>
              <w:rPr>
                <w:rFonts w:hAnsi="宋体" w:cs="宋体"/>
                <w:sz w:val="21"/>
                <w:szCs w:val="21"/>
              </w:rPr>
              <w:t xml:space="preserve">满载直驶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FB2E131">
            <w:pPr>
              <w:snapToGrid w:val="0"/>
              <w:spacing w:line="320" w:lineRule="exact"/>
              <w:ind w:firstLine="315" w:firstLineChars="150"/>
              <w:rPr>
                <w:rFonts w:hAnsi="宋体" w:cs="宋体"/>
                <w:sz w:val="21"/>
                <w:szCs w:val="21"/>
              </w:rPr>
            </w:pPr>
            <w:r>
              <w:rPr>
                <w:rFonts w:hAnsi="宋体" w:cs="宋体"/>
                <w:sz w:val="21"/>
                <w:szCs w:val="21"/>
              </w:rPr>
              <w:t xml:space="preserve">当轿内满载时，为保持最大运行效率，电梯不响应经过的厅外召唤信号。 </w:t>
            </w:r>
          </w:p>
        </w:tc>
      </w:tr>
      <w:tr w14:paraId="3E1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01B4317">
            <w:pPr>
              <w:snapToGrid w:val="0"/>
              <w:spacing w:line="320" w:lineRule="exact"/>
              <w:jc w:val="center"/>
              <w:rPr>
                <w:rFonts w:hAnsi="宋体" w:cs="宋体"/>
                <w:sz w:val="21"/>
                <w:szCs w:val="21"/>
              </w:rPr>
            </w:pPr>
            <w:r>
              <w:rPr>
                <w:rFonts w:hAnsi="宋体" w:cs="宋体"/>
                <w:sz w:val="21"/>
                <w:szCs w:val="21"/>
              </w:rPr>
              <w:t>10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3AC69F4A">
            <w:pPr>
              <w:snapToGrid w:val="0"/>
              <w:spacing w:line="320" w:lineRule="exact"/>
              <w:jc w:val="center"/>
              <w:rPr>
                <w:rFonts w:hAnsi="宋体" w:cs="宋体"/>
                <w:sz w:val="21"/>
                <w:szCs w:val="21"/>
              </w:rPr>
            </w:pPr>
            <w:r>
              <w:rPr>
                <w:rFonts w:hAnsi="宋体" w:cs="宋体"/>
                <w:sz w:val="21"/>
                <w:szCs w:val="21"/>
              </w:rPr>
              <w:t>开门时间</w:t>
            </w:r>
          </w:p>
          <w:p w14:paraId="03621B65">
            <w:pPr>
              <w:snapToGrid w:val="0"/>
              <w:spacing w:line="320" w:lineRule="exact"/>
              <w:jc w:val="center"/>
              <w:rPr>
                <w:rFonts w:hAnsi="宋体" w:cs="宋体"/>
                <w:sz w:val="21"/>
                <w:szCs w:val="21"/>
              </w:rPr>
            </w:pPr>
            <w:r>
              <w:rPr>
                <w:rFonts w:hAnsi="宋体" w:cs="宋体"/>
                <w:sz w:val="21"/>
                <w:szCs w:val="21"/>
              </w:rPr>
              <w:t xml:space="preserve">自动调整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552F4B6">
            <w:pPr>
              <w:snapToGrid w:val="0"/>
              <w:spacing w:line="320" w:lineRule="exact"/>
              <w:ind w:firstLine="315" w:firstLineChars="150"/>
              <w:rPr>
                <w:rFonts w:hAnsi="宋体" w:cs="宋体"/>
                <w:sz w:val="21"/>
                <w:szCs w:val="21"/>
              </w:rPr>
            </w:pPr>
            <w:r>
              <w:rPr>
                <w:rFonts w:hAnsi="宋体" w:cs="宋体"/>
                <w:sz w:val="21"/>
                <w:szCs w:val="21"/>
              </w:rPr>
              <w:t xml:space="preserve">按照层站召唤或轿厢召唤的区别，自动调整保持开门时间。 </w:t>
            </w:r>
          </w:p>
        </w:tc>
      </w:tr>
      <w:tr w14:paraId="37D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F879653">
            <w:pPr>
              <w:snapToGrid w:val="0"/>
              <w:spacing w:line="320" w:lineRule="exact"/>
              <w:jc w:val="center"/>
              <w:rPr>
                <w:rFonts w:hAnsi="宋体" w:cs="宋体"/>
                <w:sz w:val="21"/>
                <w:szCs w:val="21"/>
              </w:rPr>
            </w:pPr>
            <w:r>
              <w:rPr>
                <w:rFonts w:hAnsi="宋体" w:cs="宋体"/>
                <w:sz w:val="21"/>
                <w:szCs w:val="21"/>
              </w:rPr>
              <w:t>11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606AAB0">
            <w:pPr>
              <w:snapToGrid w:val="0"/>
              <w:spacing w:line="320" w:lineRule="exact"/>
              <w:jc w:val="center"/>
              <w:rPr>
                <w:rFonts w:hAnsi="宋体" w:cs="宋体"/>
                <w:sz w:val="21"/>
                <w:szCs w:val="21"/>
              </w:rPr>
            </w:pPr>
            <w:r>
              <w:rPr>
                <w:rFonts w:hAnsi="宋体" w:cs="宋体"/>
                <w:sz w:val="21"/>
                <w:szCs w:val="21"/>
              </w:rPr>
              <w:t xml:space="preserve">即时关门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5DFE997">
            <w:pPr>
              <w:snapToGrid w:val="0"/>
              <w:spacing w:line="320" w:lineRule="exact"/>
              <w:ind w:firstLine="315" w:firstLineChars="150"/>
              <w:rPr>
                <w:rFonts w:hAnsi="宋体" w:cs="宋体"/>
                <w:sz w:val="21"/>
                <w:szCs w:val="21"/>
              </w:rPr>
            </w:pPr>
            <w:r>
              <w:rPr>
                <w:rFonts w:hAnsi="宋体" w:cs="宋体"/>
                <w:sz w:val="21"/>
                <w:szCs w:val="21"/>
              </w:rPr>
              <w:t xml:space="preserve">电梯停站关门到位时，按下关门按钮，门立即被关闭。 </w:t>
            </w:r>
          </w:p>
        </w:tc>
      </w:tr>
      <w:tr w14:paraId="1E0A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2DD99F7">
            <w:pPr>
              <w:snapToGrid w:val="0"/>
              <w:spacing w:line="320" w:lineRule="exact"/>
              <w:jc w:val="center"/>
              <w:rPr>
                <w:rFonts w:hAnsi="宋体" w:cs="宋体"/>
                <w:sz w:val="21"/>
                <w:szCs w:val="21"/>
              </w:rPr>
            </w:pPr>
            <w:r>
              <w:rPr>
                <w:rFonts w:hAnsi="宋体" w:cs="宋体"/>
                <w:sz w:val="21"/>
                <w:szCs w:val="21"/>
              </w:rPr>
              <w:t>12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035DB6A">
            <w:pPr>
              <w:snapToGrid w:val="0"/>
              <w:spacing w:line="320" w:lineRule="exact"/>
              <w:jc w:val="center"/>
              <w:rPr>
                <w:rFonts w:hAnsi="宋体" w:cs="宋体"/>
                <w:sz w:val="21"/>
                <w:szCs w:val="21"/>
              </w:rPr>
            </w:pPr>
            <w:r>
              <w:rPr>
                <w:rFonts w:hAnsi="宋体" w:cs="宋体"/>
                <w:sz w:val="21"/>
                <w:szCs w:val="21"/>
              </w:rPr>
              <w:t xml:space="preserve">停梯开门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05A2703">
            <w:pPr>
              <w:snapToGrid w:val="0"/>
              <w:spacing w:line="320" w:lineRule="exact"/>
              <w:ind w:firstLine="315" w:firstLineChars="150"/>
              <w:rPr>
                <w:rFonts w:hAnsi="宋体" w:cs="宋体"/>
                <w:sz w:val="21"/>
                <w:szCs w:val="21"/>
              </w:rPr>
            </w:pPr>
            <w:r>
              <w:rPr>
                <w:rFonts w:hAnsi="宋体" w:cs="宋体"/>
                <w:sz w:val="21"/>
                <w:szCs w:val="21"/>
              </w:rPr>
              <w:t xml:space="preserve">电梯减速平层，直到完全停稳后方可开门。 </w:t>
            </w:r>
          </w:p>
        </w:tc>
      </w:tr>
      <w:tr w14:paraId="4E7B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2CCEB82">
            <w:pPr>
              <w:snapToGrid w:val="0"/>
              <w:spacing w:line="320" w:lineRule="exact"/>
              <w:jc w:val="center"/>
              <w:rPr>
                <w:rFonts w:hAnsi="宋体" w:cs="宋体"/>
                <w:sz w:val="21"/>
                <w:szCs w:val="21"/>
              </w:rPr>
            </w:pPr>
            <w:r>
              <w:rPr>
                <w:rFonts w:hAnsi="宋体" w:cs="宋体"/>
                <w:sz w:val="21"/>
                <w:szCs w:val="21"/>
              </w:rPr>
              <w:t>13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F1A08BF">
            <w:pPr>
              <w:snapToGrid w:val="0"/>
              <w:spacing w:line="320" w:lineRule="exact"/>
              <w:jc w:val="center"/>
              <w:rPr>
                <w:rFonts w:hAnsi="宋体" w:cs="宋体"/>
                <w:sz w:val="21"/>
                <w:szCs w:val="21"/>
              </w:rPr>
            </w:pPr>
            <w:r>
              <w:rPr>
                <w:rFonts w:hAnsi="宋体" w:cs="宋体"/>
                <w:sz w:val="21"/>
                <w:szCs w:val="21"/>
              </w:rPr>
              <w:t>指令误登记消除</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3BEC0FC">
            <w:pPr>
              <w:snapToGrid w:val="0"/>
              <w:spacing w:line="320" w:lineRule="exact"/>
              <w:ind w:firstLine="315" w:firstLineChars="150"/>
              <w:rPr>
                <w:rFonts w:hAnsi="宋体" w:cs="宋体"/>
                <w:sz w:val="21"/>
                <w:szCs w:val="21"/>
              </w:rPr>
            </w:pPr>
            <w:r>
              <w:rPr>
                <w:rFonts w:hAnsi="宋体" w:cs="宋体"/>
                <w:sz w:val="21"/>
                <w:szCs w:val="21"/>
              </w:rPr>
              <w:t xml:space="preserve">乘客在操纵箱内可以采用连续按动指令按钮两次的方法来取消上次错误登记的指令。 </w:t>
            </w:r>
          </w:p>
        </w:tc>
      </w:tr>
      <w:tr w14:paraId="12B8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F0E98C4">
            <w:pPr>
              <w:snapToGrid w:val="0"/>
              <w:spacing w:line="320" w:lineRule="exact"/>
              <w:jc w:val="center"/>
              <w:rPr>
                <w:rFonts w:hAnsi="宋体" w:cs="宋体"/>
                <w:sz w:val="21"/>
                <w:szCs w:val="21"/>
              </w:rPr>
            </w:pPr>
            <w:r>
              <w:rPr>
                <w:rFonts w:hAnsi="宋体" w:cs="宋体"/>
                <w:sz w:val="21"/>
                <w:szCs w:val="21"/>
              </w:rPr>
              <w:t>14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F2C0368">
            <w:pPr>
              <w:snapToGrid w:val="0"/>
              <w:spacing w:line="320" w:lineRule="exact"/>
              <w:jc w:val="center"/>
              <w:rPr>
                <w:rFonts w:hAnsi="宋体" w:cs="宋体"/>
                <w:sz w:val="21"/>
                <w:szCs w:val="21"/>
              </w:rPr>
            </w:pPr>
            <w:r>
              <w:rPr>
                <w:rFonts w:hAnsi="宋体" w:cs="宋体"/>
                <w:sz w:val="21"/>
                <w:szCs w:val="21"/>
              </w:rPr>
              <w:t>驻停</w:t>
            </w:r>
          </w:p>
        </w:tc>
        <w:tc>
          <w:tcPr>
            <w:tcW w:w="6400" w:type="dxa"/>
            <w:tcBorders>
              <w:top w:val="single" w:color="auto" w:sz="4" w:space="0"/>
              <w:left w:val="single" w:color="auto" w:sz="4" w:space="0"/>
              <w:bottom w:val="single" w:color="auto" w:sz="4" w:space="0"/>
              <w:right w:val="single" w:color="auto" w:sz="4" w:space="0"/>
              <w:tl2br w:val="nil"/>
              <w:tr2bl w:val="nil"/>
            </w:tcBorders>
            <w:vAlign w:val="bottom"/>
          </w:tcPr>
          <w:p w14:paraId="620A489B">
            <w:pPr>
              <w:snapToGrid w:val="0"/>
              <w:spacing w:line="320" w:lineRule="exact"/>
              <w:ind w:firstLine="315" w:firstLineChars="150"/>
              <w:rPr>
                <w:rFonts w:hAnsi="宋体" w:cs="宋体"/>
                <w:sz w:val="21"/>
                <w:szCs w:val="21"/>
              </w:rPr>
            </w:pPr>
            <w:r>
              <w:rPr>
                <w:rFonts w:hAnsi="宋体" w:cs="宋体"/>
                <w:sz w:val="21"/>
                <w:szCs w:val="21"/>
              </w:rPr>
              <w:t xml:space="preserve">关闭电锁后电梯进入驻停状态，电梯不再响应任何外呼。 </w:t>
            </w:r>
          </w:p>
        </w:tc>
      </w:tr>
      <w:tr w14:paraId="6433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7889E59">
            <w:pPr>
              <w:snapToGrid w:val="0"/>
              <w:spacing w:line="320" w:lineRule="exact"/>
              <w:jc w:val="center"/>
              <w:rPr>
                <w:rFonts w:hAnsi="宋体" w:cs="宋体"/>
                <w:sz w:val="21"/>
                <w:szCs w:val="21"/>
              </w:rPr>
            </w:pPr>
            <w:r>
              <w:rPr>
                <w:rFonts w:hAnsi="宋体" w:cs="宋体"/>
                <w:sz w:val="21"/>
                <w:szCs w:val="21"/>
              </w:rPr>
              <w:t>15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09E5EA7">
            <w:pPr>
              <w:snapToGrid w:val="0"/>
              <w:spacing w:line="320" w:lineRule="exact"/>
              <w:jc w:val="center"/>
              <w:rPr>
                <w:rFonts w:hAnsi="宋体" w:cs="宋体"/>
                <w:sz w:val="21"/>
                <w:szCs w:val="21"/>
              </w:rPr>
            </w:pPr>
            <w:r>
              <w:rPr>
                <w:rFonts w:hAnsi="宋体" w:cs="宋体"/>
                <w:sz w:val="21"/>
                <w:szCs w:val="21"/>
              </w:rPr>
              <w:t xml:space="preserve">换站停靠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67ADA81">
            <w:pPr>
              <w:snapToGrid w:val="0"/>
              <w:spacing w:line="320" w:lineRule="exact"/>
              <w:ind w:firstLine="315" w:firstLineChars="150"/>
              <w:rPr>
                <w:rFonts w:hAnsi="宋体" w:cs="宋体"/>
                <w:sz w:val="21"/>
                <w:szCs w:val="21"/>
              </w:rPr>
            </w:pPr>
            <w:r>
              <w:rPr>
                <w:rFonts w:hAnsi="宋体" w:cs="宋体"/>
                <w:sz w:val="21"/>
                <w:szCs w:val="21"/>
              </w:rPr>
              <w:t xml:space="preserve">如果电梯在开门超过开门保护时间后，开门到位信号仍然无效， 电梯将自动关门，自动运行至下一层停靠。 </w:t>
            </w:r>
          </w:p>
        </w:tc>
      </w:tr>
      <w:tr w14:paraId="3476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5C933C3">
            <w:pPr>
              <w:snapToGrid w:val="0"/>
              <w:spacing w:line="320" w:lineRule="exact"/>
              <w:jc w:val="center"/>
              <w:rPr>
                <w:rFonts w:hAnsi="宋体" w:cs="宋体"/>
                <w:sz w:val="21"/>
                <w:szCs w:val="21"/>
              </w:rPr>
            </w:pPr>
            <w:r>
              <w:rPr>
                <w:rFonts w:hAnsi="宋体" w:cs="宋体"/>
                <w:sz w:val="21"/>
                <w:szCs w:val="21"/>
              </w:rPr>
              <w:t>16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3AAE4D2">
            <w:pPr>
              <w:snapToGrid w:val="0"/>
              <w:spacing w:line="320" w:lineRule="exact"/>
              <w:jc w:val="center"/>
              <w:rPr>
                <w:rFonts w:hAnsi="宋体" w:cs="宋体"/>
                <w:sz w:val="21"/>
                <w:szCs w:val="21"/>
              </w:rPr>
            </w:pPr>
            <w:r>
              <w:rPr>
                <w:rFonts w:hAnsi="宋体" w:cs="宋体"/>
                <w:sz w:val="21"/>
                <w:szCs w:val="21"/>
              </w:rPr>
              <w:t>低速自救</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B69B974">
            <w:pPr>
              <w:snapToGrid w:val="0"/>
              <w:spacing w:line="320" w:lineRule="exact"/>
              <w:ind w:firstLine="315" w:firstLineChars="150"/>
              <w:rPr>
                <w:rFonts w:hAnsi="宋体" w:cs="宋体"/>
                <w:sz w:val="21"/>
                <w:szCs w:val="21"/>
              </w:rPr>
            </w:pPr>
            <w:r>
              <w:rPr>
                <w:rFonts w:hAnsi="宋体" w:cs="宋体"/>
                <w:sz w:val="21"/>
                <w:szCs w:val="21"/>
              </w:rPr>
              <w:t xml:space="preserve">当电梯处于非检修状态，且未停在平层区，此时如符合运行的安全要求，电梯将自动以慢速运行至平层区，然后开门。 </w:t>
            </w:r>
          </w:p>
        </w:tc>
      </w:tr>
      <w:tr w14:paraId="023F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EE5A724">
            <w:pPr>
              <w:snapToGrid w:val="0"/>
              <w:spacing w:line="320" w:lineRule="exact"/>
              <w:jc w:val="center"/>
              <w:rPr>
                <w:rFonts w:hAnsi="宋体" w:cs="宋体"/>
                <w:sz w:val="21"/>
                <w:szCs w:val="21"/>
              </w:rPr>
            </w:pPr>
            <w:r>
              <w:rPr>
                <w:rFonts w:hAnsi="宋体" w:cs="宋体"/>
                <w:sz w:val="21"/>
                <w:szCs w:val="21"/>
              </w:rPr>
              <w:t>17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1FC5545">
            <w:pPr>
              <w:snapToGrid w:val="0"/>
              <w:spacing w:line="320" w:lineRule="exact"/>
              <w:jc w:val="center"/>
              <w:rPr>
                <w:rFonts w:hAnsi="宋体" w:cs="宋体"/>
                <w:sz w:val="21"/>
                <w:szCs w:val="21"/>
              </w:rPr>
            </w:pPr>
            <w:r>
              <w:rPr>
                <w:rFonts w:hAnsi="宋体" w:cs="宋体"/>
                <w:sz w:val="21"/>
                <w:szCs w:val="21"/>
              </w:rPr>
              <w:t>启动转矩自动补偿</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B0D5163">
            <w:pPr>
              <w:snapToGrid w:val="0"/>
              <w:spacing w:line="320" w:lineRule="exact"/>
              <w:ind w:firstLine="315" w:firstLineChars="150"/>
              <w:rPr>
                <w:rFonts w:hAnsi="宋体" w:cs="宋体"/>
                <w:sz w:val="21"/>
                <w:szCs w:val="21"/>
              </w:rPr>
            </w:pPr>
            <w:r>
              <w:rPr>
                <w:rFonts w:hAnsi="宋体" w:cs="宋体"/>
                <w:sz w:val="21"/>
                <w:szCs w:val="21"/>
              </w:rPr>
              <w:t xml:space="preserve">电梯在运行前，自动根据电梯的载重情况，进行启动补偿，达到平稳的启动效果，提高乘坐舒适感。 </w:t>
            </w:r>
          </w:p>
        </w:tc>
      </w:tr>
      <w:tr w14:paraId="36D8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8D4F7C2">
            <w:pPr>
              <w:snapToGrid w:val="0"/>
              <w:spacing w:line="320" w:lineRule="exact"/>
              <w:jc w:val="center"/>
              <w:rPr>
                <w:rFonts w:hAnsi="宋体" w:cs="宋体"/>
                <w:sz w:val="21"/>
                <w:szCs w:val="21"/>
              </w:rPr>
            </w:pPr>
            <w:r>
              <w:rPr>
                <w:rFonts w:hAnsi="宋体" w:cs="宋体"/>
                <w:sz w:val="21"/>
                <w:szCs w:val="21"/>
              </w:rPr>
              <w:t>18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41A424C">
            <w:pPr>
              <w:snapToGrid w:val="0"/>
              <w:spacing w:line="320" w:lineRule="exact"/>
              <w:jc w:val="center"/>
              <w:rPr>
                <w:rFonts w:hAnsi="宋体" w:cs="宋体"/>
                <w:sz w:val="21"/>
                <w:szCs w:val="21"/>
              </w:rPr>
            </w:pPr>
            <w:r>
              <w:rPr>
                <w:rFonts w:hAnsi="宋体" w:cs="宋体"/>
                <w:sz w:val="21"/>
                <w:szCs w:val="21"/>
              </w:rPr>
              <w:t>按钮嵌入自 诊断</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E30AA75">
            <w:pPr>
              <w:snapToGrid w:val="0"/>
              <w:spacing w:line="320" w:lineRule="exact"/>
              <w:ind w:firstLine="315" w:firstLineChars="150"/>
              <w:rPr>
                <w:rFonts w:hAnsi="宋体" w:cs="宋体"/>
                <w:sz w:val="21"/>
                <w:szCs w:val="21"/>
              </w:rPr>
            </w:pPr>
            <w:r>
              <w:rPr>
                <w:rFonts w:hAnsi="宋体" w:cs="宋体"/>
                <w:sz w:val="21"/>
                <w:szCs w:val="21"/>
              </w:rPr>
              <w:t xml:space="preserve">若某层呼梯按钮嵌入持续未断开，系统不再登记该层呼梯。 </w:t>
            </w:r>
          </w:p>
        </w:tc>
      </w:tr>
      <w:tr w14:paraId="67F9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2E58867">
            <w:pPr>
              <w:snapToGrid w:val="0"/>
              <w:spacing w:line="320" w:lineRule="exact"/>
              <w:jc w:val="center"/>
              <w:rPr>
                <w:rFonts w:hAnsi="宋体" w:cs="宋体"/>
                <w:sz w:val="21"/>
                <w:szCs w:val="21"/>
              </w:rPr>
            </w:pPr>
            <w:r>
              <w:rPr>
                <w:rFonts w:hAnsi="宋体" w:cs="宋体"/>
                <w:sz w:val="21"/>
                <w:szCs w:val="21"/>
              </w:rPr>
              <w:t>19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E43FD61">
            <w:pPr>
              <w:snapToGrid w:val="0"/>
              <w:spacing w:line="320" w:lineRule="exact"/>
              <w:jc w:val="center"/>
              <w:rPr>
                <w:rFonts w:hAnsi="宋体" w:cs="宋体"/>
                <w:sz w:val="21"/>
                <w:szCs w:val="21"/>
              </w:rPr>
            </w:pPr>
            <w:r>
              <w:rPr>
                <w:rFonts w:hAnsi="宋体" w:cs="宋体"/>
                <w:sz w:val="21"/>
                <w:szCs w:val="21"/>
              </w:rPr>
              <w:t>门保持按钮</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2F0F265">
            <w:pPr>
              <w:snapToGrid w:val="0"/>
              <w:spacing w:line="320" w:lineRule="exact"/>
              <w:ind w:firstLine="315" w:firstLineChars="150"/>
              <w:rPr>
                <w:rFonts w:hAnsi="宋体" w:cs="宋体"/>
                <w:sz w:val="21"/>
                <w:szCs w:val="21"/>
              </w:rPr>
            </w:pPr>
            <w:r>
              <w:rPr>
                <w:rFonts w:hAnsi="宋体" w:cs="宋体"/>
                <w:sz w:val="21"/>
                <w:szCs w:val="21"/>
              </w:rPr>
              <w:t>按下按钮，电梯门将在可调整的时间内保持开门状态</w:t>
            </w:r>
          </w:p>
        </w:tc>
      </w:tr>
      <w:tr w14:paraId="691D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A324C20">
            <w:pPr>
              <w:snapToGrid w:val="0"/>
              <w:spacing w:line="320" w:lineRule="exact"/>
              <w:jc w:val="center"/>
              <w:rPr>
                <w:rFonts w:hAnsi="宋体" w:cs="宋体"/>
                <w:sz w:val="21"/>
                <w:szCs w:val="21"/>
              </w:rPr>
            </w:pPr>
            <w:r>
              <w:rPr>
                <w:rFonts w:hAnsi="宋体" w:cs="宋体"/>
                <w:sz w:val="21"/>
                <w:szCs w:val="21"/>
              </w:rPr>
              <w:t>20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71E15B2">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快速开门</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E41AF05">
            <w:pPr>
              <w:snapToGrid w:val="0"/>
              <w:spacing w:line="320" w:lineRule="exact"/>
              <w:ind w:firstLine="315" w:firstLineChars="150"/>
              <w:rPr>
                <w:rFonts w:hAnsi="宋体" w:cs="宋体"/>
                <w:sz w:val="21"/>
                <w:szCs w:val="21"/>
              </w:rPr>
            </w:pPr>
            <w:r>
              <w:rPr>
                <w:rFonts w:hAnsi="宋体" w:cs="宋体"/>
                <w:sz w:val="21"/>
                <w:szCs w:val="21"/>
                <w:lang w:bidi="ar"/>
              </w:rPr>
              <w:t>可以快速响应开门按钮指令的功能，比如在关门过程中，如果按开门按钮，电梯会立即响应开门指令进行反开门。</w:t>
            </w:r>
          </w:p>
        </w:tc>
      </w:tr>
      <w:tr w14:paraId="39F5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70960C0">
            <w:pPr>
              <w:snapToGrid w:val="0"/>
              <w:spacing w:line="320" w:lineRule="exact"/>
              <w:jc w:val="center"/>
              <w:rPr>
                <w:rFonts w:hAnsi="宋体" w:cs="宋体"/>
                <w:sz w:val="21"/>
                <w:szCs w:val="21"/>
              </w:rPr>
            </w:pPr>
            <w:r>
              <w:rPr>
                <w:rFonts w:hAnsi="宋体" w:cs="宋体"/>
                <w:sz w:val="21"/>
                <w:szCs w:val="21"/>
              </w:rPr>
              <w:t>21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8856164">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空闲反基站</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F8F1FE4">
            <w:pPr>
              <w:snapToGrid w:val="0"/>
              <w:spacing w:line="320" w:lineRule="exact"/>
              <w:ind w:firstLine="315" w:firstLineChars="150"/>
              <w:rPr>
                <w:rFonts w:hAnsi="宋体" w:cs="宋体"/>
                <w:sz w:val="21"/>
                <w:szCs w:val="21"/>
              </w:rPr>
            </w:pPr>
            <w:r>
              <w:rPr>
                <w:rFonts w:hAnsi="宋体" w:cs="宋体"/>
                <w:sz w:val="21"/>
                <w:szCs w:val="21"/>
                <w:lang w:bidi="ar"/>
              </w:rPr>
              <w:t>自动状态下，在设定的时间范围内电梯未使用，电梯自动返基站等候乘客。（同一单元电梯可设置不同的楼层为基站）</w:t>
            </w:r>
            <w:r>
              <w:rPr>
                <w:rStyle w:val="212"/>
                <w:color w:val="auto"/>
                <w:sz w:val="21"/>
                <w:szCs w:val="21"/>
                <w:lang w:bidi="ar"/>
              </w:rPr>
              <w:t xml:space="preserve"> </w:t>
            </w:r>
          </w:p>
        </w:tc>
      </w:tr>
      <w:tr w14:paraId="6DD7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8A8B51D">
            <w:pPr>
              <w:snapToGrid w:val="0"/>
              <w:spacing w:line="320" w:lineRule="exact"/>
              <w:jc w:val="center"/>
              <w:rPr>
                <w:rFonts w:hAnsi="宋体" w:cs="宋体"/>
                <w:sz w:val="21"/>
                <w:szCs w:val="21"/>
              </w:rPr>
            </w:pPr>
            <w:r>
              <w:rPr>
                <w:rFonts w:hAnsi="宋体" w:cs="宋体"/>
                <w:sz w:val="21"/>
                <w:szCs w:val="21"/>
              </w:rPr>
              <w:t>22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2154BB8">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反向呼梯</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B34526A">
            <w:pPr>
              <w:snapToGrid w:val="0"/>
              <w:spacing w:line="320" w:lineRule="exact"/>
              <w:ind w:firstLine="315" w:firstLineChars="150"/>
              <w:rPr>
                <w:rFonts w:hAnsi="宋体" w:cs="宋体"/>
                <w:sz w:val="21"/>
                <w:szCs w:val="21"/>
              </w:rPr>
            </w:pPr>
            <w:r>
              <w:rPr>
                <w:rFonts w:hAnsi="宋体" w:cs="宋体"/>
                <w:sz w:val="21"/>
                <w:szCs w:val="21"/>
                <w:lang w:bidi="ar"/>
              </w:rPr>
              <w:t>允许登记与轿厢运行方向相反的楼层按钮</w:t>
            </w:r>
          </w:p>
        </w:tc>
      </w:tr>
      <w:tr w14:paraId="0833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5C994E0">
            <w:pPr>
              <w:snapToGrid w:val="0"/>
              <w:spacing w:line="320" w:lineRule="exact"/>
              <w:jc w:val="center"/>
              <w:rPr>
                <w:rFonts w:hAnsi="宋体" w:cs="宋体"/>
                <w:sz w:val="21"/>
                <w:szCs w:val="21"/>
              </w:rPr>
            </w:pPr>
            <w:r>
              <w:rPr>
                <w:rFonts w:hAnsi="宋体" w:cs="宋体"/>
                <w:sz w:val="21"/>
                <w:szCs w:val="21"/>
              </w:rPr>
              <w:t>23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3671C80E">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消防运行到位</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D031720">
            <w:pPr>
              <w:snapToGrid w:val="0"/>
              <w:spacing w:line="320" w:lineRule="exact"/>
              <w:ind w:firstLine="315" w:firstLineChars="150"/>
              <w:rPr>
                <w:rFonts w:hAnsi="宋体" w:cs="宋体"/>
                <w:sz w:val="21"/>
                <w:szCs w:val="21"/>
              </w:rPr>
            </w:pPr>
            <w:r>
              <w:rPr>
                <w:rFonts w:hAnsi="宋体" w:cs="宋体"/>
                <w:sz w:val="21"/>
                <w:szCs w:val="21"/>
                <w:lang w:bidi="ar"/>
              </w:rPr>
              <w:t>消防专用功能启动，电梯运行到制动的返回层站，输出到位信号</w:t>
            </w:r>
          </w:p>
        </w:tc>
      </w:tr>
      <w:tr w14:paraId="32EC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EF3E80F">
            <w:pPr>
              <w:snapToGrid w:val="0"/>
              <w:spacing w:line="320" w:lineRule="exact"/>
              <w:jc w:val="center"/>
              <w:rPr>
                <w:rFonts w:hAnsi="宋体" w:cs="宋体"/>
                <w:sz w:val="21"/>
                <w:szCs w:val="21"/>
              </w:rPr>
            </w:pPr>
            <w:r>
              <w:rPr>
                <w:rFonts w:hAnsi="宋体" w:cs="宋体"/>
                <w:sz w:val="21"/>
                <w:szCs w:val="21"/>
              </w:rPr>
              <w:t>24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EF499DC">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消防返回</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80F6F5B">
            <w:pPr>
              <w:snapToGrid w:val="0"/>
              <w:spacing w:line="320" w:lineRule="exact"/>
              <w:ind w:firstLine="315" w:firstLineChars="150"/>
              <w:rPr>
                <w:rFonts w:hAnsi="宋体" w:cs="宋体"/>
                <w:sz w:val="21"/>
                <w:szCs w:val="21"/>
              </w:rPr>
            </w:pPr>
            <w:r>
              <w:rPr>
                <w:rFonts w:hAnsi="宋体" w:cs="宋体"/>
                <w:sz w:val="21"/>
                <w:szCs w:val="21"/>
                <w:lang w:bidi="ar"/>
              </w:rPr>
              <w:t>消防状态下，所有召唤均被取消，电梯立即驶往指定救援层站停</w:t>
            </w:r>
            <w:r>
              <w:rPr>
                <w:rStyle w:val="212"/>
                <w:color w:val="auto"/>
                <w:sz w:val="21"/>
                <w:szCs w:val="21"/>
                <w:lang w:bidi="ar"/>
              </w:rPr>
              <w:t xml:space="preserve"> </w:t>
            </w:r>
            <w:r>
              <w:rPr>
                <w:rFonts w:hAnsi="宋体" w:cs="宋体"/>
                <w:sz w:val="21"/>
                <w:szCs w:val="21"/>
                <w:lang w:bidi="ar"/>
              </w:rPr>
              <w:t>靠，并自动开门。</w:t>
            </w:r>
            <w:r>
              <w:rPr>
                <w:rStyle w:val="212"/>
                <w:color w:val="auto"/>
                <w:sz w:val="21"/>
                <w:szCs w:val="21"/>
                <w:lang w:bidi="ar"/>
              </w:rPr>
              <w:t xml:space="preserve">达到消防联动功能。 </w:t>
            </w:r>
          </w:p>
        </w:tc>
      </w:tr>
      <w:tr w14:paraId="378B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368B0B5">
            <w:pPr>
              <w:snapToGrid w:val="0"/>
              <w:spacing w:line="320" w:lineRule="exact"/>
              <w:ind w:firstLine="315" w:firstLineChars="150"/>
              <w:rPr>
                <w:rFonts w:hAnsi="宋体" w:cs="宋体"/>
                <w:sz w:val="21"/>
                <w:szCs w:val="21"/>
              </w:rPr>
            </w:pPr>
            <w:r>
              <w:rPr>
                <w:rFonts w:hAnsi="宋体" w:cs="宋体"/>
                <w:sz w:val="21"/>
                <w:szCs w:val="21"/>
              </w:rPr>
              <w:t>通讯功能</w:t>
            </w:r>
          </w:p>
        </w:tc>
      </w:tr>
      <w:tr w14:paraId="6322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F6CEB74">
            <w:pPr>
              <w:snapToGrid w:val="0"/>
              <w:spacing w:line="320" w:lineRule="exact"/>
              <w:jc w:val="center"/>
              <w:rPr>
                <w:rFonts w:hAnsi="宋体" w:cs="宋体"/>
                <w:sz w:val="21"/>
                <w:szCs w:val="21"/>
              </w:rPr>
            </w:pPr>
            <w:r>
              <w:rPr>
                <w:rFonts w:hAnsi="宋体" w:cs="宋体"/>
                <w:sz w:val="21"/>
                <w:szCs w:val="21"/>
              </w:rPr>
              <w:t>25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88260D8">
            <w:pPr>
              <w:widowControl/>
              <w:snapToGrid w:val="0"/>
              <w:spacing w:line="320" w:lineRule="exact"/>
              <w:textAlignment w:val="center"/>
              <w:rPr>
                <w:rFonts w:hAnsi="宋体" w:cs="宋体"/>
                <w:sz w:val="21"/>
                <w:szCs w:val="21"/>
                <w:lang w:bidi="ar"/>
              </w:rPr>
            </w:pPr>
            <w:r>
              <w:rPr>
                <w:rFonts w:hAnsi="宋体" w:cs="宋体"/>
                <w:sz w:val="21"/>
                <w:szCs w:val="21"/>
                <w:lang w:bidi="ar"/>
              </w:rPr>
              <w:t>轿厢警铃</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F01F82A">
            <w:pPr>
              <w:snapToGrid w:val="0"/>
              <w:spacing w:line="320" w:lineRule="exact"/>
              <w:rPr>
                <w:rFonts w:hAnsi="宋体" w:cs="宋体"/>
                <w:sz w:val="21"/>
                <w:szCs w:val="21"/>
              </w:rPr>
            </w:pPr>
            <w:r>
              <w:rPr>
                <w:rFonts w:hAnsi="宋体" w:cs="宋体"/>
                <w:sz w:val="21"/>
                <w:szCs w:val="21"/>
                <w:lang w:bidi="ar"/>
              </w:rPr>
              <w:t>当乘客按轿厢操作盘上的报警按钮时，置于轿厢顶部的警铃响起。</w:t>
            </w:r>
          </w:p>
        </w:tc>
      </w:tr>
      <w:tr w14:paraId="36D5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3FB89E0">
            <w:pPr>
              <w:snapToGrid w:val="0"/>
              <w:spacing w:line="320" w:lineRule="exact"/>
              <w:jc w:val="center"/>
              <w:rPr>
                <w:rFonts w:hAnsi="宋体" w:cs="宋体"/>
                <w:sz w:val="21"/>
                <w:szCs w:val="21"/>
              </w:rPr>
            </w:pPr>
            <w:r>
              <w:rPr>
                <w:rFonts w:hAnsi="宋体" w:cs="宋体"/>
                <w:sz w:val="21"/>
                <w:szCs w:val="21"/>
              </w:rPr>
              <w:t>26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C2FBACA">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无线五方通话装置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21B2B23">
            <w:pPr>
              <w:snapToGrid w:val="0"/>
              <w:spacing w:line="320" w:lineRule="exact"/>
              <w:ind w:firstLine="315" w:firstLineChars="150"/>
              <w:rPr>
                <w:rFonts w:hAnsi="宋体" w:cs="宋体"/>
                <w:sz w:val="21"/>
                <w:szCs w:val="21"/>
              </w:rPr>
            </w:pPr>
            <w:r>
              <w:rPr>
                <w:rFonts w:hAnsi="宋体" w:cs="宋体"/>
                <w:sz w:val="21"/>
                <w:szCs w:val="21"/>
                <w:lang w:bidi="ar"/>
              </w:rPr>
              <w:t>通过对讲机，可在轿内、轿顶、电梯机房、井道底坑、救援值班 室之间通话。</w:t>
            </w:r>
          </w:p>
        </w:tc>
      </w:tr>
      <w:tr w14:paraId="532A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3C34DE1">
            <w:pPr>
              <w:snapToGrid w:val="0"/>
              <w:spacing w:line="320" w:lineRule="exact"/>
              <w:jc w:val="center"/>
              <w:rPr>
                <w:rFonts w:hAnsi="宋体" w:cs="宋体"/>
                <w:sz w:val="21"/>
                <w:szCs w:val="21"/>
              </w:rPr>
            </w:pPr>
            <w:r>
              <w:rPr>
                <w:rFonts w:hAnsi="宋体" w:cs="宋体"/>
                <w:sz w:val="21"/>
                <w:szCs w:val="21"/>
              </w:rPr>
              <w:t>27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238898D">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轿内指示器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3AD32A5">
            <w:pPr>
              <w:snapToGrid w:val="0"/>
              <w:spacing w:line="320" w:lineRule="exact"/>
              <w:ind w:firstLine="315" w:firstLineChars="150"/>
              <w:rPr>
                <w:rFonts w:hAnsi="宋体" w:cs="宋体"/>
                <w:sz w:val="21"/>
                <w:szCs w:val="21"/>
              </w:rPr>
            </w:pPr>
            <w:r>
              <w:rPr>
                <w:rFonts w:hAnsi="宋体" w:cs="宋体"/>
                <w:sz w:val="21"/>
                <w:szCs w:val="21"/>
                <w:lang w:bidi="ar"/>
              </w:rPr>
              <w:t xml:space="preserve">位于轿厢内，包括轿厢位置、消防、超载等信息显示。 </w:t>
            </w:r>
          </w:p>
        </w:tc>
      </w:tr>
      <w:tr w14:paraId="5E51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FA5AFEF">
            <w:pPr>
              <w:snapToGrid w:val="0"/>
              <w:spacing w:line="320" w:lineRule="exact"/>
              <w:jc w:val="center"/>
              <w:rPr>
                <w:rFonts w:hAnsi="宋体" w:cs="宋体"/>
                <w:sz w:val="21"/>
                <w:szCs w:val="21"/>
              </w:rPr>
            </w:pPr>
            <w:r>
              <w:rPr>
                <w:rFonts w:hAnsi="宋体" w:cs="宋体"/>
                <w:sz w:val="21"/>
                <w:szCs w:val="21"/>
              </w:rPr>
              <w:t>28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D4AAE13">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方向显示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2CD7D9C">
            <w:pPr>
              <w:snapToGrid w:val="0"/>
              <w:spacing w:line="320" w:lineRule="exact"/>
              <w:ind w:firstLine="315" w:firstLineChars="150"/>
              <w:rPr>
                <w:rFonts w:hAnsi="宋体" w:cs="宋体"/>
                <w:sz w:val="21"/>
                <w:szCs w:val="21"/>
              </w:rPr>
            </w:pPr>
            <w:r>
              <w:rPr>
                <w:rFonts w:hAnsi="宋体" w:cs="宋体"/>
                <w:sz w:val="21"/>
                <w:szCs w:val="21"/>
                <w:lang w:bidi="ar"/>
              </w:rPr>
              <w:t xml:space="preserve">运行方向由LED或段码显示。 </w:t>
            </w:r>
          </w:p>
        </w:tc>
      </w:tr>
      <w:tr w14:paraId="460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653EEF7">
            <w:pPr>
              <w:snapToGrid w:val="0"/>
              <w:spacing w:line="320" w:lineRule="exact"/>
              <w:jc w:val="center"/>
              <w:rPr>
                <w:rFonts w:hAnsi="宋体" w:cs="宋体"/>
                <w:sz w:val="21"/>
                <w:szCs w:val="21"/>
              </w:rPr>
            </w:pPr>
            <w:r>
              <w:rPr>
                <w:rFonts w:hAnsi="宋体" w:cs="宋体"/>
                <w:sz w:val="21"/>
                <w:szCs w:val="21"/>
              </w:rPr>
              <w:t>29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D71141C">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位置指示器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7CF3108">
            <w:pPr>
              <w:snapToGrid w:val="0"/>
              <w:spacing w:line="320" w:lineRule="exact"/>
              <w:ind w:firstLine="315" w:firstLineChars="150"/>
              <w:rPr>
                <w:rFonts w:hAnsi="宋体" w:cs="宋体"/>
                <w:sz w:val="21"/>
                <w:szCs w:val="21"/>
              </w:rPr>
            </w:pPr>
            <w:r>
              <w:rPr>
                <w:rFonts w:hAnsi="宋体" w:cs="宋体"/>
                <w:sz w:val="21"/>
                <w:szCs w:val="21"/>
                <w:lang w:bidi="ar"/>
              </w:rPr>
              <w:t xml:space="preserve">位于大厅呼梯装置上，数字式显示轿厢所在位置及方向。 </w:t>
            </w:r>
          </w:p>
        </w:tc>
      </w:tr>
      <w:tr w14:paraId="0F75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1D6E905">
            <w:pPr>
              <w:snapToGrid w:val="0"/>
              <w:spacing w:line="320" w:lineRule="exact"/>
              <w:ind w:firstLine="315" w:firstLineChars="150"/>
              <w:rPr>
                <w:rFonts w:hAnsi="宋体" w:cs="宋体"/>
                <w:sz w:val="21"/>
                <w:szCs w:val="21"/>
              </w:rPr>
            </w:pPr>
            <w:r>
              <w:rPr>
                <w:rFonts w:hAnsi="宋体" w:cs="宋体"/>
                <w:sz w:val="21"/>
                <w:szCs w:val="21"/>
              </w:rPr>
              <w:t>节能功能</w:t>
            </w:r>
          </w:p>
        </w:tc>
      </w:tr>
      <w:tr w14:paraId="4B1A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6584626">
            <w:pPr>
              <w:snapToGrid w:val="0"/>
              <w:spacing w:line="320" w:lineRule="exact"/>
              <w:jc w:val="center"/>
              <w:rPr>
                <w:rFonts w:hAnsi="宋体" w:cs="宋体"/>
                <w:sz w:val="21"/>
                <w:szCs w:val="21"/>
              </w:rPr>
            </w:pPr>
            <w:r>
              <w:rPr>
                <w:rFonts w:hAnsi="宋体" w:cs="宋体"/>
                <w:sz w:val="21"/>
                <w:szCs w:val="21"/>
              </w:rPr>
              <w:t>30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3BB5107">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风扇、照明自动关闭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4AF4211">
            <w:pPr>
              <w:snapToGrid w:val="0"/>
              <w:spacing w:line="320" w:lineRule="exact"/>
              <w:ind w:firstLine="315" w:firstLineChars="150"/>
              <w:rPr>
                <w:rFonts w:hAnsi="宋体" w:cs="宋体"/>
                <w:sz w:val="21"/>
                <w:szCs w:val="21"/>
              </w:rPr>
            </w:pPr>
            <w:r>
              <w:rPr>
                <w:rFonts w:hAnsi="宋体" w:cs="宋体"/>
                <w:sz w:val="21"/>
                <w:szCs w:val="21"/>
                <w:lang w:bidi="ar"/>
              </w:rPr>
              <w:t xml:space="preserve">在规定的时间内没有召唤或指令信号，轿厢内风扇和照明会自动 关闭，节约能源。 </w:t>
            </w:r>
          </w:p>
        </w:tc>
      </w:tr>
      <w:tr w14:paraId="3C05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215AD63">
            <w:pPr>
              <w:snapToGrid w:val="0"/>
              <w:spacing w:line="320" w:lineRule="exact"/>
              <w:jc w:val="center"/>
              <w:rPr>
                <w:rFonts w:hAnsi="宋体" w:cs="宋体"/>
                <w:sz w:val="21"/>
                <w:szCs w:val="21"/>
              </w:rPr>
            </w:pPr>
            <w:r>
              <w:rPr>
                <w:rFonts w:hAnsi="宋体" w:cs="宋体"/>
                <w:sz w:val="21"/>
                <w:szCs w:val="21"/>
              </w:rPr>
              <w:t>31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8A37BA4">
            <w:pPr>
              <w:widowControl/>
              <w:snapToGrid w:val="0"/>
              <w:spacing w:line="320" w:lineRule="exact"/>
              <w:textAlignment w:val="center"/>
              <w:rPr>
                <w:rFonts w:hAnsi="宋体" w:cs="宋体"/>
                <w:sz w:val="21"/>
                <w:szCs w:val="21"/>
                <w:lang w:bidi="ar"/>
              </w:rPr>
            </w:pPr>
            <w:r>
              <w:rPr>
                <w:rFonts w:hAnsi="宋体" w:cs="宋体"/>
                <w:sz w:val="21"/>
                <w:szCs w:val="21"/>
                <w:lang w:bidi="ar"/>
              </w:rPr>
              <w:t>独立服务功能配备</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6570D9C">
            <w:pPr>
              <w:snapToGrid w:val="0"/>
              <w:spacing w:line="320" w:lineRule="exact"/>
              <w:ind w:firstLine="315" w:firstLineChars="150"/>
              <w:rPr>
                <w:rFonts w:hAnsi="宋体" w:cs="宋体"/>
                <w:sz w:val="21"/>
                <w:szCs w:val="21"/>
              </w:rPr>
            </w:pPr>
            <w:r>
              <w:rPr>
                <w:rFonts w:hAnsi="宋体" w:cs="宋体"/>
                <w:sz w:val="21"/>
                <w:szCs w:val="21"/>
                <w:lang w:bidi="ar"/>
              </w:rPr>
              <w:t>启动位于轿厢操作盘的专用开关，电梯脱离群控，独立运行，并响应电梯的轿内操作。</w:t>
            </w:r>
          </w:p>
        </w:tc>
      </w:tr>
      <w:tr w14:paraId="5B26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5F33FE4">
            <w:pPr>
              <w:snapToGrid w:val="0"/>
              <w:spacing w:line="320" w:lineRule="exact"/>
              <w:jc w:val="center"/>
              <w:rPr>
                <w:rFonts w:hAnsi="宋体" w:cs="宋体"/>
                <w:sz w:val="21"/>
                <w:szCs w:val="21"/>
              </w:rPr>
            </w:pPr>
            <w:r>
              <w:rPr>
                <w:rFonts w:hAnsi="宋体" w:cs="宋体"/>
                <w:sz w:val="21"/>
                <w:szCs w:val="21"/>
              </w:rPr>
              <w:t>32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3FADACF">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定时自动开关梯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2954DA2">
            <w:pPr>
              <w:snapToGrid w:val="0"/>
              <w:spacing w:line="320" w:lineRule="exact"/>
              <w:ind w:firstLine="315" w:firstLineChars="150"/>
              <w:rPr>
                <w:rFonts w:hAnsi="宋体" w:cs="宋体"/>
                <w:sz w:val="21"/>
                <w:szCs w:val="21"/>
              </w:rPr>
            </w:pPr>
            <w:r>
              <w:rPr>
                <w:rFonts w:hAnsi="宋体" w:cs="宋体"/>
                <w:sz w:val="21"/>
                <w:szCs w:val="21"/>
                <w:lang w:bidi="ar"/>
              </w:rPr>
              <w:t xml:space="preserve">系统按所设置时间自动开梯/关梯。 </w:t>
            </w:r>
          </w:p>
        </w:tc>
      </w:tr>
      <w:tr w14:paraId="4534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13B8C8C">
            <w:pPr>
              <w:snapToGrid w:val="0"/>
              <w:spacing w:line="320" w:lineRule="exact"/>
              <w:jc w:val="center"/>
              <w:rPr>
                <w:rFonts w:hAnsi="宋体" w:cs="宋体"/>
                <w:sz w:val="21"/>
                <w:szCs w:val="21"/>
              </w:rPr>
            </w:pPr>
            <w:r>
              <w:rPr>
                <w:rFonts w:hAnsi="宋体" w:cs="宋体"/>
                <w:sz w:val="21"/>
                <w:szCs w:val="21"/>
              </w:rPr>
              <w:t>33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69DDE07">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夜间到站钟取消功能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F4BBFAD">
            <w:pPr>
              <w:snapToGrid w:val="0"/>
              <w:spacing w:line="320" w:lineRule="exact"/>
              <w:ind w:firstLine="315" w:firstLineChars="150"/>
              <w:rPr>
                <w:rFonts w:hAnsi="宋体" w:cs="宋体"/>
                <w:sz w:val="21"/>
                <w:szCs w:val="21"/>
              </w:rPr>
            </w:pPr>
            <w:r>
              <w:rPr>
                <w:rFonts w:hAnsi="宋体" w:cs="宋体"/>
                <w:sz w:val="21"/>
                <w:szCs w:val="21"/>
                <w:lang w:bidi="ar"/>
              </w:rPr>
              <w:t xml:space="preserve">在设定的时间范围内，电梯将取消到站钟功能。 </w:t>
            </w:r>
          </w:p>
        </w:tc>
      </w:tr>
      <w:tr w14:paraId="0028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D5DD7DD">
            <w:pPr>
              <w:snapToGrid w:val="0"/>
              <w:spacing w:line="320" w:lineRule="exact"/>
              <w:ind w:firstLine="315" w:firstLineChars="150"/>
              <w:rPr>
                <w:rFonts w:hAnsi="宋体" w:cs="宋体"/>
                <w:sz w:val="21"/>
                <w:szCs w:val="21"/>
              </w:rPr>
            </w:pPr>
            <w:r>
              <w:rPr>
                <w:rFonts w:hAnsi="宋体" w:cs="宋体"/>
                <w:sz w:val="21"/>
                <w:szCs w:val="21"/>
              </w:rPr>
              <w:t>应急功能</w:t>
            </w:r>
          </w:p>
        </w:tc>
      </w:tr>
      <w:tr w14:paraId="730E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1DE9187">
            <w:pPr>
              <w:snapToGrid w:val="0"/>
              <w:spacing w:line="320" w:lineRule="exact"/>
              <w:jc w:val="center"/>
              <w:rPr>
                <w:rFonts w:hAnsi="宋体" w:cs="宋体"/>
                <w:sz w:val="21"/>
                <w:szCs w:val="21"/>
              </w:rPr>
            </w:pPr>
            <w:r>
              <w:rPr>
                <w:rFonts w:hAnsi="宋体" w:cs="宋体"/>
                <w:sz w:val="21"/>
                <w:szCs w:val="21"/>
              </w:rPr>
              <w:t>34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8E4B832">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应急照明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2DB3C70">
            <w:pPr>
              <w:snapToGrid w:val="0"/>
              <w:spacing w:line="320" w:lineRule="exact"/>
              <w:ind w:firstLine="315" w:firstLineChars="150"/>
              <w:rPr>
                <w:rFonts w:hAnsi="宋体" w:cs="宋体"/>
                <w:sz w:val="21"/>
                <w:szCs w:val="21"/>
              </w:rPr>
            </w:pPr>
            <w:r>
              <w:rPr>
                <w:rFonts w:hAnsi="宋体" w:cs="宋体"/>
                <w:sz w:val="21"/>
                <w:szCs w:val="21"/>
                <w:lang w:bidi="ar"/>
              </w:rPr>
              <w:t xml:space="preserve">停电时，自动打开轿内应急照明。 </w:t>
            </w:r>
          </w:p>
        </w:tc>
      </w:tr>
      <w:tr w14:paraId="423F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2A80FE9">
            <w:pPr>
              <w:snapToGrid w:val="0"/>
              <w:spacing w:line="320" w:lineRule="exact"/>
              <w:jc w:val="center"/>
              <w:rPr>
                <w:rFonts w:hAnsi="宋体" w:cs="宋体"/>
                <w:sz w:val="21"/>
                <w:szCs w:val="21"/>
              </w:rPr>
            </w:pPr>
            <w:r>
              <w:rPr>
                <w:rFonts w:hAnsi="宋体" w:cs="宋体"/>
                <w:sz w:val="21"/>
                <w:szCs w:val="21"/>
              </w:rPr>
              <w:t>35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9CD03E1">
            <w:pPr>
              <w:widowControl/>
              <w:snapToGrid w:val="0"/>
              <w:spacing w:line="320" w:lineRule="exact"/>
              <w:textAlignment w:val="center"/>
              <w:rPr>
                <w:rFonts w:hAnsi="宋体" w:cs="宋体"/>
                <w:sz w:val="21"/>
                <w:szCs w:val="21"/>
                <w:lang w:bidi="ar"/>
              </w:rPr>
            </w:pPr>
            <w:r>
              <w:rPr>
                <w:rFonts w:hAnsi="宋体" w:cs="宋体"/>
                <w:sz w:val="21"/>
                <w:szCs w:val="21"/>
                <w:lang w:bidi="ar"/>
              </w:rPr>
              <w:t>紧急电动运行</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7FE8A2F">
            <w:pPr>
              <w:snapToGrid w:val="0"/>
              <w:spacing w:line="320" w:lineRule="exact"/>
              <w:ind w:firstLine="315" w:firstLineChars="150"/>
              <w:rPr>
                <w:rFonts w:hAnsi="宋体" w:cs="宋体"/>
                <w:sz w:val="21"/>
                <w:szCs w:val="21"/>
              </w:rPr>
            </w:pPr>
            <w:r>
              <w:rPr>
                <w:rFonts w:hAnsi="宋体" w:cs="宋体"/>
                <w:sz w:val="21"/>
                <w:szCs w:val="21"/>
                <w:lang w:bidi="ar"/>
              </w:rPr>
              <w:t>当进入紧急电动状态时，轿厢以低速点动运行。</w:t>
            </w:r>
          </w:p>
        </w:tc>
      </w:tr>
      <w:tr w14:paraId="7D6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C196813">
            <w:pPr>
              <w:snapToGrid w:val="0"/>
              <w:spacing w:line="320" w:lineRule="exact"/>
              <w:jc w:val="center"/>
              <w:rPr>
                <w:rFonts w:hAnsi="宋体" w:cs="宋体"/>
                <w:sz w:val="21"/>
                <w:szCs w:val="21"/>
              </w:rPr>
            </w:pPr>
            <w:r>
              <w:rPr>
                <w:rFonts w:hAnsi="宋体" w:cs="宋体"/>
                <w:sz w:val="21"/>
                <w:szCs w:val="21"/>
              </w:rPr>
              <w:t>36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E871783">
            <w:pPr>
              <w:widowControl/>
              <w:snapToGrid w:val="0"/>
              <w:spacing w:line="320" w:lineRule="exact"/>
              <w:textAlignment w:val="center"/>
              <w:rPr>
                <w:rFonts w:hAnsi="宋体" w:cs="宋体"/>
                <w:sz w:val="21"/>
                <w:szCs w:val="21"/>
                <w:lang w:bidi="ar"/>
              </w:rPr>
            </w:pPr>
            <w:r>
              <w:rPr>
                <w:rFonts w:hAnsi="宋体" w:cs="宋体"/>
                <w:sz w:val="21"/>
                <w:szCs w:val="21"/>
                <w:lang w:bidi="ar"/>
              </w:rPr>
              <w:t>手动救援功能</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6C9BB09">
            <w:pPr>
              <w:snapToGrid w:val="0"/>
              <w:spacing w:line="320" w:lineRule="exact"/>
              <w:ind w:firstLine="315" w:firstLineChars="150"/>
              <w:rPr>
                <w:rFonts w:hAnsi="宋体" w:cs="宋体"/>
                <w:sz w:val="21"/>
                <w:szCs w:val="21"/>
              </w:rPr>
            </w:pPr>
            <w:r>
              <w:rPr>
                <w:rFonts w:hAnsi="宋体" w:cs="宋体"/>
                <w:sz w:val="21"/>
                <w:szCs w:val="21"/>
                <w:lang w:bidi="ar"/>
              </w:rPr>
              <w:t>电梯停电困人时，通过操作紧急操作盘活救援装置上救援开关，控制轿厢低速运行到平层位置</w:t>
            </w:r>
          </w:p>
        </w:tc>
      </w:tr>
      <w:tr w14:paraId="6AED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18C01B2">
            <w:pPr>
              <w:snapToGrid w:val="0"/>
              <w:spacing w:line="320" w:lineRule="exact"/>
              <w:jc w:val="center"/>
              <w:rPr>
                <w:rFonts w:hAnsi="宋体" w:cs="宋体"/>
                <w:sz w:val="21"/>
                <w:szCs w:val="21"/>
              </w:rPr>
            </w:pPr>
            <w:r>
              <w:rPr>
                <w:rFonts w:hAnsi="宋体" w:cs="宋体"/>
                <w:sz w:val="21"/>
                <w:szCs w:val="21"/>
              </w:rPr>
              <w:t>37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389BDDD6">
            <w:pPr>
              <w:widowControl/>
              <w:snapToGrid w:val="0"/>
              <w:spacing w:line="320" w:lineRule="exact"/>
              <w:textAlignment w:val="center"/>
              <w:rPr>
                <w:rFonts w:hAnsi="宋体" w:cs="宋体"/>
                <w:sz w:val="21"/>
                <w:szCs w:val="21"/>
                <w:lang w:bidi="ar"/>
              </w:rPr>
            </w:pPr>
            <w:r>
              <w:rPr>
                <w:rFonts w:hAnsi="宋体" w:cs="宋体"/>
                <w:sz w:val="21"/>
                <w:szCs w:val="21"/>
                <w:lang w:bidi="ar"/>
              </w:rPr>
              <w:t>自动救援操作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726A1D1">
            <w:pPr>
              <w:snapToGrid w:val="0"/>
              <w:spacing w:line="320" w:lineRule="exact"/>
              <w:ind w:firstLine="315" w:firstLineChars="150"/>
              <w:rPr>
                <w:rFonts w:hAnsi="宋体" w:cs="宋体"/>
                <w:sz w:val="21"/>
                <w:szCs w:val="21"/>
              </w:rPr>
            </w:pPr>
            <w:r>
              <w:rPr>
                <w:rFonts w:hAnsi="宋体" w:cs="宋体"/>
                <w:sz w:val="21"/>
                <w:szCs w:val="21"/>
                <w:lang w:bidi="ar"/>
              </w:rPr>
              <w:t>电梯正常运行中突然断电急停后，该装置会迅速动作，当检测到系统处于安全状态下，驱动电梯低速运行到平层位置开门疏散乘客</w:t>
            </w:r>
          </w:p>
        </w:tc>
      </w:tr>
      <w:tr w14:paraId="32B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E7CC6DE">
            <w:pPr>
              <w:snapToGrid w:val="0"/>
              <w:spacing w:line="320" w:lineRule="exact"/>
              <w:jc w:val="center"/>
              <w:rPr>
                <w:rFonts w:hAnsi="宋体" w:cs="宋体"/>
                <w:sz w:val="21"/>
                <w:szCs w:val="21"/>
              </w:rPr>
            </w:pPr>
            <w:r>
              <w:rPr>
                <w:rFonts w:hAnsi="宋体" w:cs="宋体"/>
                <w:sz w:val="21"/>
                <w:szCs w:val="21"/>
              </w:rPr>
              <w:t>38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C9362FF">
            <w:pPr>
              <w:widowControl/>
              <w:snapToGrid w:val="0"/>
              <w:spacing w:line="320" w:lineRule="exact"/>
              <w:textAlignment w:val="center"/>
              <w:rPr>
                <w:rFonts w:hAnsi="宋体" w:cs="宋体"/>
                <w:sz w:val="21"/>
                <w:szCs w:val="21"/>
                <w:lang w:bidi="ar"/>
              </w:rPr>
            </w:pPr>
            <w:r>
              <w:rPr>
                <w:rFonts w:hAnsi="宋体" w:cs="宋体"/>
                <w:sz w:val="21"/>
                <w:szCs w:val="21"/>
                <w:lang w:bidi="ar"/>
              </w:rPr>
              <w:t>底坑进水报警</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DA480B9">
            <w:pPr>
              <w:snapToGrid w:val="0"/>
              <w:spacing w:line="320" w:lineRule="exact"/>
              <w:ind w:firstLine="315" w:firstLineChars="150"/>
              <w:rPr>
                <w:rFonts w:hAnsi="宋体" w:cs="宋体"/>
                <w:sz w:val="21"/>
                <w:szCs w:val="21"/>
              </w:rPr>
            </w:pPr>
            <w:r>
              <w:rPr>
                <w:rFonts w:hAnsi="宋体" w:cs="宋体"/>
                <w:sz w:val="21"/>
                <w:szCs w:val="21"/>
                <w:lang w:bidi="ar"/>
              </w:rPr>
              <w:t>检测到底坑积水到一定水位时，电梯就近平层，提供报警信号输出</w:t>
            </w:r>
          </w:p>
        </w:tc>
      </w:tr>
      <w:tr w14:paraId="5A28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CD02436">
            <w:pPr>
              <w:snapToGrid w:val="0"/>
              <w:spacing w:line="320" w:lineRule="exact"/>
              <w:jc w:val="center"/>
              <w:rPr>
                <w:rFonts w:hAnsi="宋体" w:cs="宋体"/>
                <w:sz w:val="21"/>
                <w:szCs w:val="21"/>
              </w:rPr>
            </w:pPr>
            <w:r>
              <w:rPr>
                <w:rFonts w:hAnsi="宋体" w:cs="宋体"/>
                <w:sz w:val="21"/>
                <w:szCs w:val="21"/>
              </w:rPr>
              <w:t>39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CAFD6E6">
            <w:pPr>
              <w:widowControl/>
              <w:snapToGrid w:val="0"/>
              <w:spacing w:line="320" w:lineRule="exact"/>
              <w:textAlignment w:val="center"/>
              <w:rPr>
                <w:rFonts w:hAnsi="宋体" w:cs="宋体"/>
                <w:sz w:val="21"/>
                <w:szCs w:val="21"/>
                <w:lang w:bidi="ar"/>
              </w:rPr>
            </w:pPr>
            <w:r>
              <w:rPr>
                <w:rFonts w:hAnsi="宋体" w:cs="宋体"/>
                <w:sz w:val="21"/>
                <w:szCs w:val="21"/>
                <w:lang w:bidi="ar"/>
              </w:rPr>
              <w:t>电梯状态监控系统</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7D7E958">
            <w:pPr>
              <w:snapToGrid w:val="0"/>
              <w:spacing w:line="320" w:lineRule="exact"/>
              <w:rPr>
                <w:rFonts w:hAnsi="宋体" w:cs="宋体"/>
                <w:sz w:val="21"/>
                <w:szCs w:val="21"/>
              </w:rPr>
            </w:pPr>
            <w:r>
              <w:rPr>
                <w:rFonts w:hAnsi="宋体" w:cs="宋体"/>
                <w:sz w:val="21"/>
                <w:szCs w:val="21"/>
                <w:lang w:bidi="ar"/>
              </w:rPr>
              <w:t>监测电梯运行及位置情况，必要时提供运行指令</w:t>
            </w:r>
          </w:p>
        </w:tc>
      </w:tr>
      <w:tr w14:paraId="20D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A890737">
            <w:pPr>
              <w:snapToGrid w:val="0"/>
              <w:spacing w:line="320" w:lineRule="exact"/>
              <w:jc w:val="center"/>
              <w:rPr>
                <w:rFonts w:hAnsi="宋体" w:cs="宋体"/>
                <w:sz w:val="21"/>
                <w:szCs w:val="21"/>
              </w:rPr>
            </w:pPr>
            <w:r>
              <w:rPr>
                <w:rFonts w:hAnsi="宋体" w:cs="宋体"/>
                <w:sz w:val="21"/>
                <w:szCs w:val="21"/>
              </w:rPr>
              <w:t>40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7616B97">
            <w:pPr>
              <w:widowControl/>
              <w:snapToGrid w:val="0"/>
              <w:spacing w:line="320" w:lineRule="exact"/>
              <w:textAlignment w:val="center"/>
              <w:rPr>
                <w:rFonts w:hAnsi="宋体" w:cs="宋体"/>
                <w:sz w:val="21"/>
                <w:szCs w:val="21"/>
                <w:lang w:bidi="ar"/>
              </w:rPr>
            </w:pPr>
            <w:r>
              <w:rPr>
                <w:rFonts w:hAnsi="宋体" w:cs="宋体"/>
                <w:sz w:val="21"/>
                <w:szCs w:val="21"/>
                <w:lang w:bidi="ar"/>
              </w:rPr>
              <w:t>门系统自动回路断路器</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088380B">
            <w:pPr>
              <w:snapToGrid w:val="0"/>
              <w:spacing w:line="320" w:lineRule="exact"/>
              <w:ind w:firstLine="315" w:firstLineChars="150"/>
              <w:rPr>
                <w:rFonts w:hAnsi="宋体" w:cs="宋体"/>
                <w:sz w:val="21"/>
                <w:szCs w:val="21"/>
              </w:rPr>
            </w:pPr>
            <w:r>
              <w:rPr>
                <w:rFonts w:hAnsi="宋体" w:cs="宋体"/>
                <w:sz w:val="21"/>
                <w:szCs w:val="21"/>
                <w:lang w:bidi="ar"/>
              </w:rPr>
              <w:t>控制柜内配置的可切断门机电源供电的断路器</w:t>
            </w:r>
          </w:p>
        </w:tc>
      </w:tr>
      <w:tr w14:paraId="281E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C76BE80">
            <w:pPr>
              <w:snapToGrid w:val="0"/>
              <w:spacing w:line="320" w:lineRule="exact"/>
              <w:ind w:firstLine="315" w:firstLineChars="150"/>
              <w:rPr>
                <w:rFonts w:hAnsi="宋体" w:cs="宋体"/>
                <w:sz w:val="21"/>
                <w:szCs w:val="21"/>
              </w:rPr>
            </w:pPr>
            <w:r>
              <w:rPr>
                <w:rFonts w:hAnsi="宋体" w:cs="宋体"/>
                <w:sz w:val="21"/>
                <w:szCs w:val="21"/>
              </w:rPr>
              <w:t xml:space="preserve">电梯安全功能 </w:t>
            </w:r>
          </w:p>
        </w:tc>
      </w:tr>
      <w:tr w14:paraId="05E5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34169D4">
            <w:pPr>
              <w:snapToGrid w:val="0"/>
              <w:spacing w:line="320" w:lineRule="exact"/>
              <w:jc w:val="center"/>
              <w:rPr>
                <w:rFonts w:hAnsi="宋体" w:cs="宋体"/>
                <w:sz w:val="21"/>
                <w:szCs w:val="21"/>
              </w:rPr>
            </w:pPr>
            <w:r>
              <w:rPr>
                <w:rFonts w:hAnsi="宋体" w:cs="宋体"/>
                <w:sz w:val="21"/>
                <w:szCs w:val="21"/>
              </w:rPr>
              <w:t>41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84CEF66">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抱闸力自动检测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1FEDCEA">
            <w:pPr>
              <w:snapToGrid w:val="0"/>
              <w:spacing w:line="320" w:lineRule="exact"/>
              <w:ind w:firstLine="315" w:firstLineChars="150"/>
              <w:rPr>
                <w:rFonts w:hAnsi="宋体" w:cs="宋体"/>
                <w:sz w:val="21"/>
                <w:szCs w:val="21"/>
              </w:rPr>
            </w:pPr>
            <w:r>
              <w:rPr>
                <w:rFonts w:hAnsi="宋体" w:cs="宋体"/>
                <w:sz w:val="21"/>
                <w:szCs w:val="21"/>
                <w:lang w:bidi="ar"/>
              </w:rPr>
              <w:t xml:space="preserve">系统将定期自动对制动器的制动力进行检测，如制动力不符合要求，采取保护措施。 </w:t>
            </w:r>
          </w:p>
        </w:tc>
      </w:tr>
      <w:tr w14:paraId="66C6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B2D51B7">
            <w:pPr>
              <w:snapToGrid w:val="0"/>
              <w:spacing w:line="320" w:lineRule="exact"/>
              <w:jc w:val="center"/>
              <w:rPr>
                <w:rFonts w:hAnsi="宋体" w:cs="宋体"/>
                <w:sz w:val="21"/>
                <w:szCs w:val="21"/>
              </w:rPr>
            </w:pPr>
            <w:r>
              <w:rPr>
                <w:rFonts w:hAnsi="宋体" w:cs="宋体"/>
                <w:sz w:val="21"/>
                <w:szCs w:val="21"/>
              </w:rPr>
              <w:t>42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49712C0">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红外线光幕保护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5FB1474">
            <w:pPr>
              <w:snapToGrid w:val="0"/>
              <w:spacing w:line="320" w:lineRule="exact"/>
              <w:ind w:firstLine="315" w:firstLineChars="150"/>
              <w:rPr>
                <w:rFonts w:hAnsi="宋体" w:cs="宋体"/>
                <w:sz w:val="21"/>
                <w:szCs w:val="21"/>
              </w:rPr>
            </w:pPr>
            <w:r>
              <w:rPr>
                <w:rFonts w:hAnsi="宋体" w:cs="宋体"/>
                <w:sz w:val="21"/>
                <w:szCs w:val="21"/>
                <w:lang w:bidi="ar"/>
              </w:rPr>
              <w:t xml:space="preserve">红外线光幕被遮挡时，关门动作立即停止且自动开门。红外线光 174束及以上且不得有盲区，需覆盖门机所有断面 </w:t>
            </w:r>
          </w:p>
        </w:tc>
      </w:tr>
      <w:tr w14:paraId="64CE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FED535E">
            <w:pPr>
              <w:snapToGrid w:val="0"/>
              <w:spacing w:line="320" w:lineRule="exact"/>
              <w:jc w:val="center"/>
              <w:rPr>
                <w:rFonts w:hAnsi="宋体" w:cs="宋体"/>
                <w:sz w:val="21"/>
                <w:szCs w:val="21"/>
              </w:rPr>
            </w:pPr>
            <w:r>
              <w:rPr>
                <w:rFonts w:hAnsi="宋体" w:cs="宋体"/>
                <w:sz w:val="21"/>
                <w:szCs w:val="21"/>
              </w:rPr>
              <w:t>43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1595A63">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超载停驶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83730D7">
            <w:pPr>
              <w:snapToGrid w:val="0"/>
              <w:spacing w:line="320" w:lineRule="exact"/>
              <w:ind w:firstLine="315" w:firstLineChars="150"/>
              <w:rPr>
                <w:rFonts w:hAnsi="宋体" w:cs="宋体"/>
                <w:sz w:val="21"/>
                <w:szCs w:val="21"/>
              </w:rPr>
            </w:pPr>
            <w:r>
              <w:rPr>
                <w:rFonts w:hAnsi="宋体" w:cs="宋体"/>
                <w:sz w:val="21"/>
                <w:szCs w:val="21"/>
                <w:lang w:bidi="ar"/>
              </w:rPr>
              <w:t xml:space="preserve">轿厢超载时，电梯门常开，蜂鸣器鸣响并停止于该层站。 </w:t>
            </w:r>
          </w:p>
        </w:tc>
      </w:tr>
      <w:tr w14:paraId="568F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BB1EC73">
            <w:pPr>
              <w:snapToGrid w:val="0"/>
              <w:spacing w:line="320" w:lineRule="exact"/>
              <w:jc w:val="center"/>
              <w:rPr>
                <w:rFonts w:hAnsi="宋体" w:cs="宋体"/>
                <w:sz w:val="21"/>
                <w:szCs w:val="21"/>
              </w:rPr>
            </w:pPr>
            <w:r>
              <w:rPr>
                <w:rFonts w:hAnsi="宋体" w:cs="宋体"/>
                <w:sz w:val="21"/>
                <w:szCs w:val="21"/>
              </w:rPr>
              <w:t>44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AB2F165">
            <w:pPr>
              <w:widowControl/>
              <w:snapToGrid w:val="0"/>
              <w:spacing w:line="320" w:lineRule="exact"/>
              <w:textAlignment w:val="center"/>
              <w:rPr>
                <w:rFonts w:hAnsi="宋体" w:cs="宋体"/>
                <w:sz w:val="21"/>
                <w:szCs w:val="21"/>
                <w:lang w:bidi="ar"/>
              </w:rPr>
            </w:pPr>
            <w:r>
              <w:rPr>
                <w:rFonts w:hAnsi="宋体" w:cs="宋体"/>
                <w:sz w:val="21"/>
                <w:szCs w:val="21"/>
                <w:lang w:bidi="ar"/>
              </w:rPr>
              <w:t>曳引绳滑动检测</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7046F9B">
            <w:pPr>
              <w:snapToGrid w:val="0"/>
              <w:spacing w:line="320" w:lineRule="exact"/>
              <w:ind w:firstLine="315" w:firstLineChars="150"/>
              <w:rPr>
                <w:rFonts w:hAnsi="宋体" w:cs="宋体"/>
                <w:sz w:val="21"/>
                <w:szCs w:val="21"/>
              </w:rPr>
            </w:pPr>
            <w:r>
              <w:rPr>
                <w:rFonts w:hAnsi="宋体" w:cs="宋体"/>
                <w:sz w:val="21"/>
                <w:szCs w:val="21"/>
                <w:lang w:bidi="ar"/>
              </w:rPr>
              <w:t xml:space="preserve">实时检测电梯运行位置偏移量，钢丝绳打滑超出允许值时，电梯减速，停止运行。  </w:t>
            </w:r>
          </w:p>
        </w:tc>
      </w:tr>
      <w:tr w14:paraId="3146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2A90E94">
            <w:pPr>
              <w:snapToGrid w:val="0"/>
              <w:spacing w:line="320" w:lineRule="exact"/>
              <w:jc w:val="center"/>
              <w:rPr>
                <w:rFonts w:hAnsi="宋体" w:cs="宋体"/>
                <w:sz w:val="21"/>
                <w:szCs w:val="21"/>
              </w:rPr>
            </w:pPr>
            <w:r>
              <w:rPr>
                <w:rFonts w:hAnsi="宋体" w:cs="宋体"/>
                <w:sz w:val="21"/>
                <w:szCs w:val="21"/>
              </w:rPr>
              <w:t>45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FBA1415">
            <w:pPr>
              <w:widowControl/>
              <w:snapToGrid w:val="0"/>
              <w:spacing w:line="320" w:lineRule="exact"/>
              <w:textAlignment w:val="center"/>
              <w:rPr>
                <w:rFonts w:hAnsi="宋体" w:cs="宋体"/>
                <w:sz w:val="21"/>
                <w:szCs w:val="21"/>
                <w:lang w:bidi="ar"/>
              </w:rPr>
            </w:pPr>
            <w:r>
              <w:rPr>
                <w:rFonts w:hAnsi="宋体" w:cs="宋体"/>
                <w:sz w:val="21"/>
                <w:szCs w:val="21"/>
                <w:lang w:bidi="ar"/>
              </w:rPr>
              <w:t>检修操作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FD918EC">
            <w:pPr>
              <w:snapToGrid w:val="0"/>
              <w:spacing w:line="320" w:lineRule="exact"/>
              <w:ind w:firstLine="315" w:firstLineChars="150"/>
              <w:rPr>
                <w:rFonts w:hAnsi="宋体" w:cs="宋体"/>
                <w:sz w:val="21"/>
                <w:szCs w:val="21"/>
              </w:rPr>
            </w:pPr>
            <w:r>
              <w:rPr>
                <w:rFonts w:hAnsi="宋体" w:cs="宋体"/>
                <w:sz w:val="21"/>
                <w:szCs w:val="21"/>
                <w:lang w:bidi="ar"/>
              </w:rPr>
              <w:t>当进入检修状态时，轿厢以低速点动运行</w:t>
            </w:r>
          </w:p>
        </w:tc>
      </w:tr>
      <w:tr w14:paraId="2F87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A6D1600">
            <w:pPr>
              <w:snapToGrid w:val="0"/>
              <w:spacing w:line="320" w:lineRule="exact"/>
              <w:jc w:val="center"/>
              <w:rPr>
                <w:rFonts w:hAnsi="宋体" w:cs="宋体"/>
                <w:sz w:val="21"/>
                <w:szCs w:val="21"/>
              </w:rPr>
            </w:pPr>
            <w:r>
              <w:rPr>
                <w:rFonts w:hAnsi="宋体" w:cs="宋体"/>
                <w:sz w:val="21"/>
                <w:szCs w:val="21"/>
              </w:rPr>
              <w:t>46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48F81F0">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故障自诊断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26CE751">
            <w:pPr>
              <w:snapToGrid w:val="0"/>
              <w:spacing w:line="320" w:lineRule="exact"/>
              <w:ind w:firstLine="315" w:firstLineChars="150"/>
              <w:rPr>
                <w:rFonts w:hAnsi="宋体" w:cs="宋体"/>
                <w:sz w:val="21"/>
                <w:szCs w:val="21"/>
              </w:rPr>
            </w:pPr>
            <w:r>
              <w:rPr>
                <w:rFonts w:hAnsi="宋体" w:cs="宋体"/>
                <w:sz w:val="21"/>
                <w:szCs w:val="21"/>
                <w:lang w:bidi="ar"/>
              </w:rPr>
              <w:t xml:space="preserve">系统自动获取故障发生时的状态信息，以便快速排除故障，迅速 恢复电梯运行。 </w:t>
            </w:r>
          </w:p>
        </w:tc>
      </w:tr>
      <w:tr w14:paraId="77DE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E28F589">
            <w:pPr>
              <w:snapToGrid w:val="0"/>
              <w:spacing w:line="320" w:lineRule="exact"/>
              <w:jc w:val="center"/>
              <w:rPr>
                <w:rFonts w:hAnsi="宋体" w:cs="宋体"/>
                <w:sz w:val="21"/>
                <w:szCs w:val="21"/>
              </w:rPr>
            </w:pPr>
            <w:r>
              <w:rPr>
                <w:rFonts w:hAnsi="宋体" w:cs="宋体"/>
                <w:sz w:val="21"/>
                <w:szCs w:val="21"/>
              </w:rPr>
              <w:t>47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BE8FBC6">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重复开关门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301040D">
            <w:pPr>
              <w:snapToGrid w:val="0"/>
              <w:spacing w:line="320" w:lineRule="exact"/>
              <w:ind w:firstLine="315" w:firstLineChars="150"/>
              <w:rPr>
                <w:rFonts w:hAnsi="宋体" w:cs="宋体"/>
                <w:sz w:val="21"/>
                <w:szCs w:val="21"/>
              </w:rPr>
            </w:pPr>
            <w:r>
              <w:rPr>
                <w:rFonts w:hAnsi="宋体" w:cs="宋体"/>
                <w:sz w:val="21"/>
                <w:szCs w:val="21"/>
                <w:lang w:bidi="ar"/>
              </w:rPr>
              <w:t xml:space="preserve">电梯开关门时因阻碍或干扰，电梯门会重复打开或关闭。 </w:t>
            </w:r>
          </w:p>
        </w:tc>
      </w:tr>
      <w:tr w14:paraId="2DB0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AA5FAAC">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48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7E90CE9">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上下越层及上下极限保护装置 </w:t>
            </w:r>
          </w:p>
        </w:tc>
        <w:tc>
          <w:tcPr>
            <w:tcW w:w="6400" w:type="dxa"/>
            <w:tcBorders>
              <w:top w:val="single" w:color="auto" w:sz="4" w:space="0"/>
              <w:left w:val="single" w:color="auto" w:sz="4" w:space="0"/>
              <w:bottom w:val="single" w:color="auto" w:sz="4" w:space="0"/>
              <w:right w:val="single" w:color="auto" w:sz="4" w:space="0"/>
              <w:tl2br w:val="nil"/>
              <w:tr2bl w:val="nil"/>
            </w:tcBorders>
          </w:tcPr>
          <w:p w14:paraId="608C4C7D">
            <w:pPr>
              <w:widowControl/>
              <w:snapToGrid w:val="0"/>
              <w:spacing w:line="320" w:lineRule="exact"/>
              <w:textAlignment w:val="center"/>
              <w:rPr>
                <w:rFonts w:hAnsi="宋体" w:cs="宋体"/>
                <w:sz w:val="21"/>
                <w:szCs w:val="21"/>
                <w:lang w:bidi="ar"/>
              </w:rPr>
            </w:pPr>
            <w:r>
              <w:rPr>
                <w:rFonts w:hAnsi="宋体" w:cs="宋体"/>
                <w:sz w:val="21"/>
                <w:szCs w:val="21"/>
                <w:lang w:bidi="ar"/>
              </w:rPr>
              <w:t>该装置可有效的防止当电梯万一发生失控时的冲顶或撞底现象，使电梯更安全可靠。</w:t>
            </w:r>
          </w:p>
        </w:tc>
      </w:tr>
      <w:tr w14:paraId="62A0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0696BB8">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49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61A54ED">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下行超速保护装置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E8E78BF">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当电梯下行运行超速时，该装置自动切断控制电源，使电机停止运转，安全钳动作，强制电梯停止运行。 </w:t>
            </w:r>
          </w:p>
        </w:tc>
      </w:tr>
      <w:tr w14:paraId="0F3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10BE6CC">
            <w:pPr>
              <w:snapToGrid w:val="0"/>
              <w:spacing w:line="320" w:lineRule="exact"/>
              <w:jc w:val="center"/>
              <w:rPr>
                <w:rFonts w:hAnsi="宋体" w:cs="宋体"/>
                <w:sz w:val="21"/>
                <w:szCs w:val="21"/>
              </w:rPr>
            </w:pPr>
            <w:r>
              <w:rPr>
                <w:rFonts w:hAnsi="宋体" w:cs="宋体"/>
                <w:sz w:val="21"/>
                <w:szCs w:val="21"/>
              </w:rPr>
              <w:t>50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411395E">
            <w:pPr>
              <w:widowControl/>
              <w:snapToGrid w:val="0"/>
              <w:spacing w:line="320" w:lineRule="exact"/>
              <w:textAlignment w:val="center"/>
              <w:rPr>
                <w:rFonts w:hAnsi="宋体" w:cs="宋体"/>
                <w:sz w:val="21"/>
                <w:szCs w:val="21"/>
                <w:lang w:bidi="ar"/>
              </w:rPr>
            </w:pPr>
            <w:r>
              <w:rPr>
                <w:rFonts w:hAnsi="宋体" w:cs="宋体"/>
                <w:sz w:val="21"/>
                <w:szCs w:val="21"/>
                <w:lang w:bidi="ar"/>
              </w:rPr>
              <w:t>延时驱动保护</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251904B">
            <w:pPr>
              <w:snapToGrid w:val="0"/>
              <w:spacing w:line="320" w:lineRule="exact"/>
              <w:ind w:firstLine="315" w:firstLineChars="150"/>
              <w:rPr>
                <w:rFonts w:hAnsi="宋体" w:cs="宋体"/>
                <w:sz w:val="21"/>
                <w:szCs w:val="21"/>
              </w:rPr>
            </w:pPr>
            <w:r>
              <w:rPr>
                <w:rFonts w:hAnsi="宋体" w:cs="宋体"/>
                <w:sz w:val="21"/>
                <w:szCs w:val="21"/>
                <w:lang w:bidi="ar"/>
              </w:rPr>
              <w:t>拽引机持续运转时间超过国标限定时，系统自动进入保护状态</w:t>
            </w:r>
          </w:p>
        </w:tc>
      </w:tr>
      <w:tr w14:paraId="4566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66E91D1">
            <w:pPr>
              <w:snapToGrid w:val="0"/>
              <w:spacing w:line="320" w:lineRule="exact"/>
              <w:jc w:val="center"/>
              <w:rPr>
                <w:rFonts w:hAnsi="宋体" w:cs="宋体"/>
                <w:sz w:val="21"/>
                <w:szCs w:val="21"/>
              </w:rPr>
            </w:pPr>
            <w:r>
              <w:rPr>
                <w:rFonts w:hAnsi="宋体" w:cs="宋体"/>
                <w:sz w:val="21"/>
                <w:szCs w:val="21"/>
              </w:rPr>
              <w:t>51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5060619">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安全回路保 护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CB6A5E5">
            <w:pPr>
              <w:snapToGrid w:val="0"/>
              <w:spacing w:line="320" w:lineRule="exact"/>
              <w:ind w:firstLine="315" w:firstLineChars="150"/>
              <w:rPr>
                <w:rFonts w:hAnsi="宋体" w:cs="宋体"/>
                <w:sz w:val="21"/>
                <w:szCs w:val="21"/>
              </w:rPr>
            </w:pPr>
            <w:r>
              <w:rPr>
                <w:rFonts w:hAnsi="宋体" w:cs="宋体"/>
                <w:sz w:val="21"/>
                <w:szCs w:val="21"/>
                <w:lang w:bidi="ar"/>
              </w:rPr>
              <w:t xml:space="preserve">安全回路断开或安全回路接触器粘连，电梯立即停止。 </w:t>
            </w:r>
          </w:p>
        </w:tc>
      </w:tr>
      <w:tr w14:paraId="775C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698207F">
            <w:pPr>
              <w:snapToGrid w:val="0"/>
              <w:spacing w:line="320" w:lineRule="exact"/>
              <w:jc w:val="center"/>
              <w:rPr>
                <w:rFonts w:hAnsi="宋体" w:cs="宋体"/>
                <w:sz w:val="21"/>
                <w:szCs w:val="21"/>
              </w:rPr>
            </w:pPr>
            <w:r>
              <w:rPr>
                <w:rFonts w:hAnsi="宋体" w:cs="宋体"/>
                <w:sz w:val="21"/>
                <w:szCs w:val="21"/>
              </w:rPr>
              <w:t>52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E974F4F">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门连锁保护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15E92A9F">
            <w:pPr>
              <w:snapToGrid w:val="0"/>
              <w:spacing w:line="320" w:lineRule="exact"/>
              <w:ind w:firstLine="315" w:firstLineChars="150"/>
              <w:rPr>
                <w:rFonts w:hAnsi="宋体" w:cs="宋体"/>
                <w:sz w:val="21"/>
                <w:szCs w:val="21"/>
              </w:rPr>
            </w:pPr>
            <w:r>
              <w:rPr>
                <w:rFonts w:hAnsi="宋体" w:cs="宋体"/>
                <w:sz w:val="21"/>
                <w:szCs w:val="21"/>
                <w:lang w:bidi="ar"/>
              </w:rPr>
              <w:t xml:space="preserve">门全部关闭，电梯方可运行，或门锁接触器粘连，电梯立即停止。 </w:t>
            </w:r>
          </w:p>
        </w:tc>
      </w:tr>
      <w:tr w14:paraId="5F5B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45CD1F7">
            <w:pPr>
              <w:snapToGrid w:val="0"/>
              <w:spacing w:line="320" w:lineRule="exact"/>
              <w:jc w:val="center"/>
              <w:rPr>
                <w:rFonts w:hAnsi="宋体" w:cs="宋体"/>
                <w:sz w:val="21"/>
                <w:szCs w:val="21"/>
              </w:rPr>
            </w:pPr>
            <w:r>
              <w:rPr>
                <w:rFonts w:hAnsi="宋体" w:cs="宋体"/>
                <w:sz w:val="21"/>
                <w:szCs w:val="21"/>
              </w:rPr>
              <w:t>53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971B8F4">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抱闸检测保护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38042AF">
            <w:pPr>
              <w:snapToGrid w:val="0"/>
              <w:spacing w:line="320" w:lineRule="exact"/>
              <w:ind w:firstLine="315" w:firstLineChars="150"/>
              <w:rPr>
                <w:rFonts w:hAnsi="宋体" w:cs="宋体"/>
                <w:sz w:val="21"/>
                <w:szCs w:val="21"/>
              </w:rPr>
            </w:pPr>
            <w:r>
              <w:rPr>
                <w:rFonts w:hAnsi="宋体" w:cs="宋体"/>
                <w:sz w:val="21"/>
                <w:szCs w:val="21"/>
                <w:lang w:bidi="ar"/>
              </w:rPr>
              <w:t xml:space="preserve">对抱闸的打开或闭合实时检测，若发生异常，或抱闸接触器粘连， 电梯禁止启动。 </w:t>
            </w:r>
          </w:p>
        </w:tc>
      </w:tr>
      <w:tr w14:paraId="02F3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B622BF8">
            <w:pPr>
              <w:snapToGrid w:val="0"/>
              <w:spacing w:line="320" w:lineRule="exact"/>
              <w:jc w:val="center"/>
              <w:rPr>
                <w:rFonts w:hAnsi="宋体" w:cs="宋体"/>
                <w:sz w:val="21"/>
                <w:szCs w:val="21"/>
              </w:rPr>
            </w:pPr>
            <w:r>
              <w:rPr>
                <w:rFonts w:hAnsi="宋体" w:cs="宋体"/>
                <w:sz w:val="21"/>
                <w:szCs w:val="21"/>
              </w:rPr>
              <w:t>54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079959F">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电压自动识 别功能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F1F50CB">
            <w:pPr>
              <w:snapToGrid w:val="0"/>
              <w:spacing w:line="320" w:lineRule="exact"/>
              <w:ind w:firstLine="315" w:firstLineChars="150"/>
              <w:rPr>
                <w:rFonts w:hAnsi="宋体" w:cs="宋体"/>
                <w:sz w:val="21"/>
                <w:szCs w:val="21"/>
              </w:rPr>
            </w:pPr>
            <w:r>
              <w:rPr>
                <w:rFonts w:hAnsi="宋体" w:cs="宋体"/>
                <w:sz w:val="21"/>
                <w:szCs w:val="21"/>
                <w:lang w:bidi="ar"/>
              </w:rPr>
              <w:t xml:space="preserve">系统通过检测输入电压的大小，自动调节电梯运行速度，以适应电源功率不足的情况（如应急运行）。 </w:t>
            </w:r>
          </w:p>
        </w:tc>
      </w:tr>
      <w:tr w14:paraId="5D37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963F1E7">
            <w:pPr>
              <w:snapToGrid w:val="0"/>
              <w:spacing w:line="320" w:lineRule="exact"/>
              <w:jc w:val="center"/>
              <w:rPr>
                <w:rFonts w:hAnsi="宋体" w:cs="宋体"/>
                <w:sz w:val="21"/>
                <w:szCs w:val="21"/>
              </w:rPr>
            </w:pPr>
            <w:r>
              <w:rPr>
                <w:rFonts w:hAnsi="宋体" w:cs="宋体"/>
                <w:sz w:val="21"/>
                <w:szCs w:val="21"/>
              </w:rPr>
              <w:t>55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62FE5A15">
            <w:pPr>
              <w:widowControl/>
              <w:snapToGrid w:val="0"/>
              <w:spacing w:line="320" w:lineRule="exact"/>
              <w:textAlignment w:val="center"/>
              <w:rPr>
                <w:rFonts w:hAnsi="宋体" w:cs="宋体"/>
                <w:sz w:val="21"/>
                <w:szCs w:val="21"/>
                <w:lang w:bidi="ar"/>
              </w:rPr>
            </w:pPr>
            <w:r>
              <w:rPr>
                <w:rFonts w:hAnsi="宋体" w:cs="宋体"/>
                <w:sz w:val="21"/>
                <w:szCs w:val="21"/>
                <w:lang w:bidi="ar"/>
              </w:rPr>
              <w:t>防捣乱操作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E251850">
            <w:pPr>
              <w:snapToGrid w:val="0"/>
              <w:spacing w:line="320" w:lineRule="exact"/>
              <w:ind w:firstLine="315" w:firstLineChars="150"/>
              <w:rPr>
                <w:rFonts w:hAnsi="宋体" w:cs="宋体"/>
                <w:sz w:val="21"/>
                <w:szCs w:val="21"/>
              </w:rPr>
            </w:pPr>
            <w:r>
              <w:rPr>
                <w:rFonts w:hAnsi="宋体" w:cs="宋体"/>
                <w:sz w:val="21"/>
                <w:szCs w:val="21"/>
                <w:lang w:bidi="ar"/>
              </w:rPr>
              <w:t>为避免空梯运行，电脑通过载重量进行逻辑判断把不正常的指令取消处理。</w:t>
            </w:r>
          </w:p>
        </w:tc>
      </w:tr>
      <w:tr w14:paraId="51BE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8E68FC1">
            <w:pPr>
              <w:snapToGrid w:val="0"/>
              <w:spacing w:line="320" w:lineRule="exact"/>
              <w:jc w:val="center"/>
              <w:rPr>
                <w:rFonts w:hAnsi="宋体" w:cs="宋体"/>
                <w:sz w:val="21"/>
                <w:szCs w:val="21"/>
              </w:rPr>
            </w:pPr>
            <w:r>
              <w:rPr>
                <w:rFonts w:hAnsi="宋体" w:cs="宋体"/>
                <w:sz w:val="21"/>
                <w:szCs w:val="21"/>
              </w:rPr>
              <w:t>56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B384917">
            <w:pPr>
              <w:widowControl/>
              <w:snapToGrid w:val="0"/>
              <w:spacing w:line="320" w:lineRule="exact"/>
              <w:textAlignment w:val="center"/>
              <w:rPr>
                <w:rFonts w:hAnsi="宋体" w:cs="宋体"/>
                <w:sz w:val="21"/>
                <w:szCs w:val="21"/>
                <w:lang w:bidi="ar"/>
              </w:rPr>
            </w:pPr>
            <w:r>
              <w:rPr>
                <w:rFonts w:hAnsi="宋体" w:cs="宋体"/>
                <w:sz w:val="21"/>
                <w:szCs w:val="21"/>
                <w:lang w:bidi="ar"/>
              </w:rPr>
              <w:t>再平层</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3D11B95">
            <w:pPr>
              <w:snapToGrid w:val="0"/>
              <w:spacing w:line="320" w:lineRule="exact"/>
              <w:ind w:firstLine="315" w:firstLineChars="150"/>
              <w:rPr>
                <w:rFonts w:hAnsi="宋体" w:cs="宋体"/>
                <w:sz w:val="21"/>
                <w:szCs w:val="21"/>
              </w:rPr>
            </w:pPr>
            <w:r>
              <w:rPr>
                <w:rFonts w:hAnsi="宋体" w:cs="宋体"/>
                <w:sz w:val="21"/>
                <w:szCs w:val="21"/>
                <w:lang w:bidi="ar"/>
              </w:rPr>
              <w:t>当由于进出乘客等原因引起负载变化使轿厢地坎与层门地坎的误差超过一定值时，电梯将会自动执行再平层，使轿厢回到准确平层位置。</w:t>
            </w:r>
          </w:p>
        </w:tc>
      </w:tr>
      <w:tr w14:paraId="492B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ACFEA84">
            <w:pPr>
              <w:snapToGrid w:val="0"/>
              <w:spacing w:line="320" w:lineRule="exact"/>
              <w:jc w:val="center"/>
              <w:rPr>
                <w:rFonts w:hAnsi="宋体" w:cs="宋体"/>
                <w:sz w:val="21"/>
                <w:szCs w:val="21"/>
              </w:rPr>
            </w:pPr>
            <w:r>
              <w:rPr>
                <w:rFonts w:hAnsi="宋体" w:cs="宋体"/>
                <w:sz w:val="21"/>
                <w:szCs w:val="21"/>
              </w:rPr>
              <w:t>57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CF58FF3">
            <w:pPr>
              <w:widowControl/>
              <w:snapToGrid w:val="0"/>
              <w:spacing w:line="320" w:lineRule="exact"/>
              <w:textAlignment w:val="center"/>
              <w:rPr>
                <w:rFonts w:hAnsi="宋体" w:cs="宋体"/>
                <w:sz w:val="21"/>
                <w:szCs w:val="21"/>
                <w:lang w:bidi="ar"/>
              </w:rPr>
            </w:pPr>
            <w:r>
              <w:rPr>
                <w:rFonts w:hAnsi="宋体" w:cs="宋体"/>
                <w:sz w:val="21"/>
                <w:szCs w:val="21"/>
                <w:lang w:bidi="ar"/>
              </w:rPr>
              <w:t>电流谐波滤波器</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5AB6ED8">
            <w:pPr>
              <w:snapToGrid w:val="0"/>
              <w:spacing w:line="320" w:lineRule="exact"/>
              <w:ind w:firstLine="315" w:firstLineChars="150"/>
              <w:rPr>
                <w:rFonts w:hAnsi="宋体" w:cs="宋体"/>
                <w:sz w:val="21"/>
                <w:szCs w:val="21"/>
              </w:rPr>
            </w:pPr>
            <w:r>
              <w:rPr>
                <w:rFonts w:hAnsi="宋体" w:cs="宋体"/>
                <w:sz w:val="21"/>
                <w:szCs w:val="21"/>
                <w:lang w:bidi="ar"/>
              </w:rPr>
              <w:t>控制柜内配置滤波器，以屏蔽变频器输入电源的谐波对变频器造成的影响。</w:t>
            </w:r>
          </w:p>
        </w:tc>
      </w:tr>
      <w:tr w14:paraId="2CE5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E1B55CB">
            <w:pPr>
              <w:snapToGrid w:val="0"/>
              <w:spacing w:line="320" w:lineRule="exact"/>
              <w:jc w:val="center"/>
              <w:rPr>
                <w:rFonts w:hAnsi="宋体" w:cs="宋体"/>
                <w:sz w:val="21"/>
                <w:szCs w:val="21"/>
              </w:rPr>
            </w:pPr>
            <w:r>
              <w:rPr>
                <w:rFonts w:hAnsi="宋体" w:cs="宋体"/>
                <w:sz w:val="21"/>
                <w:szCs w:val="21"/>
              </w:rPr>
              <w:t>58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7E386C7">
            <w:pPr>
              <w:widowControl/>
              <w:snapToGrid w:val="0"/>
              <w:spacing w:line="320" w:lineRule="exact"/>
              <w:textAlignment w:val="center"/>
              <w:rPr>
                <w:rFonts w:hAnsi="宋体" w:cs="宋体"/>
                <w:sz w:val="21"/>
                <w:szCs w:val="21"/>
                <w:lang w:bidi="ar"/>
              </w:rPr>
            </w:pPr>
            <w:r>
              <w:rPr>
                <w:rFonts w:hAnsi="宋体" w:cs="宋体"/>
                <w:sz w:val="21"/>
                <w:szCs w:val="21"/>
                <w:lang w:bidi="ar"/>
              </w:rPr>
              <w:t>轿厢意外移动</w:t>
            </w:r>
          </w:p>
          <w:p w14:paraId="0F1FC874">
            <w:pPr>
              <w:widowControl/>
              <w:snapToGrid w:val="0"/>
              <w:spacing w:line="320" w:lineRule="exact"/>
              <w:textAlignment w:val="center"/>
              <w:rPr>
                <w:rFonts w:hAnsi="宋体" w:cs="宋体"/>
                <w:sz w:val="21"/>
                <w:szCs w:val="21"/>
                <w:lang w:bidi="ar"/>
              </w:rPr>
            </w:pPr>
            <w:r>
              <w:rPr>
                <w:rFonts w:hAnsi="宋体" w:cs="宋体"/>
                <w:sz w:val="21"/>
                <w:szCs w:val="21"/>
                <w:lang w:bidi="ar"/>
              </w:rPr>
              <w:t>保护功能</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E408086">
            <w:pPr>
              <w:snapToGrid w:val="0"/>
              <w:spacing w:line="320" w:lineRule="exact"/>
              <w:ind w:firstLine="315" w:firstLineChars="150"/>
              <w:rPr>
                <w:rFonts w:hAnsi="宋体" w:cs="宋体"/>
                <w:sz w:val="21"/>
                <w:szCs w:val="21"/>
              </w:rPr>
            </w:pPr>
            <w:r>
              <w:rPr>
                <w:rFonts w:hAnsi="宋体" w:cs="宋体"/>
                <w:sz w:val="21"/>
                <w:szCs w:val="21"/>
                <w:lang w:bidi="ar"/>
              </w:rPr>
              <w:t xml:space="preserve">在开锁区域且轿门未关闭的情况下，由于相关元件失效引起轿厢 离开层站，保护装置将立即动作，停止轿厢移动。 </w:t>
            </w:r>
          </w:p>
        </w:tc>
      </w:tr>
      <w:tr w14:paraId="731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940EB39">
            <w:pPr>
              <w:snapToGrid w:val="0"/>
              <w:spacing w:line="320" w:lineRule="exact"/>
              <w:jc w:val="center"/>
              <w:rPr>
                <w:rFonts w:hAnsi="宋体" w:cs="宋体"/>
                <w:sz w:val="21"/>
                <w:szCs w:val="21"/>
              </w:rPr>
            </w:pPr>
            <w:r>
              <w:rPr>
                <w:rFonts w:hAnsi="宋体" w:cs="宋体"/>
                <w:sz w:val="21"/>
                <w:szCs w:val="21"/>
              </w:rPr>
              <w:t>59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F6B69F4">
            <w:pPr>
              <w:widowControl/>
              <w:snapToGrid w:val="0"/>
              <w:spacing w:line="320" w:lineRule="exact"/>
              <w:textAlignment w:val="center"/>
              <w:rPr>
                <w:rFonts w:hAnsi="宋体" w:cs="宋体"/>
                <w:sz w:val="21"/>
                <w:szCs w:val="21"/>
                <w:lang w:bidi="ar"/>
              </w:rPr>
            </w:pPr>
            <w:r>
              <w:rPr>
                <w:rFonts w:hAnsi="宋体" w:cs="宋体"/>
                <w:sz w:val="21"/>
                <w:szCs w:val="21"/>
                <w:lang w:bidi="ar"/>
              </w:rPr>
              <w:t>厅、轿门门锁电气联锁</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E675BC7">
            <w:pPr>
              <w:snapToGrid w:val="0"/>
              <w:spacing w:line="320" w:lineRule="exact"/>
              <w:ind w:firstLine="315" w:firstLineChars="150"/>
              <w:rPr>
                <w:rFonts w:hAnsi="宋体" w:cs="宋体"/>
                <w:sz w:val="21"/>
                <w:szCs w:val="21"/>
                <w:lang w:bidi="ar"/>
              </w:rPr>
            </w:pPr>
            <w:r>
              <w:rPr>
                <w:sz w:val="21"/>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210820</wp:posOffset>
                  </wp:positionV>
                  <wp:extent cx="1597660" cy="638810"/>
                  <wp:effectExtent l="0" t="0" r="254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1597660" cy="638810"/>
                          </a:xfrm>
                          <a:prstGeom prst="rect">
                            <a:avLst/>
                          </a:prstGeom>
                          <a:noFill/>
                          <a:ln>
                            <a:noFill/>
                          </a:ln>
                        </pic:spPr>
                      </pic:pic>
                    </a:graphicData>
                  </a:graphic>
                </wp:anchor>
              </w:drawing>
            </w:r>
            <w:r>
              <w:rPr>
                <w:rFonts w:hAnsi="宋体" w:cs="宋体"/>
                <w:sz w:val="21"/>
                <w:szCs w:val="21"/>
                <w:lang w:bidi="ar"/>
              </w:rPr>
              <w:t>如选用触针与触头/片方式的，须触针向上触头/片向下</w:t>
            </w:r>
          </w:p>
        </w:tc>
      </w:tr>
      <w:tr w14:paraId="43B0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2F3D974">
            <w:pPr>
              <w:snapToGrid w:val="0"/>
              <w:spacing w:line="320" w:lineRule="exact"/>
              <w:ind w:firstLine="315" w:firstLineChars="150"/>
              <w:rPr>
                <w:rFonts w:hAnsi="宋体" w:cs="宋体"/>
                <w:sz w:val="21"/>
                <w:szCs w:val="21"/>
              </w:rPr>
            </w:pPr>
            <w:r>
              <w:rPr>
                <w:rFonts w:hAnsi="宋体" w:cs="宋体"/>
                <w:sz w:val="21"/>
                <w:szCs w:val="21"/>
              </w:rPr>
              <w:t xml:space="preserve">人机界面 </w:t>
            </w:r>
          </w:p>
        </w:tc>
      </w:tr>
      <w:tr w14:paraId="236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3E0F602">
            <w:pPr>
              <w:snapToGrid w:val="0"/>
              <w:spacing w:line="320" w:lineRule="exact"/>
              <w:jc w:val="center"/>
              <w:rPr>
                <w:rFonts w:hAnsi="宋体" w:cs="宋体"/>
                <w:sz w:val="21"/>
                <w:szCs w:val="21"/>
              </w:rPr>
            </w:pPr>
            <w:r>
              <w:rPr>
                <w:rFonts w:hAnsi="宋体" w:cs="宋体"/>
                <w:sz w:val="21"/>
                <w:szCs w:val="21"/>
              </w:rPr>
              <w:t>60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D56A654">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微动指令按钮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5DB36EE">
            <w:pPr>
              <w:snapToGrid w:val="0"/>
              <w:spacing w:line="320" w:lineRule="exact"/>
              <w:ind w:firstLine="315" w:firstLineChars="150"/>
              <w:rPr>
                <w:rFonts w:hAnsi="宋体" w:cs="宋体"/>
                <w:sz w:val="21"/>
                <w:szCs w:val="21"/>
              </w:rPr>
            </w:pPr>
            <w:r>
              <w:rPr>
                <w:rFonts w:hAnsi="宋体" w:cs="宋体"/>
                <w:sz w:val="21"/>
                <w:szCs w:val="21"/>
                <w:lang w:bidi="ar"/>
              </w:rPr>
              <w:t xml:space="preserve">轿内操纵箱指令按钮及层站召唤按钮采用新型微动按钮。 </w:t>
            </w:r>
          </w:p>
        </w:tc>
      </w:tr>
      <w:tr w14:paraId="65B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C00D978">
            <w:pPr>
              <w:snapToGrid w:val="0"/>
              <w:spacing w:line="320" w:lineRule="exact"/>
              <w:jc w:val="center"/>
              <w:rPr>
                <w:rFonts w:hAnsi="宋体" w:cs="宋体"/>
                <w:sz w:val="21"/>
                <w:szCs w:val="21"/>
              </w:rPr>
            </w:pPr>
            <w:r>
              <w:rPr>
                <w:rFonts w:hAnsi="宋体" w:cs="宋体"/>
                <w:sz w:val="21"/>
                <w:szCs w:val="21"/>
              </w:rPr>
              <w:t>61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6EB1FCE">
            <w:pPr>
              <w:widowControl/>
              <w:snapToGrid w:val="0"/>
              <w:spacing w:line="320" w:lineRule="exact"/>
              <w:textAlignment w:val="center"/>
              <w:rPr>
                <w:rFonts w:hAnsi="宋体" w:cs="宋体"/>
                <w:sz w:val="21"/>
                <w:szCs w:val="21"/>
                <w:lang w:bidi="ar"/>
              </w:rPr>
            </w:pPr>
            <w:r>
              <w:rPr>
                <w:rFonts w:hAnsi="宋体" w:cs="宋体"/>
                <w:sz w:val="21"/>
                <w:szCs w:val="21"/>
                <w:lang w:bidi="ar"/>
              </w:rPr>
              <w:t>运行状态显示</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1FA96D0">
            <w:pPr>
              <w:snapToGrid w:val="0"/>
              <w:spacing w:line="320" w:lineRule="exact"/>
              <w:ind w:firstLine="315" w:firstLineChars="150"/>
              <w:rPr>
                <w:rFonts w:hAnsi="宋体" w:cs="宋体"/>
                <w:sz w:val="21"/>
                <w:szCs w:val="21"/>
              </w:rPr>
            </w:pPr>
            <w:r>
              <w:rPr>
                <w:rFonts w:hAnsi="宋体" w:cs="宋体"/>
                <w:sz w:val="21"/>
                <w:szCs w:val="21"/>
                <w:lang w:bidi="ar"/>
              </w:rPr>
              <w:t xml:space="preserve">系统能显示电梯运行方向、层楼、开关门、故障等信息。 </w:t>
            </w:r>
          </w:p>
        </w:tc>
      </w:tr>
      <w:tr w14:paraId="668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0E0AB51">
            <w:pPr>
              <w:snapToGrid w:val="0"/>
              <w:spacing w:line="320" w:lineRule="exact"/>
              <w:jc w:val="center"/>
              <w:rPr>
                <w:rFonts w:hAnsi="宋体" w:cs="宋体"/>
                <w:sz w:val="21"/>
                <w:szCs w:val="21"/>
              </w:rPr>
            </w:pPr>
            <w:r>
              <w:rPr>
                <w:rFonts w:hAnsi="宋体" w:cs="宋体"/>
                <w:sz w:val="21"/>
                <w:szCs w:val="21"/>
              </w:rPr>
              <w:t>62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C7E0F11">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机房选层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8A983B0">
            <w:pPr>
              <w:snapToGrid w:val="0"/>
              <w:spacing w:line="320" w:lineRule="exact"/>
              <w:ind w:firstLine="315" w:firstLineChars="150"/>
              <w:rPr>
                <w:rFonts w:hAnsi="宋体" w:cs="宋体"/>
                <w:sz w:val="21"/>
                <w:szCs w:val="21"/>
              </w:rPr>
            </w:pPr>
            <w:r>
              <w:rPr>
                <w:rFonts w:hAnsi="宋体" w:cs="宋体"/>
                <w:sz w:val="21"/>
                <w:szCs w:val="21"/>
                <w:lang w:bidi="ar"/>
              </w:rPr>
              <w:t xml:space="preserve">通过控制柜内的按键操作，进行内选登记。 </w:t>
            </w:r>
          </w:p>
        </w:tc>
      </w:tr>
      <w:tr w14:paraId="5C9C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FAA0072">
            <w:pPr>
              <w:snapToGrid w:val="0"/>
              <w:spacing w:line="320" w:lineRule="exact"/>
              <w:jc w:val="center"/>
              <w:rPr>
                <w:rFonts w:hAnsi="宋体" w:cs="宋体"/>
                <w:sz w:val="21"/>
                <w:szCs w:val="21"/>
              </w:rPr>
            </w:pPr>
            <w:r>
              <w:rPr>
                <w:rFonts w:hAnsi="宋体" w:cs="宋体"/>
                <w:sz w:val="21"/>
                <w:szCs w:val="21"/>
              </w:rPr>
              <w:t>63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83BD516">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不停层任意设定 </w:t>
            </w:r>
          </w:p>
        </w:tc>
        <w:tc>
          <w:tcPr>
            <w:tcW w:w="6400" w:type="dxa"/>
            <w:tcBorders>
              <w:top w:val="single" w:color="auto" w:sz="4" w:space="0"/>
              <w:left w:val="single" w:color="auto" w:sz="4" w:space="0"/>
              <w:bottom w:val="single" w:color="auto" w:sz="4" w:space="0"/>
              <w:right w:val="single" w:color="auto" w:sz="4" w:space="0"/>
              <w:tl2br w:val="nil"/>
              <w:tr2bl w:val="nil"/>
            </w:tcBorders>
          </w:tcPr>
          <w:p w14:paraId="55AB5D99">
            <w:pPr>
              <w:snapToGrid w:val="0"/>
              <w:spacing w:line="320" w:lineRule="exact"/>
              <w:ind w:firstLine="315" w:firstLineChars="150"/>
              <w:rPr>
                <w:rFonts w:hAnsi="宋体" w:cs="宋体"/>
                <w:sz w:val="21"/>
                <w:szCs w:val="21"/>
              </w:rPr>
            </w:pPr>
            <w:r>
              <w:rPr>
                <w:rFonts w:hAnsi="宋体" w:cs="宋体"/>
                <w:sz w:val="21"/>
                <w:szCs w:val="21"/>
                <w:lang w:bidi="ar"/>
              </w:rPr>
              <w:t xml:space="preserve">可以根据用户需要任意设定不停靠层站。 </w:t>
            </w:r>
          </w:p>
        </w:tc>
      </w:tr>
      <w:tr w14:paraId="2738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499305C">
            <w:pPr>
              <w:snapToGrid w:val="0"/>
              <w:spacing w:line="320" w:lineRule="exact"/>
              <w:jc w:val="center"/>
              <w:rPr>
                <w:rFonts w:hAnsi="宋体" w:cs="宋体"/>
                <w:sz w:val="21"/>
                <w:szCs w:val="21"/>
              </w:rPr>
            </w:pPr>
            <w:r>
              <w:rPr>
                <w:rFonts w:hAnsi="宋体" w:cs="宋体"/>
                <w:sz w:val="21"/>
                <w:szCs w:val="21"/>
              </w:rPr>
              <w:t>64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79B0FA8">
            <w:pPr>
              <w:widowControl/>
              <w:snapToGrid w:val="0"/>
              <w:spacing w:line="320" w:lineRule="exact"/>
              <w:textAlignment w:val="center"/>
              <w:rPr>
                <w:rFonts w:hAnsi="宋体" w:cs="宋体"/>
                <w:sz w:val="21"/>
                <w:szCs w:val="21"/>
                <w:lang w:bidi="ar"/>
              </w:rPr>
            </w:pPr>
            <w:r>
              <w:rPr>
                <w:rFonts w:hAnsi="宋体" w:cs="宋体"/>
                <w:sz w:val="21"/>
                <w:szCs w:val="21"/>
                <w:lang w:bidi="ar"/>
              </w:rPr>
              <w:t>大厅呼梯登记</w:t>
            </w:r>
          </w:p>
        </w:tc>
        <w:tc>
          <w:tcPr>
            <w:tcW w:w="6400" w:type="dxa"/>
            <w:tcBorders>
              <w:top w:val="single" w:color="auto" w:sz="4" w:space="0"/>
              <w:left w:val="single" w:color="auto" w:sz="4" w:space="0"/>
              <w:bottom w:val="single" w:color="auto" w:sz="4" w:space="0"/>
              <w:right w:val="single" w:color="auto" w:sz="4" w:space="0"/>
              <w:tl2br w:val="nil"/>
              <w:tr2bl w:val="nil"/>
            </w:tcBorders>
          </w:tcPr>
          <w:p w14:paraId="24E32F77">
            <w:pPr>
              <w:snapToGrid w:val="0"/>
              <w:spacing w:line="320" w:lineRule="exact"/>
              <w:ind w:firstLine="315" w:firstLineChars="150"/>
              <w:rPr>
                <w:rFonts w:hAnsi="宋体" w:cs="宋体"/>
                <w:sz w:val="21"/>
                <w:szCs w:val="21"/>
              </w:rPr>
            </w:pPr>
            <w:r>
              <w:rPr>
                <w:rFonts w:hAnsi="宋体" w:cs="宋体"/>
                <w:sz w:val="21"/>
                <w:szCs w:val="21"/>
                <w:lang w:bidi="ar"/>
              </w:rPr>
              <w:t>厅外的呼梯登记按钮，在呼梯登记成功后，此按钮的灯也会亮以指示已登记成功。</w:t>
            </w:r>
          </w:p>
        </w:tc>
      </w:tr>
      <w:tr w14:paraId="4F9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28363DB">
            <w:pPr>
              <w:snapToGrid w:val="0"/>
              <w:spacing w:line="320" w:lineRule="exact"/>
              <w:jc w:val="center"/>
              <w:rPr>
                <w:rFonts w:hAnsi="宋体" w:cs="宋体"/>
                <w:sz w:val="21"/>
                <w:szCs w:val="21"/>
              </w:rPr>
            </w:pPr>
            <w:r>
              <w:rPr>
                <w:rFonts w:hAnsi="宋体" w:cs="宋体"/>
                <w:sz w:val="21"/>
                <w:szCs w:val="21"/>
              </w:rPr>
              <w:t>65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2329656">
            <w:pPr>
              <w:widowControl/>
              <w:snapToGrid w:val="0"/>
              <w:spacing w:line="320" w:lineRule="exact"/>
              <w:textAlignment w:val="center"/>
              <w:rPr>
                <w:rFonts w:hAnsi="宋体" w:cs="宋体"/>
                <w:sz w:val="21"/>
                <w:szCs w:val="21"/>
                <w:lang w:bidi="ar"/>
              </w:rPr>
            </w:pPr>
            <w:r>
              <w:rPr>
                <w:rFonts w:hAnsi="宋体" w:cs="宋体"/>
                <w:sz w:val="21"/>
                <w:szCs w:val="21"/>
                <w:lang w:bidi="ar"/>
              </w:rPr>
              <w:t>轿厢到站钟</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A3E5A30">
            <w:pPr>
              <w:snapToGrid w:val="0"/>
              <w:spacing w:line="320" w:lineRule="exact"/>
              <w:ind w:firstLine="315" w:firstLineChars="150"/>
              <w:rPr>
                <w:rFonts w:hAnsi="宋体" w:cs="宋体"/>
                <w:sz w:val="21"/>
                <w:szCs w:val="21"/>
              </w:rPr>
            </w:pPr>
            <w:r>
              <w:rPr>
                <w:rFonts w:hAnsi="宋体" w:cs="宋体"/>
                <w:sz w:val="21"/>
                <w:szCs w:val="21"/>
                <w:lang w:bidi="ar"/>
              </w:rPr>
              <w:t>当轿厢到达指定楼层时，位于轿顶的到站钟发出响声，提醒乘客电梯已经到达。</w:t>
            </w:r>
          </w:p>
        </w:tc>
      </w:tr>
      <w:tr w14:paraId="1783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6F9E312">
            <w:pPr>
              <w:snapToGrid w:val="0"/>
              <w:spacing w:line="320" w:lineRule="exact"/>
              <w:jc w:val="center"/>
              <w:rPr>
                <w:rFonts w:hAnsi="宋体" w:cs="宋体"/>
                <w:sz w:val="21"/>
                <w:szCs w:val="21"/>
              </w:rPr>
            </w:pPr>
            <w:r>
              <w:rPr>
                <w:rFonts w:hAnsi="宋体" w:cs="宋体"/>
                <w:sz w:val="21"/>
                <w:szCs w:val="21"/>
              </w:rPr>
              <w:t>66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021017F">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运行次数及时间记录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8E33625">
            <w:pPr>
              <w:snapToGrid w:val="0"/>
              <w:spacing w:line="320" w:lineRule="exact"/>
              <w:ind w:firstLine="315" w:firstLineChars="150"/>
              <w:rPr>
                <w:rFonts w:hAnsi="宋体" w:cs="宋体"/>
                <w:sz w:val="21"/>
                <w:szCs w:val="21"/>
              </w:rPr>
            </w:pPr>
            <w:r>
              <w:rPr>
                <w:rFonts w:hAnsi="宋体" w:cs="宋体"/>
                <w:sz w:val="21"/>
                <w:szCs w:val="21"/>
                <w:lang w:bidi="ar"/>
              </w:rPr>
              <w:t xml:space="preserve">统可自动记录电梯运行次数及时间。 </w:t>
            </w:r>
          </w:p>
        </w:tc>
      </w:tr>
      <w:tr w14:paraId="1846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E168841">
            <w:pPr>
              <w:snapToGrid w:val="0"/>
              <w:spacing w:line="320" w:lineRule="exact"/>
              <w:ind w:firstLine="315" w:firstLineChars="150"/>
              <w:rPr>
                <w:rFonts w:hAnsi="宋体" w:cs="宋体"/>
                <w:sz w:val="21"/>
                <w:szCs w:val="21"/>
              </w:rPr>
            </w:pPr>
            <w:r>
              <w:rPr>
                <w:rFonts w:hAnsi="宋体" w:cs="宋体"/>
                <w:sz w:val="21"/>
                <w:szCs w:val="21"/>
              </w:rPr>
              <w:t>环保要求</w:t>
            </w:r>
          </w:p>
        </w:tc>
      </w:tr>
      <w:tr w14:paraId="1616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77DB36C4">
            <w:pPr>
              <w:snapToGrid w:val="0"/>
              <w:spacing w:line="320" w:lineRule="exact"/>
              <w:jc w:val="center"/>
              <w:rPr>
                <w:rFonts w:hAnsi="宋体" w:cs="宋体"/>
                <w:sz w:val="21"/>
                <w:szCs w:val="21"/>
              </w:rPr>
            </w:pPr>
            <w:r>
              <w:rPr>
                <w:rFonts w:hAnsi="宋体" w:cs="宋体"/>
                <w:sz w:val="21"/>
                <w:szCs w:val="21"/>
              </w:rPr>
              <w:t>67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2E0F800">
            <w:pPr>
              <w:widowControl/>
              <w:snapToGrid w:val="0"/>
              <w:spacing w:line="320" w:lineRule="exact"/>
              <w:textAlignment w:val="center"/>
              <w:rPr>
                <w:rFonts w:hAnsi="宋体" w:cs="宋体"/>
                <w:sz w:val="21"/>
                <w:szCs w:val="21"/>
                <w:lang w:bidi="ar"/>
              </w:rPr>
            </w:pPr>
            <w:r>
              <w:rPr>
                <w:rFonts w:hAnsi="宋体" w:cs="宋体"/>
                <w:sz w:val="21"/>
                <w:szCs w:val="21"/>
                <w:lang w:bidi="ar"/>
              </w:rPr>
              <w:t xml:space="preserve">运行噪音 </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59462F2">
            <w:pPr>
              <w:snapToGrid w:val="0"/>
              <w:spacing w:line="320" w:lineRule="exact"/>
              <w:ind w:firstLine="315" w:firstLineChars="150"/>
              <w:rPr>
                <w:rFonts w:hAnsi="宋体" w:cs="宋体"/>
                <w:sz w:val="21"/>
                <w:szCs w:val="21"/>
              </w:rPr>
            </w:pPr>
            <w:r>
              <w:rPr>
                <w:rFonts w:hAnsi="宋体" w:cs="宋体"/>
                <w:sz w:val="21"/>
                <w:szCs w:val="21"/>
                <w:lang w:bidi="ar"/>
              </w:rPr>
              <w:t xml:space="preserve">机房内噪声≤75dB(A)、轿厢内噪声≤50dB(A)、开关门噪声≤ 55dB(A)。 </w:t>
            </w:r>
          </w:p>
        </w:tc>
      </w:tr>
      <w:tr w14:paraId="5B4F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E7486CF">
            <w:pPr>
              <w:snapToGrid w:val="0"/>
              <w:spacing w:line="320" w:lineRule="exact"/>
              <w:ind w:firstLine="315" w:firstLineChars="150"/>
              <w:rPr>
                <w:rFonts w:hAnsi="宋体" w:cs="宋体"/>
                <w:sz w:val="21"/>
                <w:szCs w:val="21"/>
              </w:rPr>
            </w:pPr>
            <w:r>
              <w:rPr>
                <w:rFonts w:hAnsi="宋体" w:cs="宋体"/>
                <w:sz w:val="21"/>
                <w:szCs w:val="21"/>
              </w:rPr>
              <w:t>维保功能</w:t>
            </w:r>
          </w:p>
        </w:tc>
      </w:tr>
      <w:tr w14:paraId="13B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21D3A3A">
            <w:pPr>
              <w:snapToGrid w:val="0"/>
              <w:spacing w:line="320" w:lineRule="exact"/>
              <w:jc w:val="center"/>
              <w:rPr>
                <w:rFonts w:hAnsi="宋体" w:cs="宋体"/>
                <w:sz w:val="21"/>
                <w:szCs w:val="21"/>
              </w:rPr>
            </w:pPr>
            <w:r>
              <w:rPr>
                <w:rFonts w:hAnsi="宋体" w:cs="宋体"/>
                <w:sz w:val="21"/>
                <w:szCs w:val="21"/>
              </w:rPr>
              <w:t>68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553F1790">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轿顶检修盒</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D190E9B">
            <w:pPr>
              <w:snapToGrid w:val="0"/>
              <w:spacing w:line="320" w:lineRule="exact"/>
              <w:ind w:firstLine="315" w:firstLineChars="150"/>
              <w:rPr>
                <w:rFonts w:hAnsi="宋体" w:cs="宋体"/>
                <w:sz w:val="21"/>
                <w:szCs w:val="21"/>
              </w:rPr>
            </w:pPr>
            <w:r>
              <w:rPr>
                <w:rFonts w:hAnsi="宋体" w:cs="宋体"/>
                <w:sz w:val="21"/>
                <w:szCs w:val="21"/>
                <w:lang w:bidi="ar"/>
              </w:rPr>
              <w:t>启动位于轿顶上的此开关，就可使用轿顶上的一个装置来控制电梯低速运行，便于安装、调试和检修。</w:t>
            </w:r>
          </w:p>
        </w:tc>
      </w:tr>
      <w:tr w14:paraId="4714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9E454E4">
            <w:pPr>
              <w:snapToGrid w:val="0"/>
              <w:spacing w:line="320" w:lineRule="exact"/>
              <w:jc w:val="center"/>
              <w:rPr>
                <w:rFonts w:hAnsi="宋体" w:cs="宋体"/>
                <w:sz w:val="21"/>
                <w:szCs w:val="21"/>
              </w:rPr>
            </w:pPr>
            <w:r>
              <w:rPr>
                <w:rFonts w:hAnsi="宋体" w:cs="宋体"/>
                <w:sz w:val="21"/>
                <w:szCs w:val="21"/>
              </w:rPr>
              <w:t>69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7B7F9F5">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盘车手轮开关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5E803EE">
            <w:pPr>
              <w:snapToGrid w:val="0"/>
              <w:spacing w:line="320" w:lineRule="exact"/>
              <w:ind w:firstLine="315" w:firstLineChars="150"/>
              <w:rPr>
                <w:rFonts w:hAnsi="宋体" w:cs="宋体"/>
                <w:sz w:val="21"/>
                <w:szCs w:val="21"/>
              </w:rPr>
            </w:pPr>
            <w:r>
              <w:rPr>
                <w:rFonts w:hAnsi="宋体" w:cs="宋体"/>
                <w:sz w:val="21"/>
                <w:szCs w:val="21"/>
                <w:lang w:bidi="ar"/>
              </w:rPr>
              <w:t>收到盘车时，该开关被打开，以避免电机的电动操作。</w:t>
            </w:r>
          </w:p>
        </w:tc>
      </w:tr>
      <w:tr w14:paraId="3488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3BF68AE">
            <w:pPr>
              <w:snapToGrid w:val="0"/>
              <w:spacing w:line="320" w:lineRule="exact"/>
              <w:jc w:val="center"/>
              <w:rPr>
                <w:rFonts w:hAnsi="宋体" w:cs="宋体"/>
                <w:sz w:val="21"/>
                <w:szCs w:val="21"/>
              </w:rPr>
            </w:pPr>
            <w:r>
              <w:rPr>
                <w:rFonts w:hAnsi="宋体" w:cs="宋体"/>
                <w:sz w:val="21"/>
                <w:szCs w:val="21"/>
              </w:rPr>
              <w:t>70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798D5A5">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故障自动监测</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68702BB5">
            <w:pPr>
              <w:snapToGrid w:val="0"/>
              <w:spacing w:line="320" w:lineRule="exact"/>
              <w:ind w:firstLine="315" w:firstLineChars="150"/>
              <w:rPr>
                <w:rFonts w:hAnsi="宋体" w:cs="宋体"/>
                <w:sz w:val="21"/>
                <w:szCs w:val="21"/>
              </w:rPr>
            </w:pPr>
            <w:r>
              <w:rPr>
                <w:rFonts w:hAnsi="宋体" w:cs="宋体"/>
                <w:sz w:val="21"/>
                <w:szCs w:val="21"/>
                <w:lang w:bidi="ar"/>
              </w:rPr>
              <w:t>控制柜自动检测电梯运行状态，当事故发生时，自动检测并判断故障原因，大大减少维修时间。</w:t>
            </w:r>
          </w:p>
        </w:tc>
      </w:tr>
      <w:tr w14:paraId="1468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3542E9D">
            <w:pPr>
              <w:snapToGrid w:val="0"/>
              <w:spacing w:line="320" w:lineRule="exact"/>
              <w:jc w:val="center"/>
              <w:rPr>
                <w:rFonts w:hAnsi="宋体" w:cs="宋体"/>
                <w:sz w:val="21"/>
                <w:szCs w:val="21"/>
              </w:rPr>
            </w:pPr>
            <w:r>
              <w:rPr>
                <w:rFonts w:hAnsi="宋体" w:cs="宋体"/>
                <w:sz w:val="21"/>
                <w:szCs w:val="21"/>
              </w:rPr>
              <w:t>71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80C490F">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轿厢去底部层站响应呼叫</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18C92F5">
            <w:pPr>
              <w:snapToGrid w:val="0"/>
              <w:spacing w:line="320" w:lineRule="exact"/>
              <w:ind w:firstLine="315" w:firstLineChars="150"/>
              <w:rPr>
                <w:rFonts w:hAnsi="宋体" w:cs="宋体"/>
                <w:sz w:val="21"/>
                <w:szCs w:val="21"/>
              </w:rPr>
            </w:pPr>
            <w:r>
              <w:rPr>
                <w:rFonts w:hAnsi="宋体" w:cs="宋体"/>
                <w:sz w:val="21"/>
                <w:szCs w:val="21"/>
                <w:lang w:bidi="ar"/>
              </w:rPr>
              <w:t>可通过控制柜中的此按钮，直接将电梯呼梯至底层。</w:t>
            </w:r>
          </w:p>
        </w:tc>
      </w:tr>
      <w:tr w14:paraId="0468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0C9A270">
            <w:pPr>
              <w:snapToGrid w:val="0"/>
              <w:spacing w:line="320" w:lineRule="exact"/>
              <w:jc w:val="center"/>
              <w:rPr>
                <w:rFonts w:hAnsi="宋体" w:cs="宋体"/>
                <w:sz w:val="21"/>
                <w:szCs w:val="21"/>
              </w:rPr>
            </w:pPr>
            <w:r>
              <w:rPr>
                <w:rFonts w:hAnsi="宋体" w:cs="宋体"/>
                <w:sz w:val="21"/>
                <w:szCs w:val="21"/>
              </w:rPr>
              <w:t>72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36954DD3">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轿厢去顶部层站响应呼叫</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23A5C5C">
            <w:pPr>
              <w:snapToGrid w:val="0"/>
              <w:spacing w:line="320" w:lineRule="exact"/>
              <w:ind w:firstLine="315" w:firstLineChars="150"/>
              <w:rPr>
                <w:rFonts w:hAnsi="宋体" w:cs="宋体"/>
                <w:sz w:val="21"/>
                <w:szCs w:val="21"/>
              </w:rPr>
            </w:pPr>
            <w:r>
              <w:rPr>
                <w:rFonts w:hAnsi="宋体" w:cs="宋体"/>
                <w:sz w:val="21"/>
                <w:szCs w:val="21"/>
                <w:lang w:bidi="ar"/>
              </w:rPr>
              <w:t>可通过控制柜中的此按钮，直接将电梯呼梯至顶层。</w:t>
            </w:r>
          </w:p>
        </w:tc>
      </w:tr>
      <w:tr w14:paraId="0263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222621F">
            <w:pPr>
              <w:snapToGrid w:val="0"/>
              <w:spacing w:line="320" w:lineRule="exact"/>
              <w:jc w:val="center"/>
              <w:rPr>
                <w:rFonts w:hAnsi="宋体" w:cs="宋体"/>
                <w:sz w:val="21"/>
                <w:szCs w:val="21"/>
              </w:rPr>
            </w:pPr>
            <w:r>
              <w:rPr>
                <w:rFonts w:hAnsi="宋体" w:cs="宋体"/>
                <w:sz w:val="21"/>
                <w:szCs w:val="21"/>
              </w:rPr>
              <w:t>73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C8EF102">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可控轿厢照明</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04E5910">
            <w:pPr>
              <w:snapToGrid w:val="0"/>
              <w:spacing w:line="320" w:lineRule="exact"/>
              <w:ind w:firstLine="315" w:firstLineChars="150"/>
              <w:rPr>
                <w:rFonts w:hAnsi="宋体" w:cs="宋体"/>
                <w:sz w:val="21"/>
                <w:szCs w:val="21"/>
              </w:rPr>
            </w:pPr>
            <w:r>
              <w:rPr>
                <w:rFonts w:hAnsi="宋体" w:cs="宋体"/>
                <w:sz w:val="21"/>
                <w:szCs w:val="21"/>
                <w:lang w:bidi="ar"/>
              </w:rPr>
              <w:t>在轿厢操纵盘下方有独立的开关可以控制轿厢内的照明。</w:t>
            </w:r>
          </w:p>
        </w:tc>
      </w:tr>
      <w:tr w14:paraId="1654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1FB4381">
            <w:pPr>
              <w:snapToGrid w:val="0"/>
              <w:spacing w:line="320" w:lineRule="exact"/>
              <w:jc w:val="center"/>
              <w:rPr>
                <w:rFonts w:hAnsi="宋体" w:cs="宋体"/>
                <w:sz w:val="21"/>
                <w:szCs w:val="21"/>
              </w:rPr>
            </w:pPr>
            <w:r>
              <w:rPr>
                <w:rFonts w:hAnsi="宋体" w:cs="宋体"/>
                <w:sz w:val="21"/>
                <w:szCs w:val="21"/>
              </w:rPr>
              <w:t>74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DB8A79D">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切除大厅呼叫开关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B7F3F53">
            <w:pPr>
              <w:snapToGrid w:val="0"/>
              <w:spacing w:line="320" w:lineRule="exact"/>
              <w:ind w:firstLine="315" w:firstLineChars="150"/>
              <w:rPr>
                <w:rFonts w:hAnsi="宋体" w:cs="宋体"/>
                <w:sz w:val="21"/>
                <w:szCs w:val="21"/>
              </w:rPr>
            </w:pPr>
            <w:r>
              <w:rPr>
                <w:rFonts w:hAnsi="宋体" w:cs="宋体"/>
                <w:sz w:val="21"/>
                <w:szCs w:val="21"/>
                <w:lang w:bidi="ar"/>
              </w:rPr>
              <w:t>可通过控制柜中的此按钮，屏蔽所有楼层的外呼登记。</w:t>
            </w:r>
          </w:p>
        </w:tc>
      </w:tr>
      <w:tr w14:paraId="5EB0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3982FE8">
            <w:pPr>
              <w:snapToGrid w:val="0"/>
              <w:spacing w:line="320" w:lineRule="exact"/>
              <w:jc w:val="center"/>
              <w:rPr>
                <w:rFonts w:hAnsi="宋体" w:cs="宋体"/>
                <w:sz w:val="21"/>
                <w:szCs w:val="21"/>
              </w:rPr>
            </w:pPr>
            <w:r>
              <w:rPr>
                <w:rFonts w:hAnsi="宋体" w:cs="宋体"/>
                <w:sz w:val="21"/>
                <w:szCs w:val="21"/>
              </w:rPr>
              <w:t>75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2E884F1">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禁止门操作开关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79817AF7">
            <w:pPr>
              <w:snapToGrid w:val="0"/>
              <w:spacing w:line="320" w:lineRule="exact"/>
              <w:ind w:firstLine="315" w:firstLineChars="150"/>
              <w:rPr>
                <w:rFonts w:hAnsi="宋体" w:cs="宋体"/>
                <w:sz w:val="21"/>
                <w:szCs w:val="21"/>
              </w:rPr>
            </w:pPr>
            <w:r>
              <w:rPr>
                <w:rFonts w:hAnsi="宋体" w:cs="宋体"/>
                <w:sz w:val="21"/>
                <w:szCs w:val="21"/>
                <w:lang w:bidi="ar"/>
              </w:rPr>
              <w:t>可通过控制柜中的此按钮，屏蔽电梯门的开关操作，即电梯会保持门关闭的状态，达到目前楼层后也不会开门。</w:t>
            </w:r>
          </w:p>
        </w:tc>
      </w:tr>
      <w:tr w14:paraId="5456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7AA2AC6">
            <w:pPr>
              <w:snapToGrid w:val="0"/>
              <w:spacing w:line="320" w:lineRule="exact"/>
              <w:jc w:val="center"/>
              <w:rPr>
                <w:rFonts w:hAnsi="宋体" w:cs="宋体"/>
                <w:sz w:val="21"/>
                <w:szCs w:val="21"/>
              </w:rPr>
            </w:pPr>
            <w:r>
              <w:rPr>
                <w:rFonts w:hAnsi="宋体" w:cs="宋体"/>
                <w:sz w:val="21"/>
                <w:szCs w:val="21"/>
              </w:rPr>
              <w:t>76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CA81DF7">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厅门旁路操作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683E5E1">
            <w:pPr>
              <w:snapToGrid w:val="0"/>
              <w:spacing w:line="320" w:lineRule="exact"/>
              <w:ind w:firstLine="315" w:firstLineChars="150"/>
              <w:rPr>
                <w:rFonts w:hAnsi="宋体" w:cs="宋体"/>
                <w:sz w:val="21"/>
                <w:szCs w:val="21"/>
              </w:rPr>
            </w:pPr>
            <w:r>
              <w:rPr>
                <w:rFonts w:hAnsi="宋体" w:cs="宋体"/>
                <w:sz w:val="21"/>
                <w:szCs w:val="21"/>
                <w:lang w:bidi="ar"/>
              </w:rPr>
              <w:t>可通过控制柜中的短接插件旁路厅门门锁回路，在此模式下电梯仅可检修运行。</w:t>
            </w:r>
          </w:p>
        </w:tc>
      </w:tr>
      <w:tr w14:paraId="74FC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8801C6D">
            <w:pPr>
              <w:snapToGrid w:val="0"/>
              <w:spacing w:line="320" w:lineRule="exact"/>
              <w:jc w:val="center"/>
              <w:rPr>
                <w:rFonts w:hAnsi="宋体" w:cs="宋体"/>
                <w:sz w:val="21"/>
                <w:szCs w:val="21"/>
              </w:rPr>
            </w:pPr>
            <w:r>
              <w:rPr>
                <w:rFonts w:hAnsi="宋体" w:cs="宋体"/>
                <w:sz w:val="21"/>
                <w:szCs w:val="21"/>
              </w:rPr>
              <w:t>77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23D0804A">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门区指示灯</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66D299E">
            <w:pPr>
              <w:snapToGrid w:val="0"/>
              <w:spacing w:line="320" w:lineRule="exact"/>
              <w:ind w:firstLine="315" w:firstLineChars="150"/>
              <w:rPr>
                <w:rFonts w:hAnsi="宋体" w:cs="宋体"/>
                <w:sz w:val="21"/>
                <w:szCs w:val="21"/>
              </w:rPr>
            </w:pPr>
            <w:r>
              <w:rPr>
                <w:rFonts w:hAnsi="宋体" w:cs="宋体"/>
                <w:sz w:val="21"/>
                <w:szCs w:val="21"/>
                <w:lang w:bidi="ar"/>
              </w:rPr>
              <w:t>在控制柜中的一个指示灯用于指示当前轿厢位置是否在门区。</w:t>
            </w:r>
          </w:p>
        </w:tc>
      </w:tr>
      <w:tr w14:paraId="3FF0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AA73941">
            <w:pPr>
              <w:snapToGrid w:val="0"/>
              <w:spacing w:line="320" w:lineRule="exact"/>
              <w:jc w:val="center"/>
              <w:rPr>
                <w:rFonts w:hAnsi="宋体" w:cs="宋体"/>
                <w:sz w:val="21"/>
                <w:szCs w:val="21"/>
              </w:rPr>
            </w:pPr>
            <w:r>
              <w:rPr>
                <w:rFonts w:hAnsi="宋体" w:cs="宋体"/>
                <w:sz w:val="21"/>
                <w:szCs w:val="21"/>
              </w:rPr>
              <w:t>78</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78071C9F">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紧急电动操作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857C0B4">
            <w:pPr>
              <w:snapToGrid w:val="0"/>
              <w:spacing w:line="320" w:lineRule="exact"/>
              <w:ind w:firstLine="315" w:firstLineChars="150"/>
              <w:rPr>
                <w:rFonts w:hAnsi="宋体" w:cs="宋体"/>
                <w:sz w:val="21"/>
                <w:szCs w:val="21"/>
              </w:rPr>
            </w:pPr>
            <w:r>
              <w:rPr>
                <w:rFonts w:hAnsi="宋体" w:cs="宋体"/>
                <w:sz w:val="21"/>
                <w:szCs w:val="21"/>
                <w:lang w:bidi="ar"/>
              </w:rPr>
              <w:t>位于控制柜中，在紧急条件下，可以控制轿厢上行/下行。</w:t>
            </w:r>
          </w:p>
        </w:tc>
      </w:tr>
      <w:tr w14:paraId="6F80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35B64C2">
            <w:pPr>
              <w:snapToGrid w:val="0"/>
              <w:spacing w:line="320" w:lineRule="exact"/>
              <w:jc w:val="center"/>
              <w:rPr>
                <w:rFonts w:hAnsi="宋体" w:cs="宋体"/>
                <w:sz w:val="21"/>
                <w:szCs w:val="21"/>
              </w:rPr>
            </w:pPr>
            <w:r>
              <w:rPr>
                <w:rFonts w:hAnsi="宋体" w:cs="宋体"/>
                <w:sz w:val="21"/>
                <w:szCs w:val="21"/>
              </w:rPr>
              <w:t>79</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7C3B8A6">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主断路器</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3C0E1CAE">
            <w:pPr>
              <w:snapToGrid w:val="0"/>
              <w:spacing w:line="320" w:lineRule="exact"/>
              <w:ind w:firstLine="315" w:firstLineChars="150"/>
              <w:rPr>
                <w:rFonts w:hAnsi="宋体" w:cs="宋体"/>
                <w:sz w:val="21"/>
                <w:szCs w:val="21"/>
              </w:rPr>
            </w:pPr>
            <w:r>
              <w:rPr>
                <w:rFonts w:hAnsi="宋体" w:cs="宋体"/>
                <w:sz w:val="21"/>
                <w:szCs w:val="21"/>
                <w:lang w:bidi="ar"/>
              </w:rPr>
              <w:t>电梯控制柜内配置可切断除井道照明，轿厢照明以外的电源供电。</w:t>
            </w:r>
          </w:p>
        </w:tc>
      </w:tr>
      <w:tr w14:paraId="410A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5DCF6BF4">
            <w:pPr>
              <w:snapToGrid w:val="0"/>
              <w:spacing w:line="320" w:lineRule="exact"/>
              <w:jc w:val="center"/>
              <w:rPr>
                <w:rFonts w:hAnsi="宋体" w:cs="宋体"/>
                <w:sz w:val="21"/>
                <w:szCs w:val="21"/>
              </w:rPr>
            </w:pPr>
            <w:r>
              <w:rPr>
                <w:rFonts w:hAnsi="宋体" w:cs="宋体"/>
                <w:sz w:val="21"/>
                <w:szCs w:val="21"/>
              </w:rPr>
              <w:t>80</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93BCB23">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底坑急停及照明开关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83475B2">
            <w:pPr>
              <w:snapToGrid w:val="0"/>
              <w:spacing w:line="320" w:lineRule="exact"/>
              <w:ind w:firstLine="315" w:firstLineChars="150"/>
              <w:rPr>
                <w:rFonts w:hAnsi="宋体" w:cs="宋体"/>
                <w:sz w:val="21"/>
                <w:szCs w:val="21"/>
              </w:rPr>
            </w:pPr>
            <w:r>
              <w:rPr>
                <w:rFonts w:hAnsi="宋体" w:cs="宋体"/>
                <w:sz w:val="21"/>
                <w:szCs w:val="21"/>
                <w:lang w:bidi="ar"/>
              </w:rPr>
              <w:t>底坑顶部入口处设置的急停及照明开关。（开门顺手高度）</w:t>
            </w:r>
          </w:p>
        </w:tc>
      </w:tr>
      <w:tr w14:paraId="3682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039D155">
            <w:pPr>
              <w:snapToGrid w:val="0"/>
              <w:spacing w:line="320" w:lineRule="exact"/>
              <w:jc w:val="center"/>
              <w:rPr>
                <w:rFonts w:hAnsi="宋体" w:cs="宋体"/>
                <w:sz w:val="21"/>
                <w:szCs w:val="21"/>
              </w:rPr>
            </w:pPr>
            <w:r>
              <w:rPr>
                <w:rFonts w:hAnsi="宋体" w:cs="宋体"/>
                <w:sz w:val="21"/>
                <w:szCs w:val="21"/>
              </w:rPr>
              <w:t>81</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8000FC6">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单相电源开关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554ED22">
            <w:pPr>
              <w:snapToGrid w:val="0"/>
              <w:spacing w:line="320" w:lineRule="exact"/>
              <w:ind w:firstLine="315" w:firstLineChars="150"/>
              <w:rPr>
                <w:rFonts w:hAnsi="宋体" w:cs="宋体"/>
                <w:sz w:val="21"/>
                <w:szCs w:val="21"/>
              </w:rPr>
            </w:pPr>
            <w:r>
              <w:rPr>
                <w:rFonts w:hAnsi="宋体" w:cs="宋体"/>
                <w:sz w:val="21"/>
                <w:szCs w:val="21"/>
                <w:lang w:bidi="ar"/>
              </w:rPr>
              <w:t>配备一个单相220V的电源开关，用于比如井道照明灯的控制。</w:t>
            </w:r>
          </w:p>
        </w:tc>
      </w:tr>
      <w:tr w14:paraId="7181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64C201FD">
            <w:pPr>
              <w:snapToGrid w:val="0"/>
              <w:spacing w:line="320" w:lineRule="exact"/>
              <w:jc w:val="center"/>
              <w:rPr>
                <w:rFonts w:hAnsi="宋体" w:cs="宋体"/>
                <w:sz w:val="21"/>
                <w:szCs w:val="21"/>
              </w:rPr>
            </w:pPr>
            <w:r>
              <w:rPr>
                <w:rFonts w:hAnsi="宋体" w:cs="宋体"/>
                <w:sz w:val="21"/>
                <w:szCs w:val="21"/>
              </w:rPr>
              <w:t>82</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5B9C93F">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安全钳超速开关</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2AE0E0A">
            <w:pPr>
              <w:snapToGrid w:val="0"/>
              <w:spacing w:line="320" w:lineRule="exact"/>
              <w:ind w:firstLine="315" w:firstLineChars="150"/>
              <w:rPr>
                <w:rFonts w:hAnsi="宋体" w:cs="宋体"/>
                <w:sz w:val="21"/>
                <w:szCs w:val="21"/>
              </w:rPr>
            </w:pPr>
            <w:r>
              <w:rPr>
                <w:rFonts w:hAnsi="宋体" w:cs="宋体"/>
                <w:sz w:val="21"/>
                <w:szCs w:val="21"/>
                <w:lang w:bidi="ar"/>
              </w:rPr>
              <w:t>安全钳上配置的电气开关，在电梯超速至限制器联动安全钳动作后，会切断电梯的安全回路以通过抱闸制停电梯。</w:t>
            </w:r>
          </w:p>
        </w:tc>
      </w:tr>
      <w:tr w14:paraId="50B7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4917B75D">
            <w:pPr>
              <w:snapToGrid w:val="0"/>
              <w:spacing w:line="320" w:lineRule="exact"/>
              <w:jc w:val="center"/>
              <w:rPr>
                <w:rFonts w:hAnsi="宋体" w:cs="宋体"/>
                <w:sz w:val="21"/>
                <w:szCs w:val="21"/>
              </w:rPr>
            </w:pPr>
            <w:r>
              <w:rPr>
                <w:rFonts w:hAnsi="宋体" w:cs="宋体"/>
                <w:sz w:val="21"/>
                <w:szCs w:val="21"/>
              </w:rPr>
              <w:t>83</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168093D0">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轿厢顶部插座</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D0B2565">
            <w:pPr>
              <w:snapToGrid w:val="0"/>
              <w:spacing w:line="320" w:lineRule="exact"/>
              <w:ind w:firstLine="315" w:firstLineChars="150"/>
              <w:rPr>
                <w:rFonts w:hAnsi="宋体" w:cs="宋体"/>
                <w:sz w:val="21"/>
                <w:szCs w:val="21"/>
              </w:rPr>
            </w:pPr>
            <w:r>
              <w:rPr>
                <w:rFonts w:hAnsi="宋体" w:cs="宋体"/>
                <w:sz w:val="21"/>
                <w:szCs w:val="21"/>
                <w:lang w:bidi="ar"/>
              </w:rPr>
              <w:t>在轿厢顶部配置一个电源插座，用于220V设备的供电。</w:t>
            </w:r>
          </w:p>
        </w:tc>
      </w:tr>
      <w:tr w14:paraId="2500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002658D0">
            <w:pPr>
              <w:snapToGrid w:val="0"/>
              <w:spacing w:line="320" w:lineRule="exact"/>
              <w:jc w:val="center"/>
              <w:rPr>
                <w:rFonts w:hAnsi="宋体" w:cs="宋体"/>
                <w:sz w:val="21"/>
                <w:szCs w:val="21"/>
              </w:rPr>
            </w:pPr>
            <w:r>
              <w:rPr>
                <w:rFonts w:hAnsi="宋体" w:cs="宋体"/>
                <w:sz w:val="21"/>
                <w:szCs w:val="21"/>
              </w:rPr>
              <w:t>84</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3072411C">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检修限位</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2FAD479D">
            <w:pPr>
              <w:snapToGrid w:val="0"/>
              <w:spacing w:line="320" w:lineRule="exact"/>
              <w:ind w:firstLine="315" w:firstLineChars="150"/>
              <w:rPr>
                <w:rFonts w:hAnsi="宋体" w:cs="宋体"/>
                <w:sz w:val="21"/>
                <w:szCs w:val="21"/>
              </w:rPr>
            </w:pPr>
            <w:r>
              <w:rPr>
                <w:rFonts w:hAnsi="宋体" w:cs="宋体"/>
                <w:sz w:val="21"/>
                <w:szCs w:val="21"/>
                <w:lang w:bidi="ar"/>
              </w:rPr>
              <w:t>设置在井道顶部和底部的限位开关，用于限制通过轿顶检修可运行轿厢达到的最远距离。</w:t>
            </w:r>
          </w:p>
        </w:tc>
      </w:tr>
      <w:tr w14:paraId="10D0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16F0606F">
            <w:pPr>
              <w:snapToGrid w:val="0"/>
              <w:spacing w:line="320" w:lineRule="exact"/>
              <w:jc w:val="center"/>
              <w:rPr>
                <w:rFonts w:hAnsi="宋体" w:cs="宋体"/>
                <w:sz w:val="21"/>
                <w:szCs w:val="21"/>
              </w:rPr>
            </w:pPr>
            <w:r>
              <w:rPr>
                <w:rFonts w:hAnsi="宋体" w:cs="宋体"/>
                <w:sz w:val="21"/>
                <w:szCs w:val="21"/>
              </w:rPr>
              <w:t>85</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BD9061A">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驻停开关操作</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05D09C60">
            <w:pPr>
              <w:snapToGrid w:val="0"/>
              <w:spacing w:line="320" w:lineRule="exact"/>
              <w:ind w:firstLine="315" w:firstLineChars="150"/>
              <w:rPr>
                <w:rFonts w:hAnsi="宋体" w:cs="宋体"/>
                <w:sz w:val="21"/>
                <w:szCs w:val="21"/>
              </w:rPr>
            </w:pPr>
            <w:r>
              <w:rPr>
                <w:rFonts w:hAnsi="宋体" w:cs="宋体"/>
                <w:sz w:val="21"/>
                <w:szCs w:val="21"/>
                <w:lang w:bidi="ar"/>
              </w:rPr>
              <w:t>选择此功能将提供驻停钥匙开关盒，当设置在指定楼层的钥匙开关动作后，电梯将在应答完所有指令后返回指定层楼，同时将点亮厅外停梯开关指示灯。</w:t>
            </w:r>
          </w:p>
        </w:tc>
      </w:tr>
      <w:tr w14:paraId="64C8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6F9E61">
            <w:pPr>
              <w:snapToGrid w:val="0"/>
              <w:spacing w:line="320" w:lineRule="exact"/>
              <w:ind w:firstLine="315" w:firstLineChars="150"/>
              <w:rPr>
                <w:rFonts w:hAnsi="宋体" w:cs="宋体"/>
                <w:sz w:val="21"/>
                <w:szCs w:val="21"/>
              </w:rPr>
            </w:pPr>
            <w:r>
              <w:rPr>
                <w:rFonts w:hAnsi="宋体" w:cs="宋体"/>
                <w:sz w:val="21"/>
                <w:szCs w:val="21"/>
              </w:rPr>
              <w:t>其它功能</w:t>
            </w:r>
          </w:p>
        </w:tc>
      </w:tr>
      <w:tr w14:paraId="55D1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38DC6EE6">
            <w:pPr>
              <w:snapToGrid w:val="0"/>
              <w:spacing w:line="320" w:lineRule="exact"/>
              <w:jc w:val="center"/>
              <w:rPr>
                <w:rFonts w:hAnsi="宋体" w:cs="宋体"/>
                <w:sz w:val="21"/>
                <w:szCs w:val="21"/>
              </w:rPr>
            </w:pPr>
            <w:r>
              <w:rPr>
                <w:rFonts w:hAnsi="宋体" w:cs="宋体"/>
                <w:sz w:val="21"/>
                <w:szCs w:val="21"/>
              </w:rPr>
              <w:t>86</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43D5391B">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轿厢内安装防电动车进入功能的高清监控</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4D238952">
            <w:pPr>
              <w:snapToGrid w:val="0"/>
              <w:spacing w:line="320" w:lineRule="exact"/>
              <w:ind w:firstLine="315" w:firstLineChars="150"/>
              <w:rPr>
                <w:rFonts w:hAnsi="宋体" w:cs="宋体"/>
                <w:sz w:val="21"/>
                <w:szCs w:val="21"/>
              </w:rPr>
            </w:pPr>
            <w:r>
              <w:rPr>
                <w:rFonts w:hAnsi="宋体" w:cs="宋体"/>
                <w:sz w:val="21"/>
                <w:szCs w:val="21"/>
                <w:lang w:bidi="ar"/>
              </w:rPr>
              <w:t>半球机，200万像数及以上数字摄像机，短焦距。安装在新电梯内，电梯轿厢到电梯机房信号传输用无线网桥。连入小区监控系统。防电动车进入功能须联动轿门常开，监控画面返回监控室，达到实时监控所需。</w:t>
            </w:r>
          </w:p>
        </w:tc>
      </w:tr>
      <w:tr w14:paraId="2768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tcBorders>
              <w:top w:val="single" w:color="auto" w:sz="4" w:space="0"/>
              <w:left w:val="single" w:color="auto" w:sz="4" w:space="0"/>
              <w:bottom w:val="single" w:color="auto" w:sz="4" w:space="0"/>
              <w:right w:val="single" w:color="auto" w:sz="4" w:space="0"/>
              <w:tl2br w:val="nil"/>
              <w:tr2bl w:val="nil"/>
            </w:tcBorders>
            <w:vAlign w:val="center"/>
          </w:tcPr>
          <w:p w14:paraId="2C003F05">
            <w:pPr>
              <w:snapToGrid w:val="0"/>
              <w:spacing w:line="320" w:lineRule="exact"/>
              <w:jc w:val="center"/>
              <w:rPr>
                <w:rFonts w:hAnsi="宋体" w:cs="宋体"/>
                <w:sz w:val="21"/>
                <w:szCs w:val="21"/>
              </w:rPr>
            </w:pPr>
            <w:r>
              <w:rPr>
                <w:rFonts w:hAnsi="宋体" w:cs="宋体"/>
                <w:sz w:val="21"/>
                <w:szCs w:val="21"/>
              </w:rPr>
              <w:t>87</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14:paraId="0F4EF8EA">
            <w:pPr>
              <w:widowControl/>
              <w:snapToGrid w:val="0"/>
              <w:spacing w:line="320" w:lineRule="exact"/>
              <w:jc w:val="center"/>
              <w:textAlignment w:val="center"/>
              <w:rPr>
                <w:rFonts w:hAnsi="宋体" w:cs="宋体"/>
                <w:sz w:val="21"/>
                <w:szCs w:val="21"/>
                <w:lang w:bidi="ar"/>
              </w:rPr>
            </w:pPr>
            <w:r>
              <w:rPr>
                <w:rFonts w:hAnsi="宋体" w:cs="宋体"/>
                <w:sz w:val="21"/>
                <w:szCs w:val="21"/>
                <w:lang w:bidi="ar"/>
              </w:rPr>
              <w:t>电梯运行监控系统</w:t>
            </w:r>
            <w:r>
              <w:rPr>
                <w:sz w:val="21"/>
                <w:szCs w:val="24"/>
              </w:rPr>
              <w:t>（智慧电梯功能）</w:t>
            </w:r>
          </w:p>
        </w:tc>
        <w:tc>
          <w:tcPr>
            <w:tcW w:w="6400" w:type="dxa"/>
            <w:tcBorders>
              <w:top w:val="single" w:color="auto" w:sz="4" w:space="0"/>
              <w:left w:val="single" w:color="auto" w:sz="4" w:space="0"/>
              <w:bottom w:val="single" w:color="auto" w:sz="4" w:space="0"/>
              <w:right w:val="single" w:color="auto" w:sz="4" w:space="0"/>
              <w:tl2br w:val="nil"/>
              <w:tr2bl w:val="nil"/>
            </w:tcBorders>
            <w:vAlign w:val="center"/>
          </w:tcPr>
          <w:p w14:paraId="5D41D591">
            <w:pPr>
              <w:snapToGrid w:val="0"/>
              <w:spacing w:line="320" w:lineRule="exact"/>
              <w:ind w:firstLine="315" w:firstLineChars="150"/>
              <w:rPr>
                <w:rFonts w:hAnsi="宋体" w:cs="宋体"/>
                <w:sz w:val="21"/>
                <w:szCs w:val="21"/>
              </w:rPr>
            </w:pPr>
            <w:r>
              <w:rPr>
                <w:rFonts w:hAnsi="宋体" w:cs="宋体"/>
                <w:sz w:val="21"/>
                <w:szCs w:val="21"/>
                <w:lang w:bidi="ar"/>
              </w:rPr>
              <w:t>物联网电梯，使得用户的楼宇自动化系统可以采集电梯系统，连接计算机等监控系统，实现检测电梯运行状态的作用，接入物联网</w:t>
            </w:r>
          </w:p>
        </w:tc>
      </w:tr>
    </w:tbl>
    <w:p w14:paraId="60DCB11A">
      <w:pPr>
        <w:pStyle w:val="57"/>
        <w:ind w:firstLine="0"/>
      </w:pPr>
    </w:p>
    <w:p w14:paraId="625E5F07">
      <w:pPr>
        <w:snapToGrid w:val="0"/>
        <w:spacing w:line="320" w:lineRule="exact"/>
        <w:ind w:left="420" w:leftChars="150"/>
        <w:rPr>
          <w:rFonts w:hAnsi="宋体" w:cs="宋体"/>
          <w:b/>
          <w:sz w:val="21"/>
          <w:szCs w:val="21"/>
          <w:highlight w:val="yellow"/>
        </w:rPr>
      </w:pPr>
      <w:r>
        <w:rPr>
          <w:rFonts w:hint="eastAsia" w:hAnsi="宋体" w:cs="宋体"/>
          <w:b/>
          <w:sz w:val="21"/>
          <w:szCs w:val="21"/>
        </w:rPr>
        <w:t>（五）</w:t>
      </w:r>
      <w:r>
        <w:rPr>
          <w:rFonts w:hAnsi="宋体" w:cs="宋体"/>
          <w:b/>
          <w:sz w:val="21"/>
          <w:szCs w:val="21"/>
        </w:rPr>
        <w:t>、电梯轿厢配置及装饰要求</w:t>
      </w:r>
    </w:p>
    <w:p w14:paraId="32C9F8D5">
      <w:pPr>
        <w:snapToGrid w:val="0"/>
        <w:spacing w:line="320" w:lineRule="exact"/>
        <w:ind w:left="420" w:leftChars="150"/>
        <w:rPr>
          <w:rFonts w:hAnsi="宋体" w:cs="宋体"/>
          <w:b/>
          <w:sz w:val="21"/>
          <w:szCs w:val="21"/>
        </w:rPr>
      </w:pPr>
    </w:p>
    <w:tbl>
      <w:tblPr>
        <w:tblStyle w:val="59"/>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2430"/>
        <w:gridCol w:w="5883"/>
      </w:tblGrid>
      <w:tr w14:paraId="4BBA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7AEAF172">
            <w:pPr>
              <w:tabs>
                <w:tab w:val="left" w:pos="1875"/>
              </w:tabs>
              <w:snapToGrid w:val="0"/>
              <w:spacing w:line="320" w:lineRule="exact"/>
              <w:jc w:val="center"/>
              <w:rPr>
                <w:rFonts w:hAnsi="宋体" w:cs="宋体"/>
                <w:sz w:val="21"/>
                <w:szCs w:val="21"/>
              </w:rPr>
            </w:pPr>
            <w:r>
              <w:rPr>
                <w:rFonts w:hAnsi="宋体" w:cs="宋体"/>
                <w:sz w:val="21"/>
                <w:szCs w:val="21"/>
              </w:rPr>
              <w:t>序号</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2B4FEC33">
            <w:pPr>
              <w:tabs>
                <w:tab w:val="left" w:pos="1875"/>
              </w:tabs>
              <w:snapToGrid w:val="0"/>
              <w:spacing w:line="320" w:lineRule="exact"/>
              <w:jc w:val="center"/>
              <w:rPr>
                <w:rFonts w:hAnsi="宋体" w:cs="宋体"/>
                <w:sz w:val="21"/>
                <w:szCs w:val="21"/>
              </w:rPr>
            </w:pPr>
            <w:r>
              <w:rPr>
                <w:rFonts w:hAnsi="宋体" w:cs="宋体"/>
                <w:sz w:val="21"/>
                <w:szCs w:val="21"/>
              </w:rPr>
              <w:t>品目</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73643828">
            <w:pPr>
              <w:tabs>
                <w:tab w:val="left" w:pos="1875"/>
              </w:tabs>
              <w:snapToGrid w:val="0"/>
              <w:spacing w:line="320" w:lineRule="exact"/>
              <w:jc w:val="center"/>
              <w:rPr>
                <w:rFonts w:hAnsi="宋体" w:cs="宋体"/>
                <w:sz w:val="21"/>
                <w:szCs w:val="21"/>
              </w:rPr>
            </w:pPr>
            <w:r>
              <w:rPr>
                <w:rFonts w:hAnsi="宋体" w:cs="宋体"/>
                <w:sz w:val="21"/>
                <w:szCs w:val="21"/>
              </w:rPr>
              <w:t>配置及装饰要求</w:t>
            </w:r>
          </w:p>
        </w:tc>
      </w:tr>
      <w:tr w14:paraId="2589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37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E002D93">
            <w:pPr>
              <w:tabs>
                <w:tab w:val="left" w:pos="1875"/>
              </w:tabs>
              <w:snapToGrid w:val="0"/>
              <w:spacing w:line="320" w:lineRule="exact"/>
              <w:ind w:firstLine="315" w:firstLineChars="150"/>
              <w:rPr>
                <w:rFonts w:hAnsi="宋体" w:cs="宋体"/>
                <w:sz w:val="21"/>
                <w:szCs w:val="21"/>
              </w:rPr>
            </w:pPr>
            <w:r>
              <w:rPr>
                <w:rFonts w:hAnsi="宋体" w:cs="宋体"/>
                <w:sz w:val="21"/>
                <w:szCs w:val="21"/>
              </w:rPr>
              <w:t>轿厢内配置及装饰要求（如有其它内容未进行约定的，按照原有电梯方式配置）</w:t>
            </w:r>
          </w:p>
        </w:tc>
      </w:tr>
      <w:tr w14:paraId="284B0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62C57BE0">
            <w:pPr>
              <w:tabs>
                <w:tab w:val="left" w:pos="1875"/>
              </w:tabs>
              <w:snapToGrid w:val="0"/>
              <w:spacing w:line="320" w:lineRule="exact"/>
              <w:jc w:val="center"/>
              <w:rPr>
                <w:rFonts w:hAnsi="宋体" w:cs="宋体"/>
                <w:sz w:val="21"/>
                <w:szCs w:val="21"/>
              </w:rPr>
            </w:pPr>
            <w:r>
              <w:rPr>
                <w:rFonts w:hAnsi="宋体" w:cs="宋体"/>
                <w:sz w:val="21"/>
                <w:szCs w:val="21"/>
              </w:rPr>
              <w:t>1</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2680EE62">
            <w:pPr>
              <w:tabs>
                <w:tab w:val="left" w:pos="1875"/>
              </w:tabs>
              <w:snapToGrid w:val="0"/>
              <w:spacing w:line="320" w:lineRule="exact"/>
              <w:jc w:val="center"/>
              <w:rPr>
                <w:rFonts w:hAnsi="宋体" w:cs="宋体"/>
                <w:sz w:val="21"/>
                <w:szCs w:val="21"/>
              </w:rPr>
            </w:pPr>
            <w:r>
              <w:rPr>
                <w:rFonts w:hAnsi="宋体" w:cs="宋体"/>
                <w:sz w:val="21"/>
                <w:szCs w:val="21"/>
              </w:rPr>
              <w:t>轿厢壁</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635873EF">
            <w:pPr>
              <w:tabs>
                <w:tab w:val="left" w:pos="1875"/>
              </w:tabs>
              <w:snapToGrid w:val="0"/>
              <w:spacing w:line="320" w:lineRule="exact"/>
              <w:jc w:val="center"/>
              <w:rPr>
                <w:rFonts w:hAnsi="宋体" w:cs="宋体"/>
                <w:sz w:val="21"/>
                <w:szCs w:val="21"/>
              </w:rPr>
            </w:pPr>
            <w:r>
              <w:rPr>
                <w:rFonts w:hAnsi="宋体" w:cs="宋体"/>
                <w:sz w:val="21"/>
                <w:szCs w:val="21"/>
              </w:rPr>
              <w:t>轿厢壁及门楣均为304发纹不锈钢，</w:t>
            </w:r>
          </w:p>
          <w:p w14:paraId="5A7C6ED0">
            <w:pPr>
              <w:tabs>
                <w:tab w:val="left" w:pos="1875"/>
              </w:tabs>
              <w:snapToGrid w:val="0"/>
              <w:spacing w:line="320" w:lineRule="exact"/>
              <w:jc w:val="center"/>
              <w:rPr>
                <w:rFonts w:hAnsi="宋体" w:cs="宋体"/>
                <w:sz w:val="21"/>
                <w:szCs w:val="21"/>
              </w:rPr>
            </w:pPr>
            <w:r>
              <w:rPr>
                <w:rFonts w:hAnsi="宋体" w:cs="宋体"/>
                <w:sz w:val="21"/>
                <w:szCs w:val="21"/>
              </w:rPr>
              <w:t>厚度不小于1.5mm</w:t>
            </w:r>
          </w:p>
        </w:tc>
      </w:tr>
      <w:tr w14:paraId="0CC1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41649DC9">
            <w:pPr>
              <w:tabs>
                <w:tab w:val="left" w:pos="1875"/>
              </w:tabs>
              <w:snapToGrid w:val="0"/>
              <w:spacing w:line="320" w:lineRule="exact"/>
              <w:jc w:val="center"/>
              <w:rPr>
                <w:rFonts w:hAnsi="宋体" w:cs="宋体"/>
                <w:sz w:val="21"/>
                <w:szCs w:val="21"/>
              </w:rPr>
            </w:pPr>
            <w:r>
              <w:rPr>
                <w:rFonts w:hAnsi="宋体" w:cs="宋体"/>
                <w:sz w:val="21"/>
                <w:szCs w:val="21"/>
              </w:rPr>
              <w:t>2</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4E70FFD7">
            <w:pPr>
              <w:tabs>
                <w:tab w:val="left" w:pos="1875"/>
              </w:tabs>
              <w:snapToGrid w:val="0"/>
              <w:spacing w:line="320" w:lineRule="exact"/>
              <w:jc w:val="center"/>
              <w:rPr>
                <w:rFonts w:hAnsi="宋体" w:cs="宋体"/>
                <w:sz w:val="21"/>
                <w:szCs w:val="21"/>
              </w:rPr>
            </w:pPr>
            <w:r>
              <w:rPr>
                <w:rFonts w:hAnsi="宋体" w:cs="宋体"/>
                <w:sz w:val="21"/>
                <w:szCs w:val="21"/>
              </w:rPr>
              <w:t>轿厢通风</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0823AF8A">
            <w:pPr>
              <w:tabs>
                <w:tab w:val="left" w:pos="1875"/>
              </w:tabs>
              <w:snapToGrid w:val="0"/>
              <w:spacing w:line="320" w:lineRule="exact"/>
              <w:jc w:val="center"/>
              <w:rPr>
                <w:rFonts w:hAnsi="宋体" w:cs="宋体"/>
                <w:sz w:val="21"/>
                <w:szCs w:val="21"/>
              </w:rPr>
            </w:pPr>
            <w:r>
              <w:rPr>
                <w:rFonts w:hAnsi="宋体" w:cs="宋体"/>
                <w:sz w:val="21"/>
                <w:szCs w:val="21"/>
              </w:rPr>
              <w:t>加装超静音横流式风机2个及1P空调（格力、美的、海尔品牌）</w:t>
            </w:r>
          </w:p>
        </w:tc>
      </w:tr>
      <w:tr w14:paraId="01E70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5BBCFC94">
            <w:pPr>
              <w:tabs>
                <w:tab w:val="left" w:pos="1875"/>
              </w:tabs>
              <w:snapToGrid w:val="0"/>
              <w:spacing w:line="320" w:lineRule="exact"/>
              <w:jc w:val="center"/>
              <w:rPr>
                <w:rFonts w:hAnsi="宋体" w:cs="宋体"/>
                <w:sz w:val="21"/>
                <w:szCs w:val="21"/>
              </w:rPr>
            </w:pPr>
            <w:r>
              <w:rPr>
                <w:rFonts w:hAnsi="宋体" w:cs="宋体"/>
                <w:sz w:val="21"/>
                <w:szCs w:val="21"/>
              </w:rPr>
              <w:t>3</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0BDCD007">
            <w:pPr>
              <w:tabs>
                <w:tab w:val="left" w:pos="1875"/>
              </w:tabs>
              <w:snapToGrid w:val="0"/>
              <w:spacing w:line="320" w:lineRule="exact"/>
              <w:jc w:val="center"/>
              <w:rPr>
                <w:rFonts w:hAnsi="宋体" w:cs="宋体"/>
                <w:sz w:val="21"/>
                <w:szCs w:val="21"/>
              </w:rPr>
            </w:pPr>
            <w:r>
              <w:rPr>
                <w:rFonts w:hAnsi="宋体" w:cs="宋体"/>
                <w:sz w:val="21"/>
                <w:szCs w:val="21"/>
              </w:rPr>
              <w:t>开门方式</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276FFCA2">
            <w:pPr>
              <w:tabs>
                <w:tab w:val="left" w:pos="1875"/>
              </w:tabs>
              <w:snapToGrid w:val="0"/>
              <w:spacing w:line="320" w:lineRule="exact"/>
              <w:jc w:val="center"/>
              <w:rPr>
                <w:rFonts w:hAnsi="宋体" w:cs="宋体"/>
                <w:sz w:val="21"/>
                <w:szCs w:val="21"/>
              </w:rPr>
            </w:pPr>
            <w:r>
              <w:rPr>
                <w:rFonts w:hAnsi="宋体" w:cs="宋体"/>
                <w:sz w:val="21"/>
                <w:szCs w:val="21"/>
              </w:rPr>
              <w:t>双扇中分自动门</w:t>
            </w:r>
          </w:p>
        </w:tc>
      </w:tr>
      <w:tr w14:paraId="41FE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3A867BCE">
            <w:pPr>
              <w:tabs>
                <w:tab w:val="left" w:pos="1875"/>
              </w:tabs>
              <w:snapToGrid w:val="0"/>
              <w:spacing w:line="320" w:lineRule="exact"/>
              <w:jc w:val="center"/>
              <w:rPr>
                <w:rFonts w:hAnsi="宋体" w:cs="宋体"/>
                <w:sz w:val="21"/>
                <w:szCs w:val="21"/>
              </w:rPr>
            </w:pPr>
            <w:r>
              <w:rPr>
                <w:rFonts w:hAnsi="宋体" w:cs="宋体"/>
                <w:sz w:val="21"/>
                <w:szCs w:val="21"/>
              </w:rPr>
              <w:t>4</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0F05BBC6">
            <w:pPr>
              <w:tabs>
                <w:tab w:val="left" w:pos="1875"/>
              </w:tabs>
              <w:snapToGrid w:val="0"/>
              <w:spacing w:line="320" w:lineRule="exact"/>
              <w:jc w:val="center"/>
              <w:rPr>
                <w:rFonts w:hAnsi="宋体" w:cs="宋体"/>
                <w:sz w:val="21"/>
                <w:szCs w:val="21"/>
              </w:rPr>
            </w:pPr>
            <w:r>
              <w:rPr>
                <w:rFonts w:hAnsi="宋体" w:cs="宋体"/>
                <w:sz w:val="21"/>
                <w:szCs w:val="21"/>
              </w:rPr>
              <w:t>吊顶及照明</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50688A31">
            <w:pPr>
              <w:tabs>
                <w:tab w:val="left" w:pos="1875"/>
              </w:tabs>
              <w:snapToGrid w:val="0"/>
              <w:spacing w:line="320" w:lineRule="exact"/>
              <w:rPr>
                <w:rFonts w:hAnsi="宋体" w:cs="宋体"/>
                <w:sz w:val="21"/>
                <w:szCs w:val="21"/>
              </w:rPr>
            </w:pPr>
            <w:r>
              <w:rPr>
                <w:rFonts w:hAnsi="宋体" w:cs="宋体"/>
                <w:sz w:val="21"/>
                <w:szCs w:val="21"/>
              </w:rPr>
              <w:t>轿顶集成一体式天花，光源LED照明、通风: 中间通风（或离轿壁不小于200mm），发纹不锈钢材质，配置低噪音风机通风（横流式）。</w:t>
            </w:r>
          </w:p>
        </w:tc>
      </w:tr>
      <w:tr w14:paraId="510C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56D47039">
            <w:pPr>
              <w:tabs>
                <w:tab w:val="left" w:pos="1875"/>
              </w:tabs>
              <w:snapToGrid w:val="0"/>
              <w:spacing w:line="320" w:lineRule="exact"/>
              <w:jc w:val="center"/>
              <w:rPr>
                <w:rFonts w:hAnsi="宋体" w:cs="宋体"/>
                <w:sz w:val="21"/>
                <w:szCs w:val="21"/>
              </w:rPr>
            </w:pPr>
            <w:r>
              <w:rPr>
                <w:rFonts w:hAnsi="宋体" w:cs="宋体"/>
                <w:sz w:val="21"/>
                <w:szCs w:val="21"/>
              </w:rPr>
              <w:t>5</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36DDA628">
            <w:pPr>
              <w:tabs>
                <w:tab w:val="left" w:pos="1875"/>
              </w:tabs>
              <w:snapToGrid w:val="0"/>
              <w:spacing w:line="320" w:lineRule="exact"/>
              <w:jc w:val="center"/>
              <w:rPr>
                <w:rFonts w:hAnsi="宋体" w:cs="宋体"/>
                <w:sz w:val="21"/>
                <w:szCs w:val="21"/>
              </w:rPr>
            </w:pPr>
            <w:r>
              <w:rPr>
                <w:rFonts w:hAnsi="宋体" w:cs="宋体"/>
                <w:sz w:val="21"/>
                <w:szCs w:val="21"/>
              </w:rPr>
              <w:t>轿厢门</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4F537237">
            <w:pPr>
              <w:tabs>
                <w:tab w:val="left" w:pos="1875"/>
              </w:tabs>
              <w:snapToGrid w:val="0"/>
              <w:spacing w:line="320" w:lineRule="exact"/>
              <w:jc w:val="center"/>
              <w:rPr>
                <w:rFonts w:hAnsi="宋体" w:cs="宋体"/>
                <w:sz w:val="21"/>
                <w:szCs w:val="21"/>
              </w:rPr>
            </w:pPr>
            <w:r>
              <w:rPr>
                <w:rFonts w:hAnsi="宋体" w:cs="宋体"/>
                <w:sz w:val="21"/>
                <w:szCs w:val="21"/>
              </w:rPr>
              <w:t>采用304发纹不锈钢轿厢门</w:t>
            </w:r>
          </w:p>
        </w:tc>
      </w:tr>
      <w:tr w14:paraId="2FBB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1D3CE136">
            <w:pPr>
              <w:tabs>
                <w:tab w:val="left" w:pos="1875"/>
              </w:tabs>
              <w:snapToGrid w:val="0"/>
              <w:spacing w:line="320" w:lineRule="exact"/>
              <w:jc w:val="center"/>
              <w:rPr>
                <w:rFonts w:hAnsi="宋体" w:cs="宋体"/>
                <w:sz w:val="21"/>
                <w:szCs w:val="21"/>
              </w:rPr>
            </w:pPr>
            <w:r>
              <w:rPr>
                <w:rFonts w:hAnsi="宋体" w:cs="宋体"/>
                <w:sz w:val="21"/>
                <w:szCs w:val="21"/>
              </w:rPr>
              <w:t>6</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5C4F064F">
            <w:pPr>
              <w:tabs>
                <w:tab w:val="left" w:pos="1875"/>
              </w:tabs>
              <w:snapToGrid w:val="0"/>
              <w:spacing w:line="320" w:lineRule="exact"/>
              <w:jc w:val="center"/>
              <w:rPr>
                <w:rFonts w:hAnsi="宋体" w:cs="宋体"/>
                <w:sz w:val="21"/>
                <w:szCs w:val="21"/>
              </w:rPr>
            </w:pPr>
            <w:r>
              <w:rPr>
                <w:rFonts w:hAnsi="宋体" w:cs="宋体"/>
                <w:sz w:val="21"/>
                <w:szCs w:val="21"/>
              </w:rPr>
              <w:t>轿厢地面</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67319EAE">
            <w:pPr>
              <w:tabs>
                <w:tab w:val="left" w:pos="1875"/>
              </w:tabs>
              <w:snapToGrid w:val="0"/>
              <w:spacing w:line="320" w:lineRule="exact"/>
              <w:jc w:val="center"/>
              <w:rPr>
                <w:rFonts w:hAnsi="宋体" w:cs="宋体"/>
                <w:sz w:val="21"/>
                <w:szCs w:val="21"/>
              </w:rPr>
            </w:pPr>
            <w:r>
              <w:rPr>
                <w:rFonts w:hAnsi="宋体" w:cs="宋体"/>
                <w:sz w:val="21"/>
                <w:szCs w:val="21"/>
              </w:rPr>
              <w:t>耐磨高硬度大理石地板</w:t>
            </w:r>
          </w:p>
        </w:tc>
      </w:tr>
      <w:tr w14:paraId="09EF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62DE0590">
            <w:pPr>
              <w:tabs>
                <w:tab w:val="left" w:pos="1875"/>
              </w:tabs>
              <w:snapToGrid w:val="0"/>
              <w:spacing w:line="320" w:lineRule="exact"/>
              <w:jc w:val="center"/>
              <w:rPr>
                <w:rFonts w:hAnsi="宋体" w:cs="宋体"/>
                <w:sz w:val="21"/>
                <w:szCs w:val="21"/>
              </w:rPr>
            </w:pPr>
            <w:r>
              <w:rPr>
                <w:rFonts w:hAnsi="宋体" w:cs="宋体"/>
                <w:sz w:val="21"/>
                <w:szCs w:val="21"/>
              </w:rPr>
              <w:t>7</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73F6BAEF">
            <w:pPr>
              <w:tabs>
                <w:tab w:val="left" w:pos="1875"/>
              </w:tabs>
              <w:snapToGrid w:val="0"/>
              <w:spacing w:line="320" w:lineRule="exact"/>
              <w:jc w:val="center"/>
              <w:rPr>
                <w:rFonts w:hAnsi="宋体" w:cs="宋体"/>
                <w:sz w:val="21"/>
                <w:szCs w:val="21"/>
              </w:rPr>
            </w:pPr>
            <w:r>
              <w:rPr>
                <w:rFonts w:hAnsi="宋体" w:cs="宋体"/>
                <w:sz w:val="21"/>
                <w:szCs w:val="21"/>
              </w:rPr>
              <w:t>扶手</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338EFE2A">
            <w:pPr>
              <w:tabs>
                <w:tab w:val="left" w:pos="1875"/>
              </w:tabs>
              <w:snapToGrid w:val="0"/>
              <w:spacing w:line="320" w:lineRule="exact"/>
              <w:jc w:val="center"/>
              <w:rPr>
                <w:rFonts w:hAnsi="宋体" w:cs="宋体"/>
                <w:sz w:val="21"/>
                <w:szCs w:val="21"/>
              </w:rPr>
            </w:pPr>
            <w:r>
              <w:rPr>
                <w:rFonts w:hAnsi="宋体" w:cs="宋体"/>
                <w:sz w:val="21"/>
                <w:szCs w:val="21"/>
              </w:rPr>
              <w:t>电梯双侧安装不锈钢扶手</w:t>
            </w:r>
          </w:p>
        </w:tc>
      </w:tr>
      <w:tr w14:paraId="19D8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66EEBD9A">
            <w:pPr>
              <w:tabs>
                <w:tab w:val="left" w:pos="1875"/>
              </w:tabs>
              <w:snapToGrid w:val="0"/>
              <w:spacing w:line="320" w:lineRule="exact"/>
              <w:jc w:val="center"/>
              <w:rPr>
                <w:rFonts w:hAnsi="宋体" w:cs="宋体"/>
                <w:sz w:val="21"/>
                <w:szCs w:val="21"/>
              </w:rPr>
            </w:pPr>
            <w:r>
              <w:rPr>
                <w:rFonts w:hAnsi="宋体" w:cs="宋体"/>
                <w:sz w:val="21"/>
                <w:szCs w:val="21"/>
              </w:rPr>
              <w:t>8</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0231C8CF">
            <w:pPr>
              <w:tabs>
                <w:tab w:val="left" w:pos="1875"/>
              </w:tabs>
              <w:snapToGrid w:val="0"/>
              <w:spacing w:line="320" w:lineRule="exact"/>
              <w:jc w:val="center"/>
              <w:rPr>
                <w:rFonts w:hAnsi="宋体" w:cs="宋体"/>
                <w:sz w:val="21"/>
                <w:szCs w:val="21"/>
              </w:rPr>
            </w:pPr>
            <w:r>
              <w:rPr>
                <w:rFonts w:hAnsi="宋体" w:cs="宋体"/>
                <w:sz w:val="21"/>
                <w:szCs w:val="21"/>
              </w:rPr>
              <w:t>厅门地坎</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7AD105C7">
            <w:pPr>
              <w:tabs>
                <w:tab w:val="left" w:pos="1875"/>
              </w:tabs>
              <w:snapToGrid w:val="0"/>
              <w:spacing w:line="320" w:lineRule="exact"/>
              <w:jc w:val="center"/>
              <w:rPr>
                <w:rFonts w:hAnsi="宋体" w:cs="宋体"/>
                <w:sz w:val="21"/>
                <w:szCs w:val="21"/>
              </w:rPr>
            </w:pPr>
            <w:r>
              <w:rPr>
                <w:rFonts w:hAnsi="宋体" w:cs="宋体"/>
                <w:sz w:val="21"/>
                <w:szCs w:val="21"/>
              </w:rPr>
              <w:t>轿厢门内外硬质铝合金</w:t>
            </w:r>
          </w:p>
        </w:tc>
      </w:tr>
      <w:tr w14:paraId="1D81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1E2427CD">
            <w:pPr>
              <w:tabs>
                <w:tab w:val="left" w:pos="1875"/>
              </w:tabs>
              <w:snapToGrid w:val="0"/>
              <w:spacing w:line="320" w:lineRule="exact"/>
              <w:jc w:val="center"/>
              <w:rPr>
                <w:rFonts w:hAnsi="宋体" w:cs="宋体"/>
                <w:sz w:val="21"/>
                <w:szCs w:val="21"/>
              </w:rPr>
            </w:pPr>
            <w:r>
              <w:rPr>
                <w:rFonts w:hAnsi="宋体" w:cs="宋体"/>
                <w:sz w:val="21"/>
                <w:szCs w:val="21"/>
              </w:rPr>
              <w:t>9</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503DE9E4">
            <w:pPr>
              <w:tabs>
                <w:tab w:val="left" w:pos="1875"/>
              </w:tabs>
              <w:snapToGrid w:val="0"/>
              <w:spacing w:line="320" w:lineRule="exact"/>
              <w:jc w:val="center"/>
              <w:rPr>
                <w:rFonts w:hAnsi="宋体" w:cs="宋体"/>
                <w:sz w:val="21"/>
                <w:szCs w:val="21"/>
              </w:rPr>
            </w:pPr>
            <w:r>
              <w:rPr>
                <w:rFonts w:hAnsi="宋体" w:cs="宋体"/>
                <w:sz w:val="21"/>
                <w:szCs w:val="21"/>
              </w:rPr>
              <w:t>显示器</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4ED4D3BD">
            <w:pPr>
              <w:tabs>
                <w:tab w:val="left" w:pos="1875"/>
              </w:tabs>
              <w:snapToGrid w:val="0"/>
              <w:spacing w:line="320" w:lineRule="exact"/>
              <w:jc w:val="center"/>
              <w:rPr>
                <w:rFonts w:hAnsi="宋体" w:cs="宋体"/>
                <w:sz w:val="21"/>
                <w:szCs w:val="21"/>
              </w:rPr>
            </w:pPr>
            <w:r>
              <w:rPr>
                <w:rFonts w:hAnsi="宋体" w:cs="宋体"/>
                <w:sz w:val="21"/>
                <w:szCs w:val="21"/>
              </w:rPr>
              <w:t>轿厢内为液晶显示屏</w:t>
            </w:r>
          </w:p>
        </w:tc>
      </w:tr>
      <w:tr w14:paraId="2D752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138A1FCC">
            <w:pPr>
              <w:tabs>
                <w:tab w:val="left" w:pos="1875"/>
              </w:tabs>
              <w:snapToGrid w:val="0"/>
              <w:spacing w:line="320" w:lineRule="exact"/>
              <w:jc w:val="center"/>
              <w:rPr>
                <w:rFonts w:hAnsi="宋体" w:cs="宋体"/>
                <w:sz w:val="21"/>
                <w:szCs w:val="21"/>
              </w:rPr>
            </w:pPr>
            <w:r>
              <w:rPr>
                <w:rFonts w:hAnsi="宋体" w:cs="宋体"/>
                <w:sz w:val="21"/>
                <w:szCs w:val="21"/>
              </w:rPr>
              <w:t>10</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6E6B8654">
            <w:pPr>
              <w:tabs>
                <w:tab w:val="left" w:pos="1875"/>
              </w:tabs>
              <w:snapToGrid w:val="0"/>
              <w:spacing w:line="320" w:lineRule="exact"/>
              <w:jc w:val="center"/>
              <w:rPr>
                <w:rFonts w:hAnsi="宋体" w:cs="宋体"/>
                <w:sz w:val="21"/>
                <w:szCs w:val="21"/>
              </w:rPr>
            </w:pPr>
            <w:r>
              <w:rPr>
                <w:rFonts w:hAnsi="宋体" w:cs="宋体"/>
                <w:sz w:val="21"/>
                <w:szCs w:val="21"/>
              </w:rPr>
              <w:t>轿厢尺寸（mm）</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2DEC40F0">
            <w:pPr>
              <w:tabs>
                <w:tab w:val="left" w:pos="1875"/>
              </w:tabs>
              <w:snapToGrid w:val="0"/>
              <w:spacing w:line="320" w:lineRule="exact"/>
              <w:jc w:val="center"/>
              <w:rPr>
                <w:rFonts w:hAnsi="宋体" w:cs="宋体"/>
                <w:sz w:val="21"/>
                <w:szCs w:val="21"/>
              </w:rPr>
            </w:pPr>
            <w:r>
              <w:rPr>
                <w:rFonts w:hAnsi="宋体" w:cs="宋体"/>
                <w:sz w:val="21"/>
                <w:szCs w:val="21"/>
              </w:rPr>
              <w:t>以现场踏勘为准</w:t>
            </w:r>
          </w:p>
        </w:tc>
      </w:tr>
      <w:tr w14:paraId="05233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758C82D6">
            <w:pPr>
              <w:tabs>
                <w:tab w:val="left" w:pos="1875"/>
              </w:tabs>
              <w:snapToGrid w:val="0"/>
              <w:spacing w:line="320" w:lineRule="exact"/>
              <w:jc w:val="center"/>
              <w:rPr>
                <w:rFonts w:hAnsi="宋体" w:cs="宋体"/>
                <w:sz w:val="21"/>
                <w:szCs w:val="21"/>
              </w:rPr>
            </w:pPr>
            <w:r>
              <w:rPr>
                <w:rFonts w:hAnsi="宋体" w:cs="宋体"/>
                <w:sz w:val="21"/>
                <w:szCs w:val="21"/>
              </w:rPr>
              <w:t>11</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72564644">
            <w:pPr>
              <w:tabs>
                <w:tab w:val="left" w:pos="1875"/>
              </w:tabs>
              <w:snapToGrid w:val="0"/>
              <w:spacing w:line="320" w:lineRule="exact"/>
              <w:jc w:val="center"/>
              <w:rPr>
                <w:rFonts w:hAnsi="宋体" w:cs="宋体"/>
                <w:sz w:val="21"/>
                <w:szCs w:val="21"/>
              </w:rPr>
            </w:pPr>
            <w:r>
              <w:rPr>
                <w:rFonts w:hAnsi="宋体" w:cs="宋体"/>
                <w:sz w:val="21"/>
                <w:szCs w:val="21"/>
              </w:rPr>
              <w:t>电梯按键</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3AE58325">
            <w:pPr>
              <w:tabs>
                <w:tab w:val="left" w:pos="1875"/>
              </w:tabs>
              <w:snapToGrid w:val="0"/>
              <w:spacing w:line="320" w:lineRule="exact"/>
              <w:jc w:val="center"/>
              <w:rPr>
                <w:rFonts w:hAnsi="宋体" w:cs="宋体"/>
                <w:sz w:val="21"/>
                <w:szCs w:val="21"/>
              </w:rPr>
            </w:pPr>
            <w:r>
              <w:rPr>
                <w:rFonts w:hAnsi="宋体" w:cs="宋体"/>
                <w:sz w:val="21"/>
                <w:szCs w:val="21"/>
              </w:rPr>
              <w:t>横向中部设置；显示屏背光与显示键有明显区分，便于老年人使用。</w:t>
            </w:r>
          </w:p>
        </w:tc>
      </w:tr>
      <w:tr w14:paraId="18E9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7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E555620">
            <w:pPr>
              <w:tabs>
                <w:tab w:val="left" w:pos="6954"/>
              </w:tabs>
              <w:snapToGrid w:val="0"/>
              <w:spacing w:line="320" w:lineRule="exact"/>
              <w:rPr>
                <w:rFonts w:hAnsi="宋体" w:cs="宋体"/>
                <w:sz w:val="21"/>
                <w:szCs w:val="21"/>
              </w:rPr>
            </w:pPr>
            <w:r>
              <w:rPr>
                <w:rFonts w:hAnsi="宋体" w:cs="宋体"/>
                <w:sz w:val="21"/>
                <w:szCs w:val="21"/>
              </w:rPr>
              <w:t>讯号装置</w:t>
            </w:r>
            <w:r>
              <w:rPr>
                <w:rFonts w:hAnsi="宋体" w:cs="宋体"/>
                <w:sz w:val="21"/>
                <w:szCs w:val="21"/>
              </w:rPr>
              <w:tab/>
            </w:r>
          </w:p>
        </w:tc>
      </w:tr>
      <w:tr w14:paraId="7AA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2924ADF2">
            <w:pPr>
              <w:tabs>
                <w:tab w:val="left" w:pos="1875"/>
              </w:tabs>
              <w:snapToGrid w:val="0"/>
              <w:spacing w:line="320" w:lineRule="exact"/>
              <w:jc w:val="center"/>
              <w:rPr>
                <w:rFonts w:hAnsi="宋体" w:cs="宋体"/>
                <w:sz w:val="21"/>
                <w:szCs w:val="21"/>
              </w:rPr>
            </w:pPr>
            <w:r>
              <w:rPr>
                <w:rFonts w:hAnsi="宋体" w:cs="宋体"/>
                <w:sz w:val="21"/>
                <w:szCs w:val="21"/>
              </w:rPr>
              <w:t>1</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3D75ACB5">
            <w:pPr>
              <w:tabs>
                <w:tab w:val="left" w:pos="1875"/>
              </w:tabs>
              <w:snapToGrid w:val="0"/>
              <w:spacing w:line="320" w:lineRule="exact"/>
              <w:jc w:val="center"/>
              <w:rPr>
                <w:rFonts w:hAnsi="宋体" w:cs="宋体"/>
                <w:sz w:val="21"/>
                <w:szCs w:val="21"/>
              </w:rPr>
            </w:pPr>
            <w:r>
              <w:rPr>
                <w:rFonts w:hAnsi="宋体" w:cs="宋体"/>
                <w:sz w:val="21"/>
                <w:szCs w:val="21"/>
              </w:rPr>
              <w:t>轿厢操作板</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48269623">
            <w:pPr>
              <w:tabs>
                <w:tab w:val="left" w:pos="1875"/>
              </w:tabs>
              <w:snapToGrid w:val="0"/>
              <w:spacing w:line="320" w:lineRule="exact"/>
              <w:jc w:val="center"/>
              <w:rPr>
                <w:rFonts w:hAnsi="宋体" w:cs="宋体"/>
                <w:sz w:val="21"/>
                <w:szCs w:val="21"/>
              </w:rPr>
            </w:pPr>
            <w:r>
              <w:rPr>
                <w:rFonts w:hAnsi="宋体" w:cs="宋体"/>
                <w:sz w:val="21"/>
                <w:szCs w:val="21"/>
              </w:rPr>
              <w:t>全高发纹不锈钢，段码/液晶显示，</w:t>
            </w:r>
          </w:p>
          <w:p w14:paraId="21B7B7A4">
            <w:pPr>
              <w:tabs>
                <w:tab w:val="left" w:pos="1875"/>
              </w:tabs>
              <w:snapToGrid w:val="0"/>
              <w:spacing w:line="320" w:lineRule="exact"/>
              <w:jc w:val="center"/>
              <w:rPr>
                <w:rFonts w:hAnsi="宋体" w:cs="宋体"/>
                <w:sz w:val="21"/>
                <w:szCs w:val="21"/>
              </w:rPr>
            </w:pPr>
            <w:r>
              <w:rPr>
                <w:rFonts w:hAnsi="宋体" w:cs="宋体"/>
                <w:sz w:val="21"/>
                <w:szCs w:val="21"/>
              </w:rPr>
              <w:t xml:space="preserve">按钮背光 </w:t>
            </w:r>
          </w:p>
        </w:tc>
      </w:tr>
      <w:tr w14:paraId="090C1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0F82A1E9">
            <w:pPr>
              <w:tabs>
                <w:tab w:val="left" w:pos="1875"/>
              </w:tabs>
              <w:snapToGrid w:val="0"/>
              <w:spacing w:line="320" w:lineRule="exact"/>
              <w:jc w:val="center"/>
              <w:rPr>
                <w:rFonts w:hAnsi="宋体" w:cs="宋体"/>
                <w:sz w:val="21"/>
                <w:szCs w:val="21"/>
              </w:rPr>
            </w:pPr>
            <w:r>
              <w:rPr>
                <w:rFonts w:hAnsi="宋体" w:cs="宋体"/>
                <w:sz w:val="21"/>
                <w:szCs w:val="21"/>
              </w:rPr>
              <w:t>2</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3D6663D7">
            <w:pPr>
              <w:tabs>
                <w:tab w:val="left" w:pos="1875"/>
              </w:tabs>
              <w:snapToGrid w:val="0"/>
              <w:spacing w:line="320" w:lineRule="exact"/>
              <w:jc w:val="center"/>
              <w:rPr>
                <w:rFonts w:hAnsi="宋体" w:cs="宋体"/>
                <w:sz w:val="21"/>
                <w:szCs w:val="21"/>
              </w:rPr>
            </w:pPr>
            <w:r>
              <w:rPr>
                <w:rFonts w:hAnsi="宋体" w:cs="宋体"/>
                <w:sz w:val="21"/>
                <w:szCs w:val="21"/>
              </w:rPr>
              <w:t>轿厢内信号装置</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446CA4A6">
            <w:pPr>
              <w:tabs>
                <w:tab w:val="left" w:pos="1875"/>
              </w:tabs>
              <w:snapToGrid w:val="0"/>
              <w:spacing w:line="320" w:lineRule="exact"/>
              <w:rPr>
                <w:rFonts w:hAnsi="宋体" w:cs="宋体"/>
                <w:sz w:val="21"/>
                <w:szCs w:val="21"/>
              </w:rPr>
            </w:pPr>
            <w:r>
              <w:rPr>
                <w:rFonts w:hAnsi="宋体" w:cs="宋体"/>
                <w:sz w:val="21"/>
                <w:szCs w:val="21"/>
              </w:rPr>
              <w:t>显示屏配置断码液晶显示，有数字式楼层位置显示器，箭头运行方向指示器，所有楼层选择轻触型按钮均设有数字、白色发光显示器。</w:t>
            </w:r>
          </w:p>
        </w:tc>
      </w:tr>
      <w:tr w14:paraId="613F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14:paraId="503B112B">
            <w:pPr>
              <w:tabs>
                <w:tab w:val="left" w:pos="1875"/>
              </w:tabs>
              <w:snapToGrid w:val="0"/>
              <w:spacing w:line="320" w:lineRule="exact"/>
              <w:jc w:val="center"/>
              <w:rPr>
                <w:rFonts w:hAnsi="宋体" w:cs="宋体"/>
                <w:sz w:val="21"/>
                <w:szCs w:val="21"/>
              </w:rPr>
            </w:pPr>
            <w:r>
              <w:rPr>
                <w:rFonts w:hAnsi="宋体" w:cs="宋体"/>
                <w:sz w:val="21"/>
                <w:szCs w:val="21"/>
              </w:rPr>
              <w:t>3</w:t>
            </w:r>
          </w:p>
        </w:tc>
        <w:tc>
          <w:tcPr>
            <w:tcW w:w="2430" w:type="dxa"/>
            <w:tcBorders>
              <w:top w:val="single" w:color="000000" w:sz="4" w:space="0"/>
              <w:left w:val="single" w:color="000000" w:sz="4" w:space="0"/>
              <w:bottom w:val="single" w:color="000000" w:sz="4" w:space="0"/>
              <w:right w:val="single" w:color="000000" w:sz="4" w:space="0"/>
              <w:tl2br w:val="nil"/>
              <w:tr2bl w:val="nil"/>
            </w:tcBorders>
            <w:vAlign w:val="center"/>
          </w:tcPr>
          <w:p w14:paraId="4E05F05B">
            <w:pPr>
              <w:tabs>
                <w:tab w:val="left" w:pos="1875"/>
              </w:tabs>
              <w:snapToGrid w:val="0"/>
              <w:spacing w:line="320" w:lineRule="exact"/>
              <w:jc w:val="center"/>
              <w:rPr>
                <w:rFonts w:hAnsi="宋体" w:cs="宋体"/>
                <w:sz w:val="21"/>
                <w:szCs w:val="21"/>
              </w:rPr>
            </w:pPr>
            <w:r>
              <w:rPr>
                <w:rFonts w:hAnsi="宋体" w:cs="宋体"/>
                <w:sz w:val="21"/>
                <w:szCs w:val="21"/>
              </w:rPr>
              <w:t>厅门信号装置</w:t>
            </w:r>
          </w:p>
        </w:tc>
        <w:tc>
          <w:tcPr>
            <w:tcW w:w="5883" w:type="dxa"/>
            <w:tcBorders>
              <w:top w:val="single" w:color="000000" w:sz="4" w:space="0"/>
              <w:left w:val="single" w:color="000000" w:sz="4" w:space="0"/>
              <w:bottom w:val="single" w:color="000000" w:sz="4" w:space="0"/>
              <w:right w:val="single" w:color="000000" w:sz="4" w:space="0"/>
              <w:tl2br w:val="nil"/>
              <w:tr2bl w:val="nil"/>
            </w:tcBorders>
            <w:vAlign w:val="center"/>
          </w:tcPr>
          <w:p w14:paraId="40A2AFD4">
            <w:pPr>
              <w:tabs>
                <w:tab w:val="left" w:pos="1875"/>
              </w:tabs>
              <w:snapToGrid w:val="0"/>
              <w:spacing w:line="320" w:lineRule="exact"/>
              <w:rPr>
                <w:rFonts w:hAnsi="宋体" w:cs="宋体"/>
                <w:sz w:val="21"/>
                <w:szCs w:val="21"/>
              </w:rPr>
            </w:pPr>
            <w:r>
              <w:rPr>
                <w:rFonts w:hAnsi="宋体" w:cs="宋体"/>
                <w:sz w:val="21"/>
                <w:szCs w:val="21"/>
              </w:rPr>
              <w:t>断码液晶显示，各层均设有组合式呼梯按钮，并附有数字式楼层位置显示器，箭头运行方向指示器。尺寸不小于310×95mm(原面板大小，要求安装后不能漏出缝隙）</w:t>
            </w:r>
          </w:p>
        </w:tc>
      </w:tr>
    </w:tbl>
    <w:p w14:paraId="54F2B86C">
      <w:pPr>
        <w:pStyle w:val="49"/>
        <w:rPr>
          <w:rFonts w:ascii="宋体" w:hAnsi="宋体" w:cs="宋体"/>
          <w:sz w:val="21"/>
          <w:szCs w:val="21"/>
        </w:rPr>
      </w:pPr>
    </w:p>
    <w:p w14:paraId="6425E397">
      <w:pPr>
        <w:snapToGrid w:val="0"/>
        <w:spacing w:line="320" w:lineRule="exact"/>
        <w:rPr>
          <w:rFonts w:hAnsi="宋体" w:cs="宋体"/>
          <w:b/>
          <w:sz w:val="21"/>
          <w:szCs w:val="21"/>
        </w:rPr>
      </w:pPr>
      <w:r>
        <w:rPr>
          <w:rFonts w:hint="eastAsia" w:hAnsi="宋体" w:cs="宋体"/>
          <w:b/>
          <w:sz w:val="21"/>
          <w:szCs w:val="21"/>
        </w:rPr>
        <w:t>（六）</w:t>
      </w:r>
      <w:r>
        <w:rPr>
          <w:rFonts w:hAnsi="宋体" w:cs="宋体"/>
          <w:b/>
          <w:sz w:val="21"/>
          <w:szCs w:val="21"/>
        </w:rPr>
        <w:t>其它附属工程</w:t>
      </w:r>
    </w:p>
    <w:tbl>
      <w:tblPr>
        <w:tblStyle w:val="59"/>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1944"/>
        <w:gridCol w:w="5228"/>
      </w:tblGrid>
      <w:tr w14:paraId="18EED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2125" w:type="dxa"/>
            <w:tcBorders>
              <w:top w:val="single" w:color="000000" w:sz="4" w:space="0"/>
              <w:left w:val="single" w:color="000000" w:sz="4" w:space="0"/>
              <w:bottom w:val="single" w:color="000000" w:sz="4" w:space="0"/>
              <w:right w:val="single" w:color="000000" w:sz="4" w:space="0"/>
              <w:tl2br w:val="nil"/>
              <w:tr2bl w:val="nil"/>
            </w:tcBorders>
            <w:vAlign w:val="center"/>
          </w:tcPr>
          <w:p w14:paraId="464FEB00">
            <w:pPr>
              <w:tabs>
                <w:tab w:val="left" w:pos="1875"/>
              </w:tabs>
              <w:snapToGrid w:val="0"/>
              <w:spacing w:line="320" w:lineRule="exact"/>
              <w:jc w:val="center"/>
              <w:rPr>
                <w:rFonts w:hAnsi="宋体" w:cs="宋体"/>
                <w:sz w:val="21"/>
                <w:szCs w:val="21"/>
              </w:rPr>
            </w:pPr>
            <w:r>
              <w:rPr>
                <w:rFonts w:hAnsi="宋体" w:cs="宋体"/>
                <w:sz w:val="21"/>
                <w:szCs w:val="21"/>
              </w:rPr>
              <w:t>序号</w:t>
            </w:r>
          </w:p>
        </w:tc>
        <w:tc>
          <w:tcPr>
            <w:tcW w:w="1944" w:type="dxa"/>
            <w:tcBorders>
              <w:top w:val="single" w:color="000000" w:sz="4" w:space="0"/>
              <w:left w:val="single" w:color="000000" w:sz="4" w:space="0"/>
              <w:bottom w:val="single" w:color="000000" w:sz="4" w:space="0"/>
              <w:right w:val="single" w:color="000000" w:sz="4" w:space="0"/>
              <w:tl2br w:val="nil"/>
              <w:tr2bl w:val="nil"/>
            </w:tcBorders>
            <w:vAlign w:val="center"/>
          </w:tcPr>
          <w:p w14:paraId="1E1A6522">
            <w:pPr>
              <w:tabs>
                <w:tab w:val="left" w:pos="1875"/>
              </w:tabs>
              <w:snapToGrid w:val="0"/>
              <w:spacing w:line="320" w:lineRule="exact"/>
              <w:jc w:val="center"/>
              <w:rPr>
                <w:rFonts w:hAnsi="宋体" w:cs="宋体"/>
                <w:sz w:val="21"/>
                <w:szCs w:val="21"/>
              </w:rPr>
            </w:pPr>
            <w:r>
              <w:rPr>
                <w:rFonts w:hAnsi="宋体" w:cs="宋体"/>
                <w:sz w:val="21"/>
                <w:szCs w:val="21"/>
              </w:rPr>
              <w:t>品目</w:t>
            </w:r>
          </w:p>
        </w:tc>
        <w:tc>
          <w:tcPr>
            <w:tcW w:w="5228" w:type="dxa"/>
            <w:tcBorders>
              <w:top w:val="single" w:color="000000" w:sz="4" w:space="0"/>
              <w:left w:val="single" w:color="000000" w:sz="4" w:space="0"/>
              <w:bottom w:val="single" w:color="000000" w:sz="4" w:space="0"/>
              <w:right w:val="single" w:color="000000" w:sz="4" w:space="0"/>
              <w:tl2br w:val="nil"/>
              <w:tr2bl w:val="nil"/>
            </w:tcBorders>
            <w:vAlign w:val="center"/>
          </w:tcPr>
          <w:p w14:paraId="2DB68789">
            <w:pPr>
              <w:tabs>
                <w:tab w:val="left" w:pos="1875"/>
              </w:tabs>
              <w:snapToGrid w:val="0"/>
              <w:spacing w:line="320" w:lineRule="exact"/>
              <w:jc w:val="center"/>
              <w:rPr>
                <w:rFonts w:hAnsi="宋体" w:cs="宋体"/>
                <w:sz w:val="21"/>
                <w:szCs w:val="21"/>
              </w:rPr>
            </w:pPr>
            <w:r>
              <w:rPr>
                <w:rFonts w:hAnsi="宋体" w:cs="宋体"/>
                <w:sz w:val="21"/>
                <w:szCs w:val="21"/>
              </w:rPr>
              <w:t>配置及装饰要求</w:t>
            </w:r>
          </w:p>
        </w:tc>
      </w:tr>
      <w:tr w14:paraId="6B303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9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A801766">
            <w:pPr>
              <w:tabs>
                <w:tab w:val="left" w:pos="1875"/>
              </w:tabs>
              <w:snapToGrid w:val="0"/>
              <w:spacing w:line="320" w:lineRule="exact"/>
              <w:rPr>
                <w:rFonts w:hAnsi="宋体" w:cs="宋体"/>
                <w:sz w:val="21"/>
                <w:szCs w:val="21"/>
              </w:rPr>
            </w:pPr>
            <w:r>
              <w:rPr>
                <w:rFonts w:hAnsi="宋体" w:cs="宋体"/>
                <w:sz w:val="21"/>
                <w:szCs w:val="21"/>
              </w:rPr>
              <w:t>运输、成品保护、二次转运等</w:t>
            </w:r>
          </w:p>
        </w:tc>
      </w:tr>
      <w:tr w14:paraId="35E8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125" w:type="dxa"/>
            <w:tcBorders>
              <w:top w:val="single" w:color="000000" w:sz="4" w:space="0"/>
              <w:left w:val="single" w:color="000000" w:sz="4" w:space="0"/>
              <w:bottom w:val="single" w:color="000000" w:sz="4" w:space="0"/>
              <w:right w:val="single" w:color="000000" w:sz="4" w:space="0"/>
              <w:tl2br w:val="nil"/>
              <w:tr2bl w:val="nil"/>
            </w:tcBorders>
            <w:vAlign w:val="center"/>
          </w:tcPr>
          <w:p w14:paraId="62C94856">
            <w:pPr>
              <w:tabs>
                <w:tab w:val="left" w:pos="1875"/>
              </w:tabs>
              <w:snapToGrid w:val="0"/>
              <w:spacing w:line="320" w:lineRule="exact"/>
              <w:jc w:val="center"/>
              <w:rPr>
                <w:rFonts w:hAnsi="宋体" w:cs="宋体"/>
                <w:sz w:val="21"/>
                <w:szCs w:val="21"/>
              </w:rPr>
            </w:pPr>
            <w:r>
              <w:rPr>
                <w:rFonts w:hAnsi="宋体" w:cs="宋体"/>
                <w:sz w:val="21"/>
                <w:szCs w:val="21"/>
              </w:rPr>
              <w:t>1</w:t>
            </w:r>
          </w:p>
        </w:tc>
        <w:tc>
          <w:tcPr>
            <w:tcW w:w="1944" w:type="dxa"/>
            <w:tcBorders>
              <w:top w:val="single" w:color="000000" w:sz="4" w:space="0"/>
              <w:left w:val="single" w:color="000000" w:sz="4" w:space="0"/>
              <w:bottom w:val="single" w:color="000000" w:sz="4" w:space="0"/>
              <w:right w:val="single" w:color="000000" w:sz="4" w:space="0"/>
              <w:tl2br w:val="nil"/>
              <w:tr2bl w:val="nil"/>
            </w:tcBorders>
            <w:vAlign w:val="center"/>
          </w:tcPr>
          <w:p w14:paraId="4F393653">
            <w:pPr>
              <w:tabs>
                <w:tab w:val="left" w:pos="1875"/>
              </w:tabs>
              <w:snapToGrid w:val="0"/>
              <w:spacing w:line="320" w:lineRule="exact"/>
              <w:rPr>
                <w:rFonts w:hAnsi="宋体" w:cs="宋体"/>
                <w:sz w:val="21"/>
                <w:szCs w:val="21"/>
              </w:rPr>
            </w:pPr>
            <w:r>
              <w:rPr>
                <w:rFonts w:hAnsi="宋体" w:cs="宋体"/>
                <w:sz w:val="21"/>
                <w:szCs w:val="21"/>
              </w:rPr>
              <w:t>运输、成品保护、二次转运等</w:t>
            </w:r>
          </w:p>
        </w:tc>
        <w:tc>
          <w:tcPr>
            <w:tcW w:w="5228" w:type="dxa"/>
            <w:tcBorders>
              <w:top w:val="single" w:color="000000" w:sz="4" w:space="0"/>
              <w:left w:val="single" w:color="000000" w:sz="4" w:space="0"/>
              <w:bottom w:val="single" w:color="000000" w:sz="4" w:space="0"/>
              <w:right w:val="single" w:color="000000" w:sz="4" w:space="0"/>
              <w:tl2br w:val="nil"/>
              <w:tr2bl w:val="nil"/>
            </w:tcBorders>
            <w:vAlign w:val="center"/>
          </w:tcPr>
          <w:p w14:paraId="6434763E">
            <w:pPr>
              <w:tabs>
                <w:tab w:val="left" w:pos="1875"/>
              </w:tabs>
              <w:snapToGrid w:val="0"/>
              <w:spacing w:line="320" w:lineRule="exact"/>
              <w:rPr>
                <w:rFonts w:hAnsi="宋体" w:cs="宋体"/>
                <w:sz w:val="21"/>
                <w:szCs w:val="21"/>
              </w:rPr>
            </w:pPr>
            <w:r>
              <w:rPr>
                <w:rFonts w:hAnsi="宋体" w:cs="宋体"/>
                <w:sz w:val="21"/>
                <w:szCs w:val="21"/>
              </w:rPr>
              <w:t>比选申请人根据项目现场实际情况制定详尽的产品生产、包装、运输、施工计划等工作，对运输、现场二次转运、设备成品保护、转运和施工过程对现场其他项目成品保护工作均由比选申请人负责，如产生破坏由比选申请人负责修缮及恢复。</w:t>
            </w:r>
          </w:p>
        </w:tc>
      </w:tr>
      <w:tr w14:paraId="2C79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9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7E59D64">
            <w:pPr>
              <w:tabs>
                <w:tab w:val="left" w:pos="1875"/>
              </w:tabs>
              <w:snapToGrid w:val="0"/>
              <w:spacing w:line="320" w:lineRule="exact"/>
              <w:rPr>
                <w:rFonts w:hAnsi="宋体" w:cs="宋体"/>
                <w:sz w:val="21"/>
                <w:szCs w:val="21"/>
              </w:rPr>
            </w:pPr>
            <w:r>
              <w:rPr>
                <w:rFonts w:hAnsi="宋体" w:cs="宋体"/>
                <w:sz w:val="21"/>
                <w:szCs w:val="21"/>
              </w:rPr>
              <w:t>其他部分</w:t>
            </w:r>
          </w:p>
        </w:tc>
      </w:tr>
      <w:tr w14:paraId="52D1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125" w:type="dxa"/>
            <w:tcBorders>
              <w:top w:val="single" w:color="000000" w:sz="4" w:space="0"/>
              <w:left w:val="single" w:color="000000" w:sz="4" w:space="0"/>
              <w:bottom w:val="single" w:color="000000" w:sz="4" w:space="0"/>
              <w:right w:val="single" w:color="000000" w:sz="4" w:space="0"/>
              <w:tl2br w:val="nil"/>
              <w:tr2bl w:val="nil"/>
            </w:tcBorders>
            <w:vAlign w:val="center"/>
          </w:tcPr>
          <w:p w14:paraId="4A4B41EC">
            <w:pPr>
              <w:tabs>
                <w:tab w:val="left" w:pos="1875"/>
              </w:tabs>
              <w:snapToGrid w:val="0"/>
              <w:spacing w:line="320" w:lineRule="exact"/>
              <w:jc w:val="center"/>
              <w:rPr>
                <w:rFonts w:hAnsi="宋体" w:cs="宋体"/>
                <w:sz w:val="21"/>
                <w:szCs w:val="21"/>
              </w:rPr>
            </w:pPr>
            <w:r>
              <w:rPr>
                <w:rFonts w:hAnsi="宋体" w:cs="宋体"/>
                <w:sz w:val="21"/>
                <w:szCs w:val="21"/>
              </w:rPr>
              <w:t>1</w:t>
            </w:r>
          </w:p>
        </w:tc>
        <w:tc>
          <w:tcPr>
            <w:tcW w:w="7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5487C50">
            <w:pPr>
              <w:tabs>
                <w:tab w:val="left" w:pos="1875"/>
              </w:tabs>
              <w:snapToGrid w:val="0"/>
              <w:spacing w:line="320" w:lineRule="exact"/>
              <w:rPr>
                <w:rFonts w:hAnsi="宋体" w:cs="宋体"/>
                <w:sz w:val="21"/>
                <w:szCs w:val="21"/>
              </w:rPr>
            </w:pPr>
            <w:r>
              <w:rPr>
                <w:rFonts w:hAnsi="宋体" w:cs="宋体"/>
                <w:sz w:val="21"/>
                <w:szCs w:val="21"/>
              </w:rPr>
              <w:t>电梯底坑对重防护板如选择封闭式须在齐对重缓冲器上部留观察和检测孔洞</w:t>
            </w:r>
          </w:p>
        </w:tc>
      </w:tr>
      <w:tr w14:paraId="049B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125" w:type="dxa"/>
            <w:tcBorders>
              <w:top w:val="single" w:color="000000" w:sz="4" w:space="0"/>
              <w:left w:val="single" w:color="000000" w:sz="4" w:space="0"/>
              <w:bottom w:val="single" w:color="000000" w:sz="4" w:space="0"/>
              <w:right w:val="single" w:color="000000" w:sz="4" w:space="0"/>
              <w:tl2br w:val="nil"/>
              <w:tr2bl w:val="nil"/>
            </w:tcBorders>
            <w:vAlign w:val="center"/>
          </w:tcPr>
          <w:p w14:paraId="2678EEC0">
            <w:pPr>
              <w:tabs>
                <w:tab w:val="left" w:pos="1875"/>
              </w:tabs>
              <w:snapToGrid w:val="0"/>
              <w:spacing w:line="320" w:lineRule="exact"/>
              <w:jc w:val="center"/>
              <w:rPr>
                <w:rFonts w:hAnsi="宋体" w:cs="宋体"/>
                <w:sz w:val="21"/>
                <w:szCs w:val="21"/>
              </w:rPr>
            </w:pPr>
            <w:r>
              <w:rPr>
                <w:rFonts w:hAnsi="宋体" w:cs="宋体"/>
                <w:sz w:val="21"/>
                <w:szCs w:val="21"/>
              </w:rPr>
              <w:t>2</w:t>
            </w:r>
          </w:p>
        </w:tc>
        <w:tc>
          <w:tcPr>
            <w:tcW w:w="7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1EEF5F2">
            <w:pPr>
              <w:tabs>
                <w:tab w:val="left" w:pos="1875"/>
              </w:tabs>
              <w:snapToGrid w:val="0"/>
              <w:spacing w:line="320" w:lineRule="exact"/>
              <w:rPr>
                <w:rFonts w:hAnsi="宋体" w:cs="宋体"/>
                <w:sz w:val="21"/>
                <w:szCs w:val="21"/>
              </w:rPr>
            </w:pPr>
            <w:r>
              <w:rPr>
                <w:rFonts w:hint="eastAsia" w:hAnsi="宋体" w:cs="宋体"/>
                <w:sz w:val="21"/>
                <w:szCs w:val="21"/>
              </w:rPr>
              <w:t>机房改造：增设空调3p柜机（格力、海尔品牌）</w:t>
            </w:r>
          </w:p>
        </w:tc>
      </w:tr>
    </w:tbl>
    <w:p w14:paraId="58CC8652">
      <w:pPr>
        <w:pStyle w:val="57"/>
        <w:ind w:firstLine="0"/>
      </w:pPr>
    </w:p>
    <w:p w14:paraId="36B9F296">
      <w:pPr>
        <w:snapToGrid w:val="0"/>
        <w:spacing w:line="320" w:lineRule="exact"/>
        <w:ind w:left="529" w:leftChars="114" w:hanging="210" w:hangingChars="100"/>
        <w:jc w:val="left"/>
        <w:rPr>
          <w:rFonts w:ascii="宋体" w:hAnsi="宋体" w:cs="宋体"/>
          <w:sz w:val="21"/>
          <w:szCs w:val="21"/>
        </w:rPr>
      </w:pPr>
    </w:p>
    <w:p w14:paraId="4D4ACBB6">
      <w:pPr>
        <w:rPr>
          <w:rFonts w:ascii="宋体" w:hAnsi="宋体" w:cs="宋体"/>
        </w:rPr>
      </w:pPr>
      <w:r>
        <w:rPr>
          <w:rFonts w:hint="eastAsia" w:ascii="宋体" w:hAnsi="宋体" w:cs="宋体"/>
        </w:rPr>
        <w:br w:type="page"/>
      </w:r>
    </w:p>
    <w:p w14:paraId="159BC9A2">
      <w:pPr>
        <w:pStyle w:val="3"/>
        <w:jc w:val="center"/>
        <w:rPr>
          <w:rFonts w:hAnsi="宋体" w:cs="宋体"/>
          <w:b/>
          <w:bCs/>
          <w:sz w:val="30"/>
          <w:szCs w:val="30"/>
        </w:rPr>
      </w:pPr>
      <w:bookmarkStart w:id="93" w:name="_Toc16875"/>
      <w:r>
        <w:rPr>
          <w:rFonts w:hint="eastAsia" w:hAnsi="宋体" w:cs="宋体"/>
          <w:b/>
          <w:bCs/>
          <w:sz w:val="30"/>
          <w:szCs w:val="30"/>
        </w:rPr>
        <w:t xml:space="preserve">第三篇  </w:t>
      </w:r>
      <w:bookmarkEnd w:id="87"/>
      <w:bookmarkEnd w:id="88"/>
      <w:bookmarkEnd w:id="89"/>
      <w:bookmarkEnd w:id="90"/>
      <w:bookmarkEnd w:id="91"/>
      <w:bookmarkEnd w:id="92"/>
      <w:r>
        <w:rPr>
          <w:rFonts w:hint="eastAsia" w:hAnsi="宋体" w:cs="宋体"/>
          <w:b/>
          <w:bCs/>
          <w:sz w:val="30"/>
          <w:szCs w:val="30"/>
        </w:rPr>
        <w:t>比选项目商务需求</w:t>
      </w:r>
      <w:bookmarkEnd w:id="93"/>
    </w:p>
    <w:p w14:paraId="01FF3CE7">
      <w:pPr>
        <w:keepNext/>
        <w:keepLines/>
        <w:adjustRightInd w:val="0"/>
        <w:snapToGrid w:val="0"/>
        <w:spacing w:line="380" w:lineRule="exact"/>
        <w:ind w:firstLine="482" w:firstLineChars="200"/>
        <w:outlineLvl w:val="1"/>
        <w:rPr>
          <w:rFonts w:ascii="宋体" w:hAnsi="宋体" w:cs="宋体"/>
          <w:b/>
          <w:sz w:val="24"/>
        </w:rPr>
      </w:pPr>
      <w:bookmarkStart w:id="94" w:name="_Toc17750"/>
      <w:bookmarkStart w:id="95" w:name="_Toc65660342"/>
      <w:bookmarkStart w:id="96" w:name="_Toc12935"/>
      <w:bookmarkStart w:id="97" w:name="_Toc13555"/>
      <w:bookmarkStart w:id="98" w:name="_Toc16257"/>
      <w:bookmarkStart w:id="99" w:name="_Toc342913389"/>
      <w:r>
        <w:rPr>
          <w:rFonts w:hint="eastAsia" w:ascii="宋体" w:hAnsi="宋体" w:cs="宋体"/>
          <w:b/>
          <w:sz w:val="24"/>
        </w:rPr>
        <w:t>一、工期、地点及验收方式</w:t>
      </w:r>
      <w:bookmarkEnd w:id="94"/>
      <w:bookmarkEnd w:id="95"/>
      <w:bookmarkEnd w:id="96"/>
      <w:bookmarkEnd w:id="97"/>
      <w:bookmarkEnd w:id="98"/>
    </w:p>
    <w:p w14:paraId="7F417497">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（一）工期</w:t>
      </w:r>
    </w:p>
    <w:p w14:paraId="08B98342">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成交供应商应在合同签订后</w:t>
      </w:r>
      <w:r>
        <w:rPr>
          <w:rFonts w:hint="eastAsia" w:ascii="宋体" w:hAnsi="宋体" w:cs="宋体"/>
          <w:sz w:val="24"/>
          <w:szCs w:val="24"/>
          <w:u w:val="single"/>
        </w:rPr>
        <w:t xml:space="preserve"> 90 </w:t>
      </w:r>
      <w:r>
        <w:rPr>
          <w:rFonts w:hint="eastAsia" w:ascii="宋体" w:hAnsi="宋体" w:cs="宋体"/>
          <w:sz w:val="24"/>
          <w:szCs w:val="24"/>
        </w:rPr>
        <w:t>日历日内交货并完成安装调试（国家法定节假日顺延），同时通过特种设备监督管理部门验收合格并取得合格的检验监督报告。</w:t>
      </w:r>
    </w:p>
    <w:p w14:paraId="56487220">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（二）地点</w:t>
      </w:r>
    </w:p>
    <w:p w14:paraId="69233175">
      <w:pPr>
        <w:spacing w:line="380" w:lineRule="exact"/>
        <w:ind w:firstLine="480" w:firstLineChars="200"/>
        <w:rPr>
          <w:rFonts w:ascii="宋体" w:hAnsi="宋体" w:cs="宋体"/>
          <w:sz w:val="24"/>
          <w:szCs w:val="24"/>
        </w:rPr>
      </w:pPr>
      <w:r>
        <w:rPr>
          <w:rFonts w:hint="eastAsia" w:ascii="宋体" w:hAnsi="宋体" w:cs="宋体"/>
          <w:sz w:val="24"/>
          <w:szCs w:val="24"/>
        </w:rPr>
        <w:t>地点：采购人指定的地点。</w:t>
      </w:r>
    </w:p>
    <w:p w14:paraId="00D6B259">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14:paraId="305F73D3">
      <w:pPr>
        <w:keepNext/>
        <w:keepLines/>
        <w:adjustRightInd w:val="0"/>
        <w:snapToGrid w:val="0"/>
        <w:spacing w:line="380" w:lineRule="exact"/>
        <w:ind w:firstLine="480" w:firstLineChars="200"/>
        <w:outlineLvl w:val="1"/>
        <w:rPr>
          <w:rFonts w:ascii="宋体" w:hAnsi="宋体" w:cs="宋体"/>
          <w:sz w:val="24"/>
          <w:szCs w:val="24"/>
        </w:rPr>
      </w:pPr>
      <w:bookmarkStart w:id="100" w:name="_Toc8103"/>
      <w:bookmarkStart w:id="101" w:name="_Toc1838"/>
      <w:bookmarkStart w:id="102" w:name="_Toc65660343"/>
      <w:bookmarkStart w:id="103" w:name="_Toc24110"/>
      <w:bookmarkStart w:id="104" w:name="_Toc2149"/>
      <w:r>
        <w:rPr>
          <w:rFonts w:hint="eastAsia" w:ascii="宋体" w:hAnsi="宋体" w:cs="宋体"/>
          <w:sz w:val="24"/>
          <w:szCs w:val="24"/>
        </w:rPr>
        <w:t>1、货物到达现场后，成交供应商应在使用单位人员在场情况下当面开箱，共同清点、检查外观，作出开箱记录，双方签字确认。</w:t>
      </w:r>
    </w:p>
    <w:p w14:paraId="6DA213CA">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2、成交供应商应保证货物到达采购人所在地完好无损，如有缺漏、损坏，由供应商负责调换、补齐或赔偿。</w:t>
      </w:r>
    </w:p>
    <w:p w14:paraId="74362156">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3、成交供应商应提供完备的技术资料、装箱单和合格证等，并派遣专业技术人员进行现场安装调试。验收合格条件如下：</w:t>
      </w:r>
    </w:p>
    <w:p w14:paraId="799489DC">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（1）设备技术参数与采购合同一致，性能指标达到规定的标准。</w:t>
      </w:r>
    </w:p>
    <w:p w14:paraId="20E87BFB">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（2）货物技术资料、装箱单、合格证等资料齐全。</w:t>
      </w:r>
    </w:p>
    <w:p w14:paraId="1DD4770A">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（3）在系统试运行期间所出现的问题得到解决，并运行正常。</w:t>
      </w:r>
    </w:p>
    <w:p w14:paraId="71619602">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（4）在规定时间内完成交货并验收，并经采购人确认。</w:t>
      </w:r>
    </w:p>
    <w:p w14:paraId="0E133DE7">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4、产品在安装调试并试运行符合要求后，才作为最终验收。</w:t>
      </w:r>
    </w:p>
    <w:p w14:paraId="573ECF78">
      <w:pPr>
        <w:keepNext/>
        <w:keepLines/>
        <w:adjustRightInd w:val="0"/>
        <w:snapToGrid w:val="0"/>
        <w:spacing w:line="380" w:lineRule="exact"/>
        <w:ind w:firstLine="482" w:firstLineChars="200"/>
        <w:outlineLvl w:val="1"/>
        <w:rPr>
          <w:rFonts w:ascii="宋体" w:hAnsi="宋体" w:cs="宋体"/>
          <w:b/>
          <w:sz w:val="24"/>
        </w:rPr>
      </w:pPr>
      <w:r>
        <w:rPr>
          <w:rFonts w:hint="eastAsia" w:ascii="宋体" w:hAnsi="宋体" w:cs="宋体"/>
          <w:b/>
          <w:sz w:val="24"/>
        </w:rPr>
        <w:t>二、</w:t>
      </w:r>
      <w:bookmarkEnd w:id="100"/>
      <w:bookmarkEnd w:id="101"/>
      <w:bookmarkEnd w:id="102"/>
      <w:bookmarkEnd w:id="103"/>
      <w:bookmarkStart w:id="105" w:name="_Toc122"/>
      <w:bookmarkStart w:id="106" w:name="_Toc65660344"/>
      <w:bookmarkStart w:id="107" w:name="_Toc16974"/>
      <w:bookmarkStart w:id="108" w:name="_Toc12184"/>
      <w:r>
        <w:rPr>
          <w:rFonts w:hint="eastAsia" w:ascii="宋体" w:hAnsi="宋体" w:cs="宋体"/>
          <w:b/>
          <w:sz w:val="24"/>
        </w:rPr>
        <w:t>报价要求</w:t>
      </w:r>
      <w:bookmarkEnd w:id="104"/>
      <w:bookmarkEnd w:id="105"/>
      <w:bookmarkEnd w:id="106"/>
      <w:bookmarkEnd w:id="107"/>
      <w:bookmarkEnd w:id="108"/>
    </w:p>
    <w:p w14:paraId="7AE9C361">
      <w:pPr>
        <w:snapToGrid w:val="0"/>
        <w:spacing w:line="380" w:lineRule="exact"/>
        <w:ind w:firstLine="360" w:firstLineChars="150"/>
        <w:outlineLvl w:val="2"/>
        <w:rPr>
          <w:rFonts w:ascii="宋体" w:hAnsi="宋体" w:cs="宋体"/>
          <w:sz w:val="24"/>
          <w:szCs w:val="24"/>
        </w:rPr>
      </w:pPr>
      <w:bookmarkStart w:id="109" w:name="_Toc65660345"/>
      <w:bookmarkStart w:id="110" w:name="_Toc7562"/>
      <w:bookmarkStart w:id="111" w:name="_Toc9192"/>
      <w:bookmarkStart w:id="112" w:name="_Toc9968"/>
      <w:bookmarkStart w:id="113" w:name="_Toc11000"/>
      <w:r>
        <w:rPr>
          <w:rFonts w:hint="eastAsia" w:ascii="宋体" w:hAnsi="宋体" w:cs="宋体"/>
          <w:sz w:val="24"/>
          <w:szCs w:val="24"/>
        </w:rPr>
        <w:t>1、本项目为交钥匙工程，本次报价须为人民币报价，投标报价包含不限于：前期电梯安全评估费4000元、招标代理服务费4500元、设备购买费、运输费、装卸费、保险费、安装调试费、现有电梯设备拆除工时费、人工费、税费、培训费、验收全过程直至取得质量技术监督部门验收合格发出运行许可证交付给采购人使用、质保期内的质保及维保售后服务工作等完成项目的所有费用</w:t>
      </w:r>
      <w:r>
        <w:rPr>
          <w:rFonts w:hint="eastAsia" w:ascii="宋体" w:hAnsi="宋体" w:cs="宋体"/>
          <w:b/>
          <w:bCs/>
          <w:sz w:val="24"/>
          <w:szCs w:val="24"/>
        </w:rPr>
        <w:t>减去旧梯残值费后的金额</w:t>
      </w:r>
      <w:r>
        <w:rPr>
          <w:rFonts w:hint="eastAsia" w:ascii="宋体" w:hAnsi="宋体" w:cs="宋体"/>
          <w:sz w:val="24"/>
          <w:szCs w:val="24"/>
        </w:rPr>
        <w:t>。采购人除此以外不支付其它费用。</w:t>
      </w:r>
    </w:p>
    <w:p w14:paraId="452260DC">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2、成交供应商根据采购人项目进度需求制定施工计划，分批次进行拆旧换新工作（每栋两台电梯情况的，先更换好一台电梯保证业主的日常生活后在更换另一台电梯），进场即接收旧电梯的日常维护保养工作，保障楼栋电梯的正常安全合规运行，直至全部更新工程的竣工。</w:t>
      </w:r>
    </w:p>
    <w:p w14:paraId="1CB66D0E">
      <w:pPr>
        <w:pStyle w:val="57"/>
        <w:spacing w:line="380" w:lineRule="exact"/>
        <w:rPr>
          <w:rFonts w:eastAsia="宋体" w:cs="宋体"/>
          <w:b/>
          <w:bCs/>
          <w:szCs w:val="24"/>
        </w:rPr>
      </w:pPr>
      <w:r>
        <w:rPr>
          <w:rFonts w:hint="eastAsia" w:eastAsia="宋体" w:cs="宋体"/>
          <w:b/>
          <w:bCs/>
          <w:szCs w:val="24"/>
        </w:rPr>
        <w:t>3、供应商须按照“第七篇响应文件格式要求”中《比选报价函》及《报价明细表》填报金额，《比选报价函》中的含税投标总报价金额应与《报价明细表》中各楼栋含税报价总计金额之和一致，否则将按无效投标处理。</w:t>
      </w:r>
    </w:p>
    <w:p w14:paraId="74EE66DA">
      <w:pPr>
        <w:spacing w:line="380" w:lineRule="exact"/>
        <w:ind w:firstLine="420"/>
        <w:rPr>
          <w:rFonts w:ascii="宋体" w:hAnsi="宋体" w:cs="宋体"/>
          <w:b/>
          <w:bCs/>
          <w:sz w:val="24"/>
          <w:szCs w:val="24"/>
        </w:rPr>
      </w:pPr>
      <w:r>
        <w:rPr>
          <w:rFonts w:hint="eastAsia" w:ascii="宋体" w:hAnsi="宋体" w:cs="宋体"/>
          <w:b/>
          <w:bCs/>
          <w:sz w:val="24"/>
          <w:szCs w:val="24"/>
        </w:rPr>
        <w:t>三、付款方式</w:t>
      </w:r>
      <w:bookmarkEnd w:id="109"/>
      <w:bookmarkEnd w:id="110"/>
      <w:bookmarkEnd w:id="111"/>
      <w:bookmarkEnd w:id="112"/>
      <w:bookmarkEnd w:id="113"/>
      <w:bookmarkStart w:id="114" w:name="_Toc65660346"/>
      <w:bookmarkStart w:id="115" w:name="_Toc7228"/>
      <w:bookmarkStart w:id="116" w:name="_Toc24751"/>
      <w:bookmarkStart w:id="117" w:name="_Toc3786"/>
      <w:bookmarkStart w:id="118" w:name="_Toc12953"/>
    </w:p>
    <w:p w14:paraId="2CC455C4">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1、合同签订前成交供应商向采购人提供合同金额10%的履约担保保函（见索即付），受益人为采购人，全部工程完工并竣工验收合格后5个工作日内一次性无息退还（不计利息）。</w:t>
      </w:r>
    </w:p>
    <w:p w14:paraId="7D12A531">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2、主要材料或设备进场确认完毕，电梯供应商协助物业单位启动政府补贴资金及小区业主大修专项资金的相关手续，工程竣工验收合格经过第三方结算评审后，支付至审定金额100%。</w:t>
      </w:r>
    </w:p>
    <w:p w14:paraId="3A4A5EE3">
      <w:pPr>
        <w:snapToGrid w:val="0"/>
        <w:spacing w:line="380" w:lineRule="exact"/>
        <w:ind w:firstLine="360" w:firstLineChars="150"/>
        <w:outlineLvl w:val="2"/>
        <w:rPr>
          <w:rFonts w:ascii="宋体" w:hAnsi="宋体" w:cs="宋体"/>
          <w:sz w:val="24"/>
          <w:szCs w:val="24"/>
        </w:rPr>
      </w:pPr>
      <w:r>
        <w:rPr>
          <w:rFonts w:hint="eastAsia" w:ascii="宋体" w:hAnsi="宋体" w:cs="宋体"/>
          <w:sz w:val="24"/>
          <w:szCs w:val="24"/>
        </w:rPr>
        <w:t>3、支付审定金额的同时，成交供应商向采购人提供审定金额3%的质量保证金，质保期满后无任何质量问题退还。</w:t>
      </w:r>
    </w:p>
    <w:p w14:paraId="2DB7BB08">
      <w:pPr>
        <w:spacing w:line="380" w:lineRule="exact"/>
        <w:ind w:firstLine="420"/>
        <w:rPr>
          <w:rFonts w:ascii="宋体" w:hAnsi="宋体" w:cs="宋体"/>
          <w:b/>
          <w:bCs/>
          <w:sz w:val="24"/>
          <w:szCs w:val="24"/>
        </w:rPr>
      </w:pPr>
      <w:r>
        <w:rPr>
          <w:rFonts w:hint="eastAsia" w:ascii="宋体" w:hAnsi="宋体" w:cs="宋体"/>
          <w:b/>
          <w:bCs/>
          <w:sz w:val="24"/>
          <w:szCs w:val="24"/>
        </w:rPr>
        <w:t>四、知识产权</w:t>
      </w:r>
      <w:bookmarkEnd w:id="114"/>
      <w:bookmarkEnd w:id="115"/>
      <w:bookmarkEnd w:id="116"/>
      <w:bookmarkEnd w:id="117"/>
      <w:bookmarkEnd w:id="118"/>
    </w:p>
    <w:p w14:paraId="09E120F0">
      <w:pPr>
        <w:spacing w:line="380" w:lineRule="exact"/>
        <w:ind w:firstLine="42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80C30C5">
      <w:pPr>
        <w:keepNext/>
        <w:keepLines/>
        <w:adjustRightInd w:val="0"/>
        <w:snapToGrid w:val="0"/>
        <w:spacing w:line="380" w:lineRule="exact"/>
        <w:ind w:firstLine="482" w:firstLineChars="200"/>
        <w:outlineLvl w:val="1"/>
        <w:rPr>
          <w:rFonts w:ascii="宋体" w:hAnsi="宋体" w:cs="宋体"/>
          <w:b/>
          <w:bCs/>
          <w:sz w:val="24"/>
          <w:szCs w:val="24"/>
        </w:rPr>
      </w:pPr>
      <w:bookmarkStart w:id="119" w:name="_Toc23902"/>
      <w:bookmarkStart w:id="120" w:name="_Toc31659"/>
      <w:bookmarkStart w:id="121" w:name="_Toc65660348"/>
      <w:bookmarkStart w:id="122" w:name="_Toc8437"/>
      <w:bookmarkStart w:id="123" w:name="_Toc21248"/>
      <w:r>
        <w:rPr>
          <w:rFonts w:hint="eastAsia" w:ascii="宋体" w:hAnsi="宋体" w:cs="宋体"/>
          <w:b/>
          <w:bCs/>
          <w:sz w:val="24"/>
          <w:szCs w:val="24"/>
        </w:rPr>
        <w:t>五、其他</w:t>
      </w:r>
      <w:bookmarkEnd w:id="119"/>
      <w:bookmarkEnd w:id="120"/>
      <w:bookmarkEnd w:id="121"/>
      <w:bookmarkEnd w:id="122"/>
      <w:bookmarkEnd w:id="123"/>
    </w:p>
    <w:p w14:paraId="16AB9EB6">
      <w:pPr>
        <w:keepNext/>
        <w:keepLines/>
        <w:adjustRightInd w:val="0"/>
        <w:snapToGrid w:val="0"/>
        <w:spacing w:line="380" w:lineRule="exact"/>
        <w:ind w:firstLine="480" w:firstLineChars="200"/>
        <w:outlineLvl w:val="1"/>
        <w:rPr>
          <w:rFonts w:ascii="宋体" w:hAnsi="宋体" w:cs="宋体"/>
          <w:sz w:val="24"/>
          <w:szCs w:val="24"/>
        </w:rPr>
      </w:pPr>
      <w:r>
        <w:rPr>
          <w:rFonts w:hint="eastAsia" w:ascii="宋体" w:hAnsi="宋体" w:cs="宋体"/>
          <w:sz w:val="24"/>
          <w:szCs w:val="24"/>
        </w:rPr>
        <w:t>无。</w:t>
      </w:r>
    </w:p>
    <w:p w14:paraId="5E2A6608">
      <w:pPr>
        <w:keepNext/>
        <w:keepLines/>
        <w:spacing w:line="360" w:lineRule="auto"/>
        <w:jc w:val="center"/>
        <w:outlineLvl w:val="1"/>
        <w:rPr>
          <w:rStyle w:val="254"/>
          <w:rFonts w:hAnsi="宋体" w:cs="宋体"/>
          <w:szCs w:val="28"/>
        </w:rPr>
      </w:pPr>
      <w:r>
        <w:rPr>
          <w:rFonts w:hint="eastAsia" w:ascii="宋体" w:hAnsi="宋体" w:cs="宋体"/>
          <w:sz w:val="36"/>
          <w:szCs w:val="30"/>
        </w:rPr>
        <w:br w:type="page"/>
      </w:r>
      <w:bookmarkStart w:id="124" w:name="_Toc31282"/>
      <w:bookmarkStart w:id="125" w:name="_Toc65660349"/>
      <w:bookmarkStart w:id="126" w:name="_Toc3146"/>
      <w:bookmarkStart w:id="127" w:name="_Toc24195"/>
      <w:bookmarkStart w:id="128" w:name="_Toc16123"/>
      <w:bookmarkStart w:id="129" w:name="_Toc24816"/>
      <w:r>
        <w:rPr>
          <w:rStyle w:val="254"/>
          <w:rFonts w:hint="eastAsia" w:hAnsi="宋体" w:cs="宋体"/>
          <w:b/>
          <w:bCs/>
          <w:sz w:val="30"/>
          <w:szCs w:val="30"/>
        </w:rPr>
        <w:t>第四篇  采购程序、评定成交的标准、无效报价及采购终止</w:t>
      </w:r>
      <w:bookmarkEnd w:id="124"/>
      <w:bookmarkEnd w:id="125"/>
      <w:bookmarkEnd w:id="126"/>
      <w:bookmarkEnd w:id="127"/>
      <w:bookmarkEnd w:id="128"/>
    </w:p>
    <w:bookmarkEnd w:id="129"/>
    <w:p w14:paraId="28A8D742">
      <w:pPr>
        <w:keepNext/>
        <w:keepLines/>
        <w:adjustRightInd w:val="0"/>
        <w:snapToGrid w:val="0"/>
        <w:spacing w:line="400" w:lineRule="exact"/>
        <w:ind w:firstLine="482" w:firstLineChars="200"/>
        <w:outlineLvl w:val="1"/>
        <w:rPr>
          <w:rFonts w:ascii="宋体" w:hAnsi="宋体" w:cs="宋体"/>
          <w:b/>
          <w:sz w:val="24"/>
        </w:rPr>
      </w:pPr>
      <w:bookmarkStart w:id="130" w:name="_Toc5167"/>
      <w:bookmarkStart w:id="131" w:name="_Toc9361"/>
      <w:bookmarkStart w:id="132" w:name="_Toc64732012"/>
      <w:bookmarkStart w:id="133" w:name="_Toc27932"/>
      <w:bookmarkStart w:id="134" w:name="_Toc65660350"/>
      <w:bookmarkStart w:id="135" w:name="_Toc10177"/>
      <w:r>
        <w:rPr>
          <w:rFonts w:hint="eastAsia" w:ascii="宋体" w:hAnsi="宋体" w:cs="宋体"/>
          <w:b/>
          <w:sz w:val="24"/>
        </w:rPr>
        <w:t>一、采购程序</w:t>
      </w:r>
      <w:bookmarkEnd w:id="130"/>
      <w:bookmarkEnd w:id="131"/>
      <w:bookmarkEnd w:id="132"/>
      <w:bookmarkEnd w:id="133"/>
      <w:bookmarkEnd w:id="134"/>
      <w:bookmarkEnd w:id="135"/>
    </w:p>
    <w:p w14:paraId="23165D0A">
      <w:pPr>
        <w:snapToGrid w:val="0"/>
        <w:spacing w:line="400" w:lineRule="exact"/>
        <w:ind w:firstLine="480" w:firstLineChars="200"/>
        <w:rPr>
          <w:rFonts w:ascii="宋体" w:hAnsi="宋体" w:cs="宋体"/>
          <w:sz w:val="24"/>
          <w:szCs w:val="24"/>
        </w:rPr>
      </w:pPr>
      <w:r>
        <w:rPr>
          <w:rFonts w:hint="eastAsia" w:ascii="宋体" w:hAnsi="宋体" w:cs="宋体"/>
          <w:sz w:val="24"/>
          <w:szCs w:val="24"/>
        </w:rPr>
        <w:t>（一）比选按竞争性比选文件规定的时间和地点进行。</w:t>
      </w:r>
    </w:p>
    <w:p w14:paraId="660F7369">
      <w:pPr>
        <w:snapToGrid w:val="0"/>
        <w:spacing w:line="400" w:lineRule="exact"/>
        <w:ind w:firstLine="480" w:firstLineChars="200"/>
        <w:rPr>
          <w:rFonts w:ascii="宋体" w:hAnsi="宋体" w:cs="宋体"/>
          <w:sz w:val="24"/>
          <w:szCs w:val="24"/>
        </w:rPr>
      </w:pPr>
      <w:r>
        <w:rPr>
          <w:rFonts w:hint="eastAsia" w:ascii="宋体" w:hAnsi="宋体" w:cs="宋体"/>
          <w:sz w:val="24"/>
          <w:szCs w:val="24"/>
        </w:rPr>
        <w:t>（二）由本项目评审小组对各供应商的资格条件、实质性响应等进行审查并汇总评审得分。</w:t>
      </w:r>
    </w:p>
    <w:p w14:paraId="7D631B9A">
      <w:pPr>
        <w:snapToGrid w:val="0"/>
        <w:spacing w:line="400" w:lineRule="exact"/>
        <w:ind w:firstLine="480" w:firstLineChars="200"/>
        <w:rPr>
          <w:rFonts w:ascii="宋体" w:hAnsi="宋体" w:cs="宋体"/>
          <w:sz w:val="24"/>
          <w:szCs w:val="24"/>
        </w:rPr>
      </w:pPr>
      <w:r>
        <w:rPr>
          <w:rFonts w:hint="eastAsia" w:ascii="宋体" w:hAnsi="宋体" w:cs="宋体"/>
          <w:sz w:val="24"/>
          <w:szCs w:val="24"/>
        </w:rPr>
        <w:t>（三）由业主根据评审小组推选的三名候选人的自行述标后进行投票。</w:t>
      </w:r>
    </w:p>
    <w:p w14:paraId="3FB6DED5">
      <w:pPr>
        <w:snapToGrid w:val="0"/>
        <w:spacing w:line="400" w:lineRule="exact"/>
        <w:ind w:firstLine="480" w:firstLineChars="200"/>
        <w:rPr>
          <w:rFonts w:ascii="宋体" w:hAnsi="宋体" w:cs="宋体"/>
          <w:sz w:val="24"/>
          <w:szCs w:val="24"/>
        </w:rPr>
      </w:pPr>
      <w:r>
        <w:rPr>
          <w:rFonts w:hint="eastAsia" w:ascii="宋体" w:hAnsi="宋体" w:cs="宋体"/>
          <w:sz w:val="24"/>
          <w:szCs w:val="24"/>
        </w:rPr>
        <w:t>（四）采购人或采购代理机构汇总最终得票数，得票数最高即为中标人。</w:t>
      </w:r>
    </w:p>
    <w:p w14:paraId="5CF7A900">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1.资格性审查。依据法律法规和竞争性比选文件的规定对响应文件进行审查。资格性审查内容如下：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415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4350F3C">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76846D3">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4DE6D5BF">
            <w:pPr>
              <w:jc w:val="center"/>
              <w:rPr>
                <w:rFonts w:ascii="宋体" w:hAnsi="宋体" w:cs="宋体"/>
                <w:b/>
                <w:kern w:val="0"/>
                <w:sz w:val="21"/>
                <w:szCs w:val="21"/>
              </w:rPr>
            </w:pPr>
            <w:r>
              <w:rPr>
                <w:rFonts w:hint="eastAsia" w:ascii="宋体" w:hAnsi="宋体" w:cs="宋体"/>
                <w:b/>
                <w:kern w:val="0"/>
                <w:sz w:val="21"/>
                <w:szCs w:val="21"/>
              </w:rPr>
              <w:t>检查内容</w:t>
            </w:r>
          </w:p>
        </w:tc>
      </w:tr>
      <w:tr w14:paraId="20D6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32E27A8">
            <w:pP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31B326FB">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14:paraId="431D11B5">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14:paraId="60D551C1">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5FB514AE">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103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4F7D12A">
            <w:pPr>
              <w:rPr>
                <w:rFonts w:ascii="宋体" w:hAnsi="宋体" w:cs="宋体"/>
                <w:sz w:val="21"/>
                <w:szCs w:val="21"/>
              </w:rPr>
            </w:pPr>
          </w:p>
        </w:tc>
        <w:tc>
          <w:tcPr>
            <w:tcW w:w="709" w:type="dxa"/>
            <w:vMerge w:val="continue"/>
            <w:vAlign w:val="center"/>
          </w:tcPr>
          <w:p w14:paraId="477B58A1">
            <w:pPr>
              <w:rPr>
                <w:rFonts w:ascii="宋体" w:hAnsi="宋体" w:cs="宋体"/>
                <w:sz w:val="21"/>
                <w:szCs w:val="21"/>
                <w:lang w:val="zh-CN"/>
              </w:rPr>
            </w:pPr>
          </w:p>
        </w:tc>
        <w:tc>
          <w:tcPr>
            <w:tcW w:w="2835" w:type="dxa"/>
            <w:vAlign w:val="center"/>
          </w:tcPr>
          <w:p w14:paraId="77576704">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14:paraId="11534CD1">
            <w:pPr>
              <w:rPr>
                <w:rFonts w:ascii="宋体" w:hAnsi="宋体" w:cs="宋体"/>
                <w:b/>
                <w:sz w:val="21"/>
                <w:szCs w:val="21"/>
              </w:rPr>
            </w:pPr>
            <w:r>
              <w:rPr>
                <w:rFonts w:hint="eastAsia" w:ascii="宋体" w:hAnsi="宋体" w:cs="宋体"/>
                <w:sz w:val="21"/>
                <w:szCs w:val="21"/>
              </w:rPr>
              <w:t>供应商提供“基本资格条件承诺函”（格式详见第七篇）</w:t>
            </w:r>
          </w:p>
        </w:tc>
      </w:tr>
      <w:tr w14:paraId="2C77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E56BB2">
            <w:pPr>
              <w:rPr>
                <w:rFonts w:ascii="宋体" w:hAnsi="宋体" w:cs="宋体"/>
                <w:sz w:val="21"/>
                <w:szCs w:val="21"/>
              </w:rPr>
            </w:pPr>
          </w:p>
        </w:tc>
        <w:tc>
          <w:tcPr>
            <w:tcW w:w="709" w:type="dxa"/>
            <w:vMerge w:val="continue"/>
            <w:vAlign w:val="center"/>
          </w:tcPr>
          <w:p w14:paraId="053AC629">
            <w:pPr>
              <w:rPr>
                <w:rFonts w:ascii="宋体" w:hAnsi="宋体" w:cs="宋体"/>
                <w:sz w:val="21"/>
                <w:szCs w:val="21"/>
                <w:lang w:val="zh-CN"/>
              </w:rPr>
            </w:pPr>
          </w:p>
        </w:tc>
        <w:tc>
          <w:tcPr>
            <w:tcW w:w="2835" w:type="dxa"/>
            <w:vAlign w:val="center"/>
          </w:tcPr>
          <w:p w14:paraId="0850120E">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14:paraId="688F95AA">
            <w:pPr>
              <w:rPr>
                <w:rFonts w:ascii="宋体" w:hAnsi="宋体" w:cs="宋体"/>
                <w:sz w:val="21"/>
                <w:szCs w:val="21"/>
              </w:rPr>
            </w:pPr>
          </w:p>
        </w:tc>
      </w:tr>
      <w:tr w14:paraId="7591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89D618">
            <w:pPr>
              <w:rPr>
                <w:rFonts w:ascii="宋体" w:hAnsi="宋体" w:cs="宋体"/>
                <w:sz w:val="21"/>
                <w:szCs w:val="21"/>
              </w:rPr>
            </w:pPr>
          </w:p>
        </w:tc>
        <w:tc>
          <w:tcPr>
            <w:tcW w:w="709" w:type="dxa"/>
            <w:vMerge w:val="continue"/>
            <w:vAlign w:val="center"/>
          </w:tcPr>
          <w:p w14:paraId="39D807D2">
            <w:pPr>
              <w:rPr>
                <w:rFonts w:ascii="宋体" w:hAnsi="宋体" w:cs="宋体"/>
                <w:sz w:val="21"/>
                <w:szCs w:val="21"/>
                <w:lang w:val="zh-CN"/>
              </w:rPr>
            </w:pPr>
          </w:p>
        </w:tc>
        <w:tc>
          <w:tcPr>
            <w:tcW w:w="2835" w:type="dxa"/>
            <w:vAlign w:val="center"/>
          </w:tcPr>
          <w:p w14:paraId="1B27506C">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14:paraId="14CFE619">
            <w:pPr>
              <w:rPr>
                <w:rFonts w:ascii="宋体" w:hAnsi="宋体" w:cs="宋体"/>
                <w:sz w:val="21"/>
                <w:szCs w:val="21"/>
              </w:rPr>
            </w:pPr>
          </w:p>
        </w:tc>
      </w:tr>
      <w:tr w14:paraId="6F83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24788F">
            <w:pPr>
              <w:rPr>
                <w:rFonts w:ascii="宋体" w:hAnsi="宋体" w:cs="宋体"/>
                <w:sz w:val="21"/>
                <w:szCs w:val="21"/>
              </w:rPr>
            </w:pPr>
          </w:p>
        </w:tc>
        <w:tc>
          <w:tcPr>
            <w:tcW w:w="709" w:type="dxa"/>
            <w:vMerge w:val="continue"/>
            <w:vAlign w:val="center"/>
          </w:tcPr>
          <w:p w14:paraId="4B830326">
            <w:pPr>
              <w:rPr>
                <w:rFonts w:ascii="宋体" w:hAnsi="宋体" w:cs="宋体"/>
                <w:sz w:val="21"/>
                <w:szCs w:val="21"/>
                <w:lang w:val="zh-CN"/>
              </w:rPr>
            </w:pPr>
          </w:p>
        </w:tc>
        <w:tc>
          <w:tcPr>
            <w:tcW w:w="2835" w:type="dxa"/>
            <w:vAlign w:val="center"/>
          </w:tcPr>
          <w:p w14:paraId="5F7C8492">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14:paraId="50277042">
            <w:pPr>
              <w:rPr>
                <w:rFonts w:ascii="宋体" w:hAnsi="宋体" w:cs="宋体"/>
                <w:b/>
                <w:sz w:val="21"/>
                <w:szCs w:val="21"/>
              </w:rPr>
            </w:pPr>
          </w:p>
        </w:tc>
      </w:tr>
      <w:tr w14:paraId="6444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D406F92">
            <w:pPr>
              <w:rPr>
                <w:rFonts w:ascii="宋体" w:hAnsi="宋体" w:cs="宋体"/>
                <w:sz w:val="21"/>
                <w:szCs w:val="21"/>
              </w:rPr>
            </w:pPr>
          </w:p>
        </w:tc>
        <w:tc>
          <w:tcPr>
            <w:tcW w:w="709" w:type="dxa"/>
            <w:vMerge w:val="continue"/>
            <w:vAlign w:val="center"/>
          </w:tcPr>
          <w:p w14:paraId="293FB800">
            <w:pPr>
              <w:rPr>
                <w:rFonts w:ascii="宋体" w:hAnsi="宋体" w:cs="宋体"/>
                <w:sz w:val="21"/>
                <w:szCs w:val="21"/>
              </w:rPr>
            </w:pPr>
          </w:p>
        </w:tc>
        <w:tc>
          <w:tcPr>
            <w:tcW w:w="2835" w:type="dxa"/>
            <w:vAlign w:val="center"/>
          </w:tcPr>
          <w:p w14:paraId="1E1737F7">
            <w:pPr>
              <w:rPr>
                <w:rFonts w:ascii="宋体" w:hAnsi="宋体" w:cs="宋体"/>
                <w:sz w:val="21"/>
                <w:szCs w:val="21"/>
              </w:rPr>
            </w:pPr>
            <w:r>
              <w:rPr>
                <w:rFonts w:hint="eastAsia" w:ascii="宋体" w:hAnsi="宋体" w:cs="宋体"/>
                <w:sz w:val="21"/>
                <w:szCs w:val="21"/>
              </w:rPr>
              <w:t>6.法律、行政法规规定的其他条件</w:t>
            </w:r>
          </w:p>
        </w:tc>
        <w:tc>
          <w:tcPr>
            <w:tcW w:w="5267" w:type="dxa"/>
            <w:vMerge w:val="continue"/>
            <w:vAlign w:val="center"/>
          </w:tcPr>
          <w:p w14:paraId="740AF6F3">
            <w:pPr>
              <w:rPr>
                <w:rFonts w:ascii="宋体" w:hAnsi="宋体" w:cs="宋体"/>
                <w:sz w:val="21"/>
                <w:szCs w:val="21"/>
              </w:rPr>
            </w:pPr>
          </w:p>
        </w:tc>
      </w:tr>
      <w:tr w14:paraId="44A7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371E4EA">
            <w:pPr>
              <w:rPr>
                <w:rFonts w:ascii="宋体" w:hAnsi="宋体" w:cs="宋体"/>
                <w:sz w:val="21"/>
                <w:szCs w:val="21"/>
              </w:rPr>
            </w:pPr>
          </w:p>
        </w:tc>
        <w:tc>
          <w:tcPr>
            <w:tcW w:w="709" w:type="dxa"/>
            <w:vMerge w:val="continue"/>
            <w:vAlign w:val="center"/>
          </w:tcPr>
          <w:p w14:paraId="4E77E085">
            <w:pPr>
              <w:rPr>
                <w:rFonts w:ascii="宋体" w:hAnsi="宋体" w:cs="宋体"/>
                <w:sz w:val="21"/>
                <w:szCs w:val="21"/>
              </w:rPr>
            </w:pPr>
          </w:p>
        </w:tc>
        <w:tc>
          <w:tcPr>
            <w:tcW w:w="2835" w:type="dxa"/>
            <w:vAlign w:val="center"/>
          </w:tcPr>
          <w:p w14:paraId="4201CC78">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14:paraId="570EE2C5">
            <w:pPr>
              <w:rPr>
                <w:rFonts w:ascii="宋体" w:hAnsi="宋体" w:cs="宋体"/>
                <w:sz w:val="21"/>
                <w:szCs w:val="21"/>
              </w:rPr>
            </w:pPr>
            <w:r>
              <w:rPr>
                <w:rFonts w:hint="eastAsia" w:ascii="宋体" w:hAnsi="宋体" w:cs="宋体"/>
                <w:sz w:val="21"/>
                <w:szCs w:val="21"/>
              </w:rPr>
              <w:t>按“第一篇三、供应商资格要求（二）特定资格条件”的要求提交。</w:t>
            </w:r>
          </w:p>
        </w:tc>
      </w:tr>
      <w:tr w14:paraId="7349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Align w:val="center"/>
          </w:tcPr>
          <w:p w14:paraId="72CF21D0">
            <w:pPr>
              <w:rPr>
                <w:rFonts w:ascii="宋体" w:hAnsi="宋体" w:cs="宋体"/>
                <w:sz w:val="21"/>
                <w:szCs w:val="21"/>
              </w:rPr>
            </w:pPr>
            <w:r>
              <w:rPr>
                <w:rFonts w:hint="eastAsia" w:ascii="宋体" w:hAnsi="宋体" w:cs="宋体"/>
                <w:sz w:val="21"/>
                <w:szCs w:val="21"/>
              </w:rPr>
              <w:t>（二）</w:t>
            </w:r>
          </w:p>
        </w:tc>
        <w:tc>
          <w:tcPr>
            <w:tcW w:w="3544" w:type="dxa"/>
            <w:gridSpan w:val="2"/>
            <w:vAlign w:val="center"/>
          </w:tcPr>
          <w:p w14:paraId="13000069">
            <w:pPr>
              <w:rPr>
                <w:rFonts w:ascii="宋体" w:hAnsi="宋体" w:cs="宋体"/>
                <w:sz w:val="21"/>
                <w:szCs w:val="21"/>
              </w:rPr>
            </w:pPr>
            <w:r>
              <w:rPr>
                <w:rFonts w:hint="eastAsia" w:ascii="宋体" w:hAnsi="宋体" w:cs="宋体"/>
                <w:sz w:val="21"/>
                <w:szCs w:val="21"/>
              </w:rPr>
              <w:t>投标保证金</w:t>
            </w:r>
          </w:p>
        </w:tc>
        <w:tc>
          <w:tcPr>
            <w:tcW w:w="5267" w:type="dxa"/>
            <w:vAlign w:val="center"/>
          </w:tcPr>
          <w:p w14:paraId="1208DE1B">
            <w:pPr>
              <w:rPr>
                <w:rFonts w:ascii="宋体" w:hAnsi="宋体" w:cs="宋体"/>
                <w:sz w:val="21"/>
                <w:szCs w:val="21"/>
              </w:rPr>
            </w:pPr>
            <w:r>
              <w:rPr>
                <w:rFonts w:hint="eastAsia" w:ascii="宋体" w:hAnsi="宋体" w:cs="宋体"/>
                <w:sz w:val="21"/>
                <w:szCs w:val="21"/>
              </w:rPr>
              <w:t>按照竞争性比选文件要求足额交纳投标保证金。</w:t>
            </w:r>
          </w:p>
        </w:tc>
      </w:tr>
    </w:tbl>
    <w:p w14:paraId="06D7CA47">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评审小组应当对响应文件进行评审，并根据竞争性比选文件规定的采购程序、评定成交的标准等事项与实质性响应竞争性比选文件要求的供应商进行评审。未实质性响应竞争性比选文件的响应文件按无效处理，评审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655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656E3A4">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14:paraId="57E70E7B">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14:paraId="47276EC4">
            <w:pPr>
              <w:jc w:val="center"/>
              <w:rPr>
                <w:rFonts w:ascii="宋体" w:hAnsi="宋体" w:cs="宋体"/>
                <w:b/>
                <w:kern w:val="0"/>
                <w:sz w:val="21"/>
                <w:szCs w:val="21"/>
              </w:rPr>
            </w:pPr>
            <w:r>
              <w:rPr>
                <w:rFonts w:hint="eastAsia" w:ascii="宋体" w:hAnsi="宋体" w:cs="宋体"/>
                <w:b/>
                <w:kern w:val="0"/>
                <w:sz w:val="21"/>
                <w:szCs w:val="21"/>
              </w:rPr>
              <w:t>审查标准</w:t>
            </w:r>
          </w:p>
        </w:tc>
      </w:tr>
      <w:tr w14:paraId="0DE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BAA5A33">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14:paraId="62707221">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14:paraId="68D21E1C">
            <w:pPr>
              <w:rPr>
                <w:rFonts w:ascii="宋体" w:hAnsi="宋体" w:cs="宋体"/>
                <w:kern w:val="0"/>
                <w:sz w:val="21"/>
                <w:szCs w:val="21"/>
              </w:rPr>
            </w:pPr>
            <w:r>
              <w:rPr>
                <w:rFonts w:hint="eastAsia" w:ascii="宋体" w:hAnsi="宋体" w:cs="宋体"/>
                <w:sz w:val="21"/>
                <w:szCs w:val="21"/>
              </w:rPr>
              <w:t>按“第七篇响应文件格式要求”要求签署或盖章</w:t>
            </w:r>
          </w:p>
        </w:tc>
      </w:tr>
      <w:tr w14:paraId="54DA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8134771">
            <w:pPr>
              <w:jc w:val="center"/>
              <w:rPr>
                <w:rFonts w:ascii="宋体" w:hAnsi="宋体" w:cs="宋体"/>
                <w:kern w:val="0"/>
                <w:sz w:val="21"/>
                <w:szCs w:val="21"/>
              </w:rPr>
            </w:pPr>
          </w:p>
        </w:tc>
        <w:tc>
          <w:tcPr>
            <w:tcW w:w="2694" w:type="dxa"/>
            <w:vAlign w:val="center"/>
          </w:tcPr>
          <w:p w14:paraId="3408D758">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14:paraId="2D1FFCDA">
            <w:pPr>
              <w:rPr>
                <w:rFonts w:ascii="宋体" w:hAnsi="宋体" w:cs="宋体"/>
                <w:sz w:val="21"/>
                <w:szCs w:val="21"/>
              </w:rPr>
            </w:pPr>
            <w:r>
              <w:rPr>
                <w:rFonts w:hint="eastAsia" w:ascii="宋体" w:hAnsi="宋体" w:cs="宋体"/>
                <w:sz w:val="21"/>
                <w:szCs w:val="21"/>
              </w:rPr>
              <w:t>法定代表人身份证明及授权委托书有效，符合竞争性比选文件规定的格式，签署或盖章齐全。</w:t>
            </w:r>
          </w:p>
        </w:tc>
      </w:tr>
      <w:tr w14:paraId="5D93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49B2E9A">
            <w:pPr>
              <w:jc w:val="center"/>
              <w:rPr>
                <w:rFonts w:ascii="宋体" w:hAnsi="宋体" w:cs="宋体"/>
                <w:kern w:val="0"/>
                <w:sz w:val="21"/>
                <w:szCs w:val="21"/>
              </w:rPr>
            </w:pPr>
          </w:p>
        </w:tc>
        <w:tc>
          <w:tcPr>
            <w:tcW w:w="2694" w:type="dxa"/>
            <w:vAlign w:val="center"/>
          </w:tcPr>
          <w:p w14:paraId="1A93915E">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14:paraId="69F29336">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14:paraId="6226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3A86A48">
            <w:pPr>
              <w:jc w:val="center"/>
              <w:rPr>
                <w:rFonts w:ascii="宋体" w:hAnsi="宋体" w:cs="宋体"/>
                <w:kern w:val="0"/>
                <w:sz w:val="21"/>
                <w:szCs w:val="21"/>
              </w:rPr>
            </w:pPr>
          </w:p>
        </w:tc>
        <w:tc>
          <w:tcPr>
            <w:tcW w:w="2694" w:type="dxa"/>
            <w:vAlign w:val="center"/>
          </w:tcPr>
          <w:p w14:paraId="4987BBA0">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14:paraId="45824A98">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7CB5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4603183">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14:paraId="318796AF">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14:paraId="0E34B182">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竞争性比选文件</w:t>
            </w:r>
            <w:r>
              <w:rPr>
                <w:rFonts w:hint="eastAsia" w:ascii="宋体" w:hAnsi="宋体" w:cs="宋体"/>
                <w:sz w:val="21"/>
                <w:szCs w:val="21"/>
                <w:lang w:val="zh-CN"/>
              </w:rPr>
              <w:t>要求。</w:t>
            </w:r>
          </w:p>
        </w:tc>
      </w:tr>
      <w:tr w14:paraId="39B0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853BA07">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14:paraId="52262A78">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14:paraId="0A0C8F68">
            <w:pPr>
              <w:rPr>
                <w:rFonts w:ascii="宋体" w:hAnsi="宋体" w:cs="宋体"/>
                <w:kern w:val="0"/>
                <w:sz w:val="21"/>
                <w:szCs w:val="21"/>
              </w:rPr>
            </w:pPr>
            <w:r>
              <w:rPr>
                <w:rFonts w:hint="eastAsia" w:ascii="宋体" w:hAnsi="宋体" w:cs="宋体"/>
                <w:kern w:val="0"/>
                <w:sz w:val="21"/>
                <w:szCs w:val="21"/>
              </w:rPr>
              <w:t>对竞争性比选文件第二篇、第三篇规定的比选内容进行实质性响应。</w:t>
            </w:r>
          </w:p>
        </w:tc>
      </w:tr>
      <w:tr w14:paraId="304A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228F786">
            <w:pPr>
              <w:jc w:val="center"/>
              <w:rPr>
                <w:rFonts w:ascii="宋体" w:hAnsi="宋体" w:cs="宋体"/>
                <w:kern w:val="0"/>
                <w:sz w:val="21"/>
                <w:szCs w:val="21"/>
              </w:rPr>
            </w:pPr>
          </w:p>
        </w:tc>
        <w:tc>
          <w:tcPr>
            <w:tcW w:w="2694" w:type="dxa"/>
            <w:vAlign w:val="center"/>
          </w:tcPr>
          <w:p w14:paraId="00D8B974">
            <w:pPr>
              <w:rPr>
                <w:rFonts w:ascii="宋体" w:hAnsi="宋体" w:cs="宋体"/>
                <w:kern w:val="0"/>
                <w:sz w:val="21"/>
                <w:szCs w:val="21"/>
              </w:rPr>
            </w:pPr>
            <w:r>
              <w:rPr>
                <w:rFonts w:hint="eastAsia" w:ascii="宋体" w:hAnsi="宋体" w:cs="宋体"/>
                <w:kern w:val="0"/>
                <w:sz w:val="21"/>
                <w:szCs w:val="21"/>
              </w:rPr>
              <w:t>比选有效期</w:t>
            </w:r>
          </w:p>
        </w:tc>
        <w:tc>
          <w:tcPr>
            <w:tcW w:w="6259" w:type="dxa"/>
            <w:vAlign w:val="center"/>
          </w:tcPr>
          <w:p w14:paraId="44CD8B11">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0C1588FD">
      <w:pPr>
        <w:snapToGrid w:val="0"/>
        <w:spacing w:line="400" w:lineRule="exact"/>
        <w:ind w:firstLine="480" w:firstLineChars="200"/>
        <w:rPr>
          <w:rFonts w:ascii="宋体" w:hAnsi="宋体" w:cs="宋体"/>
          <w:sz w:val="24"/>
          <w:szCs w:val="24"/>
        </w:rPr>
      </w:pPr>
      <w:r>
        <w:rPr>
          <w:rFonts w:hint="eastAsia" w:ascii="宋体" w:hAnsi="宋体" w:cs="宋体"/>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E88841">
      <w:pPr>
        <w:snapToGrid w:val="0"/>
        <w:spacing w:line="400" w:lineRule="exact"/>
        <w:ind w:firstLine="480" w:firstLineChars="200"/>
        <w:rPr>
          <w:rFonts w:ascii="宋体" w:hAnsi="宋体" w:cs="宋体"/>
          <w:sz w:val="24"/>
          <w:szCs w:val="24"/>
        </w:rPr>
      </w:pPr>
      <w:r>
        <w:rPr>
          <w:rFonts w:hint="eastAsia" w:ascii="宋体" w:hAnsi="宋体" w:cs="宋体"/>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638F43">
      <w:pPr>
        <w:spacing w:line="400" w:lineRule="exact"/>
        <w:ind w:firstLine="360" w:firstLineChars="150"/>
        <w:rPr>
          <w:rFonts w:ascii="宋体" w:hAnsi="宋体" w:cs="宋体"/>
          <w:sz w:val="24"/>
          <w:szCs w:val="24"/>
        </w:rPr>
      </w:pPr>
      <w:r>
        <w:rPr>
          <w:rFonts w:hint="eastAsia" w:ascii="宋体" w:hAnsi="宋体" w:cs="宋体"/>
          <w:sz w:val="24"/>
          <w:szCs w:val="24"/>
        </w:rPr>
        <w:t>（四）评审的依据为竞争性比选文件和现场递交的纸质响应文件（含有效的补充文件）。评审小组判断响应文件对竞争性比选文件的响应，仅基于响应文件本身而不靠外部证据。</w:t>
      </w:r>
    </w:p>
    <w:p w14:paraId="7E1D5D6F">
      <w:pPr>
        <w:spacing w:line="400" w:lineRule="exact"/>
        <w:ind w:firstLine="360" w:firstLineChars="150"/>
        <w:rPr>
          <w:rFonts w:ascii="宋体" w:hAnsi="宋体" w:cs="宋体"/>
          <w:sz w:val="24"/>
          <w:szCs w:val="24"/>
        </w:rPr>
      </w:pPr>
      <w:bookmarkStart w:id="136" w:name="_Toc64732013"/>
      <w:bookmarkStart w:id="137" w:name="_Toc5149"/>
      <w:bookmarkStart w:id="138" w:name="_Toc65660351"/>
      <w:bookmarkStart w:id="139" w:name="_Toc30639"/>
      <w:bookmarkStart w:id="140" w:name="_Toc11713"/>
      <w:bookmarkStart w:id="141" w:name="_Toc31463"/>
      <w:r>
        <w:rPr>
          <w:rFonts w:hint="eastAsia" w:ascii="宋体" w:hAnsi="宋体" w:cs="宋体"/>
          <w:sz w:val="24"/>
          <w:szCs w:val="24"/>
        </w:rPr>
        <w:t>（五）评审小组采用综合评分法对每个有效响应（通过资格性检查、实质性响应检查的供应商）的响应文件进行综合评分。综合评分法，是指响应文件满足比选文件全部实质性要求且按照评审因素的量化指标评审并汇总评审得分。供应商最终得分为评审专家根据评定因素分别按照相应权重值计算分项得分后相加，满分为100分。</w:t>
      </w:r>
    </w:p>
    <w:p w14:paraId="33A007AB">
      <w:pPr>
        <w:keepNext/>
        <w:keepLines/>
        <w:adjustRightInd w:val="0"/>
        <w:snapToGrid w:val="0"/>
        <w:spacing w:line="400" w:lineRule="exact"/>
        <w:ind w:firstLine="480" w:firstLineChars="200"/>
        <w:outlineLvl w:val="1"/>
        <w:rPr>
          <w:rFonts w:ascii="宋体" w:hAnsi="宋体" w:cs="宋体"/>
          <w:sz w:val="24"/>
          <w:szCs w:val="24"/>
        </w:rPr>
      </w:pPr>
      <w:r>
        <w:rPr>
          <w:rFonts w:hint="eastAsia" w:ascii="宋体" w:hAnsi="宋体" w:cs="宋体"/>
          <w:sz w:val="24"/>
          <w:szCs w:val="24"/>
        </w:rPr>
        <w:t>（六）评审小组各成员独立对每个有效响应（通过资格性检查、实质性响应检查的供应商）的文件进行评价、打分，然后汇总每个供应商每项评分因素的得分，并根据综合评分情况按照评审得分由高到低顺序推荐3名候选人，并编写评审报告。若供应商的评审得分相同的，按照技术部分优劣顺序排列推荐。技术部分也相同的，按商务部分优劣顺序排列推荐，以上全部相同由评审小组抽签决定排序，若所推荐的供应商的技术部分为0分，将失去成为成交候选供应商的资格。</w:t>
      </w:r>
    </w:p>
    <w:p w14:paraId="5D63E202">
      <w:pPr>
        <w:spacing w:line="400" w:lineRule="exact"/>
        <w:ind w:firstLine="360" w:firstLineChars="150"/>
        <w:rPr>
          <w:rFonts w:ascii="宋体" w:hAnsi="宋体" w:cs="宋体"/>
          <w:sz w:val="24"/>
          <w:szCs w:val="24"/>
        </w:rPr>
      </w:pPr>
      <w:r>
        <w:rPr>
          <w:rFonts w:hint="eastAsia" w:ascii="宋体" w:hAnsi="宋体" w:cs="宋体"/>
          <w:sz w:val="24"/>
          <w:szCs w:val="24"/>
        </w:rPr>
        <w:t>（七）由业主根据评审小组推选的三名候选人的自行述标后进行投票，采购人或采购代理机构按由高到低的顺序汇总三名候选人的最终得票数，票数最高的供应商为中标人。</w:t>
      </w:r>
    </w:p>
    <w:p w14:paraId="6C367CEB">
      <w:pPr>
        <w:keepNext/>
        <w:keepLines/>
        <w:adjustRightInd w:val="0"/>
        <w:snapToGrid w:val="0"/>
        <w:spacing w:line="400" w:lineRule="exact"/>
        <w:ind w:firstLine="480" w:firstLineChars="200"/>
        <w:outlineLvl w:val="1"/>
        <w:rPr>
          <w:rFonts w:ascii="宋体" w:hAnsi="宋体" w:cs="宋体"/>
          <w:sz w:val="24"/>
          <w:szCs w:val="24"/>
        </w:rPr>
      </w:pPr>
    </w:p>
    <w:p w14:paraId="7EED0AC5">
      <w:pPr>
        <w:keepNext/>
        <w:keepLines/>
        <w:adjustRightInd w:val="0"/>
        <w:snapToGrid w:val="0"/>
        <w:spacing w:line="400" w:lineRule="exact"/>
        <w:ind w:firstLine="482" w:firstLineChars="200"/>
        <w:outlineLvl w:val="1"/>
        <w:rPr>
          <w:rFonts w:ascii="宋体" w:hAnsi="宋体" w:cs="宋体"/>
          <w:b/>
          <w:bCs/>
          <w:sz w:val="24"/>
        </w:rPr>
      </w:pPr>
      <w:r>
        <w:rPr>
          <w:rFonts w:hint="eastAsia" w:ascii="宋体" w:hAnsi="宋体" w:cs="宋体"/>
          <w:b/>
          <w:bCs/>
          <w:sz w:val="24"/>
          <w:szCs w:val="24"/>
        </w:rPr>
        <w:t>二、</w:t>
      </w:r>
      <w:r>
        <w:rPr>
          <w:rFonts w:hint="eastAsia" w:ascii="宋体" w:hAnsi="宋体" w:cs="宋体"/>
          <w:b/>
          <w:bCs/>
          <w:sz w:val="24"/>
        </w:rPr>
        <w:t>评审标准</w:t>
      </w:r>
      <w:bookmarkEnd w:id="136"/>
      <w:bookmarkEnd w:id="137"/>
      <w:bookmarkEnd w:id="138"/>
      <w:bookmarkEnd w:id="139"/>
      <w:bookmarkEnd w:id="140"/>
      <w:bookmarkEnd w:id="141"/>
    </w:p>
    <w:tbl>
      <w:tblPr>
        <w:tblStyle w:val="59"/>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53"/>
        <w:gridCol w:w="1000"/>
        <w:gridCol w:w="5802"/>
        <w:gridCol w:w="1389"/>
      </w:tblGrid>
      <w:tr w14:paraId="58E3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4" w:type="dxa"/>
            <w:vAlign w:val="center"/>
          </w:tcPr>
          <w:p w14:paraId="204D4EBE">
            <w:pPr>
              <w:spacing w:line="280" w:lineRule="exact"/>
              <w:jc w:val="center"/>
              <w:rPr>
                <w:rFonts w:ascii="宋体" w:hAnsi="宋体" w:cs="宋体"/>
                <w:b/>
                <w:bCs/>
                <w:sz w:val="24"/>
                <w:szCs w:val="24"/>
              </w:rPr>
            </w:pPr>
            <w:bookmarkStart w:id="142" w:name="_Toc65660352"/>
            <w:bookmarkStart w:id="143" w:name="_Toc12644"/>
            <w:bookmarkStart w:id="144" w:name="_Toc29113"/>
            <w:bookmarkStart w:id="145" w:name="_Toc19473"/>
            <w:bookmarkStart w:id="146" w:name="_Toc5891"/>
            <w:r>
              <w:rPr>
                <w:rFonts w:hint="eastAsia" w:ascii="宋体" w:hAnsi="宋体" w:cs="宋体"/>
                <w:b/>
                <w:bCs/>
                <w:sz w:val="24"/>
                <w:szCs w:val="24"/>
              </w:rPr>
              <w:t>序号</w:t>
            </w:r>
          </w:p>
        </w:tc>
        <w:tc>
          <w:tcPr>
            <w:tcW w:w="1153" w:type="dxa"/>
            <w:vAlign w:val="center"/>
          </w:tcPr>
          <w:p w14:paraId="18431C58">
            <w:pPr>
              <w:spacing w:line="280" w:lineRule="exact"/>
              <w:jc w:val="center"/>
              <w:rPr>
                <w:rFonts w:ascii="宋体" w:hAnsi="宋体" w:cs="宋体"/>
                <w:b/>
                <w:bCs/>
                <w:sz w:val="24"/>
                <w:szCs w:val="24"/>
              </w:rPr>
            </w:pPr>
            <w:r>
              <w:rPr>
                <w:rFonts w:hint="eastAsia" w:ascii="宋体" w:hAnsi="宋体" w:cs="宋体"/>
                <w:b/>
                <w:bCs/>
                <w:sz w:val="24"/>
                <w:szCs w:val="24"/>
              </w:rPr>
              <w:t>评分因素及权重</w:t>
            </w:r>
          </w:p>
        </w:tc>
        <w:tc>
          <w:tcPr>
            <w:tcW w:w="1000" w:type="dxa"/>
            <w:vAlign w:val="center"/>
          </w:tcPr>
          <w:p w14:paraId="0F757D3C">
            <w:pPr>
              <w:spacing w:line="280" w:lineRule="exact"/>
              <w:jc w:val="center"/>
              <w:rPr>
                <w:rFonts w:ascii="宋体" w:hAnsi="宋体" w:cs="宋体"/>
                <w:b/>
                <w:bCs/>
                <w:sz w:val="24"/>
                <w:szCs w:val="24"/>
              </w:rPr>
            </w:pPr>
            <w:r>
              <w:rPr>
                <w:rFonts w:hint="eastAsia" w:ascii="宋体" w:hAnsi="宋体" w:cs="宋体"/>
                <w:b/>
                <w:bCs/>
                <w:sz w:val="24"/>
                <w:szCs w:val="24"/>
              </w:rPr>
              <w:t>分值</w:t>
            </w:r>
          </w:p>
        </w:tc>
        <w:tc>
          <w:tcPr>
            <w:tcW w:w="5802" w:type="dxa"/>
            <w:vAlign w:val="center"/>
          </w:tcPr>
          <w:p w14:paraId="374F4074">
            <w:pPr>
              <w:spacing w:line="280" w:lineRule="exact"/>
              <w:jc w:val="center"/>
              <w:rPr>
                <w:rFonts w:ascii="宋体" w:hAnsi="宋体" w:cs="宋体"/>
                <w:b/>
                <w:bCs/>
                <w:sz w:val="24"/>
                <w:szCs w:val="24"/>
              </w:rPr>
            </w:pPr>
            <w:r>
              <w:rPr>
                <w:rFonts w:hint="eastAsia" w:ascii="宋体" w:hAnsi="宋体" w:cs="宋体"/>
                <w:b/>
                <w:bCs/>
                <w:sz w:val="24"/>
                <w:szCs w:val="24"/>
              </w:rPr>
              <w:t>评分标准</w:t>
            </w:r>
          </w:p>
        </w:tc>
        <w:tc>
          <w:tcPr>
            <w:tcW w:w="1389" w:type="dxa"/>
            <w:vAlign w:val="center"/>
          </w:tcPr>
          <w:p w14:paraId="4F6B58D4">
            <w:pPr>
              <w:spacing w:line="280" w:lineRule="exact"/>
              <w:jc w:val="center"/>
              <w:rPr>
                <w:rFonts w:ascii="宋体" w:hAnsi="宋体" w:cs="宋体"/>
                <w:b/>
                <w:bCs/>
                <w:sz w:val="24"/>
                <w:szCs w:val="24"/>
              </w:rPr>
            </w:pPr>
            <w:r>
              <w:rPr>
                <w:rFonts w:hint="eastAsia" w:ascii="宋体" w:hAnsi="宋体" w:cs="宋体"/>
                <w:b/>
                <w:bCs/>
                <w:sz w:val="24"/>
                <w:szCs w:val="24"/>
              </w:rPr>
              <w:t>说明</w:t>
            </w:r>
          </w:p>
        </w:tc>
      </w:tr>
      <w:tr w14:paraId="5226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04" w:type="dxa"/>
            <w:vAlign w:val="center"/>
          </w:tcPr>
          <w:p w14:paraId="7D078CF1">
            <w:pPr>
              <w:spacing w:line="320" w:lineRule="exact"/>
              <w:jc w:val="center"/>
              <w:rPr>
                <w:rFonts w:ascii="宋体" w:hAnsi="宋体" w:cs="宋体"/>
                <w:sz w:val="21"/>
                <w:szCs w:val="21"/>
              </w:rPr>
            </w:pPr>
            <w:r>
              <w:rPr>
                <w:rFonts w:hint="eastAsia" w:ascii="宋体" w:hAnsi="宋体" w:cs="宋体"/>
                <w:sz w:val="21"/>
                <w:szCs w:val="21"/>
              </w:rPr>
              <w:t>1</w:t>
            </w:r>
          </w:p>
        </w:tc>
        <w:tc>
          <w:tcPr>
            <w:tcW w:w="1153" w:type="dxa"/>
            <w:vAlign w:val="center"/>
          </w:tcPr>
          <w:p w14:paraId="5E3223B7">
            <w:pPr>
              <w:spacing w:line="320" w:lineRule="exact"/>
              <w:jc w:val="center"/>
              <w:rPr>
                <w:rFonts w:ascii="宋体" w:hAnsi="宋体" w:cs="宋体"/>
                <w:sz w:val="21"/>
                <w:szCs w:val="21"/>
              </w:rPr>
            </w:pPr>
            <w:r>
              <w:rPr>
                <w:rFonts w:hint="eastAsia" w:ascii="宋体" w:hAnsi="宋体" w:cs="宋体"/>
                <w:sz w:val="21"/>
                <w:szCs w:val="21"/>
              </w:rPr>
              <w:t>投标报价（50%）</w:t>
            </w:r>
          </w:p>
        </w:tc>
        <w:tc>
          <w:tcPr>
            <w:tcW w:w="1000" w:type="dxa"/>
            <w:vAlign w:val="center"/>
          </w:tcPr>
          <w:p w14:paraId="27A318A8">
            <w:pPr>
              <w:spacing w:line="320" w:lineRule="exact"/>
              <w:jc w:val="center"/>
              <w:rPr>
                <w:rFonts w:ascii="宋体" w:hAnsi="宋体" w:cs="宋体"/>
                <w:sz w:val="21"/>
                <w:szCs w:val="21"/>
              </w:rPr>
            </w:pPr>
            <w:r>
              <w:rPr>
                <w:rFonts w:hint="eastAsia" w:ascii="宋体" w:hAnsi="宋体" w:cs="宋体"/>
                <w:sz w:val="21"/>
                <w:szCs w:val="21"/>
              </w:rPr>
              <w:t>50</w:t>
            </w:r>
          </w:p>
        </w:tc>
        <w:tc>
          <w:tcPr>
            <w:tcW w:w="5802" w:type="dxa"/>
            <w:vAlign w:val="center"/>
          </w:tcPr>
          <w:p w14:paraId="4E93A537">
            <w:pPr>
              <w:spacing w:line="320" w:lineRule="exact"/>
              <w:ind w:firstLine="210" w:firstLineChars="100"/>
              <w:rPr>
                <w:rFonts w:ascii="宋体" w:hAnsi="宋体" w:cs="宋体"/>
                <w:bCs/>
                <w:sz w:val="21"/>
                <w:szCs w:val="21"/>
              </w:rPr>
            </w:pPr>
            <w:r>
              <w:rPr>
                <w:rFonts w:hint="eastAsia" w:ascii="宋体" w:hAnsi="宋体" w:cs="宋体"/>
                <w:bCs/>
                <w:sz w:val="21"/>
                <w:szCs w:val="21"/>
              </w:rPr>
              <w:t>所有通过资格审查和实质性响应审查的有效供应商的投标报价的算术平均值为投标报价的评标基准价。</w:t>
            </w:r>
          </w:p>
          <w:p w14:paraId="065AE209">
            <w:pPr>
              <w:pStyle w:val="272"/>
              <w:spacing w:line="400" w:lineRule="exact"/>
              <w:ind w:firstLine="210" w:firstLineChars="100"/>
              <w:rPr>
                <w:rFonts w:ascii="宋体" w:hAnsi="宋体" w:cs="宋体"/>
                <w:kern w:val="0"/>
                <w:szCs w:val="21"/>
              </w:rPr>
            </w:pPr>
            <w:r>
              <w:rPr>
                <w:rFonts w:hint="eastAsia" w:ascii="宋体" w:hAnsi="宋体" w:cs="宋体"/>
                <w:kern w:val="0"/>
                <w:szCs w:val="21"/>
              </w:rPr>
              <w:t>各有效投标报价与评标基准价相比，等于评标基准价的投标报价得满分50分，在此基础上，投标报价与评标基准价相比，每增加1%扣0.2分，每减少1%扣0.1分，按插入法计算得分，扣完为止。</w:t>
            </w:r>
          </w:p>
          <w:p w14:paraId="3DDF653E">
            <w:pPr>
              <w:spacing w:line="320" w:lineRule="exact"/>
              <w:ind w:firstLine="210" w:firstLineChars="100"/>
              <w:rPr>
                <w:rFonts w:ascii="宋体" w:hAnsi="宋体" w:cs="宋体"/>
                <w:bCs/>
                <w:sz w:val="21"/>
                <w:szCs w:val="21"/>
              </w:rPr>
            </w:pPr>
            <w:r>
              <w:rPr>
                <w:rFonts w:hint="eastAsia" w:ascii="宋体" w:hAnsi="宋体" w:cs="宋体"/>
                <w:kern w:val="0"/>
                <w:sz w:val="21"/>
                <w:szCs w:val="21"/>
              </w:rPr>
              <w:t>以上计算取小数点后两位，第三位四舍五入。</w:t>
            </w:r>
          </w:p>
        </w:tc>
        <w:tc>
          <w:tcPr>
            <w:tcW w:w="1389" w:type="dxa"/>
            <w:vAlign w:val="center"/>
          </w:tcPr>
          <w:p w14:paraId="49DC422C">
            <w:pPr>
              <w:spacing w:line="320" w:lineRule="exact"/>
              <w:rPr>
                <w:rFonts w:ascii="宋体" w:hAnsi="宋体" w:cs="宋体"/>
                <w:bCs/>
                <w:sz w:val="21"/>
                <w:szCs w:val="21"/>
              </w:rPr>
            </w:pPr>
            <w:r>
              <w:rPr>
                <w:rFonts w:hint="eastAsia" w:ascii="宋体" w:hAnsi="宋体" w:cs="宋体"/>
                <w:bCs/>
                <w:sz w:val="21"/>
                <w:szCs w:val="21"/>
              </w:rPr>
              <w:t>参与评审的投标报价为投标总报价</w:t>
            </w:r>
          </w:p>
        </w:tc>
      </w:tr>
      <w:tr w14:paraId="4786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04" w:type="dxa"/>
            <w:vMerge w:val="restart"/>
            <w:vAlign w:val="center"/>
          </w:tcPr>
          <w:p w14:paraId="38E00B51">
            <w:pPr>
              <w:spacing w:line="320" w:lineRule="exact"/>
              <w:jc w:val="center"/>
              <w:rPr>
                <w:rFonts w:ascii="宋体" w:hAnsi="宋体" w:cs="宋体"/>
                <w:sz w:val="21"/>
                <w:szCs w:val="21"/>
              </w:rPr>
            </w:pPr>
            <w:r>
              <w:rPr>
                <w:rFonts w:hint="eastAsia" w:ascii="宋体" w:hAnsi="宋体" w:cs="宋体"/>
                <w:sz w:val="21"/>
                <w:szCs w:val="21"/>
              </w:rPr>
              <w:t>2</w:t>
            </w:r>
          </w:p>
        </w:tc>
        <w:tc>
          <w:tcPr>
            <w:tcW w:w="1153" w:type="dxa"/>
            <w:vMerge w:val="restart"/>
            <w:vAlign w:val="center"/>
          </w:tcPr>
          <w:p w14:paraId="51BD0AD7">
            <w:pPr>
              <w:spacing w:line="320" w:lineRule="exact"/>
              <w:jc w:val="center"/>
              <w:rPr>
                <w:rFonts w:ascii="宋体" w:hAnsi="宋体" w:cs="宋体"/>
                <w:bCs/>
                <w:sz w:val="21"/>
                <w:szCs w:val="21"/>
              </w:rPr>
            </w:pPr>
            <w:r>
              <w:rPr>
                <w:rFonts w:hint="eastAsia" w:ascii="宋体" w:hAnsi="宋体" w:cs="宋体"/>
                <w:bCs/>
                <w:sz w:val="21"/>
                <w:szCs w:val="21"/>
              </w:rPr>
              <w:t>技术部分（40%）</w:t>
            </w:r>
          </w:p>
        </w:tc>
        <w:tc>
          <w:tcPr>
            <w:tcW w:w="1000" w:type="dxa"/>
            <w:vAlign w:val="center"/>
          </w:tcPr>
          <w:p w14:paraId="7D6E70A0">
            <w:pPr>
              <w:adjustRightInd w:val="0"/>
              <w:snapToGrid w:val="0"/>
              <w:spacing w:line="240" w:lineRule="exact"/>
              <w:jc w:val="center"/>
              <w:rPr>
                <w:rFonts w:ascii="宋体" w:hAnsi="宋体" w:cs="宋体"/>
                <w:bCs/>
                <w:sz w:val="21"/>
                <w:szCs w:val="21"/>
              </w:rPr>
            </w:pPr>
            <w:r>
              <w:rPr>
                <w:rFonts w:hint="eastAsia" w:ascii="宋体" w:hAnsi="宋体" w:cs="宋体"/>
                <w:kern w:val="0"/>
                <w:sz w:val="21"/>
                <w:szCs w:val="21"/>
              </w:rPr>
              <w:t>核心部件要求（4）</w:t>
            </w:r>
          </w:p>
        </w:tc>
        <w:tc>
          <w:tcPr>
            <w:tcW w:w="5802" w:type="dxa"/>
            <w:vAlign w:val="center"/>
          </w:tcPr>
          <w:p w14:paraId="1899A15B">
            <w:pPr>
              <w:spacing w:line="320" w:lineRule="exact"/>
              <w:ind w:firstLine="210" w:firstLineChars="100"/>
              <w:rPr>
                <w:rFonts w:ascii="宋体" w:hAnsi="宋体" w:cs="宋体"/>
                <w:bCs/>
                <w:sz w:val="21"/>
                <w:szCs w:val="21"/>
              </w:rPr>
            </w:pPr>
            <w:r>
              <w:rPr>
                <w:rFonts w:hint="eastAsia" w:ascii="宋体" w:hAnsi="宋体" w:cs="宋体"/>
                <w:bCs/>
                <w:sz w:val="21"/>
                <w:szCs w:val="21"/>
              </w:rPr>
              <w:t>该项不满足0分，满足得4分。</w:t>
            </w:r>
          </w:p>
          <w:p w14:paraId="1E8CF060">
            <w:pPr>
              <w:spacing w:line="320" w:lineRule="exact"/>
              <w:ind w:firstLine="210" w:firstLineChars="100"/>
              <w:rPr>
                <w:rFonts w:ascii="宋体" w:hAnsi="宋体" w:cs="宋体"/>
                <w:bCs/>
                <w:sz w:val="21"/>
                <w:szCs w:val="21"/>
              </w:rPr>
            </w:pPr>
            <w:r>
              <w:rPr>
                <w:rFonts w:hint="eastAsia" w:ascii="宋体" w:hAnsi="宋体" w:cs="宋体"/>
                <w:bCs/>
                <w:sz w:val="21"/>
                <w:szCs w:val="21"/>
              </w:rPr>
              <w:t>满足核心部件原厂原品牌:曳引机、控制柜、缓冲器、限速器、安全钳。</w:t>
            </w:r>
          </w:p>
          <w:p w14:paraId="78B96691">
            <w:pPr>
              <w:spacing w:line="320" w:lineRule="exact"/>
              <w:ind w:firstLine="210" w:firstLineChars="100"/>
            </w:pPr>
            <w:r>
              <w:rPr>
                <w:rFonts w:hint="eastAsia" w:ascii="宋体" w:hAnsi="宋体" w:cs="宋体"/>
                <w:bCs/>
                <w:sz w:val="21"/>
                <w:szCs w:val="21"/>
              </w:rPr>
              <w:t>(提供投标产品型号整机型式试验报告复印件并加盖供应商公章)。</w:t>
            </w:r>
          </w:p>
        </w:tc>
        <w:tc>
          <w:tcPr>
            <w:tcW w:w="1389" w:type="dxa"/>
            <w:vMerge w:val="restart"/>
            <w:vAlign w:val="center"/>
          </w:tcPr>
          <w:p w14:paraId="445E2559">
            <w:pPr>
              <w:spacing w:line="320" w:lineRule="exact"/>
              <w:ind w:firstLine="210" w:firstLineChars="100"/>
              <w:rPr>
                <w:rFonts w:ascii="宋体" w:hAnsi="宋体" w:cs="宋体"/>
                <w:bCs/>
                <w:sz w:val="21"/>
                <w:szCs w:val="21"/>
              </w:rPr>
            </w:pPr>
            <w:r>
              <w:rPr>
                <w:rFonts w:hint="eastAsia" w:ascii="宋体" w:hAnsi="宋体" w:cs="宋体"/>
                <w:bCs/>
                <w:sz w:val="21"/>
                <w:szCs w:val="21"/>
              </w:rPr>
              <w:t>取评审小组独立评审分值的算术平均值为本项得分，得分取小数点后两位，第三位四舍五入。</w:t>
            </w:r>
          </w:p>
        </w:tc>
      </w:tr>
      <w:tr w14:paraId="43C5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4" w:type="dxa"/>
            <w:vMerge w:val="continue"/>
            <w:vAlign w:val="center"/>
          </w:tcPr>
          <w:p w14:paraId="38F2B5F8">
            <w:pPr>
              <w:spacing w:line="320" w:lineRule="exact"/>
              <w:jc w:val="center"/>
              <w:rPr>
                <w:rFonts w:ascii="宋体" w:hAnsi="宋体" w:cs="宋体"/>
                <w:sz w:val="21"/>
                <w:szCs w:val="21"/>
              </w:rPr>
            </w:pPr>
          </w:p>
        </w:tc>
        <w:tc>
          <w:tcPr>
            <w:tcW w:w="1153" w:type="dxa"/>
            <w:vMerge w:val="continue"/>
            <w:vAlign w:val="center"/>
          </w:tcPr>
          <w:p w14:paraId="06F44796">
            <w:pPr>
              <w:spacing w:line="320" w:lineRule="exact"/>
              <w:jc w:val="center"/>
              <w:rPr>
                <w:rFonts w:ascii="宋体" w:hAnsi="宋体" w:cs="宋体"/>
                <w:bCs/>
                <w:sz w:val="21"/>
                <w:szCs w:val="21"/>
              </w:rPr>
            </w:pPr>
          </w:p>
        </w:tc>
        <w:tc>
          <w:tcPr>
            <w:tcW w:w="1000" w:type="dxa"/>
            <w:vAlign w:val="center"/>
          </w:tcPr>
          <w:p w14:paraId="27E5DF49">
            <w:pPr>
              <w:adjustRightInd w:val="0"/>
              <w:snapToGrid w:val="0"/>
              <w:spacing w:line="240" w:lineRule="exact"/>
              <w:jc w:val="center"/>
              <w:rPr>
                <w:rFonts w:ascii="宋体" w:hAnsi="宋体" w:cs="宋体"/>
                <w:kern w:val="0"/>
                <w:sz w:val="21"/>
                <w:szCs w:val="21"/>
              </w:rPr>
            </w:pPr>
            <w:r>
              <w:rPr>
                <w:rFonts w:hint="eastAsia" w:ascii="宋体" w:hAnsi="宋体" w:cs="宋体"/>
                <w:kern w:val="0"/>
                <w:sz w:val="21"/>
                <w:szCs w:val="21"/>
              </w:rPr>
              <w:t>主要部件参数要求（6）</w:t>
            </w:r>
          </w:p>
        </w:tc>
        <w:tc>
          <w:tcPr>
            <w:tcW w:w="5802" w:type="dxa"/>
            <w:vAlign w:val="center"/>
          </w:tcPr>
          <w:p w14:paraId="0E94078F">
            <w:pPr>
              <w:spacing w:line="320" w:lineRule="exact"/>
              <w:ind w:firstLine="210" w:firstLineChars="100"/>
              <w:rPr>
                <w:rFonts w:ascii="宋体" w:hAnsi="宋体" w:cs="宋体"/>
                <w:sz w:val="21"/>
                <w:szCs w:val="21"/>
              </w:rPr>
            </w:pPr>
            <w:r>
              <w:rPr>
                <w:rFonts w:hint="eastAsia" w:ascii="宋体" w:hAnsi="宋体" w:cs="宋体"/>
                <w:sz w:val="21"/>
                <w:szCs w:val="21"/>
              </w:rPr>
              <w:t>该项按提供资料得分，未提供不得分。</w:t>
            </w:r>
          </w:p>
          <w:p w14:paraId="67A1779B">
            <w:pPr>
              <w:spacing w:line="320" w:lineRule="exact"/>
              <w:rPr>
                <w:rFonts w:ascii="宋体" w:hAnsi="宋体" w:cs="宋体"/>
                <w:sz w:val="21"/>
                <w:szCs w:val="21"/>
              </w:rPr>
            </w:pPr>
            <w:r>
              <w:rPr>
                <w:rFonts w:hint="eastAsia" w:ascii="宋体" w:hAnsi="宋体" w:cs="宋体"/>
                <w:sz w:val="21"/>
                <w:szCs w:val="21"/>
              </w:rPr>
              <w:t>光幕束:光速量≥174得2分；主机:IP防护等级≥IP21 得2分；门机:IP防护等级≥IP40得2分;</w:t>
            </w:r>
          </w:p>
          <w:p w14:paraId="7E952D12">
            <w:pPr>
              <w:pStyle w:val="57"/>
              <w:ind w:firstLine="0"/>
            </w:pPr>
            <w:r>
              <w:rPr>
                <w:rFonts w:hint="eastAsia" w:eastAsia="宋体" w:cs="宋体"/>
                <w:bCs/>
                <w:sz w:val="21"/>
                <w:szCs w:val="21"/>
              </w:rPr>
              <w:t>（提供报告或证书复印件加盖制造商公章)</w:t>
            </w:r>
          </w:p>
        </w:tc>
        <w:tc>
          <w:tcPr>
            <w:tcW w:w="1389" w:type="dxa"/>
            <w:vMerge w:val="continue"/>
            <w:vAlign w:val="center"/>
          </w:tcPr>
          <w:p w14:paraId="25E0AEEA">
            <w:pPr>
              <w:spacing w:line="320" w:lineRule="exact"/>
              <w:rPr>
                <w:rFonts w:ascii="宋体" w:hAnsi="宋体" w:cs="宋体"/>
                <w:bCs/>
                <w:sz w:val="21"/>
                <w:szCs w:val="21"/>
              </w:rPr>
            </w:pPr>
          </w:p>
        </w:tc>
      </w:tr>
      <w:tr w14:paraId="7DD0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04" w:type="dxa"/>
            <w:vMerge w:val="continue"/>
            <w:vAlign w:val="center"/>
          </w:tcPr>
          <w:p w14:paraId="1C7E3AED">
            <w:pPr>
              <w:spacing w:line="320" w:lineRule="exact"/>
              <w:jc w:val="center"/>
              <w:rPr>
                <w:rFonts w:ascii="宋体" w:hAnsi="宋体" w:cs="宋体"/>
                <w:sz w:val="21"/>
                <w:szCs w:val="21"/>
              </w:rPr>
            </w:pPr>
          </w:p>
        </w:tc>
        <w:tc>
          <w:tcPr>
            <w:tcW w:w="1153" w:type="dxa"/>
            <w:vMerge w:val="continue"/>
            <w:vAlign w:val="center"/>
          </w:tcPr>
          <w:p w14:paraId="112476D6">
            <w:pPr>
              <w:spacing w:line="320" w:lineRule="exact"/>
              <w:jc w:val="center"/>
              <w:rPr>
                <w:rFonts w:ascii="宋体" w:hAnsi="宋体" w:cs="宋体"/>
                <w:bCs/>
                <w:sz w:val="21"/>
                <w:szCs w:val="21"/>
              </w:rPr>
            </w:pPr>
          </w:p>
        </w:tc>
        <w:tc>
          <w:tcPr>
            <w:tcW w:w="1000" w:type="dxa"/>
            <w:vAlign w:val="center"/>
          </w:tcPr>
          <w:p w14:paraId="646CA550">
            <w:pPr>
              <w:adjustRightInd w:val="0"/>
              <w:snapToGrid w:val="0"/>
              <w:spacing w:line="240" w:lineRule="exact"/>
              <w:jc w:val="center"/>
              <w:rPr>
                <w:rFonts w:ascii="宋体" w:hAnsi="宋体" w:cs="宋体"/>
                <w:kern w:val="0"/>
                <w:sz w:val="21"/>
                <w:szCs w:val="21"/>
              </w:rPr>
            </w:pPr>
            <w:r>
              <w:rPr>
                <w:rFonts w:hint="eastAsia" w:ascii="宋体" w:hAnsi="宋体" w:cs="宋体"/>
                <w:kern w:val="0"/>
                <w:sz w:val="21"/>
                <w:szCs w:val="21"/>
              </w:rPr>
              <w:t>旧梯拆除施工方案</w:t>
            </w:r>
          </w:p>
          <w:p w14:paraId="13D4FDA6">
            <w:pPr>
              <w:adjustRightInd w:val="0"/>
              <w:snapToGrid w:val="0"/>
              <w:spacing w:line="240" w:lineRule="exact"/>
              <w:jc w:val="center"/>
              <w:rPr>
                <w:rFonts w:ascii="宋体" w:hAnsi="宋体" w:cs="宋体"/>
                <w:bCs/>
                <w:sz w:val="21"/>
                <w:szCs w:val="21"/>
              </w:rPr>
            </w:pPr>
            <w:r>
              <w:rPr>
                <w:rFonts w:hint="eastAsia" w:ascii="宋体" w:hAnsi="宋体" w:cs="宋体"/>
                <w:kern w:val="0"/>
                <w:sz w:val="21"/>
                <w:szCs w:val="21"/>
              </w:rPr>
              <w:t>（5分）</w:t>
            </w:r>
          </w:p>
        </w:tc>
        <w:tc>
          <w:tcPr>
            <w:tcW w:w="5802" w:type="dxa"/>
            <w:vAlign w:val="center"/>
          </w:tcPr>
          <w:p w14:paraId="02B1527C">
            <w:pPr>
              <w:spacing w:line="320" w:lineRule="exact"/>
              <w:ind w:firstLine="210" w:firstLineChars="100"/>
              <w:rPr>
                <w:rFonts w:ascii="宋体" w:hAnsi="宋体" w:cs="宋体"/>
                <w:sz w:val="21"/>
                <w:szCs w:val="21"/>
              </w:rPr>
            </w:pPr>
            <w:r>
              <w:rPr>
                <w:rFonts w:hint="eastAsia" w:ascii="宋体" w:hAnsi="宋体" w:cs="宋体"/>
                <w:sz w:val="21"/>
                <w:szCs w:val="21"/>
              </w:rPr>
              <w:t>供应商自行提供最优方案（5分）。</w:t>
            </w:r>
          </w:p>
          <w:p w14:paraId="174885D2">
            <w:pPr>
              <w:spacing w:line="320" w:lineRule="exact"/>
              <w:ind w:firstLine="210" w:firstLineChars="100"/>
              <w:rPr>
                <w:rFonts w:ascii="宋体" w:hAnsi="宋体" w:cs="宋体"/>
                <w:sz w:val="21"/>
                <w:szCs w:val="21"/>
              </w:rPr>
            </w:pPr>
            <w:r>
              <w:rPr>
                <w:rFonts w:hint="eastAsia" w:ascii="宋体" w:hAnsi="宋体" w:cs="宋体"/>
                <w:sz w:val="21"/>
                <w:szCs w:val="21"/>
              </w:rPr>
              <w:t>1、包括但不限于电梯拆除方案、拆除进度方案等内容。</w:t>
            </w:r>
          </w:p>
          <w:p w14:paraId="72286517">
            <w:pPr>
              <w:spacing w:line="320" w:lineRule="exact"/>
              <w:ind w:firstLine="210" w:firstLineChars="100"/>
              <w:rPr>
                <w:rFonts w:ascii="宋体" w:hAnsi="宋体" w:cs="宋体"/>
                <w:bCs/>
                <w:sz w:val="21"/>
                <w:szCs w:val="21"/>
              </w:rPr>
            </w:pPr>
            <w:r>
              <w:rPr>
                <w:rFonts w:hint="eastAsia" w:ascii="宋体" w:hAnsi="宋体" w:cs="宋体"/>
                <w:sz w:val="21"/>
                <w:szCs w:val="21"/>
              </w:rPr>
              <w:t>2、方案内容详实、具体、可行得5分；方案较详实、具体、可行得3分；方案不够详实、具体，但具有一定可行性得1分；未提供旧梯拆除方案，或与本项目实际不相符的本项得0分。</w:t>
            </w:r>
          </w:p>
        </w:tc>
        <w:tc>
          <w:tcPr>
            <w:tcW w:w="1389" w:type="dxa"/>
            <w:vMerge w:val="continue"/>
            <w:vAlign w:val="center"/>
          </w:tcPr>
          <w:p w14:paraId="0AA0DA30">
            <w:pPr>
              <w:spacing w:line="320" w:lineRule="exact"/>
              <w:rPr>
                <w:rFonts w:ascii="宋体" w:hAnsi="宋体" w:cs="宋体"/>
                <w:bCs/>
                <w:sz w:val="21"/>
                <w:szCs w:val="21"/>
              </w:rPr>
            </w:pPr>
          </w:p>
        </w:tc>
      </w:tr>
      <w:tr w14:paraId="7494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804" w:type="dxa"/>
            <w:vMerge w:val="continue"/>
            <w:vAlign w:val="center"/>
          </w:tcPr>
          <w:p w14:paraId="1EA202AE">
            <w:pPr>
              <w:spacing w:line="320" w:lineRule="exact"/>
              <w:jc w:val="center"/>
              <w:rPr>
                <w:rFonts w:ascii="宋体" w:hAnsi="宋体" w:cs="宋体"/>
                <w:sz w:val="21"/>
                <w:szCs w:val="21"/>
              </w:rPr>
            </w:pPr>
          </w:p>
        </w:tc>
        <w:tc>
          <w:tcPr>
            <w:tcW w:w="1153" w:type="dxa"/>
            <w:vMerge w:val="continue"/>
            <w:vAlign w:val="center"/>
          </w:tcPr>
          <w:p w14:paraId="72E411DC">
            <w:pPr>
              <w:spacing w:line="320" w:lineRule="exact"/>
              <w:jc w:val="center"/>
              <w:rPr>
                <w:rFonts w:ascii="宋体" w:hAnsi="宋体" w:cs="宋体"/>
                <w:bCs/>
                <w:sz w:val="21"/>
                <w:szCs w:val="21"/>
              </w:rPr>
            </w:pPr>
          </w:p>
        </w:tc>
        <w:tc>
          <w:tcPr>
            <w:tcW w:w="1000" w:type="dxa"/>
            <w:vAlign w:val="center"/>
          </w:tcPr>
          <w:p w14:paraId="560F4232">
            <w:pPr>
              <w:jc w:val="center"/>
              <w:rPr>
                <w:rStyle w:val="258"/>
                <w:rFonts w:hAnsi="宋体" w:cs="宋体"/>
                <w:sz w:val="21"/>
                <w:szCs w:val="21"/>
              </w:rPr>
            </w:pPr>
            <w:r>
              <w:rPr>
                <w:rStyle w:val="258"/>
                <w:rFonts w:hAnsi="宋体" w:cs="宋体"/>
                <w:sz w:val="21"/>
                <w:szCs w:val="21"/>
              </w:rPr>
              <w:t>新梯安装施工方案</w:t>
            </w:r>
          </w:p>
          <w:p w14:paraId="77504D3B">
            <w:pPr>
              <w:jc w:val="center"/>
              <w:rPr>
                <w:rFonts w:ascii="宋体" w:hAnsi="宋体" w:cs="宋体"/>
                <w:bCs/>
                <w:sz w:val="21"/>
                <w:szCs w:val="21"/>
              </w:rPr>
            </w:pPr>
            <w:r>
              <w:rPr>
                <w:rStyle w:val="258"/>
                <w:rFonts w:hAnsi="宋体" w:cs="宋体"/>
                <w:sz w:val="21"/>
                <w:szCs w:val="21"/>
              </w:rPr>
              <w:t>（15分）</w:t>
            </w:r>
          </w:p>
        </w:tc>
        <w:tc>
          <w:tcPr>
            <w:tcW w:w="5802" w:type="dxa"/>
            <w:vAlign w:val="center"/>
          </w:tcPr>
          <w:p w14:paraId="60EF2463">
            <w:pPr>
              <w:pStyle w:val="273"/>
              <w:spacing w:line="320" w:lineRule="exact"/>
              <w:ind w:firstLine="210" w:firstLineChars="100"/>
              <w:jc w:val="left"/>
              <w:rPr>
                <w:rFonts w:ascii="宋体" w:hAnsi="宋体" w:cs="宋体"/>
              </w:rPr>
            </w:pPr>
            <w:r>
              <w:rPr>
                <w:rFonts w:ascii="宋体" w:hAnsi="宋体" w:cs="宋体"/>
              </w:rPr>
              <w:t>供应商自行提供最优方案（15分）。</w:t>
            </w:r>
          </w:p>
          <w:p w14:paraId="72FD08D2">
            <w:pPr>
              <w:pStyle w:val="273"/>
              <w:spacing w:line="320" w:lineRule="exact"/>
              <w:ind w:firstLine="210" w:firstLineChars="100"/>
              <w:jc w:val="left"/>
              <w:rPr>
                <w:rFonts w:ascii="宋体" w:hAnsi="宋体" w:cs="宋体"/>
              </w:rPr>
            </w:pPr>
            <w:r>
              <w:rPr>
                <w:rFonts w:hint="eastAsia" w:ascii="宋体" w:hAnsi="宋体" w:cs="宋体"/>
              </w:rPr>
              <w:t>1、根据项目情况编制合理的交货进度计划方案及保证措施，方案中包括但不限于产品生产、供货计划、安装工程进度计划及措施、安装设备投入、安装作业流程、移交流程等方案。</w:t>
            </w:r>
          </w:p>
          <w:p w14:paraId="2425F054">
            <w:pPr>
              <w:pStyle w:val="273"/>
              <w:spacing w:line="320" w:lineRule="exact"/>
              <w:ind w:firstLine="210" w:firstLineChars="100"/>
              <w:jc w:val="left"/>
              <w:rPr>
                <w:rFonts w:ascii="宋体" w:hAnsi="宋体" w:cs="宋体"/>
              </w:rPr>
            </w:pPr>
            <w:r>
              <w:rPr>
                <w:rFonts w:hint="eastAsia" w:ascii="宋体" w:hAnsi="宋体" w:cs="宋体"/>
              </w:rPr>
              <w:t>2、根据项目情况编制合理的质量保证措施方案，方案中包括但不限于产品生产质量的控制、运输保管措施、安装过程中的质量保证措施。</w:t>
            </w:r>
          </w:p>
          <w:p w14:paraId="2504820B">
            <w:pPr>
              <w:pStyle w:val="273"/>
              <w:spacing w:line="320" w:lineRule="exact"/>
              <w:ind w:firstLine="210" w:firstLineChars="100"/>
              <w:jc w:val="left"/>
              <w:rPr>
                <w:rFonts w:ascii="宋体" w:hAnsi="宋体" w:cs="宋体"/>
              </w:rPr>
            </w:pPr>
            <w:r>
              <w:rPr>
                <w:rFonts w:hint="eastAsia" w:ascii="宋体" w:hAnsi="宋体" w:cs="宋体"/>
              </w:rPr>
              <w:t>3、根据项目情况编制安全文明施工措施，方案中包括但不限于安全生产制度建设、施工操作规程、安全管理培训等内容。</w:t>
            </w:r>
          </w:p>
          <w:p w14:paraId="45D15DCA">
            <w:pPr>
              <w:pStyle w:val="273"/>
              <w:spacing w:line="320" w:lineRule="exact"/>
              <w:ind w:firstLine="210" w:firstLineChars="100"/>
              <w:jc w:val="left"/>
              <w:rPr>
                <w:rFonts w:ascii="宋体" w:hAnsi="宋体" w:cs="宋体"/>
                <w:bCs/>
                <w:szCs w:val="21"/>
              </w:rPr>
            </w:pPr>
            <w:r>
              <w:rPr>
                <w:rFonts w:hint="eastAsia" w:ascii="宋体" w:hAnsi="宋体" w:cs="宋体"/>
              </w:rPr>
              <w:t>4</w:t>
            </w:r>
            <w:r>
              <w:rPr>
                <w:rFonts w:ascii="宋体" w:hAnsi="宋体" w:cs="宋体"/>
              </w:rPr>
              <w:t>、方案内容详实、具体、可行得15分；方案较详实、具体、可行得10分；方案不够详实、具体，但具有一定可行性得</w:t>
            </w:r>
            <w:r>
              <w:rPr>
                <w:rFonts w:hint="eastAsia" w:ascii="宋体" w:hAnsi="宋体" w:cs="宋体"/>
              </w:rPr>
              <w:t>5</w:t>
            </w:r>
            <w:r>
              <w:rPr>
                <w:rFonts w:ascii="宋体" w:hAnsi="宋体" w:cs="宋体"/>
              </w:rPr>
              <w:t>分；未提供新梯安装施工方案，或与本项目实际不相符的本项得0分。</w:t>
            </w:r>
          </w:p>
        </w:tc>
        <w:tc>
          <w:tcPr>
            <w:tcW w:w="1389" w:type="dxa"/>
            <w:vMerge w:val="continue"/>
            <w:vAlign w:val="center"/>
          </w:tcPr>
          <w:p w14:paraId="0F31C2FC">
            <w:pPr>
              <w:spacing w:line="320" w:lineRule="exact"/>
              <w:rPr>
                <w:rFonts w:ascii="宋体" w:hAnsi="宋体" w:cs="宋体"/>
                <w:bCs/>
                <w:sz w:val="21"/>
                <w:szCs w:val="21"/>
              </w:rPr>
            </w:pPr>
          </w:p>
        </w:tc>
      </w:tr>
      <w:tr w14:paraId="19FA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04" w:type="dxa"/>
            <w:vMerge w:val="continue"/>
            <w:vAlign w:val="center"/>
          </w:tcPr>
          <w:p w14:paraId="13C08990">
            <w:pPr>
              <w:spacing w:line="320" w:lineRule="exact"/>
              <w:jc w:val="center"/>
              <w:rPr>
                <w:rFonts w:ascii="宋体" w:hAnsi="宋体" w:cs="宋体"/>
                <w:sz w:val="21"/>
                <w:szCs w:val="21"/>
              </w:rPr>
            </w:pPr>
          </w:p>
        </w:tc>
        <w:tc>
          <w:tcPr>
            <w:tcW w:w="1153" w:type="dxa"/>
            <w:vMerge w:val="continue"/>
            <w:vAlign w:val="center"/>
          </w:tcPr>
          <w:p w14:paraId="2F3DC501">
            <w:pPr>
              <w:spacing w:line="320" w:lineRule="exact"/>
              <w:jc w:val="center"/>
              <w:rPr>
                <w:rFonts w:ascii="宋体" w:hAnsi="宋体" w:cs="宋体"/>
                <w:bCs/>
                <w:sz w:val="21"/>
                <w:szCs w:val="21"/>
              </w:rPr>
            </w:pPr>
          </w:p>
        </w:tc>
        <w:tc>
          <w:tcPr>
            <w:tcW w:w="1000" w:type="dxa"/>
            <w:vAlign w:val="center"/>
          </w:tcPr>
          <w:p w14:paraId="0FE8D950">
            <w:pPr>
              <w:tabs>
                <w:tab w:val="left" w:pos="1875"/>
              </w:tabs>
              <w:spacing w:line="400" w:lineRule="exact"/>
              <w:jc w:val="center"/>
              <w:rPr>
                <w:rFonts w:hAnsi="宋体" w:cs="宋体"/>
                <w:sz w:val="21"/>
                <w:szCs w:val="21"/>
              </w:rPr>
            </w:pPr>
            <w:r>
              <w:rPr>
                <w:rFonts w:hAnsi="宋体" w:cs="宋体"/>
                <w:sz w:val="21"/>
                <w:szCs w:val="21"/>
              </w:rPr>
              <w:t>售后服务方案</w:t>
            </w:r>
          </w:p>
          <w:p w14:paraId="2BCDFD29">
            <w:pPr>
              <w:tabs>
                <w:tab w:val="left" w:pos="1875"/>
              </w:tabs>
              <w:spacing w:line="400" w:lineRule="exact"/>
              <w:jc w:val="center"/>
              <w:rPr>
                <w:rFonts w:ascii="宋体" w:hAnsi="宋体" w:cs="宋体"/>
                <w:bCs/>
                <w:sz w:val="21"/>
                <w:szCs w:val="21"/>
              </w:rPr>
            </w:pPr>
            <w:r>
              <w:rPr>
                <w:rFonts w:hAnsi="宋体" w:cs="宋体"/>
                <w:sz w:val="21"/>
                <w:szCs w:val="21"/>
              </w:rPr>
              <w:t>（1</w:t>
            </w:r>
            <w:r>
              <w:rPr>
                <w:rFonts w:hint="eastAsia" w:hAnsi="宋体" w:cs="宋体"/>
                <w:sz w:val="21"/>
                <w:szCs w:val="21"/>
              </w:rPr>
              <w:t>0</w:t>
            </w:r>
            <w:r>
              <w:rPr>
                <w:rFonts w:hAnsi="宋体" w:cs="宋体"/>
                <w:sz w:val="21"/>
                <w:szCs w:val="21"/>
              </w:rPr>
              <w:t>分）</w:t>
            </w:r>
          </w:p>
        </w:tc>
        <w:tc>
          <w:tcPr>
            <w:tcW w:w="5802" w:type="dxa"/>
            <w:vAlign w:val="center"/>
          </w:tcPr>
          <w:p w14:paraId="6CBCC962">
            <w:pPr>
              <w:ind w:firstLine="420" w:firstLineChars="200"/>
              <w:rPr>
                <w:rFonts w:hAnsi="宋体" w:cs="宋体"/>
                <w:sz w:val="21"/>
                <w:szCs w:val="21"/>
              </w:rPr>
            </w:pPr>
            <w:r>
              <w:rPr>
                <w:rFonts w:hAnsi="宋体" w:cs="宋体"/>
                <w:sz w:val="21"/>
                <w:szCs w:val="21"/>
              </w:rPr>
              <w:t>供应商提供电梯售后服务方案，方案包含维护保养措施和故障处置措施两个方面：</w:t>
            </w:r>
          </w:p>
          <w:p w14:paraId="044CE462">
            <w:pPr>
              <w:ind w:firstLine="420" w:firstLineChars="200"/>
              <w:rPr>
                <w:rFonts w:hAnsi="宋体" w:cs="宋体"/>
                <w:sz w:val="21"/>
                <w:szCs w:val="21"/>
              </w:rPr>
            </w:pPr>
            <w:r>
              <w:rPr>
                <w:rFonts w:hAnsi="宋体" w:cs="宋体"/>
                <w:sz w:val="21"/>
                <w:szCs w:val="21"/>
              </w:rPr>
              <w:t>一、维护保养措施</w:t>
            </w:r>
          </w:p>
          <w:p w14:paraId="4E914C4F">
            <w:pPr>
              <w:ind w:firstLine="420" w:firstLineChars="200"/>
              <w:rPr>
                <w:rFonts w:hAnsi="宋体" w:cs="宋体"/>
                <w:sz w:val="21"/>
                <w:szCs w:val="21"/>
              </w:rPr>
            </w:pPr>
            <w:r>
              <w:rPr>
                <w:rFonts w:hAnsi="宋体" w:cs="宋体"/>
                <w:sz w:val="21"/>
                <w:szCs w:val="21"/>
              </w:rPr>
              <w:t>1.售后人员安排</w:t>
            </w:r>
          </w:p>
          <w:p w14:paraId="7912D7F2">
            <w:pPr>
              <w:ind w:firstLine="420" w:firstLineChars="200"/>
              <w:rPr>
                <w:rFonts w:hAnsi="宋体" w:cs="宋体"/>
                <w:sz w:val="21"/>
                <w:szCs w:val="21"/>
              </w:rPr>
            </w:pPr>
            <w:r>
              <w:rPr>
                <w:rFonts w:hAnsi="宋体" w:cs="宋体"/>
                <w:sz w:val="21"/>
                <w:szCs w:val="21"/>
              </w:rPr>
              <w:t>2.维保设施设备情况</w:t>
            </w:r>
          </w:p>
          <w:p w14:paraId="327462C1">
            <w:pPr>
              <w:ind w:firstLine="420" w:firstLineChars="200"/>
              <w:rPr>
                <w:rFonts w:hAnsi="宋体" w:cs="宋体"/>
                <w:sz w:val="21"/>
                <w:szCs w:val="21"/>
              </w:rPr>
            </w:pPr>
            <w:r>
              <w:rPr>
                <w:rFonts w:hAnsi="宋体" w:cs="宋体"/>
                <w:sz w:val="21"/>
                <w:szCs w:val="21"/>
              </w:rPr>
              <w:t>3.备品备件保障</w:t>
            </w:r>
          </w:p>
          <w:p w14:paraId="138F661F">
            <w:pPr>
              <w:ind w:firstLine="420" w:firstLineChars="200"/>
              <w:rPr>
                <w:rFonts w:hAnsi="宋体" w:cs="宋体"/>
                <w:sz w:val="21"/>
                <w:szCs w:val="21"/>
              </w:rPr>
            </w:pPr>
            <w:r>
              <w:rPr>
                <w:rFonts w:hAnsi="宋体" w:cs="宋体"/>
                <w:sz w:val="21"/>
                <w:szCs w:val="21"/>
              </w:rPr>
              <w:t>4.维护保养方法</w:t>
            </w:r>
          </w:p>
          <w:p w14:paraId="6BE662DC">
            <w:pPr>
              <w:ind w:firstLine="420" w:firstLineChars="200"/>
              <w:rPr>
                <w:rFonts w:hAnsi="宋体" w:cs="宋体"/>
                <w:sz w:val="21"/>
                <w:szCs w:val="21"/>
              </w:rPr>
            </w:pPr>
            <w:r>
              <w:rPr>
                <w:rFonts w:hAnsi="宋体" w:cs="宋体"/>
                <w:sz w:val="21"/>
                <w:szCs w:val="21"/>
              </w:rPr>
              <w:t>5.维护保养的质量管理</w:t>
            </w:r>
          </w:p>
          <w:p w14:paraId="0BD2046F">
            <w:pPr>
              <w:ind w:firstLine="420" w:firstLineChars="200"/>
              <w:rPr>
                <w:rFonts w:hAnsi="宋体" w:cs="宋体"/>
                <w:sz w:val="21"/>
                <w:szCs w:val="21"/>
              </w:rPr>
            </w:pPr>
            <w:r>
              <w:rPr>
                <w:rFonts w:hAnsi="宋体" w:cs="宋体"/>
                <w:sz w:val="21"/>
                <w:szCs w:val="21"/>
              </w:rPr>
              <w:t>6.维护保养的安全措施</w:t>
            </w:r>
          </w:p>
          <w:p w14:paraId="57386084">
            <w:pPr>
              <w:ind w:firstLine="420" w:firstLineChars="200"/>
              <w:rPr>
                <w:rFonts w:hAnsi="宋体" w:cs="宋体"/>
                <w:sz w:val="21"/>
                <w:szCs w:val="21"/>
              </w:rPr>
            </w:pPr>
            <w:r>
              <w:rPr>
                <w:rFonts w:hAnsi="宋体" w:cs="宋体"/>
                <w:sz w:val="21"/>
                <w:szCs w:val="21"/>
              </w:rPr>
              <w:t>二、故障处置措施</w:t>
            </w:r>
          </w:p>
          <w:p w14:paraId="5A973758">
            <w:pPr>
              <w:ind w:firstLine="420" w:firstLineChars="200"/>
              <w:rPr>
                <w:rFonts w:hAnsi="宋体" w:cs="宋体"/>
                <w:sz w:val="21"/>
                <w:szCs w:val="21"/>
              </w:rPr>
            </w:pPr>
            <w:r>
              <w:rPr>
                <w:rFonts w:hAnsi="宋体" w:cs="宋体"/>
                <w:sz w:val="21"/>
                <w:szCs w:val="21"/>
              </w:rPr>
              <w:t>1.电梯使用中常见故障介绍</w:t>
            </w:r>
          </w:p>
          <w:p w14:paraId="024545C7">
            <w:pPr>
              <w:ind w:firstLine="420" w:firstLineChars="200"/>
              <w:rPr>
                <w:rFonts w:hAnsi="宋体" w:cs="宋体"/>
                <w:sz w:val="21"/>
                <w:szCs w:val="21"/>
              </w:rPr>
            </w:pPr>
            <w:r>
              <w:rPr>
                <w:rFonts w:hAnsi="宋体" w:cs="宋体"/>
                <w:sz w:val="21"/>
                <w:szCs w:val="21"/>
              </w:rPr>
              <w:t>2.排除故障处理时间</w:t>
            </w:r>
          </w:p>
          <w:p w14:paraId="34A58B12">
            <w:pPr>
              <w:ind w:firstLine="420" w:firstLineChars="200"/>
              <w:rPr>
                <w:rFonts w:hAnsi="宋体" w:cs="宋体"/>
                <w:sz w:val="21"/>
                <w:szCs w:val="21"/>
              </w:rPr>
            </w:pPr>
            <w:r>
              <w:rPr>
                <w:rFonts w:hAnsi="宋体" w:cs="宋体"/>
                <w:sz w:val="21"/>
                <w:szCs w:val="21"/>
              </w:rPr>
              <w:t>3.故障处置方法介绍</w:t>
            </w:r>
          </w:p>
          <w:p w14:paraId="742D61A9">
            <w:pPr>
              <w:ind w:firstLine="420" w:firstLineChars="200"/>
              <w:rPr>
                <w:rFonts w:hAnsi="宋体" w:cs="宋体"/>
                <w:sz w:val="21"/>
                <w:szCs w:val="21"/>
              </w:rPr>
            </w:pPr>
            <w:r>
              <w:rPr>
                <w:rFonts w:hAnsi="宋体" w:cs="宋体"/>
                <w:sz w:val="21"/>
                <w:szCs w:val="21"/>
              </w:rPr>
              <w:t>4.相关故障解决技术人员情况</w:t>
            </w:r>
          </w:p>
          <w:p w14:paraId="14264EC7">
            <w:pPr>
              <w:ind w:firstLine="420" w:firstLineChars="200"/>
              <w:rPr>
                <w:rFonts w:hAnsi="宋体" w:cs="宋体"/>
                <w:sz w:val="21"/>
                <w:szCs w:val="21"/>
              </w:rPr>
            </w:pPr>
            <w:r>
              <w:rPr>
                <w:rFonts w:hAnsi="宋体" w:cs="宋体"/>
                <w:sz w:val="21"/>
                <w:szCs w:val="21"/>
              </w:rPr>
              <w:t>5.处理故障过程中注意的安全措施</w:t>
            </w:r>
          </w:p>
          <w:p w14:paraId="25768A6F">
            <w:pPr>
              <w:snapToGrid w:val="0"/>
              <w:spacing w:line="400" w:lineRule="exact"/>
              <w:ind w:firstLine="420" w:firstLineChars="200"/>
              <w:rPr>
                <w:rFonts w:ascii="宋体" w:hAnsi="宋体" w:cs="宋体"/>
                <w:bCs/>
                <w:sz w:val="21"/>
                <w:szCs w:val="21"/>
              </w:rPr>
            </w:pPr>
            <w:r>
              <w:rPr>
                <w:rFonts w:hAnsi="宋体" w:cs="宋体"/>
                <w:sz w:val="21"/>
                <w:szCs w:val="21"/>
              </w:rPr>
              <w:t>方案包含上述所有内容，方案内容详实、具体、可行得</w:t>
            </w:r>
            <w:r>
              <w:rPr>
                <w:rFonts w:hint="eastAsia" w:hAnsi="宋体" w:cs="宋体"/>
                <w:sz w:val="21"/>
                <w:szCs w:val="21"/>
              </w:rPr>
              <w:t>10</w:t>
            </w:r>
            <w:r>
              <w:rPr>
                <w:rFonts w:hAnsi="宋体" w:cs="宋体"/>
                <w:sz w:val="21"/>
                <w:szCs w:val="21"/>
              </w:rPr>
              <w:t>分；方案较详实、具体、可行得</w:t>
            </w:r>
            <w:r>
              <w:rPr>
                <w:rFonts w:hint="eastAsia" w:hAnsi="宋体" w:cs="宋体"/>
                <w:sz w:val="21"/>
                <w:szCs w:val="21"/>
              </w:rPr>
              <w:t>6</w:t>
            </w:r>
            <w:r>
              <w:rPr>
                <w:rFonts w:hAnsi="宋体" w:cs="宋体"/>
                <w:sz w:val="21"/>
                <w:szCs w:val="21"/>
              </w:rPr>
              <w:t>分；方案不够详实、具体，但具有一定可行性得</w:t>
            </w:r>
            <w:r>
              <w:rPr>
                <w:rFonts w:hint="eastAsia" w:hAnsi="宋体" w:cs="宋体"/>
                <w:sz w:val="21"/>
                <w:szCs w:val="21"/>
              </w:rPr>
              <w:t>2</w:t>
            </w:r>
            <w:r>
              <w:rPr>
                <w:rFonts w:hAnsi="宋体" w:cs="宋体"/>
                <w:sz w:val="21"/>
                <w:szCs w:val="21"/>
              </w:rPr>
              <w:t>分；扣完为止，未提供方案得0分。</w:t>
            </w:r>
          </w:p>
        </w:tc>
        <w:tc>
          <w:tcPr>
            <w:tcW w:w="1389" w:type="dxa"/>
            <w:vMerge w:val="continue"/>
            <w:vAlign w:val="center"/>
          </w:tcPr>
          <w:p w14:paraId="38A052CD">
            <w:pPr>
              <w:spacing w:line="320" w:lineRule="exact"/>
              <w:rPr>
                <w:rFonts w:ascii="宋体" w:hAnsi="宋体" w:cs="宋体"/>
                <w:bCs/>
                <w:sz w:val="21"/>
                <w:szCs w:val="21"/>
              </w:rPr>
            </w:pPr>
          </w:p>
        </w:tc>
      </w:tr>
      <w:tr w14:paraId="5E1B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04" w:type="dxa"/>
            <w:vMerge w:val="restart"/>
            <w:vAlign w:val="center"/>
          </w:tcPr>
          <w:p w14:paraId="36A9B4C0">
            <w:pPr>
              <w:spacing w:line="320" w:lineRule="exact"/>
              <w:jc w:val="center"/>
              <w:rPr>
                <w:rFonts w:ascii="宋体" w:hAnsi="宋体" w:cs="宋体"/>
                <w:sz w:val="21"/>
                <w:szCs w:val="21"/>
              </w:rPr>
            </w:pPr>
            <w:r>
              <w:rPr>
                <w:rFonts w:hint="eastAsia" w:ascii="宋体" w:hAnsi="宋体" w:cs="宋体"/>
                <w:sz w:val="21"/>
                <w:szCs w:val="21"/>
              </w:rPr>
              <w:t>3</w:t>
            </w:r>
          </w:p>
        </w:tc>
        <w:tc>
          <w:tcPr>
            <w:tcW w:w="1153" w:type="dxa"/>
            <w:vMerge w:val="restart"/>
            <w:vAlign w:val="center"/>
          </w:tcPr>
          <w:p w14:paraId="0186725E">
            <w:pPr>
              <w:spacing w:line="320" w:lineRule="exact"/>
              <w:jc w:val="center"/>
              <w:rPr>
                <w:rFonts w:ascii="宋体" w:hAnsi="宋体" w:cs="宋体"/>
                <w:bCs/>
                <w:sz w:val="21"/>
                <w:szCs w:val="21"/>
              </w:rPr>
            </w:pPr>
            <w:r>
              <w:rPr>
                <w:rFonts w:hint="eastAsia" w:ascii="宋体" w:hAnsi="宋体" w:cs="宋体"/>
                <w:bCs/>
                <w:sz w:val="21"/>
                <w:szCs w:val="21"/>
              </w:rPr>
              <w:t>商务部分（10%）</w:t>
            </w:r>
          </w:p>
        </w:tc>
        <w:tc>
          <w:tcPr>
            <w:tcW w:w="1000" w:type="dxa"/>
            <w:vAlign w:val="center"/>
          </w:tcPr>
          <w:p w14:paraId="59F6912D">
            <w:pPr>
              <w:tabs>
                <w:tab w:val="left" w:pos="1875"/>
              </w:tabs>
              <w:spacing w:line="400" w:lineRule="exact"/>
              <w:jc w:val="center"/>
              <w:rPr>
                <w:rFonts w:hAnsi="宋体" w:cs="宋体"/>
                <w:sz w:val="21"/>
                <w:szCs w:val="21"/>
              </w:rPr>
            </w:pPr>
            <w:r>
              <w:rPr>
                <w:rFonts w:hAnsi="宋体" w:cs="宋体"/>
                <w:sz w:val="21"/>
                <w:szCs w:val="21"/>
              </w:rPr>
              <w:t>体系认证</w:t>
            </w:r>
          </w:p>
          <w:p w14:paraId="0FBBE0ED">
            <w:pPr>
              <w:spacing w:line="320" w:lineRule="exact"/>
              <w:rPr>
                <w:rFonts w:ascii="宋体" w:hAnsi="宋体" w:cs="宋体"/>
                <w:bCs/>
                <w:sz w:val="21"/>
                <w:szCs w:val="21"/>
              </w:rPr>
            </w:pPr>
            <w:r>
              <w:rPr>
                <w:rFonts w:hint="eastAsia" w:hAnsi="宋体" w:cs="宋体"/>
                <w:sz w:val="21"/>
                <w:szCs w:val="21"/>
              </w:rPr>
              <w:t>（3</w:t>
            </w:r>
            <w:r>
              <w:rPr>
                <w:rFonts w:hAnsi="宋体" w:cs="宋体"/>
                <w:sz w:val="21"/>
                <w:szCs w:val="21"/>
              </w:rPr>
              <w:t>分）</w:t>
            </w:r>
          </w:p>
        </w:tc>
        <w:tc>
          <w:tcPr>
            <w:tcW w:w="5802" w:type="dxa"/>
            <w:vAlign w:val="center"/>
          </w:tcPr>
          <w:p w14:paraId="00AD1438">
            <w:pPr>
              <w:spacing w:line="320" w:lineRule="exact"/>
              <w:ind w:firstLine="210" w:firstLineChars="100"/>
              <w:rPr>
                <w:rFonts w:ascii="宋体" w:hAnsi="宋体" w:cs="宋体"/>
                <w:bCs/>
                <w:sz w:val="21"/>
                <w:szCs w:val="21"/>
              </w:rPr>
            </w:pPr>
            <w:r>
              <w:rPr>
                <w:rFonts w:hint="eastAsia" w:ascii="宋体" w:hAnsi="宋体" w:cs="宋体"/>
                <w:bCs/>
                <w:sz w:val="21"/>
                <w:szCs w:val="21"/>
              </w:rPr>
              <w:t>所投乘客电梯制造商同时具有ISO9001质量管理体系认证证书、ISO14001环境管理体系认证证书以及ISO45001职业健康安全管理体系认证证书的得3分，否则不得分。</w:t>
            </w:r>
          </w:p>
          <w:p w14:paraId="2E24E77F">
            <w:pPr>
              <w:spacing w:line="320" w:lineRule="exact"/>
              <w:ind w:firstLine="210" w:firstLineChars="100"/>
              <w:rPr>
                <w:rFonts w:ascii="宋体" w:hAnsi="宋体" w:cs="宋体"/>
                <w:bCs/>
                <w:sz w:val="21"/>
                <w:szCs w:val="21"/>
              </w:rPr>
            </w:pPr>
            <w:r>
              <w:rPr>
                <w:rFonts w:hint="eastAsia" w:ascii="宋体" w:hAnsi="宋体" w:cs="宋体"/>
                <w:bCs/>
                <w:sz w:val="21"/>
                <w:szCs w:val="21"/>
              </w:rPr>
              <w:t>【注：提供有效期内的证书复印件并加盖供应商公章，不提供不得分。】</w:t>
            </w:r>
          </w:p>
        </w:tc>
        <w:tc>
          <w:tcPr>
            <w:tcW w:w="1389" w:type="dxa"/>
            <w:vAlign w:val="center"/>
          </w:tcPr>
          <w:p w14:paraId="7FD63D5C">
            <w:pPr>
              <w:spacing w:line="320" w:lineRule="exact"/>
              <w:rPr>
                <w:rFonts w:ascii="宋体" w:hAnsi="宋体" w:cs="宋体"/>
                <w:bCs/>
                <w:sz w:val="21"/>
                <w:szCs w:val="21"/>
              </w:rPr>
            </w:pPr>
          </w:p>
        </w:tc>
      </w:tr>
      <w:tr w14:paraId="670B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04" w:type="dxa"/>
            <w:vMerge w:val="continue"/>
            <w:vAlign w:val="center"/>
          </w:tcPr>
          <w:p w14:paraId="6A9CEF2B">
            <w:pPr>
              <w:spacing w:line="320" w:lineRule="exact"/>
              <w:jc w:val="center"/>
              <w:rPr>
                <w:rFonts w:ascii="宋体" w:hAnsi="宋体" w:cs="宋体"/>
                <w:sz w:val="21"/>
                <w:szCs w:val="21"/>
              </w:rPr>
            </w:pPr>
          </w:p>
        </w:tc>
        <w:tc>
          <w:tcPr>
            <w:tcW w:w="1153" w:type="dxa"/>
            <w:vMerge w:val="continue"/>
            <w:vAlign w:val="center"/>
          </w:tcPr>
          <w:p w14:paraId="48C66E12">
            <w:pPr>
              <w:spacing w:line="320" w:lineRule="exact"/>
              <w:jc w:val="center"/>
              <w:rPr>
                <w:rFonts w:ascii="宋体" w:hAnsi="宋体" w:cs="宋体"/>
                <w:bCs/>
                <w:sz w:val="21"/>
                <w:szCs w:val="21"/>
              </w:rPr>
            </w:pPr>
          </w:p>
        </w:tc>
        <w:tc>
          <w:tcPr>
            <w:tcW w:w="1000" w:type="dxa"/>
            <w:vAlign w:val="center"/>
          </w:tcPr>
          <w:p w14:paraId="04C4BE68">
            <w:pPr>
              <w:snapToGrid w:val="0"/>
              <w:spacing w:line="400" w:lineRule="exact"/>
              <w:jc w:val="center"/>
              <w:rPr>
                <w:rFonts w:ascii="宋体" w:hAnsi="宋体" w:cs="宋体"/>
                <w:bCs/>
                <w:sz w:val="21"/>
                <w:szCs w:val="21"/>
              </w:rPr>
            </w:pPr>
            <w:r>
              <w:rPr>
                <w:rFonts w:hAnsi="宋体" w:cs="宋体"/>
                <w:sz w:val="21"/>
                <w:szCs w:val="21"/>
              </w:rPr>
              <w:t>售后网点（</w:t>
            </w:r>
            <w:r>
              <w:rPr>
                <w:rFonts w:hint="eastAsia" w:hAnsi="宋体" w:cs="宋体"/>
                <w:sz w:val="21"/>
                <w:szCs w:val="21"/>
              </w:rPr>
              <w:t>4</w:t>
            </w:r>
            <w:r>
              <w:rPr>
                <w:rFonts w:hAnsi="宋体" w:cs="宋体"/>
                <w:sz w:val="21"/>
                <w:szCs w:val="21"/>
              </w:rPr>
              <w:t>分）</w:t>
            </w:r>
          </w:p>
        </w:tc>
        <w:tc>
          <w:tcPr>
            <w:tcW w:w="5802" w:type="dxa"/>
            <w:vAlign w:val="center"/>
          </w:tcPr>
          <w:p w14:paraId="75904E95">
            <w:pPr>
              <w:spacing w:line="320" w:lineRule="exact"/>
              <w:ind w:firstLine="210" w:firstLineChars="100"/>
              <w:rPr>
                <w:rFonts w:ascii="宋体" w:hAnsi="宋体" w:cs="宋体"/>
                <w:bCs/>
                <w:sz w:val="21"/>
                <w:szCs w:val="21"/>
              </w:rPr>
            </w:pPr>
            <w:r>
              <w:rPr>
                <w:rFonts w:ascii="宋体" w:hAnsi="宋体" w:cs="宋体"/>
                <w:bCs/>
                <w:sz w:val="21"/>
                <w:szCs w:val="21"/>
              </w:rPr>
              <w:t>该项未提供0分，满足全分。</w:t>
            </w:r>
          </w:p>
          <w:p w14:paraId="526D9EC8">
            <w:pPr>
              <w:spacing w:line="320" w:lineRule="exact"/>
              <w:ind w:firstLine="210" w:firstLineChars="100"/>
              <w:rPr>
                <w:rFonts w:ascii="宋体" w:hAnsi="宋体" w:cs="宋体"/>
                <w:bCs/>
                <w:sz w:val="21"/>
                <w:szCs w:val="21"/>
              </w:rPr>
            </w:pPr>
            <w:r>
              <w:rPr>
                <w:rFonts w:hint="eastAsia" w:ascii="宋体" w:hAnsi="宋体" w:cs="宋体"/>
                <w:bCs/>
                <w:sz w:val="21"/>
                <w:szCs w:val="21"/>
              </w:rPr>
              <w:t>供应商（制造商或代理商）的售后机构服务网点距离服务地点距离，15分钟以内得4分，20钟以内得2分，30分钟以内得1分，超过30分钟不得分。时速按30公里/小时计算。</w:t>
            </w:r>
          </w:p>
          <w:p w14:paraId="42469432">
            <w:pPr>
              <w:spacing w:line="320" w:lineRule="exact"/>
              <w:ind w:firstLine="210" w:firstLineChars="100"/>
              <w:rPr>
                <w:rFonts w:ascii="宋体" w:hAnsi="宋体" w:cs="宋体"/>
                <w:bCs/>
                <w:sz w:val="21"/>
                <w:szCs w:val="21"/>
              </w:rPr>
            </w:pPr>
            <w:r>
              <w:rPr>
                <w:rFonts w:hint="eastAsia" w:ascii="宋体" w:hAnsi="宋体" w:cs="宋体"/>
                <w:bCs/>
                <w:sz w:val="21"/>
                <w:szCs w:val="21"/>
              </w:rPr>
              <w:t>（提供售后机构服务网点到小区地图距离截图，以及售后机构服务网点照片2张并加盖供应商公章。）</w:t>
            </w:r>
          </w:p>
          <w:p w14:paraId="7764B611">
            <w:pPr>
              <w:spacing w:line="320" w:lineRule="exact"/>
              <w:ind w:firstLine="210" w:firstLineChars="100"/>
            </w:pPr>
            <w:r>
              <w:rPr>
                <w:rFonts w:hint="eastAsia" w:ascii="宋体" w:hAnsi="宋体" w:cs="宋体"/>
                <w:bCs/>
                <w:sz w:val="21"/>
                <w:szCs w:val="21"/>
              </w:rPr>
              <w:t>注：成交供应商中标后，签订合同前采购人可现场考察售后机构，如有虚假应标，可取消其中标资格，投标保证金不予退还，由第二中标候选人中标，以此类推。</w:t>
            </w:r>
          </w:p>
        </w:tc>
        <w:tc>
          <w:tcPr>
            <w:tcW w:w="1389" w:type="dxa"/>
            <w:vAlign w:val="center"/>
          </w:tcPr>
          <w:p w14:paraId="4C36AE95">
            <w:pPr>
              <w:spacing w:line="320" w:lineRule="exact"/>
              <w:rPr>
                <w:rFonts w:ascii="宋体" w:hAnsi="宋体" w:cs="宋体"/>
                <w:bCs/>
                <w:sz w:val="21"/>
                <w:szCs w:val="21"/>
              </w:rPr>
            </w:pPr>
          </w:p>
        </w:tc>
      </w:tr>
      <w:tr w14:paraId="5F1E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04" w:type="dxa"/>
            <w:vMerge w:val="continue"/>
            <w:vAlign w:val="center"/>
          </w:tcPr>
          <w:p w14:paraId="1BCD6A30">
            <w:pPr>
              <w:spacing w:line="320" w:lineRule="exact"/>
              <w:jc w:val="center"/>
              <w:rPr>
                <w:rFonts w:ascii="宋体" w:hAnsi="宋体" w:cs="宋体"/>
                <w:sz w:val="21"/>
                <w:szCs w:val="21"/>
              </w:rPr>
            </w:pPr>
          </w:p>
        </w:tc>
        <w:tc>
          <w:tcPr>
            <w:tcW w:w="1153" w:type="dxa"/>
            <w:vMerge w:val="continue"/>
            <w:vAlign w:val="center"/>
          </w:tcPr>
          <w:p w14:paraId="139B70C3">
            <w:pPr>
              <w:spacing w:line="320" w:lineRule="exact"/>
              <w:jc w:val="center"/>
              <w:rPr>
                <w:rFonts w:ascii="宋体" w:hAnsi="宋体" w:cs="宋体"/>
                <w:bCs/>
                <w:sz w:val="21"/>
                <w:szCs w:val="21"/>
              </w:rPr>
            </w:pPr>
          </w:p>
        </w:tc>
        <w:tc>
          <w:tcPr>
            <w:tcW w:w="1000" w:type="dxa"/>
            <w:vAlign w:val="center"/>
          </w:tcPr>
          <w:p w14:paraId="07878D96">
            <w:pPr>
              <w:spacing w:line="320" w:lineRule="exact"/>
              <w:rPr>
                <w:rFonts w:ascii="宋体" w:hAnsi="宋体" w:cs="宋体"/>
                <w:bCs/>
                <w:sz w:val="21"/>
                <w:szCs w:val="21"/>
              </w:rPr>
            </w:pPr>
            <w:r>
              <w:rPr>
                <w:rFonts w:hint="eastAsia" w:ascii="宋体" w:hAnsi="宋体" w:cs="宋体"/>
                <w:bCs/>
                <w:sz w:val="21"/>
                <w:szCs w:val="21"/>
              </w:rPr>
              <w:t>维保期年限（3分）</w:t>
            </w:r>
          </w:p>
        </w:tc>
        <w:tc>
          <w:tcPr>
            <w:tcW w:w="5802" w:type="dxa"/>
            <w:vAlign w:val="center"/>
          </w:tcPr>
          <w:p w14:paraId="683D636C">
            <w:pPr>
              <w:spacing w:line="320" w:lineRule="exact"/>
              <w:ind w:firstLine="210" w:firstLineChars="100"/>
              <w:rPr>
                <w:rFonts w:ascii="宋体" w:hAnsi="宋体" w:cs="宋体"/>
                <w:bCs/>
                <w:sz w:val="21"/>
                <w:szCs w:val="21"/>
              </w:rPr>
            </w:pPr>
            <w:r>
              <w:rPr>
                <w:rFonts w:hint="eastAsia" w:ascii="宋体" w:hAnsi="宋体" w:cs="宋体"/>
                <w:bCs/>
                <w:sz w:val="21"/>
                <w:szCs w:val="21"/>
              </w:rPr>
              <w:t>免费维保在原要求上每增加1 年，加1分，此项最多加3分。</w:t>
            </w:r>
          </w:p>
          <w:p w14:paraId="3719E475">
            <w:pPr>
              <w:spacing w:line="320" w:lineRule="exact"/>
              <w:ind w:firstLine="210" w:firstLineChars="100"/>
            </w:pPr>
            <w:r>
              <w:rPr>
                <w:rFonts w:ascii="宋体" w:hAnsi="宋体" w:cs="宋体"/>
                <w:bCs/>
                <w:sz w:val="21"/>
                <w:szCs w:val="21"/>
              </w:rPr>
              <w:t>（提供供应商承诺函并加盖供应商公章）</w:t>
            </w:r>
          </w:p>
        </w:tc>
        <w:tc>
          <w:tcPr>
            <w:tcW w:w="1389" w:type="dxa"/>
            <w:vAlign w:val="center"/>
          </w:tcPr>
          <w:p w14:paraId="420FB026">
            <w:pPr>
              <w:spacing w:line="320" w:lineRule="exact"/>
              <w:rPr>
                <w:rFonts w:ascii="宋体" w:hAnsi="宋体" w:cs="宋体"/>
                <w:bCs/>
                <w:sz w:val="21"/>
                <w:szCs w:val="21"/>
              </w:rPr>
            </w:pPr>
          </w:p>
        </w:tc>
      </w:tr>
    </w:tbl>
    <w:p w14:paraId="251C76A8">
      <w:pPr>
        <w:snapToGrid w:val="0"/>
        <w:spacing w:line="360" w:lineRule="exact"/>
        <w:ind w:firstLine="465"/>
        <w:rPr>
          <w:rFonts w:ascii="宋体" w:hAnsi="宋体" w:cs="宋体"/>
          <w:sz w:val="24"/>
          <w:szCs w:val="24"/>
        </w:rPr>
      </w:pPr>
      <w:r>
        <w:rPr>
          <w:rFonts w:hint="eastAsia" w:ascii="宋体" w:hAnsi="宋体" w:cs="宋体"/>
          <w:sz w:val="24"/>
          <w:szCs w:val="24"/>
        </w:rPr>
        <w:t>说明：</w:t>
      </w:r>
    </w:p>
    <w:p w14:paraId="070C8255">
      <w:pPr>
        <w:keepNext/>
        <w:keepLines/>
        <w:adjustRightInd w:val="0"/>
        <w:snapToGrid w:val="0"/>
        <w:spacing w:line="400" w:lineRule="exact"/>
        <w:ind w:firstLine="480" w:firstLineChars="200"/>
        <w:outlineLvl w:val="1"/>
        <w:rPr>
          <w:rFonts w:ascii="宋体" w:hAnsi="宋体" w:cs="宋体"/>
          <w:b/>
          <w:sz w:val="24"/>
        </w:rPr>
      </w:pPr>
      <w:bookmarkStart w:id="147" w:name="_Toc21473"/>
      <w:bookmarkStart w:id="148" w:name="_Toc31747"/>
      <w:r>
        <w:rPr>
          <w:rFonts w:hint="eastAsia" w:ascii="宋体" w:hAnsi="宋体" w:cs="宋体"/>
          <w:sz w:val="24"/>
          <w:szCs w:val="24"/>
        </w:rPr>
        <w:t>评审小组认为供应商的投标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响应处理。</w:t>
      </w:r>
      <w:bookmarkEnd w:id="147"/>
      <w:bookmarkEnd w:id="148"/>
    </w:p>
    <w:p w14:paraId="03E132A2">
      <w:pPr>
        <w:keepNext/>
        <w:keepLines/>
        <w:adjustRightInd w:val="0"/>
        <w:snapToGrid w:val="0"/>
        <w:spacing w:line="400" w:lineRule="exact"/>
        <w:ind w:firstLine="482" w:firstLineChars="200"/>
        <w:outlineLvl w:val="1"/>
        <w:rPr>
          <w:rFonts w:ascii="宋体" w:hAnsi="宋体" w:cs="宋体"/>
          <w:b/>
          <w:sz w:val="24"/>
        </w:rPr>
      </w:pPr>
      <w:r>
        <w:rPr>
          <w:rFonts w:hint="eastAsia" w:ascii="宋体" w:hAnsi="宋体" w:cs="宋体"/>
          <w:b/>
          <w:sz w:val="24"/>
        </w:rPr>
        <w:t>三、无效</w:t>
      </w:r>
      <w:bookmarkEnd w:id="142"/>
      <w:bookmarkEnd w:id="143"/>
      <w:bookmarkEnd w:id="144"/>
      <w:r>
        <w:rPr>
          <w:rFonts w:hint="eastAsia" w:ascii="宋体" w:hAnsi="宋体" w:cs="宋体"/>
          <w:b/>
          <w:sz w:val="24"/>
        </w:rPr>
        <w:t>报价</w:t>
      </w:r>
      <w:bookmarkEnd w:id="145"/>
      <w:bookmarkEnd w:id="146"/>
    </w:p>
    <w:p w14:paraId="0AA0746A">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14:paraId="3BFEAC0A">
      <w:pPr>
        <w:snapToGrid w:val="0"/>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14:paraId="6CB2511D">
      <w:pPr>
        <w:snapToGrid w:val="0"/>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14:paraId="09F68619">
      <w:pPr>
        <w:snapToGrid w:val="0"/>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14:paraId="2A583C34">
      <w:pPr>
        <w:snapToGrid w:val="0"/>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14:paraId="63FA3EE3">
      <w:pPr>
        <w:snapToGrid w:val="0"/>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14:paraId="7E11A03B">
      <w:pPr>
        <w:snapToGrid w:val="0"/>
        <w:spacing w:line="400" w:lineRule="exact"/>
        <w:ind w:firstLine="480" w:firstLineChars="200"/>
        <w:rPr>
          <w:rFonts w:ascii="宋体" w:hAnsi="宋体" w:cs="宋体"/>
          <w:sz w:val="24"/>
          <w:szCs w:val="24"/>
        </w:rPr>
      </w:pPr>
      <w:r>
        <w:rPr>
          <w:rFonts w:hint="eastAsia" w:ascii="宋体" w:hAnsi="宋体" w:cs="宋体"/>
          <w:sz w:val="24"/>
          <w:szCs w:val="24"/>
        </w:rPr>
        <w:t>（六）供应商不接受评审小组修正后的价格的；</w:t>
      </w:r>
    </w:p>
    <w:p w14:paraId="308F1738">
      <w:pPr>
        <w:snapToGrid w:val="0"/>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14:paraId="0C627039">
      <w:pPr>
        <w:snapToGrid w:val="0"/>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14:paraId="739D4FC8">
      <w:pPr>
        <w:snapToGrid w:val="0"/>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14:paraId="2C4F3ECD">
      <w:pPr>
        <w:snapToGrid w:val="0"/>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14:paraId="0BB1E1CD">
      <w:pPr>
        <w:snapToGrid w:val="0"/>
        <w:spacing w:line="400" w:lineRule="exact"/>
        <w:ind w:firstLine="540"/>
        <w:rPr>
          <w:rFonts w:ascii="宋体" w:hAnsi="宋体" w:cs="宋体"/>
          <w:sz w:val="24"/>
          <w:szCs w:val="24"/>
        </w:rPr>
      </w:pPr>
      <w:r>
        <w:rPr>
          <w:rFonts w:hint="eastAsia" w:ascii="宋体" w:hAnsi="宋体" w:cs="宋体"/>
          <w:sz w:val="24"/>
          <w:szCs w:val="24"/>
        </w:rPr>
        <w:t>（十一）法律、法规和竞争性比选规定的其他无效情形。</w:t>
      </w:r>
    </w:p>
    <w:p w14:paraId="67D4706D">
      <w:pPr>
        <w:keepNext/>
        <w:keepLines/>
        <w:adjustRightInd w:val="0"/>
        <w:snapToGrid w:val="0"/>
        <w:spacing w:line="400" w:lineRule="exact"/>
        <w:ind w:firstLine="482" w:firstLineChars="200"/>
        <w:outlineLvl w:val="1"/>
        <w:rPr>
          <w:rFonts w:ascii="宋体" w:hAnsi="宋体" w:cs="宋体"/>
          <w:b/>
          <w:sz w:val="24"/>
        </w:rPr>
      </w:pPr>
      <w:bookmarkStart w:id="149" w:name="_Toc28422"/>
      <w:bookmarkStart w:id="150" w:name="_Toc65660353"/>
      <w:bookmarkStart w:id="151" w:name="_Toc29298"/>
      <w:bookmarkStart w:id="152" w:name="_Toc22716"/>
      <w:bookmarkStart w:id="153" w:name="_Toc12152"/>
      <w:r>
        <w:rPr>
          <w:rFonts w:hint="eastAsia" w:ascii="宋体" w:hAnsi="宋体" w:cs="宋体"/>
          <w:b/>
          <w:sz w:val="24"/>
        </w:rPr>
        <w:t>四、采购终止</w:t>
      </w:r>
      <w:bookmarkEnd w:id="149"/>
      <w:bookmarkEnd w:id="150"/>
      <w:bookmarkEnd w:id="151"/>
      <w:bookmarkEnd w:id="152"/>
      <w:bookmarkEnd w:id="153"/>
    </w:p>
    <w:p w14:paraId="3A131E2C">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出现下列情形之一的，采购人或者采购代理机构应当终止比选采购活动，发布项目终止公告并说明原因，重新开展采购活动：</w:t>
      </w:r>
    </w:p>
    <w:p w14:paraId="008609C8">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（一）因情况变化，不再符合规定的比选采购方式适用情形的；</w:t>
      </w:r>
    </w:p>
    <w:p w14:paraId="44AEB4BB">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16143D57">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w:t>
      </w:r>
    </w:p>
    <w:p w14:paraId="65AC24FF">
      <w:pPr>
        <w:keepNext/>
        <w:keepLines/>
        <w:spacing w:line="360" w:lineRule="auto"/>
        <w:jc w:val="center"/>
        <w:outlineLvl w:val="1"/>
        <w:rPr>
          <w:rFonts w:ascii="宋体" w:hAnsi="宋体" w:cs="宋体"/>
          <w:b/>
          <w:bCs/>
          <w:sz w:val="30"/>
          <w:szCs w:val="30"/>
        </w:rPr>
      </w:pPr>
      <w:r>
        <w:rPr>
          <w:rFonts w:hint="eastAsia" w:ascii="宋体" w:hAnsi="宋体" w:cs="宋体"/>
          <w:b/>
          <w:sz w:val="24"/>
          <w:szCs w:val="24"/>
        </w:rPr>
        <w:br w:type="page"/>
      </w:r>
      <w:bookmarkStart w:id="154" w:name="_Toc65660354"/>
      <w:bookmarkStart w:id="155" w:name="_Toc22379"/>
      <w:bookmarkStart w:id="156" w:name="_Toc8916"/>
      <w:bookmarkStart w:id="157" w:name="_Toc8372"/>
      <w:bookmarkStart w:id="158" w:name="_Toc10768"/>
      <w:bookmarkStart w:id="159" w:name="_Toc20055"/>
      <w:r>
        <w:rPr>
          <w:rStyle w:val="254"/>
          <w:rFonts w:hint="eastAsia" w:hAnsi="宋体" w:cs="宋体"/>
          <w:b/>
          <w:bCs/>
          <w:sz w:val="30"/>
          <w:szCs w:val="30"/>
        </w:rPr>
        <w:t>第五篇  供应商须知</w:t>
      </w:r>
      <w:bookmarkEnd w:id="154"/>
      <w:bookmarkEnd w:id="155"/>
      <w:bookmarkEnd w:id="156"/>
      <w:bookmarkEnd w:id="157"/>
      <w:bookmarkEnd w:id="158"/>
      <w:bookmarkEnd w:id="159"/>
    </w:p>
    <w:p w14:paraId="6C955FF5">
      <w:pPr>
        <w:keepNext/>
        <w:keepLines/>
        <w:adjustRightInd w:val="0"/>
        <w:snapToGrid w:val="0"/>
        <w:spacing w:line="400" w:lineRule="exact"/>
        <w:ind w:firstLine="482" w:firstLineChars="200"/>
        <w:outlineLvl w:val="1"/>
        <w:rPr>
          <w:rFonts w:ascii="宋体" w:hAnsi="宋体" w:cs="宋体"/>
          <w:b/>
          <w:sz w:val="24"/>
        </w:rPr>
      </w:pPr>
      <w:bookmarkStart w:id="160" w:name="_Toc5290"/>
      <w:bookmarkStart w:id="161" w:name="_Toc2864"/>
      <w:bookmarkStart w:id="162" w:name="_Toc9357"/>
      <w:bookmarkStart w:id="163" w:name="_Toc16524"/>
      <w:bookmarkStart w:id="164" w:name="_Toc65660355"/>
      <w:r>
        <w:rPr>
          <w:rFonts w:hint="eastAsia" w:ascii="宋体" w:hAnsi="宋体" w:cs="宋体"/>
          <w:b/>
          <w:sz w:val="24"/>
        </w:rPr>
        <w:t>一、比选费用</w:t>
      </w:r>
      <w:bookmarkEnd w:id="160"/>
      <w:bookmarkEnd w:id="161"/>
      <w:bookmarkEnd w:id="162"/>
      <w:bookmarkEnd w:id="163"/>
      <w:bookmarkEnd w:id="164"/>
    </w:p>
    <w:p w14:paraId="2223090A">
      <w:pPr>
        <w:spacing w:line="400" w:lineRule="exact"/>
        <w:ind w:firstLine="480" w:firstLineChars="200"/>
        <w:rPr>
          <w:rFonts w:ascii="宋体" w:hAnsi="宋体" w:cs="宋体"/>
          <w:sz w:val="24"/>
          <w:szCs w:val="24"/>
        </w:rPr>
      </w:pPr>
      <w:r>
        <w:rPr>
          <w:rFonts w:hint="eastAsia" w:ascii="宋体" w:hAnsi="宋体" w:cs="宋体"/>
          <w:sz w:val="24"/>
          <w:szCs w:val="24"/>
        </w:rPr>
        <w:t>参与报价的供应商应承担其编制响应文件与递交响应文件所涉及的一切费用，不论比选结果如何，采购人和采购代理机构在任何情况下无义务也无责任承担这些费用。</w:t>
      </w:r>
    </w:p>
    <w:p w14:paraId="47B5C9B9">
      <w:pPr>
        <w:keepNext/>
        <w:keepLines/>
        <w:adjustRightInd w:val="0"/>
        <w:snapToGrid w:val="0"/>
        <w:spacing w:line="400" w:lineRule="exact"/>
        <w:ind w:firstLine="482" w:firstLineChars="200"/>
        <w:outlineLvl w:val="1"/>
        <w:rPr>
          <w:rFonts w:ascii="宋体" w:hAnsi="宋体" w:cs="宋体"/>
          <w:b/>
          <w:sz w:val="24"/>
        </w:rPr>
      </w:pPr>
      <w:bookmarkStart w:id="165" w:name="_Toc65660356"/>
      <w:bookmarkStart w:id="166" w:name="_Toc31070"/>
      <w:bookmarkStart w:id="167" w:name="_Toc5915"/>
      <w:bookmarkStart w:id="168" w:name="_Toc31739"/>
      <w:bookmarkStart w:id="169" w:name="_Toc25444"/>
      <w:r>
        <w:rPr>
          <w:rFonts w:hint="eastAsia" w:ascii="宋体" w:hAnsi="宋体" w:cs="宋体"/>
          <w:b/>
          <w:sz w:val="24"/>
        </w:rPr>
        <w:t>二、</w:t>
      </w:r>
      <w:bookmarkEnd w:id="165"/>
      <w:bookmarkEnd w:id="166"/>
      <w:bookmarkEnd w:id="167"/>
      <w:bookmarkEnd w:id="168"/>
      <w:bookmarkEnd w:id="169"/>
      <w:r>
        <w:rPr>
          <w:rFonts w:hint="eastAsia" w:ascii="宋体" w:hAnsi="宋体" w:cs="宋体"/>
          <w:b/>
          <w:sz w:val="24"/>
        </w:rPr>
        <w:t>竞争性比选</w:t>
      </w:r>
      <w:r>
        <w:rPr>
          <w:rFonts w:hint="eastAsia" w:ascii="宋体" w:hAnsi="宋体" w:cs="宋体"/>
          <w:b/>
          <w:sz w:val="24"/>
        </w:rPr>
        <w:tab/>
      </w:r>
    </w:p>
    <w:p w14:paraId="6A7DF8DC">
      <w:pPr>
        <w:snapToGrid w:val="0"/>
        <w:spacing w:line="400" w:lineRule="exact"/>
        <w:ind w:firstLine="360" w:firstLineChars="150"/>
        <w:rPr>
          <w:rFonts w:ascii="宋体" w:hAnsi="宋体" w:cs="宋体"/>
          <w:sz w:val="24"/>
          <w:szCs w:val="24"/>
        </w:rPr>
      </w:pPr>
      <w:r>
        <w:rPr>
          <w:rFonts w:hint="eastAsia" w:ascii="宋体" w:hAnsi="宋体" w:cs="宋体"/>
          <w:sz w:val="24"/>
          <w:szCs w:val="24"/>
        </w:rPr>
        <w:t>（一）竞争性比选文件由比选采购邀请书、比选项目技术（质量）需求、比选项目商务需求、采购程序、评定成交的标准、无效报价及采购终止、供应商须知、合同草案条款、响应文件格式要求七部分组成。</w:t>
      </w:r>
    </w:p>
    <w:p w14:paraId="2F1F4AAB">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（二）采购人（或采购代理机构）所作的一切有效的书面通知、修改及补充，都是竞争性比选文件不可分割的部分。</w:t>
      </w:r>
    </w:p>
    <w:p w14:paraId="611F7304">
      <w:pPr>
        <w:keepNext/>
        <w:keepLines/>
        <w:adjustRightInd w:val="0"/>
        <w:snapToGrid w:val="0"/>
        <w:spacing w:line="400" w:lineRule="exact"/>
        <w:ind w:firstLine="482" w:firstLineChars="200"/>
        <w:outlineLvl w:val="1"/>
        <w:rPr>
          <w:rFonts w:ascii="宋体" w:hAnsi="宋体" w:cs="宋体"/>
          <w:b/>
          <w:sz w:val="24"/>
        </w:rPr>
      </w:pPr>
      <w:bookmarkStart w:id="170" w:name="_Toc5273"/>
      <w:bookmarkStart w:id="171" w:name="_Toc1922"/>
      <w:bookmarkStart w:id="172" w:name="_Toc9532"/>
      <w:bookmarkStart w:id="173" w:name="_Toc3061"/>
      <w:bookmarkStart w:id="174" w:name="_Toc65660357"/>
      <w:r>
        <w:rPr>
          <w:rFonts w:hint="eastAsia" w:ascii="宋体" w:hAnsi="宋体" w:cs="宋体"/>
          <w:b/>
          <w:sz w:val="24"/>
        </w:rPr>
        <w:t>三、报价要求</w:t>
      </w:r>
      <w:bookmarkEnd w:id="170"/>
      <w:bookmarkEnd w:id="171"/>
      <w:bookmarkEnd w:id="172"/>
      <w:bookmarkEnd w:id="173"/>
      <w:bookmarkEnd w:id="174"/>
    </w:p>
    <w:p w14:paraId="18C4E907">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14:paraId="61C40C2F">
      <w:pPr>
        <w:spacing w:line="400" w:lineRule="exact"/>
        <w:ind w:firstLine="480" w:firstLineChars="200"/>
        <w:rPr>
          <w:rFonts w:ascii="宋体" w:hAnsi="宋体" w:cs="宋体"/>
          <w:sz w:val="24"/>
          <w:szCs w:val="24"/>
        </w:rPr>
      </w:pPr>
      <w:r>
        <w:rPr>
          <w:rFonts w:hint="eastAsia" w:ascii="宋体" w:hAnsi="宋体" w:cs="宋体"/>
          <w:sz w:val="24"/>
          <w:szCs w:val="24"/>
        </w:rPr>
        <w:t>供应商应当按照竞争性比选文件的要求编制响应文件，并对竞争性比选文件提出的要求和条件作出实质性响应，响应文件原则上采用软面订本。</w:t>
      </w:r>
    </w:p>
    <w:p w14:paraId="4150C04B">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14:paraId="48C4AB78">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43DB128">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14:paraId="149CB051">
      <w:pPr>
        <w:spacing w:line="400" w:lineRule="exact"/>
        <w:ind w:firstLine="480" w:firstLineChars="200"/>
        <w:rPr>
          <w:rFonts w:ascii="宋体" w:hAnsi="宋体" w:cs="宋体"/>
          <w:sz w:val="24"/>
          <w:szCs w:val="24"/>
        </w:rPr>
      </w:pPr>
      <w:r>
        <w:rPr>
          <w:rFonts w:hint="eastAsia" w:ascii="宋体" w:hAnsi="宋体" w:cs="宋体"/>
          <w:sz w:val="24"/>
        </w:rPr>
        <w:t>本项目不接受联合体。</w:t>
      </w:r>
    </w:p>
    <w:p w14:paraId="292CAEF6">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14:paraId="7C2057CC">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14:paraId="3B496945">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第一篇比选采购邀请书”</w:t>
      </w:r>
      <w:r>
        <w:rPr>
          <w:rFonts w:hint="eastAsia" w:ascii="宋体" w:hAnsi="宋体" w:cs="宋体"/>
          <w:sz w:val="24"/>
          <w:szCs w:val="24"/>
        </w:rPr>
        <w:t>；</w:t>
      </w:r>
    </w:p>
    <w:p w14:paraId="1AC405A7">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14:paraId="4E50B099">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14:paraId="023F1D18">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14:paraId="004915B4">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2.3除因不可抗力或竞争性比选文件认可的情形以外，成交供应商不与采购人签订合同的；</w:t>
      </w:r>
    </w:p>
    <w:p w14:paraId="416071D9">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14:paraId="2C4B2FCB">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2.5成交供应商不按规定的时间或拒绝按成交状态签订合同（即不按照竞争性比选文件确定的合同文本以及采购标的、规格型号、采购金额、采购数量、技术（质量）和服务要求等事项签订合同的）。</w:t>
      </w:r>
    </w:p>
    <w:p w14:paraId="38F32CCB">
      <w:pPr>
        <w:spacing w:line="400" w:lineRule="exact"/>
        <w:ind w:firstLine="480" w:firstLineChars="200"/>
        <w:rPr>
          <w:rFonts w:ascii="宋体" w:hAnsi="宋体" w:cs="宋体"/>
          <w:sz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14:paraId="0B73DC1C">
      <w:pPr>
        <w:pStyle w:val="2"/>
        <w:rPr>
          <w:rFonts w:ascii="宋体" w:hAnsi="宋体" w:eastAsia="宋体" w:cs="宋体"/>
          <w:sz w:val="24"/>
          <w:szCs w:val="24"/>
        </w:rPr>
      </w:pPr>
      <w:r>
        <w:rPr>
          <w:rFonts w:hint="eastAsia"/>
        </w:rPr>
        <w:t xml:space="preserve">   </w:t>
      </w:r>
      <w:r>
        <w:rPr>
          <w:rFonts w:hint="eastAsia" w:ascii="宋体" w:hAnsi="宋体" w:eastAsia="宋体" w:cs="宋体"/>
          <w:sz w:val="24"/>
          <w:szCs w:val="24"/>
        </w:rPr>
        <w:t>4、由电梯厂家提供不低于10万/台的保函作为第二篇比选项目技术(质量)需求第（一）条内容的执行。</w:t>
      </w:r>
    </w:p>
    <w:p w14:paraId="51E4D729">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14:paraId="74F07841">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14:paraId="039B35B3">
      <w:pPr>
        <w:spacing w:line="400" w:lineRule="exact"/>
        <w:ind w:firstLine="480" w:firstLineChars="200"/>
        <w:rPr>
          <w:rFonts w:ascii="宋体" w:hAnsi="宋体" w:cs="宋体"/>
          <w:sz w:val="24"/>
          <w:szCs w:val="24"/>
        </w:rPr>
      </w:pPr>
      <w:r>
        <w:rPr>
          <w:rFonts w:hint="eastAsia" w:ascii="宋体" w:hAnsi="宋体" w:cs="宋体"/>
          <w:sz w:val="24"/>
          <w:szCs w:val="24"/>
        </w:rPr>
        <w:t>评审小组或采购人按上述修正错误的原则及方法修正供应商的报价，供应商同意并签署确认后，修正后的报价对供应商具有约束作用。如果供应商不接受修正后的价格，将视为无效报价。</w:t>
      </w:r>
    </w:p>
    <w:p w14:paraId="5F33DA59">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14:paraId="488D92F0">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四份，其中正本一份，副本二份，上传行采家网站响应文件电子文档一份；纸质副本可为纸质正本的复印件，应与纸质正本一致，如出现不一致情况以纸质正本为准，响应文件电子文档应为签字盖章齐全的纸质响应文件正本的扫描件（PDF格式），若与纸质响应文件正本不一致的，以纸质响应文件正本为准。</w:t>
      </w:r>
    </w:p>
    <w:p w14:paraId="51099CAA">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在响应文件正本中，竞争性比选文件第七篇响应文件格式中规定签署、盖章的地方必须按其规定签署、盖章。</w:t>
      </w:r>
    </w:p>
    <w:p w14:paraId="535C2E91">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14:paraId="2A98D1E6">
      <w:pPr>
        <w:snapToGrid w:val="0"/>
        <w:spacing w:line="400" w:lineRule="exact"/>
        <w:ind w:firstLine="480" w:firstLineChars="200"/>
        <w:rPr>
          <w:rFonts w:ascii="宋体" w:hAnsi="宋体" w:cs="宋体"/>
          <w:sz w:val="24"/>
        </w:rPr>
      </w:pPr>
      <w:r>
        <w:rPr>
          <w:rFonts w:hint="eastAsia" w:ascii="宋体" w:hAnsi="宋体" w:cs="宋体"/>
          <w:sz w:val="24"/>
        </w:rPr>
        <w:t>4、本项目纸质响应文件概不接受邮递。</w:t>
      </w:r>
    </w:p>
    <w:p w14:paraId="2A62CEAB">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14:paraId="2AC875E5">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纸质响应文件的正本、副本均应密封送达递交响应文件地点，应在封套上注明项目名称、供应商名称。若正本、副本分别进行密封的，还应在封套上注明“正本”、“副本”字样。响应文件电子文档应在线上报价的同时上传行采家网站。</w:t>
      </w:r>
    </w:p>
    <w:p w14:paraId="14A29406">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14:paraId="252798C2">
      <w:pPr>
        <w:keepNext/>
        <w:keepLines/>
        <w:adjustRightInd w:val="0"/>
        <w:snapToGrid w:val="0"/>
        <w:spacing w:line="400" w:lineRule="exact"/>
        <w:ind w:firstLine="482" w:firstLineChars="200"/>
        <w:outlineLvl w:val="1"/>
        <w:rPr>
          <w:rFonts w:ascii="宋体" w:hAnsi="宋体" w:cs="宋体"/>
          <w:b/>
          <w:sz w:val="24"/>
        </w:rPr>
      </w:pPr>
      <w:bookmarkStart w:id="175" w:name="_Toc65660358"/>
      <w:bookmarkStart w:id="176" w:name="_Toc22146"/>
      <w:bookmarkStart w:id="177" w:name="_Toc10172"/>
      <w:bookmarkStart w:id="178" w:name="_Toc14702"/>
      <w:bookmarkStart w:id="179" w:name="_Toc6242"/>
      <w:r>
        <w:rPr>
          <w:rFonts w:hint="eastAsia" w:ascii="宋体" w:hAnsi="宋体" w:cs="宋体"/>
          <w:b/>
          <w:sz w:val="24"/>
        </w:rPr>
        <w:t>四、成交供应商的确定和变更</w:t>
      </w:r>
      <w:bookmarkEnd w:id="175"/>
      <w:bookmarkEnd w:id="176"/>
      <w:bookmarkEnd w:id="177"/>
      <w:bookmarkEnd w:id="178"/>
      <w:bookmarkEnd w:id="179"/>
    </w:p>
    <w:p w14:paraId="161B19D5">
      <w:pPr>
        <w:spacing w:line="392" w:lineRule="exact"/>
        <w:ind w:firstLine="420"/>
        <w:rPr>
          <w:rFonts w:ascii="宋体" w:hAnsi="宋体" w:cs="宋体"/>
          <w:sz w:val="24"/>
          <w:szCs w:val="24"/>
        </w:rPr>
      </w:pPr>
      <w:r>
        <w:rPr>
          <w:rFonts w:hint="eastAsia" w:ascii="宋体" w:hAnsi="宋体" w:cs="宋体"/>
          <w:sz w:val="24"/>
          <w:szCs w:val="24"/>
        </w:rPr>
        <w:t>（一）经评审小组专家评审后按评审得分由高到低的顺序推荐三名候选人，由本楼栋业主对评审专家推荐的三名候选人进行投票，采购人或采购代理机构按由高到低的顺序汇总三名候选人的最终得票数，得票数最高的供应商为中标人。</w:t>
      </w:r>
    </w:p>
    <w:p w14:paraId="5A72965A">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14:paraId="7DA25BA5">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合同的，采购人可以按照评审报告推荐的成交候选人顺序，确定排名下一位的候选人为成交供应商，也可以重新开展采购活动。拒绝签订合同的成交供应商不得参加对该项目重新开展的采购活动。</w:t>
      </w:r>
    </w:p>
    <w:p w14:paraId="1B0830B2">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2.成交供应商无充分理由放弃成交的，采购人将向监督部门报告，监督部门将根据相关法律法规的规定进行处理。</w:t>
      </w:r>
    </w:p>
    <w:p w14:paraId="3CC2378B">
      <w:pPr>
        <w:keepNext/>
        <w:keepLines/>
        <w:adjustRightInd w:val="0"/>
        <w:snapToGrid w:val="0"/>
        <w:spacing w:line="400" w:lineRule="exact"/>
        <w:ind w:firstLine="482" w:firstLineChars="200"/>
        <w:outlineLvl w:val="1"/>
        <w:rPr>
          <w:rFonts w:ascii="宋体" w:hAnsi="宋体" w:cs="宋体"/>
          <w:b/>
          <w:sz w:val="24"/>
        </w:rPr>
      </w:pPr>
      <w:bookmarkStart w:id="180" w:name="_Toc1092"/>
      <w:bookmarkStart w:id="181" w:name="_Toc65660359"/>
      <w:bookmarkStart w:id="182" w:name="_Toc29821"/>
      <w:bookmarkStart w:id="183" w:name="_Toc29725"/>
      <w:bookmarkStart w:id="184" w:name="_Toc10504"/>
      <w:r>
        <w:rPr>
          <w:rFonts w:hint="eastAsia" w:ascii="宋体" w:hAnsi="宋体" w:cs="宋体"/>
          <w:b/>
          <w:sz w:val="24"/>
        </w:rPr>
        <w:t>五、成交通知</w:t>
      </w:r>
      <w:bookmarkEnd w:id="180"/>
      <w:bookmarkEnd w:id="181"/>
      <w:bookmarkEnd w:id="182"/>
      <w:bookmarkEnd w:id="183"/>
      <w:bookmarkEnd w:id="184"/>
    </w:p>
    <w:p w14:paraId="0FE5C3EB">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（一）成交供应商确定后，采购人将在行采家平台发布及北国风光小区公告栏张贴中标（成交）结果公告。</w:t>
      </w:r>
    </w:p>
    <w:p w14:paraId="6F212B67">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04B2E7C2">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14:paraId="3C07464B">
      <w:pPr>
        <w:keepNext/>
        <w:keepLines/>
        <w:adjustRightInd w:val="0"/>
        <w:snapToGrid w:val="0"/>
        <w:spacing w:line="400" w:lineRule="exact"/>
        <w:ind w:firstLine="482" w:firstLineChars="200"/>
        <w:outlineLvl w:val="1"/>
        <w:rPr>
          <w:rFonts w:ascii="宋体" w:hAnsi="宋体" w:cs="宋体"/>
          <w:b/>
          <w:sz w:val="24"/>
        </w:rPr>
      </w:pPr>
      <w:bookmarkStart w:id="185" w:name="_Toc1398"/>
      <w:bookmarkStart w:id="186" w:name="_Toc65660360"/>
      <w:bookmarkStart w:id="187" w:name="_Toc1010"/>
      <w:bookmarkStart w:id="188" w:name="_Toc30909"/>
      <w:bookmarkStart w:id="189" w:name="_Toc31082"/>
      <w:r>
        <w:rPr>
          <w:rFonts w:hint="eastAsia" w:ascii="宋体" w:hAnsi="宋体" w:cs="宋体"/>
          <w:b/>
          <w:sz w:val="24"/>
        </w:rPr>
        <w:t>六、关于质疑和投诉</w:t>
      </w:r>
      <w:bookmarkEnd w:id="185"/>
      <w:bookmarkEnd w:id="186"/>
      <w:bookmarkEnd w:id="187"/>
      <w:bookmarkEnd w:id="188"/>
      <w:bookmarkEnd w:id="189"/>
    </w:p>
    <w:p w14:paraId="71D7821A">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14:paraId="4A15462E">
      <w:pPr>
        <w:spacing w:line="400" w:lineRule="exact"/>
        <w:ind w:right="12" w:firstLine="480"/>
        <w:rPr>
          <w:rFonts w:ascii="宋体" w:hAnsi="宋体" w:cs="宋体"/>
          <w:sz w:val="24"/>
        </w:rPr>
      </w:pPr>
      <w:r>
        <w:rPr>
          <w:rFonts w:hint="eastAsia" w:ascii="宋体" w:hAnsi="宋体" w:cs="宋体"/>
          <w:sz w:val="24"/>
        </w:rPr>
        <w:t>供应商认为比选文件、比选过程和成交结果使自己的权益收到伤害的，可向采购人或采购代理机构以书面形式提出质疑。</w:t>
      </w:r>
    </w:p>
    <w:p w14:paraId="3D0B3172">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14:paraId="0DE32425">
      <w:pPr>
        <w:spacing w:line="400" w:lineRule="exact"/>
        <w:ind w:right="12" w:firstLine="480"/>
        <w:rPr>
          <w:rFonts w:ascii="宋体" w:hAnsi="宋体" w:cs="宋体"/>
          <w:sz w:val="24"/>
        </w:rPr>
      </w:pPr>
      <w:r>
        <w:rPr>
          <w:rFonts w:hint="eastAsia" w:ascii="宋体" w:hAnsi="宋体" w:cs="宋体"/>
          <w:sz w:val="24"/>
        </w:rPr>
        <w:t>1.质疑时限、内容</w:t>
      </w:r>
    </w:p>
    <w:p w14:paraId="4C363ABA">
      <w:pPr>
        <w:spacing w:line="400" w:lineRule="exact"/>
        <w:ind w:right="12" w:firstLine="480"/>
        <w:rPr>
          <w:rFonts w:ascii="宋体" w:hAnsi="宋体" w:cs="宋体"/>
          <w:sz w:val="24"/>
        </w:rPr>
      </w:pPr>
      <w:r>
        <w:rPr>
          <w:rFonts w:hint="eastAsia" w:ascii="宋体" w:hAnsi="宋体" w:cs="宋体"/>
          <w:sz w:val="24"/>
        </w:rPr>
        <w:t>1.1供应商认为竞争性比选文件、采购过程、成交结果使自己的权益受到损害的，可以在知道或者应知其权益受到损害之日起3个工作日内，以书面形式向采购人、采购代理机构提出质疑。</w:t>
      </w:r>
    </w:p>
    <w:p w14:paraId="505F1FBD">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14:paraId="704452F2">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14:paraId="76D30C1A">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质疑项目的项目名称、采购执行编号以及采购执行编号</w:t>
      </w:r>
      <w:r>
        <w:rPr>
          <w:rFonts w:hint="eastAsia" w:ascii="宋体" w:hAnsi="宋体" w:cs="宋体"/>
          <w:sz w:val="24"/>
        </w:rPr>
        <w:t>；</w:t>
      </w:r>
    </w:p>
    <w:p w14:paraId="2558C58F">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14:paraId="3A05EAEB">
      <w:pPr>
        <w:spacing w:line="400" w:lineRule="exact"/>
        <w:ind w:right="12" w:firstLine="480"/>
        <w:rPr>
          <w:rFonts w:ascii="宋体" w:hAnsi="宋体" w:cs="宋体"/>
          <w:sz w:val="24"/>
        </w:rPr>
      </w:pPr>
      <w:r>
        <w:rPr>
          <w:rFonts w:hint="eastAsia" w:ascii="宋体" w:hAnsi="宋体" w:cs="宋体"/>
          <w:sz w:val="24"/>
        </w:rPr>
        <w:t>1.2.4事实依据；</w:t>
      </w:r>
    </w:p>
    <w:p w14:paraId="29AC0736">
      <w:pPr>
        <w:spacing w:line="400" w:lineRule="exact"/>
        <w:ind w:right="12" w:firstLine="480"/>
        <w:rPr>
          <w:rFonts w:ascii="宋体" w:hAnsi="宋体" w:cs="宋体"/>
          <w:sz w:val="24"/>
        </w:rPr>
      </w:pPr>
      <w:r>
        <w:rPr>
          <w:rFonts w:hint="eastAsia" w:ascii="宋体" w:hAnsi="宋体" w:cs="宋体"/>
          <w:sz w:val="24"/>
        </w:rPr>
        <w:t>1.2.5必要的法律依据；</w:t>
      </w:r>
    </w:p>
    <w:p w14:paraId="70E4361B">
      <w:pPr>
        <w:spacing w:line="400" w:lineRule="exact"/>
        <w:ind w:right="12" w:firstLine="480"/>
        <w:rPr>
          <w:rFonts w:ascii="宋体" w:hAnsi="宋体" w:cs="宋体"/>
          <w:sz w:val="24"/>
        </w:rPr>
      </w:pPr>
      <w:r>
        <w:rPr>
          <w:rFonts w:hint="eastAsia" w:ascii="宋体" w:hAnsi="宋体" w:cs="宋体"/>
          <w:sz w:val="24"/>
        </w:rPr>
        <w:t>1.2.6提出质疑的日期；</w:t>
      </w:r>
    </w:p>
    <w:p w14:paraId="70604863">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14:paraId="3933DA26">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14:paraId="769BCE7A">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14:paraId="4B098176">
      <w:pPr>
        <w:spacing w:line="400" w:lineRule="exact"/>
        <w:ind w:right="12" w:firstLine="480"/>
        <w:rPr>
          <w:rFonts w:ascii="宋体" w:hAnsi="宋体" w:cs="宋体"/>
          <w:sz w:val="24"/>
        </w:rPr>
      </w:pPr>
      <w:r>
        <w:rPr>
          <w:rFonts w:hint="eastAsia" w:ascii="宋体" w:hAnsi="宋体" w:cs="宋体"/>
          <w:sz w:val="24"/>
        </w:rPr>
        <w:t>2.质疑答复</w:t>
      </w:r>
    </w:p>
    <w:p w14:paraId="4E70E033">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采购人、采购代理机构应当在收到供应商的书面质疑后3个工作日内作出答复，并以书面形式通知质疑供应商和其他有关供应商。</w:t>
      </w:r>
    </w:p>
    <w:p w14:paraId="3BBF110A">
      <w:pPr>
        <w:spacing w:line="400" w:lineRule="exact"/>
        <w:ind w:right="12" w:firstLine="480"/>
        <w:rPr>
          <w:rFonts w:ascii="宋体" w:hAnsi="宋体" w:cs="宋体"/>
          <w:sz w:val="24"/>
        </w:rPr>
      </w:pPr>
      <w:r>
        <w:rPr>
          <w:rFonts w:hint="eastAsia" w:ascii="宋体" w:hAnsi="宋体" w:cs="宋体"/>
          <w:sz w:val="24"/>
        </w:rPr>
        <w:t>3.其他</w:t>
      </w:r>
    </w:p>
    <w:p w14:paraId="5D27ACD1">
      <w:pPr>
        <w:spacing w:line="400" w:lineRule="exact"/>
        <w:ind w:right="12" w:firstLine="480"/>
        <w:rPr>
          <w:rFonts w:ascii="宋体" w:hAnsi="宋体" w:cs="宋体"/>
          <w:sz w:val="24"/>
        </w:rPr>
      </w:pPr>
      <w:r>
        <w:rPr>
          <w:rFonts w:hint="eastAsia" w:ascii="宋体" w:hAnsi="宋体" w:cs="宋体"/>
          <w:sz w:val="24"/>
        </w:rPr>
        <w:t>3.1供应商应在本项目规定的质疑期内一次性提出针对同一采购程序环节的质疑。</w:t>
      </w:r>
    </w:p>
    <w:p w14:paraId="10059B88">
      <w:pPr>
        <w:spacing w:line="400" w:lineRule="exact"/>
        <w:ind w:right="12" w:firstLine="480"/>
        <w:rPr>
          <w:rFonts w:ascii="宋体" w:hAnsi="宋体" w:cs="宋体"/>
          <w:sz w:val="24"/>
        </w:rPr>
      </w:pPr>
      <w:r>
        <w:rPr>
          <w:rFonts w:hint="eastAsia" w:ascii="宋体" w:hAnsi="宋体" w:cs="宋体"/>
          <w:sz w:val="24"/>
        </w:rPr>
        <w:t>3.2质疑函范本可在监督部门户网站和中国政府采购网下载。</w:t>
      </w:r>
    </w:p>
    <w:p w14:paraId="0C1D57AF">
      <w:pPr>
        <w:spacing w:line="400" w:lineRule="exact"/>
        <w:ind w:right="12" w:firstLine="480"/>
        <w:outlineLvl w:val="2"/>
        <w:rPr>
          <w:rFonts w:ascii="宋体" w:hAnsi="宋体" w:cs="宋体"/>
          <w:sz w:val="24"/>
        </w:rPr>
      </w:pPr>
      <w:r>
        <w:rPr>
          <w:rFonts w:hint="eastAsia" w:ascii="宋体" w:hAnsi="宋体" w:cs="宋体"/>
          <w:sz w:val="24"/>
        </w:rPr>
        <w:t>（二）投诉</w:t>
      </w:r>
    </w:p>
    <w:p w14:paraId="79BBADFC">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1.供应商对采购人、采购代理机构的答复不满意，或者采购人、采购代理机构未在规定时间内作出答复的，可以在答复期满后15个工作日内按照相关法律法规向监督部门提起投诉。</w:t>
      </w:r>
    </w:p>
    <w:p w14:paraId="3DAA6AAD">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2.供应商应按照《政府采购质疑和投诉办法》（财政部令第94号）及相关法律法规要求递交投诉书和必要的证明材料。投诉书范本可在监督部门户网站和中国政府采购网下载。</w:t>
      </w:r>
    </w:p>
    <w:p w14:paraId="6566CC8A">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12929D">
      <w:pPr>
        <w:spacing w:line="400" w:lineRule="exact"/>
        <w:ind w:firstLine="480" w:firstLineChars="200"/>
        <w:rPr>
          <w:rFonts w:ascii="宋体" w:hAnsi="宋体" w:cs="宋体"/>
          <w:sz w:val="24"/>
          <w:szCs w:val="24"/>
        </w:rPr>
      </w:pPr>
      <w:r>
        <w:rPr>
          <w:rFonts w:hint="eastAsia" w:ascii="宋体" w:hAnsi="宋体" w:cs="宋体"/>
          <w:sz w:val="24"/>
        </w:rPr>
        <w:t>4.在确定受理投诉后，监督部门自受理投诉之日起30个工作日内（需要检验、检测、鉴定、专家评审以及需要投诉人补正材料的，所需时间不计算在投诉处理期限内）对投诉事项做出处理决定。</w:t>
      </w:r>
    </w:p>
    <w:p w14:paraId="56C10CCB">
      <w:pPr>
        <w:keepNext/>
        <w:keepLines/>
        <w:adjustRightInd w:val="0"/>
        <w:snapToGrid w:val="0"/>
        <w:spacing w:line="400" w:lineRule="exact"/>
        <w:ind w:firstLine="482" w:firstLineChars="200"/>
        <w:outlineLvl w:val="1"/>
        <w:rPr>
          <w:rFonts w:ascii="宋体" w:hAnsi="宋体" w:cs="宋体"/>
          <w:b/>
          <w:sz w:val="24"/>
        </w:rPr>
      </w:pPr>
      <w:bookmarkStart w:id="190" w:name="_Toc5724"/>
      <w:bookmarkStart w:id="191" w:name="_Toc65660361"/>
      <w:bookmarkStart w:id="192" w:name="_Toc23778"/>
      <w:bookmarkStart w:id="193" w:name="_Toc16648"/>
      <w:bookmarkStart w:id="194" w:name="_Toc3127"/>
      <w:r>
        <w:rPr>
          <w:rFonts w:hint="eastAsia" w:ascii="宋体" w:hAnsi="宋体" w:cs="宋体"/>
          <w:b/>
          <w:sz w:val="24"/>
        </w:rPr>
        <w:t>七、签订合同</w:t>
      </w:r>
      <w:bookmarkEnd w:id="190"/>
      <w:bookmarkEnd w:id="191"/>
      <w:bookmarkEnd w:id="192"/>
      <w:bookmarkEnd w:id="193"/>
      <w:bookmarkEnd w:id="194"/>
    </w:p>
    <w:p w14:paraId="639B3EE7">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采购人原则上应在成交通知书发出之日起二十日内和成交供应商签订合同，无正当理由不得拒绝或拖延合同签订</w:t>
      </w:r>
      <w:r>
        <w:rPr>
          <w:rFonts w:hint="eastAsia" w:ascii="宋体" w:hAnsi="宋体" w:cs="宋体"/>
          <w:sz w:val="24"/>
          <w:szCs w:val="24"/>
        </w:rPr>
        <w:t>。所签订的合同不得对竞争性比选和供应商的响应文件作实质性修改。其他未尽事宜由采购人和成交供应商在采购合同中详细约定。</w:t>
      </w:r>
    </w:p>
    <w:p w14:paraId="35EE34B4">
      <w:pPr>
        <w:spacing w:line="400" w:lineRule="exact"/>
        <w:ind w:firstLine="360" w:firstLineChars="150"/>
        <w:rPr>
          <w:rFonts w:ascii="宋体" w:hAnsi="宋体" w:cs="宋体"/>
          <w:sz w:val="24"/>
          <w:szCs w:val="24"/>
        </w:rPr>
      </w:pPr>
      <w:r>
        <w:rPr>
          <w:rFonts w:hint="eastAsia" w:ascii="宋体" w:hAnsi="宋体" w:cs="宋体"/>
          <w:sz w:val="24"/>
          <w:szCs w:val="24"/>
        </w:rPr>
        <w:t>（二）竞争性比选文件、供应商的响应文件及澄清文件等，均为签订合同的依据。</w:t>
      </w:r>
    </w:p>
    <w:p w14:paraId="7072233A">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138F159E">
      <w:pPr>
        <w:spacing w:line="400" w:lineRule="exact"/>
        <w:ind w:firstLine="360" w:firstLineChars="150"/>
        <w:rPr>
          <w:rFonts w:ascii="宋体" w:hAnsi="宋体" w:cs="宋体"/>
          <w:sz w:val="24"/>
          <w:szCs w:val="24"/>
        </w:rPr>
      </w:pPr>
      <w:r>
        <w:rPr>
          <w:rFonts w:hint="eastAsia" w:ascii="宋体" w:hAnsi="宋体" w:cs="宋体"/>
          <w:sz w:val="24"/>
          <w:szCs w:val="24"/>
        </w:rPr>
        <w:t>（四）采购人要求成交供应商提供履约保证金的，应当在竞争性比选中予以约定。成交供应商履约完毕后，采购人或采购代理机构根据竞争性比选文件规定无息退还其履约保证金。</w:t>
      </w:r>
    </w:p>
    <w:p w14:paraId="10792A04">
      <w:pPr>
        <w:keepNext/>
        <w:keepLines/>
        <w:adjustRightInd w:val="0"/>
        <w:snapToGrid w:val="0"/>
        <w:spacing w:line="400" w:lineRule="exact"/>
        <w:ind w:firstLine="482" w:firstLineChars="200"/>
        <w:outlineLvl w:val="1"/>
        <w:rPr>
          <w:rFonts w:ascii="宋体" w:hAnsi="宋体" w:cs="宋体"/>
          <w:b/>
          <w:sz w:val="24"/>
        </w:rPr>
      </w:pPr>
      <w:bookmarkStart w:id="195" w:name="_Toc32594"/>
      <w:bookmarkStart w:id="196" w:name="_Toc29513"/>
      <w:bookmarkStart w:id="197" w:name="_Toc6247"/>
      <w:bookmarkStart w:id="198" w:name="_Toc2438"/>
      <w:bookmarkStart w:id="199" w:name="_Toc65660362"/>
      <w:r>
        <w:rPr>
          <w:rFonts w:hint="eastAsia" w:ascii="宋体" w:hAnsi="宋体" w:cs="宋体"/>
          <w:b/>
          <w:sz w:val="24"/>
        </w:rPr>
        <w:t>八、采购代理服务费</w:t>
      </w:r>
      <w:bookmarkEnd w:id="195"/>
      <w:bookmarkEnd w:id="196"/>
      <w:bookmarkEnd w:id="197"/>
      <w:bookmarkEnd w:id="198"/>
      <w:bookmarkEnd w:id="199"/>
    </w:p>
    <w:p w14:paraId="2DD5D2DD">
      <w:pPr>
        <w:spacing w:line="400" w:lineRule="exact"/>
        <w:ind w:firstLine="360" w:firstLineChars="150"/>
        <w:rPr>
          <w:rFonts w:ascii="宋体" w:hAnsi="宋体" w:cs="宋体"/>
          <w:sz w:val="24"/>
        </w:rPr>
      </w:pPr>
      <w:bookmarkStart w:id="200" w:name="_Toc15521"/>
      <w:bookmarkStart w:id="201" w:name="_Toc65660363"/>
      <w:bookmarkStart w:id="202" w:name="_Toc9730"/>
      <w:bookmarkStart w:id="203" w:name="_Toc4867"/>
      <w:r>
        <w:rPr>
          <w:rFonts w:hint="eastAsia" w:ascii="宋体" w:hAnsi="宋体" w:cs="宋体"/>
          <w:sz w:val="24"/>
        </w:rPr>
        <w:t>成交供应商在领取成交通知书前一次性向采购代理机构缴纳采购代理服务费人民币4500元。</w:t>
      </w:r>
    </w:p>
    <w:p w14:paraId="6350A7DC">
      <w:pPr>
        <w:spacing w:line="400" w:lineRule="exact"/>
        <w:ind w:firstLine="360" w:firstLineChars="150"/>
        <w:rPr>
          <w:rFonts w:ascii="宋体" w:hAnsi="宋体" w:cs="宋体"/>
          <w:sz w:val="24"/>
        </w:rPr>
      </w:pPr>
      <w:r>
        <w:rPr>
          <w:rFonts w:hint="eastAsia" w:ascii="宋体" w:hAnsi="宋体" w:cs="宋体"/>
          <w:sz w:val="24"/>
        </w:rPr>
        <w:t>采购代理服务费收款账户信息：</w:t>
      </w:r>
    </w:p>
    <w:p w14:paraId="15796BCF">
      <w:pPr>
        <w:spacing w:line="400" w:lineRule="exact"/>
        <w:ind w:firstLine="360" w:firstLineChars="150"/>
        <w:rPr>
          <w:rFonts w:ascii="宋体" w:hAnsi="宋体" w:cs="宋体"/>
          <w:sz w:val="24"/>
        </w:rPr>
      </w:pPr>
      <w:r>
        <w:rPr>
          <w:rFonts w:hint="eastAsia" w:ascii="宋体" w:hAnsi="宋体" w:cs="宋体"/>
          <w:sz w:val="24"/>
        </w:rPr>
        <w:t>户  名：重庆靖正恒悦项目管理有限公司</w:t>
      </w:r>
    </w:p>
    <w:p w14:paraId="021004FD">
      <w:pPr>
        <w:spacing w:line="400" w:lineRule="exact"/>
        <w:ind w:firstLine="360" w:firstLineChars="150"/>
        <w:rPr>
          <w:rFonts w:ascii="宋体" w:hAnsi="宋体" w:cs="宋体"/>
          <w:sz w:val="24"/>
        </w:rPr>
      </w:pPr>
      <w:r>
        <w:rPr>
          <w:rFonts w:hint="eastAsia" w:ascii="宋体" w:hAnsi="宋体" w:cs="宋体"/>
          <w:sz w:val="24"/>
        </w:rPr>
        <w:t>开户行：浙商银行重庆沙坪坝支行</w:t>
      </w:r>
    </w:p>
    <w:p w14:paraId="190254A4">
      <w:pPr>
        <w:spacing w:line="400" w:lineRule="exact"/>
        <w:ind w:firstLine="360" w:firstLineChars="150"/>
        <w:rPr>
          <w:rFonts w:ascii="宋体" w:hAnsi="宋体" w:cs="宋体"/>
          <w:sz w:val="24"/>
        </w:rPr>
      </w:pPr>
      <w:r>
        <w:rPr>
          <w:rFonts w:hint="eastAsia" w:ascii="宋体" w:hAnsi="宋体" w:cs="宋体"/>
          <w:sz w:val="24"/>
        </w:rPr>
        <w:t>账  号：6530000810120100049709</w:t>
      </w:r>
    </w:p>
    <w:bookmarkEnd w:id="99"/>
    <w:bookmarkEnd w:id="200"/>
    <w:bookmarkEnd w:id="201"/>
    <w:bookmarkEnd w:id="202"/>
    <w:bookmarkEnd w:id="203"/>
    <w:p w14:paraId="65B79BF7">
      <w:pPr>
        <w:rPr>
          <w:rFonts w:ascii="宋体" w:hAnsi="宋体" w:cs="宋体"/>
          <w:b/>
          <w:bCs/>
          <w:sz w:val="30"/>
          <w:szCs w:val="30"/>
        </w:rPr>
      </w:pPr>
      <w:bookmarkStart w:id="204" w:name="_Toc11641055"/>
      <w:bookmarkStart w:id="205" w:name="_Toc12789059"/>
      <w:bookmarkStart w:id="206" w:name="_Toc19901"/>
      <w:bookmarkStart w:id="207" w:name="_Toc65660365"/>
      <w:bookmarkStart w:id="208" w:name="_Toc10599"/>
      <w:bookmarkStart w:id="209" w:name="_Toc28162"/>
      <w:bookmarkStart w:id="210" w:name="_Toc14861"/>
      <w:r>
        <w:rPr>
          <w:rFonts w:hint="eastAsia" w:ascii="宋体" w:hAnsi="宋体" w:cs="宋体"/>
          <w:b/>
          <w:bCs/>
          <w:sz w:val="30"/>
          <w:szCs w:val="30"/>
        </w:rPr>
        <w:br w:type="page"/>
      </w:r>
    </w:p>
    <w:p w14:paraId="36664F3E">
      <w:pPr>
        <w:pStyle w:val="3"/>
        <w:jc w:val="center"/>
        <w:rPr>
          <w:rFonts w:hAnsi="宋体" w:cs="宋体"/>
          <w:b/>
          <w:bCs/>
          <w:sz w:val="30"/>
          <w:szCs w:val="30"/>
        </w:rPr>
      </w:pPr>
      <w:bookmarkStart w:id="211" w:name="_Toc21218"/>
      <w:r>
        <w:rPr>
          <w:rFonts w:hint="eastAsia" w:hAnsi="宋体" w:cs="宋体"/>
          <w:b/>
          <w:bCs/>
          <w:sz w:val="30"/>
          <w:szCs w:val="30"/>
        </w:rPr>
        <w:t xml:space="preserve">第六篇  </w:t>
      </w:r>
      <w:bookmarkEnd w:id="204"/>
      <w:bookmarkEnd w:id="205"/>
      <w:r>
        <w:rPr>
          <w:rFonts w:hint="eastAsia" w:hAnsi="宋体" w:cs="宋体"/>
          <w:b/>
          <w:bCs/>
          <w:sz w:val="30"/>
          <w:szCs w:val="30"/>
        </w:rPr>
        <w:t>合同草案条款</w:t>
      </w:r>
      <w:bookmarkEnd w:id="206"/>
      <w:bookmarkEnd w:id="207"/>
      <w:bookmarkEnd w:id="208"/>
      <w:bookmarkEnd w:id="209"/>
      <w:bookmarkEnd w:id="210"/>
      <w:bookmarkEnd w:id="211"/>
    </w:p>
    <w:p w14:paraId="3432B65B">
      <w:pPr>
        <w:spacing w:line="480" w:lineRule="exact"/>
        <w:jc w:val="center"/>
        <w:rPr>
          <w:rStyle w:val="258"/>
          <w:rFonts w:ascii="宋体" w:hAnsi="宋体" w:cs="宋体"/>
          <w:b/>
          <w:sz w:val="36"/>
          <w:szCs w:val="36"/>
        </w:rPr>
      </w:pPr>
    </w:p>
    <w:p w14:paraId="5DF79A42">
      <w:pPr>
        <w:spacing w:line="480" w:lineRule="exact"/>
        <w:jc w:val="center"/>
        <w:rPr>
          <w:rStyle w:val="258"/>
          <w:rFonts w:ascii="宋体" w:hAnsi="宋体" w:cs="宋体"/>
          <w:b/>
          <w:sz w:val="36"/>
          <w:szCs w:val="36"/>
        </w:rPr>
      </w:pPr>
    </w:p>
    <w:p w14:paraId="40CFED50">
      <w:pPr>
        <w:spacing w:line="480" w:lineRule="exact"/>
        <w:jc w:val="center"/>
        <w:rPr>
          <w:rStyle w:val="258"/>
          <w:rFonts w:ascii="宋体" w:hAnsi="宋体" w:cs="宋体"/>
          <w:b/>
          <w:sz w:val="36"/>
          <w:szCs w:val="36"/>
        </w:rPr>
      </w:pPr>
    </w:p>
    <w:p w14:paraId="4FC14A1F">
      <w:pPr>
        <w:jc w:val="center"/>
        <w:rPr>
          <w:b/>
          <w:bCs/>
        </w:rPr>
      </w:pPr>
      <w:r>
        <w:rPr>
          <w:rFonts w:hint="eastAsia"/>
          <w:b/>
          <w:bCs/>
        </w:rPr>
        <w:t>货物采购合同</w:t>
      </w:r>
    </w:p>
    <w:p w14:paraId="537605BE">
      <w:pPr>
        <w:tabs>
          <w:tab w:val="left" w:pos="8820"/>
        </w:tabs>
        <w:rPr>
          <w:rStyle w:val="258"/>
          <w:rFonts w:ascii="宋体" w:hAnsi="宋体" w:cs="宋体"/>
          <w:b/>
          <w:szCs w:val="28"/>
        </w:rPr>
      </w:pPr>
      <w:r>
        <w:rPr>
          <w:rStyle w:val="258"/>
          <w:rFonts w:hint="eastAsia" w:ascii="宋体" w:hAnsi="宋体" w:cs="宋体"/>
          <w:b/>
          <w:szCs w:val="28"/>
        </w:rPr>
        <w:t xml:space="preserve">                                                        </w:t>
      </w:r>
    </w:p>
    <w:p w14:paraId="6E4AC1CE">
      <w:pPr>
        <w:tabs>
          <w:tab w:val="left" w:pos="8820"/>
        </w:tabs>
        <w:rPr>
          <w:rStyle w:val="258"/>
          <w:rFonts w:ascii="宋体" w:hAnsi="宋体" w:cs="宋体"/>
          <w:b/>
          <w:szCs w:val="28"/>
        </w:rPr>
      </w:pPr>
    </w:p>
    <w:p w14:paraId="7C1743A6">
      <w:pPr>
        <w:tabs>
          <w:tab w:val="left" w:pos="8820"/>
        </w:tabs>
        <w:ind w:firstLine="4819" w:firstLineChars="2000"/>
        <w:rPr>
          <w:rStyle w:val="258"/>
          <w:rFonts w:ascii="宋体" w:hAnsi="宋体" w:cs="宋体"/>
          <w:b/>
          <w:sz w:val="24"/>
          <w:szCs w:val="24"/>
        </w:rPr>
      </w:pPr>
      <w:r>
        <w:rPr>
          <w:rStyle w:val="258"/>
          <w:rFonts w:hint="eastAsia" w:ascii="宋体" w:hAnsi="宋体" w:cs="宋体"/>
          <w:b/>
          <w:sz w:val="24"/>
          <w:szCs w:val="24"/>
        </w:rPr>
        <w:t>合 同 编 号：</w:t>
      </w: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 xml:space="preserve">   </w:t>
      </w:r>
    </w:p>
    <w:p w14:paraId="1F9E71F4">
      <w:pPr>
        <w:spacing w:line="300" w:lineRule="auto"/>
        <w:jc w:val="center"/>
        <w:rPr>
          <w:rStyle w:val="258"/>
          <w:rFonts w:ascii="宋体" w:hAnsi="宋体" w:cs="宋体"/>
          <w:bCs/>
          <w:sz w:val="24"/>
          <w:szCs w:val="24"/>
        </w:rPr>
      </w:pPr>
      <w:r>
        <w:rPr>
          <w:rStyle w:val="258"/>
          <w:rFonts w:hint="eastAsia" w:ascii="宋体" w:hAnsi="宋体" w:cs="宋体"/>
          <w:b/>
          <w:sz w:val="24"/>
          <w:szCs w:val="24"/>
        </w:rPr>
        <w:t xml:space="preserve">               合同签订地点：</w:t>
      </w:r>
      <w:r>
        <w:rPr>
          <w:rStyle w:val="258"/>
          <w:rFonts w:hint="eastAsia" w:ascii="宋体" w:hAnsi="宋体" w:cs="宋体"/>
          <w:bCs/>
          <w:sz w:val="24"/>
          <w:szCs w:val="24"/>
        </w:rPr>
        <w:t xml:space="preserve"> </w:t>
      </w:r>
      <w:r>
        <w:rPr>
          <w:rStyle w:val="258"/>
          <w:rFonts w:hint="eastAsia" w:ascii="宋体" w:hAnsi="宋体" w:cs="宋体"/>
          <w:bCs/>
          <w:sz w:val="24"/>
          <w:szCs w:val="24"/>
          <w:u w:val="single"/>
        </w:rPr>
        <w:t xml:space="preserve">                  </w:t>
      </w:r>
      <w:r>
        <w:rPr>
          <w:rStyle w:val="258"/>
          <w:rFonts w:hint="eastAsia" w:ascii="宋体" w:hAnsi="宋体" w:cs="宋体"/>
          <w:bCs/>
          <w:sz w:val="24"/>
          <w:szCs w:val="24"/>
        </w:rPr>
        <w:t xml:space="preserve">                 </w:t>
      </w:r>
      <w:r>
        <w:rPr>
          <w:rStyle w:val="258"/>
          <w:rFonts w:hint="eastAsia" w:ascii="宋体" w:hAnsi="宋体" w:cs="宋体"/>
          <w:bCs/>
          <w:sz w:val="24"/>
          <w:szCs w:val="24"/>
          <w:u w:val="single"/>
        </w:rPr>
        <w:t xml:space="preserve">  </w:t>
      </w:r>
      <w:r>
        <w:rPr>
          <w:rStyle w:val="258"/>
          <w:rFonts w:hint="eastAsia" w:ascii="宋体" w:hAnsi="宋体" w:cs="宋体"/>
          <w:bCs/>
          <w:sz w:val="24"/>
          <w:szCs w:val="24"/>
          <w:u w:val="single" w:color="000000"/>
        </w:rPr>
        <w:t xml:space="preserve">        </w:t>
      </w:r>
      <w:r>
        <w:rPr>
          <w:rStyle w:val="258"/>
          <w:rFonts w:hint="eastAsia" w:ascii="宋体" w:hAnsi="宋体" w:cs="宋体"/>
          <w:bCs/>
          <w:sz w:val="24"/>
          <w:szCs w:val="24"/>
        </w:rPr>
        <w:t xml:space="preserve"> </w:t>
      </w:r>
    </w:p>
    <w:p w14:paraId="0C6CB72C">
      <w:pPr>
        <w:spacing w:line="300" w:lineRule="auto"/>
        <w:jc w:val="center"/>
        <w:rPr>
          <w:rStyle w:val="258"/>
          <w:rFonts w:ascii="宋体" w:hAnsi="宋体" w:cs="宋体"/>
          <w:bCs/>
          <w:sz w:val="24"/>
          <w:szCs w:val="24"/>
        </w:rPr>
      </w:pPr>
    </w:p>
    <w:p w14:paraId="403CCF47">
      <w:pPr>
        <w:spacing w:line="300" w:lineRule="auto"/>
        <w:rPr>
          <w:rStyle w:val="258"/>
          <w:rFonts w:ascii="宋体" w:hAnsi="宋体" w:cs="宋体"/>
          <w:b/>
          <w:sz w:val="24"/>
          <w:szCs w:val="24"/>
        </w:rPr>
      </w:pPr>
      <w:r>
        <w:rPr>
          <w:rStyle w:val="258"/>
          <w:rFonts w:hint="eastAsia" w:ascii="宋体" w:hAnsi="宋体" w:cs="宋体"/>
          <w:b/>
          <w:sz w:val="24"/>
          <w:szCs w:val="24"/>
        </w:rPr>
        <w:t>购货方（甲方）                             供货方（乙方）</w:t>
      </w:r>
    </w:p>
    <w:tbl>
      <w:tblPr>
        <w:tblStyle w:val="59"/>
        <w:tblW w:w="9844" w:type="dxa"/>
        <w:tblInd w:w="-47" w:type="dxa"/>
        <w:tblLayout w:type="fixed"/>
        <w:tblCellMar>
          <w:top w:w="0" w:type="dxa"/>
          <w:left w:w="0" w:type="dxa"/>
          <w:bottom w:w="0" w:type="dxa"/>
          <w:right w:w="0" w:type="dxa"/>
        </w:tblCellMar>
      </w:tblPr>
      <w:tblGrid>
        <w:gridCol w:w="4965"/>
        <w:gridCol w:w="4879"/>
      </w:tblGrid>
      <w:tr w14:paraId="39591B26">
        <w:tblPrEx>
          <w:tblCellMar>
            <w:top w:w="0" w:type="dxa"/>
            <w:left w:w="0" w:type="dxa"/>
            <w:bottom w:w="0" w:type="dxa"/>
            <w:right w:w="0" w:type="dxa"/>
          </w:tblCellMar>
        </w:tblPrEx>
        <w:trPr>
          <w:trHeight w:val="567" w:hRule="atLeast"/>
        </w:trPr>
        <w:tc>
          <w:tcPr>
            <w:tcW w:w="4965" w:type="dxa"/>
            <w:tcBorders>
              <w:top w:val="nil"/>
              <w:left w:val="nil"/>
              <w:bottom w:val="nil"/>
              <w:right w:val="nil"/>
            </w:tcBorders>
            <w:vAlign w:val="center"/>
          </w:tcPr>
          <w:p w14:paraId="16ED0630">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 xml:space="preserve">单位名称：重庆华宇物业服务集团有限公司 </w:t>
            </w:r>
          </w:p>
        </w:tc>
        <w:tc>
          <w:tcPr>
            <w:tcW w:w="4879" w:type="dxa"/>
            <w:tcBorders>
              <w:top w:val="nil"/>
              <w:left w:val="nil"/>
              <w:bottom w:val="nil"/>
              <w:right w:val="nil"/>
            </w:tcBorders>
            <w:vAlign w:val="center"/>
          </w:tcPr>
          <w:p w14:paraId="22BEB204">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单位名称:</w:t>
            </w:r>
          </w:p>
        </w:tc>
      </w:tr>
      <w:tr w14:paraId="2326E166">
        <w:tblPrEx>
          <w:tblCellMar>
            <w:top w:w="0" w:type="dxa"/>
            <w:left w:w="0" w:type="dxa"/>
            <w:bottom w:w="0" w:type="dxa"/>
            <w:right w:w="0" w:type="dxa"/>
          </w:tblCellMar>
        </w:tblPrEx>
        <w:trPr>
          <w:trHeight w:val="575" w:hRule="atLeast"/>
        </w:trPr>
        <w:tc>
          <w:tcPr>
            <w:tcW w:w="4965" w:type="dxa"/>
            <w:tcBorders>
              <w:top w:val="nil"/>
              <w:left w:val="nil"/>
              <w:bottom w:val="nil"/>
              <w:right w:val="nil"/>
            </w:tcBorders>
            <w:vAlign w:val="center"/>
          </w:tcPr>
          <w:p w14:paraId="33E090E5">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公司地址：</w:t>
            </w:r>
          </w:p>
        </w:tc>
        <w:tc>
          <w:tcPr>
            <w:tcW w:w="4879" w:type="dxa"/>
            <w:tcBorders>
              <w:top w:val="nil"/>
              <w:left w:val="nil"/>
              <w:bottom w:val="nil"/>
              <w:right w:val="nil"/>
            </w:tcBorders>
            <w:vAlign w:val="center"/>
          </w:tcPr>
          <w:p w14:paraId="0E7F715C">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公司地址：</w:t>
            </w:r>
          </w:p>
        </w:tc>
      </w:tr>
      <w:tr w14:paraId="6690E554">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14:paraId="4639858B">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电话：</w:t>
            </w:r>
          </w:p>
        </w:tc>
        <w:tc>
          <w:tcPr>
            <w:tcW w:w="4879" w:type="dxa"/>
            <w:tcBorders>
              <w:top w:val="nil"/>
              <w:left w:val="nil"/>
              <w:bottom w:val="nil"/>
              <w:right w:val="nil"/>
            </w:tcBorders>
            <w:vAlign w:val="center"/>
          </w:tcPr>
          <w:p w14:paraId="43937F87">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 xml:space="preserve">电话： </w:t>
            </w:r>
          </w:p>
        </w:tc>
      </w:tr>
      <w:tr w14:paraId="6ED8E579">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14:paraId="637F69E0">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 xml:space="preserve">邮编： </w:t>
            </w:r>
          </w:p>
        </w:tc>
        <w:tc>
          <w:tcPr>
            <w:tcW w:w="4879" w:type="dxa"/>
            <w:tcBorders>
              <w:top w:val="nil"/>
              <w:left w:val="nil"/>
              <w:bottom w:val="nil"/>
              <w:right w:val="nil"/>
            </w:tcBorders>
            <w:vAlign w:val="center"/>
          </w:tcPr>
          <w:p w14:paraId="123B4E71">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邮编：</w:t>
            </w:r>
          </w:p>
        </w:tc>
      </w:tr>
      <w:tr w14:paraId="4D8440D8">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14:paraId="61A4B472">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开户银行：</w:t>
            </w:r>
          </w:p>
        </w:tc>
        <w:tc>
          <w:tcPr>
            <w:tcW w:w="4879" w:type="dxa"/>
            <w:tcBorders>
              <w:top w:val="nil"/>
              <w:left w:val="nil"/>
              <w:bottom w:val="nil"/>
              <w:right w:val="nil"/>
            </w:tcBorders>
            <w:vAlign w:val="center"/>
          </w:tcPr>
          <w:p w14:paraId="078E5B8B">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开户银行：</w:t>
            </w:r>
          </w:p>
        </w:tc>
      </w:tr>
      <w:tr w14:paraId="628E8A1A">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14:paraId="32B9B19B">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 xml:space="preserve">银行帐号： </w:t>
            </w:r>
          </w:p>
        </w:tc>
        <w:tc>
          <w:tcPr>
            <w:tcW w:w="4879" w:type="dxa"/>
            <w:tcBorders>
              <w:top w:val="nil"/>
              <w:left w:val="nil"/>
              <w:bottom w:val="nil"/>
              <w:right w:val="nil"/>
            </w:tcBorders>
            <w:vAlign w:val="center"/>
          </w:tcPr>
          <w:p w14:paraId="1F3EC5EB">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银行帐号：</w:t>
            </w:r>
          </w:p>
        </w:tc>
      </w:tr>
      <w:tr w14:paraId="3A0F71CA">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14:paraId="7CC95F88">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统一社会信用代码：</w:t>
            </w:r>
          </w:p>
        </w:tc>
        <w:tc>
          <w:tcPr>
            <w:tcW w:w="4879" w:type="dxa"/>
            <w:tcBorders>
              <w:top w:val="nil"/>
              <w:left w:val="nil"/>
              <w:bottom w:val="nil"/>
              <w:right w:val="nil"/>
            </w:tcBorders>
            <w:vAlign w:val="center"/>
          </w:tcPr>
          <w:p w14:paraId="3A7EC799">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统一社会信用代码：</w:t>
            </w:r>
          </w:p>
        </w:tc>
      </w:tr>
      <w:tr w14:paraId="210A9CF7">
        <w:tblPrEx>
          <w:tblCellMar>
            <w:top w:w="0" w:type="dxa"/>
            <w:left w:w="0" w:type="dxa"/>
            <w:bottom w:w="0" w:type="dxa"/>
            <w:right w:w="0" w:type="dxa"/>
          </w:tblCellMar>
        </w:tblPrEx>
        <w:trPr>
          <w:trHeight w:val="478" w:hRule="atLeast"/>
        </w:trPr>
        <w:tc>
          <w:tcPr>
            <w:tcW w:w="4965" w:type="dxa"/>
            <w:tcBorders>
              <w:top w:val="nil"/>
              <w:left w:val="nil"/>
              <w:bottom w:val="nil"/>
              <w:right w:val="nil"/>
            </w:tcBorders>
            <w:vAlign w:val="center"/>
          </w:tcPr>
          <w:p w14:paraId="1EEF4A21">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项目联系人及电话：</w:t>
            </w:r>
          </w:p>
        </w:tc>
        <w:tc>
          <w:tcPr>
            <w:tcW w:w="4879" w:type="dxa"/>
            <w:tcBorders>
              <w:top w:val="nil"/>
              <w:left w:val="nil"/>
              <w:bottom w:val="nil"/>
              <w:right w:val="nil"/>
            </w:tcBorders>
            <w:vAlign w:val="center"/>
          </w:tcPr>
          <w:p w14:paraId="365777AF">
            <w:pPr>
              <w:spacing w:line="240" w:lineRule="exact"/>
              <w:jc w:val="left"/>
              <w:textAlignment w:val="center"/>
              <w:rPr>
                <w:rStyle w:val="258"/>
                <w:rFonts w:ascii="宋体" w:hAnsi="宋体" w:cs="宋体"/>
                <w:b/>
                <w:sz w:val="24"/>
                <w:szCs w:val="24"/>
              </w:rPr>
            </w:pPr>
            <w:r>
              <w:rPr>
                <w:rStyle w:val="258"/>
                <w:rFonts w:hint="eastAsia" w:ascii="宋体" w:hAnsi="宋体" w:cs="宋体"/>
                <w:b/>
                <w:sz w:val="24"/>
                <w:szCs w:val="24"/>
              </w:rPr>
              <w:t xml:space="preserve">项目联系人及电话： </w:t>
            </w:r>
          </w:p>
        </w:tc>
      </w:tr>
    </w:tbl>
    <w:p w14:paraId="7B8F2FF2">
      <w:pPr>
        <w:spacing w:line="480" w:lineRule="exact"/>
        <w:rPr>
          <w:rStyle w:val="258"/>
          <w:rFonts w:ascii="宋体" w:hAnsi="宋体" w:cs="宋体"/>
          <w:sz w:val="24"/>
          <w:szCs w:val="24"/>
        </w:rPr>
      </w:pPr>
      <w:r>
        <w:rPr>
          <w:rStyle w:val="258"/>
          <w:rFonts w:hint="eastAsia" w:ascii="宋体" w:hAnsi="宋体" w:cs="宋体"/>
          <w:sz w:val="24"/>
          <w:szCs w:val="24"/>
        </w:rPr>
        <w:t xml:space="preserve">   </w:t>
      </w:r>
    </w:p>
    <w:p w14:paraId="3D4F1CF2">
      <w:pPr>
        <w:rPr>
          <w:rStyle w:val="258"/>
          <w:rFonts w:ascii="宋体" w:hAnsi="宋体" w:cs="宋体"/>
          <w:b/>
          <w:sz w:val="24"/>
          <w:szCs w:val="24"/>
        </w:rPr>
      </w:pPr>
      <w:r>
        <w:rPr>
          <w:rStyle w:val="258"/>
          <w:rFonts w:hint="eastAsia" w:ascii="宋体" w:hAnsi="宋体" w:cs="宋体"/>
          <w:b/>
          <w:sz w:val="24"/>
          <w:szCs w:val="24"/>
        </w:rPr>
        <w:t>甲方盖章：                          乙方盖章：</w:t>
      </w:r>
    </w:p>
    <w:p w14:paraId="65EBDCD3">
      <w:pPr>
        <w:rPr>
          <w:rStyle w:val="258"/>
          <w:rFonts w:ascii="宋体" w:hAnsi="宋体" w:cs="宋体"/>
          <w:b/>
          <w:sz w:val="24"/>
          <w:szCs w:val="24"/>
        </w:rPr>
      </w:pPr>
    </w:p>
    <w:p w14:paraId="22F5B4FA">
      <w:pPr>
        <w:rPr>
          <w:rStyle w:val="258"/>
          <w:rFonts w:ascii="宋体" w:hAnsi="宋体" w:cs="宋体"/>
          <w:b/>
          <w:sz w:val="24"/>
          <w:szCs w:val="24"/>
        </w:rPr>
      </w:pPr>
      <w:r>
        <w:rPr>
          <w:rStyle w:val="258"/>
          <w:rFonts w:hint="eastAsia" w:ascii="宋体" w:hAnsi="宋体" w:cs="宋体"/>
          <w:b/>
          <w:sz w:val="24"/>
          <w:szCs w:val="24"/>
        </w:rPr>
        <w:t>甲方法定代表人或                    乙方法定代表人或</w:t>
      </w:r>
    </w:p>
    <w:p w14:paraId="69EAAA45">
      <w:pPr>
        <w:rPr>
          <w:rStyle w:val="258"/>
          <w:rFonts w:ascii="宋体" w:hAnsi="宋体" w:cs="宋体"/>
          <w:b/>
          <w:sz w:val="24"/>
          <w:szCs w:val="24"/>
        </w:rPr>
      </w:pPr>
      <w:r>
        <w:rPr>
          <w:rStyle w:val="258"/>
          <w:rFonts w:hint="eastAsia" w:ascii="宋体" w:hAnsi="宋体" w:cs="宋体"/>
          <w:b/>
          <w:sz w:val="24"/>
          <w:szCs w:val="24"/>
        </w:rPr>
        <w:t>委托代理人签字：                    委托代理人签字：</w:t>
      </w:r>
      <w:r>
        <w:rPr>
          <w:rStyle w:val="258"/>
          <w:rFonts w:hint="eastAsia" w:ascii="宋体" w:hAnsi="宋体" w:cs="宋体"/>
          <w:b/>
          <w:sz w:val="24"/>
          <w:szCs w:val="24"/>
          <w:u w:val="single" w:color="000000"/>
        </w:rPr>
        <w:t xml:space="preserve">                     </w:t>
      </w:r>
    </w:p>
    <w:p w14:paraId="01060C0D">
      <w:pPr>
        <w:rPr>
          <w:rStyle w:val="258"/>
          <w:rFonts w:ascii="宋体" w:hAnsi="宋体" w:cs="宋体"/>
          <w:b/>
          <w:sz w:val="24"/>
          <w:szCs w:val="24"/>
          <w:u w:val="single" w:color="000000"/>
        </w:rPr>
      </w:pPr>
    </w:p>
    <w:p w14:paraId="7619BC30">
      <w:pPr>
        <w:rPr>
          <w:rStyle w:val="258"/>
          <w:rFonts w:ascii="宋体" w:hAnsi="宋体" w:cs="宋体"/>
          <w:b/>
          <w:sz w:val="24"/>
          <w:szCs w:val="24"/>
        </w:rPr>
      </w:pP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年</w:t>
      </w: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月</w:t>
      </w:r>
      <w:r>
        <w:rPr>
          <w:rStyle w:val="258"/>
          <w:rFonts w:hint="eastAsia" w:ascii="宋体" w:hAnsi="宋体" w:cs="宋体"/>
          <w:b/>
          <w:sz w:val="24"/>
          <w:szCs w:val="24"/>
          <w:u w:val="single"/>
        </w:rPr>
        <w:t xml:space="preserve">      </w:t>
      </w:r>
      <w:r>
        <w:rPr>
          <w:rStyle w:val="258"/>
          <w:rFonts w:hint="eastAsia" w:ascii="宋体" w:hAnsi="宋体" w:cs="宋体"/>
          <w:b/>
          <w:sz w:val="24"/>
          <w:szCs w:val="24"/>
        </w:rPr>
        <w:t xml:space="preserve">日              </w:t>
      </w: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年</w:t>
      </w: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月</w:t>
      </w:r>
      <w:r>
        <w:rPr>
          <w:rStyle w:val="258"/>
          <w:rFonts w:hint="eastAsia" w:ascii="宋体" w:hAnsi="宋体" w:cs="宋体"/>
          <w:b/>
          <w:sz w:val="24"/>
          <w:szCs w:val="24"/>
          <w:u w:val="single" w:color="000000"/>
        </w:rPr>
        <w:t xml:space="preserve">     </w:t>
      </w:r>
      <w:r>
        <w:rPr>
          <w:rStyle w:val="258"/>
          <w:rFonts w:hint="eastAsia" w:ascii="宋体" w:hAnsi="宋体" w:cs="宋体"/>
          <w:b/>
          <w:sz w:val="24"/>
          <w:szCs w:val="24"/>
        </w:rPr>
        <w:t>日</w:t>
      </w:r>
    </w:p>
    <w:p w14:paraId="2BD81E12">
      <w:pPr>
        <w:spacing w:line="360" w:lineRule="auto"/>
        <w:rPr>
          <w:rStyle w:val="258"/>
          <w:rFonts w:ascii="宋体" w:hAnsi="宋体" w:cs="宋体"/>
          <w:szCs w:val="28"/>
        </w:rPr>
      </w:pPr>
      <w:r>
        <w:rPr>
          <w:rStyle w:val="258"/>
          <w:rFonts w:hint="eastAsia" w:ascii="宋体" w:hAnsi="宋体" w:cs="宋体"/>
          <w:szCs w:val="28"/>
        </w:rPr>
        <w:t xml:space="preserve">      </w:t>
      </w:r>
    </w:p>
    <w:p w14:paraId="7EB89F3E">
      <w:pPr>
        <w:spacing w:line="360" w:lineRule="auto"/>
        <w:rPr>
          <w:rStyle w:val="258"/>
          <w:rFonts w:ascii="宋体" w:hAnsi="宋体" w:cs="宋体"/>
          <w:szCs w:val="28"/>
        </w:rPr>
      </w:pPr>
    </w:p>
    <w:p w14:paraId="311B893F">
      <w:pPr>
        <w:rPr>
          <w:rStyle w:val="258"/>
          <w:rFonts w:ascii="宋体" w:hAnsi="宋体" w:cs="宋体"/>
          <w:sz w:val="24"/>
          <w:szCs w:val="24"/>
        </w:rPr>
      </w:pPr>
      <w:r>
        <w:rPr>
          <w:rStyle w:val="258"/>
          <w:rFonts w:hint="eastAsia" w:ascii="宋体" w:hAnsi="宋体" w:cs="宋体"/>
          <w:sz w:val="24"/>
          <w:szCs w:val="24"/>
        </w:rPr>
        <w:br w:type="page"/>
      </w:r>
    </w:p>
    <w:p w14:paraId="0EA471FF">
      <w:pPr>
        <w:spacing w:line="420" w:lineRule="exact"/>
        <w:ind w:firstLine="480" w:firstLineChars="200"/>
        <w:rPr>
          <w:rStyle w:val="258"/>
          <w:rFonts w:ascii="宋体" w:hAnsi="宋体" w:cs="宋体"/>
          <w:b/>
          <w:sz w:val="24"/>
          <w:szCs w:val="24"/>
          <w:u w:val="single" w:color="000000"/>
        </w:rPr>
      </w:pPr>
      <w:r>
        <w:rPr>
          <w:rStyle w:val="258"/>
          <w:rFonts w:hint="eastAsia" w:ascii="宋体" w:hAnsi="宋体" w:cs="宋体"/>
          <w:sz w:val="24"/>
          <w:szCs w:val="24"/>
        </w:rPr>
        <w:t>甲乙双方本着自愿、友好、平等协商的原则，依据《中华人民共和国民法典》等相关法律规定，就甲方向乙方采购货物事宜达成如下条款，希双方共同遵守：</w:t>
      </w:r>
    </w:p>
    <w:p w14:paraId="42ECDF8D">
      <w:pPr>
        <w:tabs>
          <w:tab w:val="left" w:pos="0"/>
        </w:tabs>
        <w:spacing w:line="420" w:lineRule="exact"/>
        <w:ind w:firstLine="482" w:firstLineChars="200"/>
        <w:rPr>
          <w:rStyle w:val="258"/>
          <w:rFonts w:ascii="宋体" w:hAnsi="宋体" w:cs="宋体"/>
          <w:b/>
          <w:sz w:val="24"/>
          <w:szCs w:val="24"/>
          <w:u w:val="single" w:color="000000"/>
        </w:rPr>
      </w:pPr>
      <w:r>
        <w:rPr>
          <w:rStyle w:val="258"/>
          <w:rFonts w:hint="eastAsia" w:ascii="宋体" w:hAnsi="宋体" w:cs="宋体"/>
          <w:b/>
          <w:sz w:val="24"/>
          <w:szCs w:val="24"/>
        </w:rPr>
        <w:t>一、送货项目名称：</w:t>
      </w:r>
      <w:r>
        <w:rPr>
          <w:rStyle w:val="258"/>
          <w:rFonts w:hint="eastAsia" w:ascii="宋体" w:hAnsi="宋体" w:cs="宋体"/>
          <w:b/>
          <w:sz w:val="24"/>
          <w:szCs w:val="24"/>
          <w:u w:val="single"/>
        </w:rPr>
        <w:t xml:space="preserve">                  </w:t>
      </w:r>
    </w:p>
    <w:p w14:paraId="4AC3AA61">
      <w:pPr>
        <w:spacing w:line="420" w:lineRule="exact"/>
        <w:ind w:firstLine="482" w:firstLineChars="200"/>
        <w:rPr>
          <w:rStyle w:val="258"/>
          <w:rFonts w:ascii="宋体" w:hAnsi="宋体" w:cs="宋体"/>
          <w:b/>
          <w:sz w:val="24"/>
          <w:szCs w:val="24"/>
        </w:rPr>
      </w:pPr>
      <w:r>
        <w:rPr>
          <w:rStyle w:val="258"/>
          <w:rFonts w:hint="eastAsia" w:ascii="宋体" w:hAnsi="宋体" w:cs="宋体"/>
          <w:b/>
          <w:sz w:val="24"/>
          <w:szCs w:val="24"/>
        </w:rPr>
        <w:t>二、货物名称、技术参数、计量单位、单价：</w:t>
      </w:r>
    </w:p>
    <w:tbl>
      <w:tblPr>
        <w:tblStyle w:val="59"/>
        <w:tblW w:w="10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805"/>
        <w:gridCol w:w="1649"/>
        <w:gridCol w:w="1213"/>
        <w:gridCol w:w="1399"/>
        <w:gridCol w:w="1489"/>
        <w:gridCol w:w="1743"/>
      </w:tblGrid>
      <w:tr w14:paraId="483B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72FDC244">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427DBF18">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货物名称</w:t>
            </w:r>
          </w:p>
        </w:tc>
        <w:tc>
          <w:tcPr>
            <w:tcW w:w="1649" w:type="dxa"/>
            <w:tcBorders>
              <w:top w:val="single" w:color="000000" w:sz="4" w:space="0"/>
              <w:left w:val="single" w:color="000000" w:sz="4" w:space="0"/>
              <w:bottom w:val="single" w:color="000000" w:sz="4" w:space="0"/>
              <w:right w:val="single" w:color="000000" w:sz="4" w:space="0"/>
            </w:tcBorders>
            <w:vAlign w:val="center"/>
          </w:tcPr>
          <w:p w14:paraId="23F53471">
            <w:pPr>
              <w:spacing w:line="500" w:lineRule="exact"/>
              <w:jc w:val="center"/>
              <w:rPr>
                <w:rStyle w:val="258"/>
                <w:rFonts w:ascii="宋体" w:hAnsi="宋体" w:cs="宋体"/>
                <w:b/>
                <w:bCs/>
                <w:sz w:val="24"/>
                <w:szCs w:val="24"/>
              </w:rPr>
            </w:pPr>
            <w:r>
              <w:rPr>
                <w:rStyle w:val="258"/>
                <w:rFonts w:hint="eastAsia" w:ascii="宋体" w:hAnsi="宋体" w:cs="宋体"/>
                <w:b/>
                <w:sz w:val="24"/>
                <w:szCs w:val="24"/>
              </w:rPr>
              <w:t>技术参数</w:t>
            </w:r>
          </w:p>
        </w:tc>
        <w:tc>
          <w:tcPr>
            <w:tcW w:w="1213" w:type="dxa"/>
            <w:tcBorders>
              <w:top w:val="single" w:color="000000" w:sz="4" w:space="0"/>
              <w:left w:val="single" w:color="000000" w:sz="4" w:space="0"/>
              <w:bottom w:val="single" w:color="000000" w:sz="4" w:space="0"/>
              <w:right w:val="single" w:color="000000" w:sz="4" w:space="0"/>
            </w:tcBorders>
            <w:vAlign w:val="center"/>
          </w:tcPr>
          <w:p w14:paraId="3B871165">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单位</w:t>
            </w:r>
          </w:p>
        </w:tc>
        <w:tc>
          <w:tcPr>
            <w:tcW w:w="1399" w:type="dxa"/>
            <w:tcBorders>
              <w:top w:val="single" w:color="000000" w:sz="4" w:space="0"/>
              <w:left w:val="single" w:color="000000" w:sz="4" w:space="0"/>
              <w:bottom w:val="single" w:color="000000" w:sz="4" w:space="0"/>
              <w:right w:val="single" w:color="000000" w:sz="4" w:space="0"/>
            </w:tcBorders>
            <w:vAlign w:val="center"/>
          </w:tcPr>
          <w:p w14:paraId="359A76AC">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数量</w:t>
            </w:r>
          </w:p>
        </w:tc>
        <w:tc>
          <w:tcPr>
            <w:tcW w:w="1489" w:type="dxa"/>
            <w:tcBorders>
              <w:top w:val="single" w:color="000000" w:sz="4" w:space="0"/>
              <w:left w:val="single" w:color="000000" w:sz="4" w:space="0"/>
              <w:bottom w:val="single" w:color="000000" w:sz="4" w:space="0"/>
              <w:right w:val="single" w:color="000000" w:sz="4" w:space="0"/>
            </w:tcBorders>
            <w:vAlign w:val="center"/>
          </w:tcPr>
          <w:p w14:paraId="2EFE1887">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单价（元）</w:t>
            </w:r>
          </w:p>
        </w:tc>
        <w:tc>
          <w:tcPr>
            <w:tcW w:w="1743" w:type="dxa"/>
            <w:tcBorders>
              <w:top w:val="single" w:color="000000" w:sz="4" w:space="0"/>
              <w:left w:val="single" w:color="000000" w:sz="4" w:space="0"/>
              <w:bottom w:val="single" w:color="000000" w:sz="4" w:space="0"/>
              <w:right w:val="single" w:color="000000" w:sz="4" w:space="0"/>
            </w:tcBorders>
            <w:vAlign w:val="center"/>
          </w:tcPr>
          <w:p w14:paraId="41A82D23">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小计（元）</w:t>
            </w:r>
          </w:p>
        </w:tc>
      </w:tr>
      <w:tr w14:paraId="2830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5F6F186">
            <w:pPr>
              <w:spacing w:line="500" w:lineRule="exact"/>
              <w:jc w:val="center"/>
              <w:rPr>
                <w:rStyle w:val="258"/>
                <w:rFonts w:ascii="宋体" w:hAnsi="宋体" w:cs="宋体"/>
                <w:sz w:val="24"/>
                <w:szCs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34697576">
            <w:pPr>
              <w:spacing w:line="500" w:lineRule="exact"/>
              <w:jc w:val="center"/>
              <w:rPr>
                <w:rStyle w:val="258"/>
                <w:rFonts w:ascii="宋体" w:hAnsi="宋体" w:cs="宋体"/>
                <w:sz w:val="24"/>
                <w:szCs w:val="24"/>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DD50E08">
            <w:pPr>
              <w:spacing w:line="500" w:lineRule="exact"/>
              <w:jc w:val="center"/>
              <w:rPr>
                <w:rStyle w:val="258"/>
                <w:rFonts w:ascii="宋体" w:hAnsi="宋体" w:cs="宋体"/>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E9A7FD">
            <w:pPr>
              <w:spacing w:line="500" w:lineRule="exact"/>
              <w:jc w:val="center"/>
              <w:rPr>
                <w:rStyle w:val="258"/>
                <w:rFonts w:ascii="宋体" w:hAnsi="宋体" w:cs="宋体"/>
                <w:sz w:val="24"/>
                <w:szCs w:val="24"/>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627E75FB">
            <w:pPr>
              <w:spacing w:line="500" w:lineRule="exact"/>
              <w:jc w:val="center"/>
              <w:rPr>
                <w:rStyle w:val="258"/>
                <w:rFonts w:ascii="宋体" w:hAnsi="宋体" w:cs="宋体"/>
                <w:sz w:val="24"/>
                <w:szCs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14:paraId="6E027168">
            <w:pPr>
              <w:spacing w:line="500" w:lineRule="exact"/>
              <w:jc w:val="center"/>
              <w:rPr>
                <w:rStyle w:val="258"/>
                <w:rFonts w:ascii="宋体" w:hAnsi="宋体" w:cs="宋体"/>
                <w:sz w:val="24"/>
                <w:szCs w:val="24"/>
              </w:rPr>
            </w:pPr>
          </w:p>
        </w:tc>
        <w:tc>
          <w:tcPr>
            <w:tcW w:w="1743" w:type="dxa"/>
            <w:tcBorders>
              <w:top w:val="single" w:color="000000" w:sz="4" w:space="0"/>
              <w:left w:val="single" w:color="000000" w:sz="4" w:space="0"/>
              <w:bottom w:val="single" w:color="000000" w:sz="4" w:space="0"/>
              <w:right w:val="single" w:color="000000" w:sz="4" w:space="0"/>
            </w:tcBorders>
            <w:vAlign w:val="center"/>
          </w:tcPr>
          <w:p w14:paraId="3E896190">
            <w:pPr>
              <w:spacing w:line="500" w:lineRule="exact"/>
              <w:jc w:val="center"/>
              <w:rPr>
                <w:rStyle w:val="258"/>
                <w:rFonts w:ascii="宋体" w:hAnsi="宋体" w:cs="宋体"/>
                <w:sz w:val="24"/>
                <w:szCs w:val="24"/>
              </w:rPr>
            </w:pPr>
          </w:p>
        </w:tc>
      </w:tr>
      <w:tr w14:paraId="7762B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D1A4168">
            <w:pPr>
              <w:spacing w:line="500" w:lineRule="exact"/>
              <w:jc w:val="center"/>
              <w:rPr>
                <w:rStyle w:val="258"/>
                <w:rFonts w:ascii="宋体" w:hAnsi="宋体" w:cs="宋体"/>
                <w:sz w:val="24"/>
                <w:szCs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5B27ECF5">
            <w:pPr>
              <w:spacing w:line="500" w:lineRule="exact"/>
              <w:jc w:val="center"/>
              <w:rPr>
                <w:rStyle w:val="258"/>
                <w:rFonts w:ascii="宋体" w:hAnsi="宋体" w:cs="宋体"/>
                <w:sz w:val="24"/>
                <w:szCs w:val="24"/>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533D00D">
            <w:pPr>
              <w:spacing w:line="500" w:lineRule="exact"/>
              <w:jc w:val="center"/>
              <w:rPr>
                <w:rStyle w:val="258"/>
                <w:rFonts w:ascii="宋体" w:hAnsi="宋体" w:cs="宋体"/>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6CA6C3">
            <w:pPr>
              <w:spacing w:line="500" w:lineRule="exact"/>
              <w:jc w:val="center"/>
              <w:rPr>
                <w:rStyle w:val="258"/>
                <w:rFonts w:ascii="宋体" w:hAnsi="宋体" w:cs="宋体"/>
                <w:sz w:val="24"/>
                <w:szCs w:val="24"/>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5E02817D">
            <w:pPr>
              <w:spacing w:line="500" w:lineRule="exact"/>
              <w:jc w:val="center"/>
              <w:rPr>
                <w:rStyle w:val="258"/>
                <w:rFonts w:ascii="宋体" w:hAnsi="宋体" w:cs="宋体"/>
                <w:sz w:val="24"/>
                <w:szCs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14:paraId="2EAA51F4">
            <w:pPr>
              <w:spacing w:line="500" w:lineRule="exact"/>
              <w:jc w:val="center"/>
              <w:rPr>
                <w:rStyle w:val="258"/>
                <w:rFonts w:ascii="宋体" w:hAnsi="宋体" w:cs="宋体"/>
                <w:sz w:val="24"/>
                <w:szCs w:val="24"/>
              </w:rPr>
            </w:pPr>
          </w:p>
        </w:tc>
        <w:tc>
          <w:tcPr>
            <w:tcW w:w="1743" w:type="dxa"/>
            <w:tcBorders>
              <w:top w:val="single" w:color="000000" w:sz="4" w:space="0"/>
              <w:left w:val="single" w:color="000000" w:sz="4" w:space="0"/>
              <w:bottom w:val="single" w:color="000000" w:sz="4" w:space="0"/>
              <w:right w:val="single" w:color="000000" w:sz="4" w:space="0"/>
            </w:tcBorders>
            <w:vAlign w:val="center"/>
          </w:tcPr>
          <w:p w14:paraId="262B08EE">
            <w:pPr>
              <w:spacing w:line="500" w:lineRule="exact"/>
              <w:jc w:val="center"/>
              <w:rPr>
                <w:rStyle w:val="258"/>
                <w:rFonts w:ascii="宋体" w:hAnsi="宋体" w:cs="宋体"/>
                <w:sz w:val="24"/>
                <w:szCs w:val="24"/>
              </w:rPr>
            </w:pPr>
          </w:p>
        </w:tc>
      </w:tr>
      <w:tr w14:paraId="447B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573" w:type="dxa"/>
            <w:gridSpan w:val="2"/>
            <w:tcBorders>
              <w:top w:val="single" w:color="000000" w:sz="4" w:space="0"/>
              <w:left w:val="single" w:color="000000" w:sz="4" w:space="0"/>
              <w:bottom w:val="single" w:color="000000" w:sz="4" w:space="0"/>
              <w:right w:val="single" w:color="000000" w:sz="4" w:space="0"/>
            </w:tcBorders>
            <w:vAlign w:val="center"/>
          </w:tcPr>
          <w:p w14:paraId="4B3B648B">
            <w:pPr>
              <w:spacing w:line="500" w:lineRule="exact"/>
              <w:jc w:val="center"/>
              <w:rPr>
                <w:rStyle w:val="258"/>
                <w:rFonts w:ascii="宋体" w:hAnsi="宋体" w:cs="宋体"/>
                <w:b/>
                <w:bCs/>
                <w:sz w:val="24"/>
                <w:szCs w:val="24"/>
              </w:rPr>
            </w:pPr>
            <w:r>
              <w:rPr>
                <w:rStyle w:val="258"/>
                <w:rFonts w:hint="eastAsia" w:ascii="宋体" w:hAnsi="宋体" w:cs="宋体"/>
                <w:b/>
                <w:bCs/>
                <w:sz w:val="24"/>
                <w:szCs w:val="24"/>
              </w:rPr>
              <w:t xml:space="preserve">合同金额   </w:t>
            </w:r>
          </w:p>
        </w:tc>
        <w:tc>
          <w:tcPr>
            <w:tcW w:w="7493" w:type="dxa"/>
            <w:gridSpan w:val="5"/>
            <w:tcBorders>
              <w:top w:val="single" w:color="000000" w:sz="4" w:space="0"/>
              <w:left w:val="single" w:color="000000" w:sz="4" w:space="0"/>
              <w:bottom w:val="single" w:color="000000" w:sz="4" w:space="0"/>
              <w:right w:val="single" w:color="000000" w:sz="4" w:space="0"/>
            </w:tcBorders>
            <w:vAlign w:val="center"/>
          </w:tcPr>
          <w:p w14:paraId="78700A2B">
            <w:pPr>
              <w:spacing w:line="500" w:lineRule="exact"/>
              <w:rPr>
                <w:rStyle w:val="258"/>
                <w:rFonts w:ascii="宋体" w:hAnsi="宋体" w:cs="宋体"/>
                <w:b/>
                <w:bCs/>
                <w:sz w:val="24"/>
                <w:szCs w:val="24"/>
              </w:rPr>
            </w:pPr>
            <w:r>
              <w:rPr>
                <w:rStyle w:val="258"/>
                <w:rFonts w:hint="eastAsia" w:ascii="宋体" w:hAnsi="宋体" w:cs="宋体"/>
                <w:b/>
                <w:bCs/>
                <w:sz w:val="24"/>
                <w:szCs w:val="24"/>
              </w:rPr>
              <w:t>人民币小写：        大写：</w:t>
            </w:r>
          </w:p>
        </w:tc>
      </w:tr>
    </w:tbl>
    <w:p w14:paraId="78D469A2">
      <w:pPr>
        <w:spacing w:line="400" w:lineRule="exact"/>
        <w:ind w:firstLine="420"/>
        <w:rPr>
          <w:rStyle w:val="258"/>
          <w:rFonts w:ascii="宋体" w:hAnsi="宋体" w:cs="宋体"/>
          <w:sz w:val="24"/>
          <w:szCs w:val="24"/>
        </w:rPr>
      </w:pPr>
      <w:r>
        <w:rPr>
          <w:rStyle w:val="258"/>
          <w:rFonts w:hint="eastAsia" w:ascii="宋体" w:hAnsi="宋体" w:cs="宋体"/>
          <w:sz w:val="24"/>
          <w:szCs w:val="24"/>
        </w:rPr>
        <w:t>具体订货量以及交货时间以书面、短信、微信等方式确认，成交量以</w:t>
      </w:r>
      <w:r>
        <w:rPr>
          <w:rStyle w:val="67"/>
          <w:rFonts w:hint="eastAsia" w:ascii="宋体" w:hAnsi="宋体" w:cs="宋体"/>
          <w:sz w:val="24"/>
          <w:szCs w:val="24"/>
        </w:rPr>
        <w:t>甲方现场专管人员对</w:t>
      </w:r>
      <w:r>
        <w:rPr>
          <w:rStyle w:val="258"/>
          <w:rFonts w:hint="eastAsia" w:ascii="宋体" w:hAnsi="宋体" w:cs="宋体"/>
          <w:sz w:val="24"/>
          <w:szCs w:val="24"/>
        </w:rPr>
        <w:t>乙方送货单或对账单</w:t>
      </w:r>
      <w:r>
        <w:rPr>
          <w:rStyle w:val="67"/>
          <w:rFonts w:hint="eastAsia" w:ascii="宋体" w:hAnsi="宋体" w:cs="宋体"/>
          <w:sz w:val="24"/>
          <w:szCs w:val="24"/>
        </w:rPr>
        <w:t>签字盖章</w:t>
      </w:r>
      <w:r>
        <w:rPr>
          <w:rStyle w:val="258"/>
          <w:rFonts w:hint="eastAsia" w:ascii="宋体" w:hAnsi="宋体" w:cs="宋体"/>
          <w:sz w:val="24"/>
          <w:szCs w:val="24"/>
        </w:rPr>
        <w:t>为准。以上单价均为含增值税发票（税率</w:t>
      </w:r>
      <w:r>
        <w:rPr>
          <w:rStyle w:val="258"/>
          <w:rFonts w:hint="eastAsia" w:ascii="宋体" w:hAnsi="宋体" w:cs="宋体"/>
          <w:sz w:val="24"/>
          <w:szCs w:val="24"/>
          <w:u w:val="single"/>
        </w:rPr>
        <w:t xml:space="preserve">   </w:t>
      </w:r>
      <w:r>
        <w:rPr>
          <w:rStyle w:val="258"/>
          <w:rFonts w:hint="eastAsia" w:ascii="宋体" w:hAnsi="宋体" w:cs="宋体"/>
          <w:sz w:val="24"/>
          <w:szCs w:val="24"/>
        </w:rPr>
        <w:t>%，随国家政策调整）、前期电梯安全评估费4000元、招标代理服务费4500元、设备购买费、运输费、装卸费、保险费、安装调试费、现有电梯设备拆除工时费、人工费、税费、培训费、验收全过程直至取得质量技术监督部门验收合格发出运行许可证交付给采购人使用、质保期内的质保及维保售后服务工作等完成项目的所有费用减去旧梯残值费后的金额。采购人除此以外不支付其它费用。</w:t>
      </w:r>
    </w:p>
    <w:p w14:paraId="1D4D34F1">
      <w:pPr>
        <w:spacing w:line="400" w:lineRule="exact"/>
        <w:ind w:firstLine="420"/>
        <w:rPr>
          <w:b/>
          <w:bCs/>
          <w:sz w:val="24"/>
          <w:szCs w:val="24"/>
        </w:rPr>
      </w:pPr>
      <w:bookmarkStart w:id="212" w:name="_Toc16865"/>
      <w:bookmarkStart w:id="213" w:name="_Toc22065"/>
      <w:bookmarkStart w:id="214" w:name="_Toc10098"/>
      <w:r>
        <w:rPr>
          <w:rFonts w:hint="eastAsia"/>
          <w:b/>
          <w:bCs/>
          <w:sz w:val="24"/>
          <w:szCs w:val="24"/>
        </w:rPr>
        <w:t>三、货物交付：</w:t>
      </w:r>
      <w:bookmarkEnd w:id="212"/>
      <w:bookmarkEnd w:id="213"/>
      <w:bookmarkEnd w:id="214"/>
      <w:r>
        <w:rPr>
          <w:rFonts w:hint="eastAsia"/>
          <w:b/>
          <w:bCs/>
          <w:sz w:val="24"/>
          <w:szCs w:val="24"/>
        </w:rPr>
        <w:t xml:space="preserve"> </w:t>
      </w:r>
    </w:p>
    <w:p w14:paraId="68042BED">
      <w:pPr>
        <w:widowControl/>
        <w:adjustRightInd w:val="0"/>
        <w:spacing w:line="400" w:lineRule="exact"/>
        <w:ind w:firstLine="480" w:firstLineChars="200"/>
        <w:textAlignment w:val="baseline"/>
        <w:outlineLvl w:val="1"/>
        <w:rPr>
          <w:rStyle w:val="258"/>
          <w:rFonts w:ascii="宋体" w:hAnsi="宋体" w:cs="宋体"/>
          <w:sz w:val="24"/>
          <w:szCs w:val="24"/>
        </w:rPr>
      </w:pPr>
      <w:bookmarkStart w:id="215" w:name="_Toc10029"/>
      <w:bookmarkStart w:id="216" w:name="_Toc13562"/>
      <w:bookmarkStart w:id="217" w:name="_Toc26907"/>
      <w:r>
        <w:rPr>
          <w:rStyle w:val="258"/>
          <w:rFonts w:hint="eastAsia" w:ascii="宋体" w:hAnsi="宋体" w:cs="宋体"/>
          <w:sz w:val="24"/>
          <w:szCs w:val="24"/>
        </w:rPr>
        <w:t>1、交货时间：</w:t>
      </w:r>
      <w:bookmarkEnd w:id="215"/>
      <w:bookmarkEnd w:id="216"/>
      <w:bookmarkEnd w:id="217"/>
      <w:r>
        <w:rPr>
          <w:rStyle w:val="258"/>
          <w:rFonts w:hint="eastAsia" w:ascii="宋体" w:hAnsi="宋体" w:cs="宋体"/>
          <w:sz w:val="24"/>
          <w:szCs w:val="24"/>
        </w:rPr>
        <w:t>自本合同签订生效之日起，乙方按甲方要求安排订货并进场施工。</w:t>
      </w:r>
    </w:p>
    <w:p w14:paraId="66A62D60">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2、包装标准：按乙方出厂标准执行，由乙方负责交货时的产品完好。</w:t>
      </w:r>
    </w:p>
    <w:p w14:paraId="7EC8DE80">
      <w:pPr>
        <w:widowControl/>
        <w:adjustRightInd w:val="0"/>
        <w:spacing w:line="400" w:lineRule="exact"/>
        <w:ind w:firstLine="480" w:firstLineChars="200"/>
        <w:textAlignment w:val="baseline"/>
        <w:outlineLvl w:val="1"/>
        <w:rPr>
          <w:rStyle w:val="258"/>
          <w:rFonts w:ascii="宋体" w:hAnsi="宋体" w:cs="宋体"/>
          <w:sz w:val="24"/>
          <w:szCs w:val="24"/>
          <w:lang w:val="en-IE"/>
        </w:rPr>
      </w:pPr>
      <w:bookmarkStart w:id="218" w:name="_Toc21265"/>
      <w:bookmarkStart w:id="219" w:name="_Toc20037"/>
      <w:bookmarkStart w:id="220" w:name="_Toc19335"/>
      <w:r>
        <w:rPr>
          <w:rStyle w:val="258"/>
          <w:rFonts w:hint="eastAsia" w:ascii="宋体" w:hAnsi="宋体" w:cs="宋体"/>
          <w:sz w:val="24"/>
          <w:szCs w:val="24"/>
        </w:rPr>
        <w:t>3、交（提）货方式及地点：</w:t>
      </w:r>
      <w:bookmarkEnd w:id="218"/>
      <w:bookmarkEnd w:id="219"/>
      <w:bookmarkEnd w:id="220"/>
    </w:p>
    <w:p w14:paraId="7E75E4DB">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（1）交货地点和收货人姓名：交货地点：</w:t>
      </w:r>
      <w:r>
        <w:rPr>
          <w:rStyle w:val="258"/>
          <w:rFonts w:hint="eastAsia" w:ascii="宋体" w:hAnsi="宋体" w:cs="宋体"/>
          <w:sz w:val="24"/>
          <w:szCs w:val="24"/>
          <w:u w:val="single"/>
        </w:rPr>
        <w:t xml:space="preserve">           </w:t>
      </w:r>
      <w:r>
        <w:rPr>
          <w:rStyle w:val="258"/>
          <w:rFonts w:hint="eastAsia" w:ascii="宋体" w:hAnsi="宋体" w:cs="宋体"/>
          <w:sz w:val="24"/>
          <w:szCs w:val="24"/>
          <w:u w:val="single" w:color="000000"/>
        </w:rPr>
        <w:t xml:space="preserve">        </w:t>
      </w:r>
      <w:r>
        <w:rPr>
          <w:rStyle w:val="258"/>
          <w:rFonts w:hint="eastAsia" w:ascii="宋体" w:hAnsi="宋体" w:cs="宋体"/>
          <w:sz w:val="24"/>
          <w:szCs w:val="24"/>
        </w:rPr>
        <w:t xml:space="preserve"> ， </w:t>
      </w:r>
    </w:p>
    <w:p w14:paraId="5DA6A821">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收货人姓名：</w:t>
      </w:r>
      <w:r>
        <w:rPr>
          <w:rStyle w:val="258"/>
          <w:rFonts w:hint="eastAsia" w:ascii="宋体" w:hAnsi="宋体" w:cs="宋体"/>
          <w:sz w:val="24"/>
          <w:szCs w:val="24"/>
          <w:u w:val="single" w:color="000000"/>
        </w:rPr>
        <w:t xml:space="preserve">          </w:t>
      </w:r>
      <w:r>
        <w:rPr>
          <w:rStyle w:val="258"/>
          <w:rFonts w:hint="eastAsia" w:ascii="宋体" w:hAnsi="宋体" w:cs="宋体"/>
          <w:sz w:val="24"/>
          <w:szCs w:val="24"/>
        </w:rPr>
        <w:t>电话</w:t>
      </w:r>
      <w:r>
        <w:rPr>
          <w:rStyle w:val="258"/>
          <w:rFonts w:hint="eastAsia" w:ascii="宋体" w:hAnsi="宋体" w:cs="宋体"/>
          <w:sz w:val="24"/>
          <w:szCs w:val="24"/>
          <w:u w:val="single"/>
        </w:rPr>
        <w:t xml:space="preserve">               </w:t>
      </w:r>
      <w:r>
        <w:rPr>
          <w:rStyle w:val="258"/>
          <w:rFonts w:hint="eastAsia" w:ascii="宋体" w:hAnsi="宋体" w:cs="宋体"/>
          <w:sz w:val="24"/>
          <w:szCs w:val="24"/>
        </w:rPr>
        <w:t xml:space="preserve"> 。</w:t>
      </w:r>
    </w:p>
    <w:p w14:paraId="39FCAA74">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（2）运输：乙方将货物运输至项目现场。</w:t>
      </w:r>
    </w:p>
    <w:p w14:paraId="7065B76E">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（3）下列情形除外：</w:t>
      </w:r>
    </w:p>
    <w:p w14:paraId="7A332AF0">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A、甲方项目在本合同交货地点时，根据现场的需求提供货源，保质保量运送到甲方指定地点。</w:t>
      </w:r>
    </w:p>
    <w:p w14:paraId="62D0F1AF">
      <w:pPr>
        <w:widowControl/>
        <w:adjustRightInd w:val="0"/>
        <w:spacing w:line="400" w:lineRule="exact"/>
        <w:ind w:firstLine="456" w:firstLineChars="200"/>
        <w:textAlignment w:val="baseline"/>
        <w:rPr>
          <w:rStyle w:val="258"/>
          <w:rFonts w:ascii="宋体" w:hAnsi="宋体" w:cs="宋体"/>
          <w:spacing w:val="-6"/>
          <w:sz w:val="24"/>
          <w:szCs w:val="24"/>
        </w:rPr>
      </w:pPr>
      <w:r>
        <w:rPr>
          <w:rStyle w:val="258"/>
          <w:rFonts w:hint="eastAsia" w:ascii="宋体" w:hAnsi="宋体" w:cs="宋体"/>
          <w:spacing w:val="-6"/>
          <w:sz w:val="24"/>
          <w:szCs w:val="24"/>
        </w:rPr>
        <w:t>B、</w:t>
      </w:r>
      <w:r>
        <w:rPr>
          <w:rFonts w:hint="eastAsia" w:ascii="宋体" w:hAnsi="宋体" w:cs="宋体"/>
          <w:sz w:val="24"/>
          <w:szCs w:val="24"/>
        </w:rPr>
        <w:t>甲方验收合格并接受货物之前，货物毁损、灭失等风险不发生转移。</w:t>
      </w:r>
    </w:p>
    <w:p w14:paraId="0BE092AD">
      <w:pPr>
        <w:spacing w:line="400" w:lineRule="exact"/>
        <w:ind w:firstLine="420"/>
        <w:rPr>
          <w:b/>
          <w:bCs/>
          <w:sz w:val="24"/>
          <w:szCs w:val="24"/>
        </w:rPr>
      </w:pPr>
      <w:bookmarkStart w:id="221" w:name="_Toc32697"/>
      <w:bookmarkStart w:id="222" w:name="_Toc462"/>
      <w:bookmarkStart w:id="223" w:name="_Toc7375"/>
      <w:r>
        <w:rPr>
          <w:rFonts w:hint="eastAsia"/>
          <w:b/>
          <w:bCs/>
          <w:sz w:val="24"/>
          <w:szCs w:val="24"/>
        </w:rPr>
        <w:t>四、货物的验收：</w:t>
      </w:r>
      <w:bookmarkEnd w:id="221"/>
      <w:bookmarkEnd w:id="222"/>
      <w:bookmarkEnd w:id="223"/>
    </w:p>
    <w:p w14:paraId="0E2C5A93">
      <w:pPr>
        <w:widowControl/>
        <w:adjustRightInd w:val="0"/>
        <w:spacing w:line="400" w:lineRule="exact"/>
        <w:ind w:firstLine="573"/>
        <w:textAlignment w:val="baseline"/>
        <w:rPr>
          <w:rStyle w:val="258"/>
          <w:rFonts w:ascii="宋体" w:hAnsi="宋体" w:cs="宋体"/>
          <w:sz w:val="24"/>
          <w:szCs w:val="24"/>
        </w:rPr>
      </w:pPr>
      <w:r>
        <w:rPr>
          <w:rStyle w:val="258"/>
          <w:rFonts w:hint="eastAsia" w:ascii="宋体" w:hAnsi="宋体" w:cs="宋体"/>
          <w:sz w:val="24"/>
          <w:szCs w:val="24"/>
        </w:rPr>
        <w:t>1、乙方保证所供材料的品质及数量。甲方对所供货物标准包装进行随机抽样。</w:t>
      </w:r>
    </w:p>
    <w:p w14:paraId="58973FE7">
      <w:pPr>
        <w:widowControl/>
        <w:adjustRightInd w:val="0"/>
        <w:spacing w:line="400" w:lineRule="exact"/>
        <w:ind w:firstLine="573"/>
        <w:textAlignment w:val="baseline"/>
        <w:rPr>
          <w:rStyle w:val="258"/>
          <w:rFonts w:ascii="宋体" w:hAnsi="宋体" w:cs="宋体"/>
          <w:sz w:val="24"/>
          <w:szCs w:val="24"/>
        </w:rPr>
      </w:pPr>
      <w:r>
        <w:rPr>
          <w:rStyle w:val="258"/>
          <w:rFonts w:hint="eastAsia" w:ascii="宋体" w:hAnsi="宋体" w:cs="宋体"/>
          <w:sz w:val="24"/>
          <w:szCs w:val="24"/>
        </w:rPr>
        <w:t>2、乙方在甲方约定时间内交货。乙方对甲方验收有异议时，有权复验。</w:t>
      </w:r>
    </w:p>
    <w:p w14:paraId="3E93F153">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3、在交货地点由甲、乙双方同时在场情况下进行货物验收。</w:t>
      </w:r>
      <w:r>
        <w:rPr>
          <w:rFonts w:hint="eastAsia" w:ascii="宋体" w:hAnsi="宋体" w:cs="宋体"/>
          <w:sz w:val="24"/>
          <w:szCs w:val="24"/>
        </w:rPr>
        <w:t>甲方仅对货物的数量和外观进行检验,并不因此减轻或免除乙方所应承担的质量保证责任。</w:t>
      </w:r>
      <w:r>
        <w:rPr>
          <w:rStyle w:val="258"/>
          <w:rFonts w:hint="eastAsia" w:ascii="宋体" w:hAnsi="宋体" w:cs="宋体"/>
          <w:sz w:val="24"/>
          <w:szCs w:val="24"/>
        </w:rPr>
        <w:t>乙方货物到场，甲方应在24小时内验收签字确认，质量异议甲方应当在收货后三日内提出，</w:t>
      </w:r>
      <w:r>
        <w:rPr>
          <w:rFonts w:hint="eastAsia" w:ascii="宋体" w:hAnsi="宋体" w:cs="宋体"/>
          <w:sz w:val="24"/>
          <w:szCs w:val="24"/>
        </w:rPr>
        <w:t>乙方对货物的质量保证责任不因甲方是否提出异议而免除</w:t>
      </w:r>
      <w:r>
        <w:rPr>
          <w:rStyle w:val="258"/>
          <w:rFonts w:hint="eastAsia" w:ascii="宋体" w:hAnsi="宋体" w:cs="宋体"/>
          <w:sz w:val="24"/>
          <w:szCs w:val="24"/>
        </w:rPr>
        <w:t>。</w:t>
      </w:r>
    </w:p>
    <w:p w14:paraId="77E02F6C">
      <w:pPr>
        <w:widowControl/>
        <w:adjustRightInd w:val="0"/>
        <w:spacing w:line="400" w:lineRule="exact"/>
        <w:ind w:firstLine="573"/>
        <w:textAlignment w:val="baseline"/>
        <w:rPr>
          <w:rStyle w:val="258"/>
          <w:rFonts w:ascii="宋体" w:hAnsi="宋体" w:cs="宋体"/>
          <w:sz w:val="24"/>
          <w:szCs w:val="24"/>
        </w:rPr>
      </w:pPr>
      <w:r>
        <w:rPr>
          <w:rStyle w:val="258"/>
          <w:rFonts w:hint="eastAsia" w:ascii="宋体" w:hAnsi="宋体" w:cs="宋体"/>
          <w:sz w:val="24"/>
          <w:szCs w:val="24"/>
        </w:rPr>
        <w:t>4、乙方提供产品合格证、检验、检测报告。产品质量符合乙方企业标准及国家合格标准，</w:t>
      </w:r>
      <w:r>
        <w:rPr>
          <w:rFonts w:hint="eastAsia" w:ascii="宋体" w:hAnsi="宋体" w:cs="宋体"/>
          <w:sz w:val="24"/>
          <w:szCs w:val="24"/>
        </w:rPr>
        <w:t>否则视为乙方违约。</w:t>
      </w:r>
    </w:p>
    <w:p w14:paraId="0B3C930C">
      <w:pPr>
        <w:spacing w:line="400" w:lineRule="exact"/>
        <w:ind w:firstLine="420"/>
        <w:rPr>
          <w:b/>
          <w:bCs/>
          <w:sz w:val="24"/>
          <w:szCs w:val="24"/>
        </w:rPr>
      </w:pPr>
      <w:bookmarkStart w:id="224" w:name="_Toc7090"/>
      <w:bookmarkStart w:id="225" w:name="_Toc19293"/>
      <w:bookmarkStart w:id="226" w:name="_Toc29062"/>
      <w:r>
        <w:rPr>
          <w:rFonts w:hint="eastAsia"/>
          <w:b/>
          <w:bCs/>
          <w:sz w:val="24"/>
          <w:szCs w:val="24"/>
        </w:rPr>
        <w:t>五、结算方式：</w:t>
      </w:r>
      <w:bookmarkEnd w:id="224"/>
      <w:bookmarkEnd w:id="225"/>
      <w:bookmarkEnd w:id="226"/>
    </w:p>
    <w:p w14:paraId="4BC29C91">
      <w:pPr>
        <w:widowControl/>
        <w:adjustRightInd w:val="0"/>
        <w:spacing w:line="400" w:lineRule="exact"/>
        <w:ind w:firstLine="480" w:firstLineChars="200"/>
        <w:textAlignment w:val="baseline"/>
        <w:outlineLvl w:val="1"/>
        <w:rPr>
          <w:rStyle w:val="258"/>
          <w:rFonts w:ascii="宋体" w:hAnsi="宋体" w:cs="宋体"/>
          <w:sz w:val="24"/>
          <w:szCs w:val="24"/>
        </w:rPr>
      </w:pPr>
      <w:bookmarkStart w:id="227" w:name="_Toc29916"/>
      <w:bookmarkStart w:id="228" w:name="_Toc32078"/>
      <w:bookmarkStart w:id="229" w:name="_Toc13571"/>
      <w:r>
        <w:rPr>
          <w:rStyle w:val="258"/>
          <w:rFonts w:hint="eastAsia" w:ascii="宋体" w:hAnsi="宋体" w:cs="宋体"/>
          <w:sz w:val="24"/>
          <w:szCs w:val="24"/>
        </w:rPr>
        <w:t>1、结算方式：</w:t>
      </w:r>
      <w:r>
        <w:rPr>
          <w:rStyle w:val="258"/>
          <w:rFonts w:hint="eastAsia" w:ascii="宋体" w:hAnsi="宋体" w:cs="宋体"/>
          <w:sz w:val="24"/>
          <w:szCs w:val="24"/>
          <w:u w:val="single" w:color="000000"/>
        </w:rPr>
        <w:t xml:space="preserve"> 对公转账</w:t>
      </w:r>
      <w:r>
        <w:rPr>
          <w:rStyle w:val="258"/>
          <w:rFonts w:hint="eastAsia" w:ascii="宋体" w:hAnsi="宋体" w:cs="宋体"/>
          <w:sz w:val="24"/>
          <w:szCs w:val="24"/>
        </w:rPr>
        <w:t>。</w:t>
      </w:r>
      <w:bookmarkEnd w:id="227"/>
      <w:bookmarkEnd w:id="228"/>
      <w:bookmarkEnd w:id="229"/>
    </w:p>
    <w:p w14:paraId="40204FA4">
      <w:pPr>
        <w:widowControl/>
        <w:adjustRightIn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2、合同签订前成交供应商向采购人提供合同金额10%的履约担保保函（见索即付），受益人为采购人，全部工程完工并竣工验收合格后5个工作日内一次性无息退还（不计利息）。</w:t>
      </w:r>
    </w:p>
    <w:p w14:paraId="0782DFD3">
      <w:pPr>
        <w:widowControl/>
        <w:adjustRightIn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3、主要材料或设备进场确认完毕，电梯供应商协助物业单位启动政府补贴资金及小区业主大修专项资金的相关手续，工程竣工验收合格经过第三方结算评审后，支付至审定金额100%。</w:t>
      </w:r>
    </w:p>
    <w:p w14:paraId="7CF5F24E">
      <w:pPr>
        <w:widowControl/>
        <w:adjustRightIn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4、支付审定金额的同时，成交供应商向采购人提供审定金额3%的质量保证金，质保期满后无任何质量问题退还。</w:t>
      </w:r>
    </w:p>
    <w:p w14:paraId="7837775D">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5、甲方授权甲方代表</w:t>
      </w:r>
      <w:r>
        <w:rPr>
          <w:rStyle w:val="258"/>
          <w:rFonts w:hint="eastAsia" w:ascii="宋体" w:hAnsi="宋体" w:cs="宋体"/>
          <w:sz w:val="24"/>
          <w:szCs w:val="24"/>
          <w:u w:val="single" w:color="000000"/>
        </w:rPr>
        <w:t xml:space="preserve">           </w:t>
      </w:r>
      <w:r>
        <w:rPr>
          <w:rStyle w:val="258"/>
          <w:rFonts w:hint="eastAsia" w:ascii="宋体" w:hAnsi="宋体" w:cs="宋体"/>
          <w:sz w:val="24"/>
          <w:szCs w:val="24"/>
        </w:rPr>
        <w:t xml:space="preserve"> 电话：</w:t>
      </w:r>
      <w:r>
        <w:rPr>
          <w:rStyle w:val="258"/>
          <w:rFonts w:hint="eastAsia" w:ascii="宋体" w:hAnsi="宋体" w:cs="宋体"/>
          <w:sz w:val="24"/>
          <w:szCs w:val="24"/>
          <w:u w:val="single" w:color="000000"/>
        </w:rPr>
        <w:t xml:space="preserve">              </w:t>
      </w:r>
      <w:r>
        <w:rPr>
          <w:rStyle w:val="258"/>
          <w:rFonts w:hint="eastAsia" w:ascii="宋体" w:hAnsi="宋体" w:cs="宋体"/>
          <w:sz w:val="24"/>
          <w:szCs w:val="24"/>
        </w:rPr>
        <w:t>与乙方核对账目，以上人员在对账单签字的行为视为甲方对对账单的认可，并加盖甲方公章。乙方将对账单书面送达甲方后，甲方应当在7日内对账目进行核对，有异议书面向乙方提出。</w:t>
      </w:r>
    </w:p>
    <w:p w14:paraId="6A1C9BF4">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6、甲方应按照合同约定的付款方式及时履行付款义务。</w:t>
      </w:r>
      <w:r>
        <w:rPr>
          <w:rFonts w:hint="eastAsia" w:ascii="宋体" w:hAnsi="宋体" w:cs="宋体"/>
          <w:sz w:val="24"/>
          <w:szCs w:val="24"/>
        </w:rPr>
        <w:t>付款前，乙方应提供真实有效的增值税发票，否则甲方有权暂不付款，并不承担逾期付款违约责任。</w:t>
      </w:r>
      <w:r>
        <w:rPr>
          <w:rStyle w:val="258"/>
          <w:rFonts w:hint="eastAsia" w:ascii="宋体" w:hAnsi="宋体" w:cs="宋体"/>
          <w:sz w:val="24"/>
          <w:szCs w:val="24"/>
        </w:rPr>
        <w:t xml:space="preserve"> </w:t>
      </w:r>
    </w:p>
    <w:p w14:paraId="3398CA60">
      <w:pPr>
        <w:widowControl/>
        <w:adjustRightInd w:val="0"/>
        <w:spacing w:line="400" w:lineRule="exact"/>
        <w:ind w:firstLine="480" w:firstLineChars="200"/>
        <w:textAlignment w:val="baseline"/>
        <w:outlineLvl w:val="1"/>
        <w:rPr>
          <w:rStyle w:val="258"/>
          <w:rFonts w:ascii="宋体" w:hAnsi="宋体" w:cs="宋体"/>
          <w:sz w:val="24"/>
          <w:szCs w:val="24"/>
        </w:rPr>
      </w:pPr>
      <w:bookmarkStart w:id="230" w:name="_Toc24402"/>
      <w:bookmarkStart w:id="231" w:name="_Toc3542"/>
      <w:bookmarkStart w:id="232" w:name="_Toc23128"/>
      <w:r>
        <w:rPr>
          <w:rStyle w:val="258"/>
          <w:rFonts w:hint="eastAsia" w:ascii="宋体" w:hAnsi="宋体" w:cs="宋体"/>
          <w:sz w:val="24"/>
          <w:szCs w:val="24"/>
        </w:rPr>
        <w:t>7、付款时注意事项：</w:t>
      </w:r>
      <w:bookmarkEnd w:id="230"/>
      <w:bookmarkEnd w:id="231"/>
      <w:bookmarkEnd w:id="232"/>
    </w:p>
    <w:p w14:paraId="21150C15">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支付货款时，须注明付款单位名称和项目名称；</w:t>
      </w:r>
    </w:p>
    <w:p w14:paraId="73AB6F69">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付款后及时将支付凭证以书面、短信、微信等方式传给乙方授权代表人，以便及时确认；</w:t>
      </w:r>
    </w:p>
    <w:p w14:paraId="01C6596A">
      <w:pPr>
        <w:spacing w:line="400" w:lineRule="exact"/>
        <w:ind w:firstLine="420"/>
        <w:rPr>
          <w:b/>
          <w:bCs/>
          <w:sz w:val="24"/>
          <w:szCs w:val="24"/>
        </w:rPr>
      </w:pPr>
      <w:bookmarkStart w:id="233" w:name="_Toc9141"/>
      <w:bookmarkStart w:id="234" w:name="_Toc5711"/>
      <w:bookmarkStart w:id="235" w:name="_Toc15362"/>
      <w:r>
        <w:rPr>
          <w:rFonts w:hint="eastAsia"/>
          <w:b/>
          <w:bCs/>
          <w:sz w:val="24"/>
          <w:szCs w:val="24"/>
        </w:rPr>
        <w:t>六、安装验收</w:t>
      </w:r>
      <w:bookmarkEnd w:id="233"/>
      <w:bookmarkEnd w:id="234"/>
      <w:bookmarkEnd w:id="235"/>
    </w:p>
    <w:p w14:paraId="7DE2A706">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1、供货清单的确认；</w:t>
      </w:r>
    </w:p>
    <w:p w14:paraId="63732313">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2、电梯的综合性能检查；</w:t>
      </w:r>
    </w:p>
    <w:p w14:paraId="56E5D365">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3、竣工资料一套；</w:t>
      </w:r>
    </w:p>
    <w:p w14:paraId="4025E482">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4、重庆特种设备检测研究院的检验报告和检验结论。</w:t>
      </w:r>
    </w:p>
    <w:p w14:paraId="55D76615">
      <w:pPr>
        <w:spacing w:line="400" w:lineRule="exact"/>
        <w:ind w:firstLine="420"/>
        <w:rPr>
          <w:b/>
          <w:bCs/>
          <w:sz w:val="24"/>
          <w:szCs w:val="24"/>
        </w:rPr>
      </w:pPr>
      <w:bookmarkStart w:id="236" w:name="_Toc7202"/>
      <w:bookmarkStart w:id="237" w:name="_Toc9544"/>
      <w:bookmarkStart w:id="238" w:name="_Toc7963"/>
      <w:r>
        <w:rPr>
          <w:rFonts w:hint="eastAsia"/>
          <w:b/>
          <w:bCs/>
          <w:sz w:val="24"/>
          <w:szCs w:val="24"/>
        </w:rPr>
        <w:t>七、质保期限：</w:t>
      </w:r>
      <w:bookmarkEnd w:id="236"/>
      <w:bookmarkEnd w:id="237"/>
      <w:bookmarkEnd w:id="238"/>
    </w:p>
    <w:p w14:paraId="111AA966">
      <w:pPr>
        <w:widowControl/>
        <w:adjustRightInd w:val="0"/>
        <w:spacing w:line="400" w:lineRule="exact"/>
        <w:ind w:firstLine="480" w:firstLineChars="200"/>
        <w:textAlignment w:val="baseline"/>
        <w:rPr>
          <w:rStyle w:val="258"/>
          <w:rFonts w:ascii="宋体" w:hAnsi="宋体" w:cs="宋体"/>
          <w:sz w:val="24"/>
          <w:szCs w:val="24"/>
        </w:rPr>
      </w:pPr>
      <w:bookmarkStart w:id="239" w:name="_Toc27856"/>
      <w:bookmarkStart w:id="240" w:name="_Toc12138"/>
      <w:bookmarkStart w:id="241" w:name="_Toc29930"/>
      <w:r>
        <w:rPr>
          <w:rStyle w:val="258"/>
          <w:rFonts w:hint="eastAsia" w:ascii="宋体" w:hAnsi="宋体" w:cs="宋体"/>
          <w:sz w:val="24"/>
          <w:szCs w:val="24"/>
        </w:rPr>
        <w:t>原厂整梯质保期为</w:t>
      </w:r>
      <w:r>
        <w:rPr>
          <w:rStyle w:val="258"/>
          <w:rFonts w:hint="eastAsia" w:ascii="宋体" w:hAnsi="宋体" w:cs="宋体"/>
          <w:sz w:val="24"/>
          <w:szCs w:val="24"/>
          <w:u w:val="single"/>
        </w:rPr>
        <w:t xml:space="preserve">    </w:t>
      </w:r>
      <w:r>
        <w:rPr>
          <w:rStyle w:val="258"/>
          <w:rFonts w:hint="eastAsia" w:ascii="宋体" w:hAnsi="宋体" w:cs="宋体"/>
          <w:sz w:val="24"/>
          <w:szCs w:val="24"/>
        </w:rPr>
        <w:t>年，原厂整机免费维保期为</w:t>
      </w:r>
      <w:r>
        <w:rPr>
          <w:rStyle w:val="258"/>
          <w:rFonts w:hint="eastAsia" w:ascii="宋体" w:hAnsi="宋体" w:cs="宋体"/>
          <w:sz w:val="24"/>
          <w:szCs w:val="24"/>
          <w:u w:val="single"/>
        </w:rPr>
        <w:t xml:space="preserve">    </w:t>
      </w:r>
      <w:r>
        <w:rPr>
          <w:rStyle w:val="258"/>
          <w:rFonts w:hint="eastAsia" w:ascii="宋体" w:hAnsi="宋体" w:cs="宋体"/>
          <w:sz w:val="24"/>
          <w:szCs w:val="24"/>
        </w:rPr>
        <w:t>年。质保期从重庆市特种设备检测研究院验收合格之日算起，质保期内使用配件必须为原厂配件。</w:t>
      </w:r>
    </w:p>
    <w:p w14:paraId="0D1AA9D3">
      <w:pPr>
        <w:spacing w:line="400" w:lineRule="exact"/>
        <w:ind w:firstLine="420"/>
        <w:rPr>
          <w:b/>
          <w:bCs/>
          <w:sz w:val="24"/>
          <w:szCs w:val="24"/>
        </w:rPr>
      </w:pPr>
      <w:r>
        <w:rPr>
          <w:rFonts w:hint="eastAsia"/>
          <w:b/>
          <w:bCs/>
          <w:sz w:val="24"/>
          <w:szCs w:val="24"/>
        </w:rPr>
        <w:t>八、合同解除：</w:t>
      </w:r>
      <w:bookmarkEnd w:id="239"/>
      <w:bookmarkEnd w:id="240"/>
      <w:bookmarkEnd w:id="241"/>
    </w:p>
    <w:p w14:paraId="68550981">
      <w:pPr>
        <w:widowControl/>
        <w:adjustRightInd w:val="0"/>
        <w:spacing w:line="400" w:lineRule="exact"/>
        <w:ind w:firstLine="482" w:firstLineChars="200"/>
        <w:textAlignment w:val="baseline"/>
        <w:rPr>
          <w:rStyle w:val="258"/>
          <w:rFonts w:ascii="宋体" w:hAnsi="宋体" w:cs="宋体"/>
          <w:sz w:val="24"/>
          <w:szCs w:val="24"/>
        </w:rPr>
      </w:pPr>
      <w:r>
        <w:rPr>
          <w:rStyle w:val="258"/>
          <w:rFonts w:hint="eastAsia" w:ascii="宋体" w:hAnsi="宋体" w:cs="宋体"/>
          <w:b/>
          <w:sz w:val="24"/>
          <w:szCs w:val="24"/>
        </w:rPr>
        <w:t>1、</w:t>
      </w:r>
      <w:r>
        <w:rPr>
          <w:rStyle w:val="258"/>
          <w:rFonts w:hint="eastAsia" w:ascii="宋体" w:hAnsi="宋体" w:cs="宋体"/>
          <w:bCs/>
          <w:sz w:val="24"/>
          <w:szCs w:val="24"/>
        </w:rPr>
        <w:t>甲乙双方按合同要求履行完毕</w:t>
      </w:r>
      <w:r>
        <w:rPr>
          <w:rStyle w:val="258"/>
          <w:rFonts w:hint="eastAsia" w:ascii="宋体" w:hAnsi="宋体" w:cs="宋体"/>
          <w:sz w:val="24"/>
          <w:szCs w:val="24"/>
        </w:rPr>
        <w:t>；</w:t>
      </w:r>
    </w:p>
    <w:p w14:paraId="07B48FFC">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2、乙方提供的材料存在质量原因的；</w:t>
      </w:r>
    </w:p>
    <w:p w14:paraId="58730DAC">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3、未按甲方的相关要求供货并经双方协商未达成一致意见的；</w:t>
      </w:r>
    </w:p>
    <w:p w14:paraId="0460D1CA">
      <w:pPr>
        <w:widowControl/>
        <w:adjustRightInd w:val="0"/>
        <w:spacing w:line="400" w:lineRule="exact"/>
        <w:ind w:firstLine="480" w:firstLineChars="200"/>
        <w:textAlignment w:val="baseline"/>
        <w:rPr>
          <w:rStyle w:val="258"/>
          <w:rFonts w:ascii="宋体" w:hAnsi="宋体" w:cs="宋体"/>
          <w:b/>
          <w:sz w:val="24"/>
          <w:szCs w:val="24"/>
        </w:rPr>
      </w:pPr>
      <w:r>
        <w:rPr>
          <w:rStyle w:val="258"/>
          <w:rFonts w:hint="eastAsia" w:ascii="宋体" w:hAnsi="宋体" w:cs="宋体"/>
          <w:sz w:val="24"/>
          <w:szCs w:val="24"/>
        </w:rPr>
        <w:t>4、遇到不可抗力因素的。</w:t>
      </w:r>
    </w:p>
    <w:p w14:paraId="3F3E67B1">
      <w:pPr>
        <w:spacing w:line="400" w:lineRule="exact"/>
        <w:ind w:firstLine="420"/>
        <w:rPr>
          <w:b/>
          <w:bCs/>
          <w:sz w:val="24"/>
          <w:szCs w:val="24"/>
        </w:rPr>
      </w:pPr>
      <w:bookmarkStart w:id="242" w:name="_Toc12498"/>
      <w:bookmarkStart w:id="243" w:name="_Toc1875"/>
      <w:bookmarkStart w:id="244" w:name="_Toc16340"/>
      <w:r>
        <w:rPr>
          <w:rFonts w:hint="eastAsia"/>
          <w:b/>
          <w:bCs/>
          <w:sz w:val="24"/>
          <w:szCs w:val="24"/>
        </w:rPr>
        <w:t>九、违约责任：</w:t>
      </w:r>
      <w:bookmarkEnd w:id="242"/>
      <w:bookmarkEnd w:id="243"/>
      <w:bookmarkEnd w:id="244"/>
    </w:p>
    <w:p w14:paraId="4BD9B4F9">
      <w:pPr>
        <w:widowControl/>
        <w:adjustRightInd w:val="0"/>
        <w:spacing w:line="400" w:lineRule="exact"/>
        <w:ind w:firstLine="480" w:firstLineChars="200"/>
        <w:jc w:val="left"/>
        <w:textAlignment w:val="baseline"/>
        <w:rPr>
          <w:rStyle w:val="258"/>
          <w:rFonts w:ascii="宋体" w:hAnsi="宋体" w:cs="宋体"/>
          <w:sz w:val="24"/>
          <w:szCs w:val="24"/>
        </w:rPr>
      </w:pPr>
      <w:r>
        <w:rPr>
          <w:rStyle w:val="258"/>
          <w:rFonts w:hint="eastAsia" w:ascii="宋体" w:hAnsi="宋体" w:cs="宋体"/>
          <w:sz w:val="24"/>
          <w:szCs w:val="24"/>
        </w:rPr>
        <w:t xml:space="preserve">1、甲方承诺按照规定以申请特别超长期国债的方式支工程款，在特别超长期国债审批过程中的延误支付，不视为甲方付款违约行为。 </w:t>
      </w:r>
    </w:p>
    <w:p w14:paraId="581375EE">
      <w:pPr>
        <w:widowControl/>
        <w:adjustRightInd w:val="0"/>
        <w:spacing w:line="400" w:lineRule="exact"/>
        <w:ind w:firstLine="480" w:firstLineChars="200"/>
        <w:textAlignment w:val="baseline"/>
        <w:rPr>
          <w:rStyle w:val="258"/>
          <w:rFonts w:ascii="宋体" w:hAnsi="宋体" w:cs="宋体"/>
          <w:b/>
          <w:sz w:val="24"/>
          <w:szCs w:val="24"/>
        </w:rPr>
      </w:pPr>
      <w:r>
        <w:rPr>
          <w:rStyle w:val="258"/>
          <w:rFonts w:hint="eastAsia" w:ascii="宋体" w:hAnsi="宋体" w:cs="宋体"/>
          <w:sz w:val="24"/>
          <w:szCs w:val="24"/>
        </w:rPr>
        <w:t>2、付款前，乙方应提供真实有效的</w:t>
      </w:r>
      <w:r>
        <w:rPr>
          <w:rFonts w:hint="eastAsia" w:ascii="宋体" w:hAnsi="宋体" w:cs="宋体"/>
          <w:sz w:val="24"/>
          <w:szCs w:val="24"/>
        </w:rPr>
        <w:t>增值税专用发票</w:t>
      </w:r>
      <w:r>
        <w:rPr>
          <w:rStyle w:val="258"/>
          <w:rFonts w:hint="eastAsia" w:ascii="宋体" w:hAnsi="宋体" w:cs="宋体"/>
          <w:sz w:val="24"/>
          <w:szCs w:val="24"/>
        </w:rPr>
        <w:t>，否则甲方有权暂不付款，并不承担逾期付款违约责任。</w:t>
      </w:r>
    </w:p>
    <w:p w14:paraId="47C944D0">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3、甲方应提前三到五个工作日通知乙方，明确乙方交货的时间、货物，乙方应在订购单货物交货期内将货运达约定地点。乙方若逾期交货，每延迟交货一天，按所涉货款的</w:t>
      </w:r>
      <w:r>
        <w:rPr>
          <w:rStyle w:val="258"/>
          <w:rFonts w:hint="eastAsia" w:ascii="宋体" w:hAnsi="宋体" w:cs="宋体"/>
          <w:sz w:val="24"/>
          <w:szCs w:val="24"/>
          <w:u w:val="single" w:color="000000"/>
        </w:rPr>
        <w:t>万分之3</w:t>
      </w:r>
      <w:r>
        <w:rPr>
          <w:rStyle w:val="258"/>
          <w:rFonts w:hint="eastAsia" w:ascii="宋体" w:hAnsi="宋体" w:cs="宋体"/>
          <w:sz w:val="24"/>
          <w:szCs w:val="24"/>
          <w:u w:val="single"/>
        </w:rPr>
        <w:t>/天</w:t>
      </w:r>
      <w:r>
        <w:rPr>
          <w:rStyle w:val="258"/>
          <w:rFonts w:hint="eastAsia" w:ascii="宋体" w:hAnsi="宋体" w:cs="宋体"/>
          <w:sz w:val="24"/>
          <w:szCs w:val="24"/>
        </w:rPr>
        <w:t>向甲方支付违约金（甲方原因导致延期和不可抗力因素除外）。</w:t>
      </w:r>
    </w:p>
    <w:p w14:paraId="7CFDA21F">
      <w:pPr>
        <w:spacing w:line="400" w:lineRule="exact"/>
        <w:ind w:firstLine="420"/>
        <w:rPr>
          <w:b/>
          <w:bCs/>
          <w:sz w:val="24"/>
          <w:szCs w:val="24"/>
        </w:rPr>
      </w:pPr>
      <w:bookmarkStart w:id="245" w:name="_Toc12288"/>
      <w:bookmarkStart w:id="246" w:name="_Toc8473"/>
      <w:bookmarkStart w:id="247" w:name="_Toc27930"/>
      <w:r>
        <w:rPr>
          <w:rFonts w:hint="eastAsia"/>
          <w:b/>
          <w:bCs/>
          <w:sz w:val="24"/>
          <w:szCs w:val="24"/>
        </w:rPr>
        <w:t>十、双方联络：</w:t>
      </w:r>
      <w:bookmarkEnd w:id="245"/>
      <w:bookmarkEnd w:id="246"/>
      <w:bookmarkEnd w:id="247"/>
    </w:p>
    <w:p w14:paraId="5F684933">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1、甲方确认以下地址为其通讯地址</w:t>
      </w:r>
      <w:r>
        <w:rPr>
          <w:rStyle w:val="258"/>
          <w:rFonts w:hint="eastAsia" w:ascii="宋体" w:hAnsi="宋体" w:cs="宋体"/>
          <w:sz w:val="24"/>
          <w:szCs w:val="24"/>
          <w:u w:val="single"/>
        </w:rPr>
        <w:t xml:space="preserve">              ，</w:t>
      </w:r>
      <w:r>
        <w:rPr>
          <w:rStyle w:val="258"/>
          <w:rFonts w:hint="eastAsia" w:ascii="宋体" w:hAnsi="宋体" w:cs="宋体"/>
          <w:sz w:val="24"/>
          <w:szCs w:val="24"/>
        </w:rPr>
        <w:t>收件人和电话</w:t>
      </w:r>
      <w:r>
        <w:rPr>
          <w:rStyle w:val="258"/>
          <w:rFonts w:hint="eastAsia" w:ascii="宋体" w:hAnsi="宋体" w:cs="宋体"/>
          <w:sz w:val="24"/>
          <w:szCs w:val="24"/>
          <w:u w:val="single"/>
        </w:rPr>
        <w:t xml:space="preserve">                   </w:t>
      </w:r>
      <w:r>
        <w:rPr>
          <w:rStyle w:val="258"/>
          <w:rFonts w:hint="eastAsia" w:ascii="宋体" w:hAnsi="宋体" w:cs="宋体"/>
          <w:sz w:val="24"/>
          <w:szCs w:val="24"/>
        </w:rPr>
        <w:t>若甲方相关信息变更，应当及时通知乙方，否则以以上地址为准，未能收件的后果由甲方承担。</w:t>
      </w:r>
    </w:p>
    <w:p w14:paraId="73CB114C">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2、乙方确认以下地址为其通讯地址</w:t>
      </w:r>
      <w:r>
        <w:rPr>
          <w:rStyle w:val="258"/>
          <w:rFonts w:hint="eastAsia" w:ascii="宋体" w:hAnsi="宋体" w:cs="宋体"/>
          <w:sz w:val="24"/>
          <w:szCs w:val="24"/>
          <w:u w:val="single"/>
        </w:rPr>
        <w:t xml:space="preserve">             </w:t>
      </w:r>
      <w:r>
        <w:rPr>
          <w:rStyle w:val="258"/>
          <w:rFonts w:hint="eastAsia" w:ascii="宋体" w:hAnsi="宋体" w:cs="宋体"/>
          <w:sz w:val="24"/>
          <w:szCs w:val="24"/>
        </w:rPr>
        <w:t>，收件人和电话</w:t>
      </w:r>
      <w:r>
        <w:rPr>
          <w:rStyle w:val="258"/>
          <w:rFonts w:hint="eastAsia" w:ascii="宋体" w:hAnsi="宋体" w:cs="宋体"/>
          <w:sz w:val="24"/>
          <w:szCs w:val="24"/>
          <w:u w:val="single"/>
        </w:rPr>
        <w:t xml:space="preserve">                       </w:t>
      </w:r>
      <w:r>
        <w:rPr>
          <w:rStyle w:val="258"/>
          <w:rFonts w:hint="eastAsia" w:ascii="宋体" w:hAnsi="宋体" w:cs="宋体"/>
          <w:sz w:val="24"/>
          <w:szCs w:val="24"/>
        </w:rPr>
        <w:t>若乙方相关信息变更，应当及时通知甲方，否则以以上地址为准，未能收件的后果由乙方承担</w:t>
      </w:r>
      <w:r>
        <w:rPr>
          <w:rFonts w:hint="eastAsia" w:ascii="宋体" w:hAnsi="宋体" w:cs="宋体"/>
          <w:sz w:val="24"/>
          <w:szCs w:val="24"/>
        </w:rPr>
        <w:t>，且甲方或司法机关向上述地址邮寄文书的，寄出之日起满3日视为送达</w:t>
      </w:r>
      <w:r>
        <w:rPr>
          <w:rStyle w:val="258"/>
          <w:rFonts w:hint="eastAsia" w:ascii="宋体" w:hAnsi="宋体" w:cs="宋体"/>
          <w:sz w:val="24"/>
          <w:szCs w:val="24"/>
        </w:rPr>
        <w:t xml:space="preserve"> 。</w:t>
      </w:r>
    </w:p>
    <w:p w14:paraId="2A01EA5A">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w:t>
      </w:r>
      <w:r>
        <w:rPr>
          <w:rFonts w:hint="eastAsia" w:ascii="宋体" w:hAnsi="宋体" w:cs="宋体"/>
          <w:sz w:val="24"/>
          <w:szCs w:val="24"/>
        </w:rPr>
        <w:t>乙方指定的前述收件人负责处理本合同的相关事务，其签署的一切书面性文件（包含微信、短信中确认的内容）的行为均有效代表乙方，对乙方产生法律效力。</w:t>
      </w:r>
    </w:p>
    <w:p w14:paraId="29D0FF51">
      <w:pPr>
        <w:spacing w:line="400" w:lineRule="exact"/>
        <w:ind w:firstLine="420"/>
        <w:rPr>
          <w:b/>
          <w:bCs/>
          <w:sz w:val="24"/>
          <w:szCs w:val="24"/>
        </w:rPr>
      </w:pPr>
      <w:bookmarkStart w:id="248" w:name="_Toc15025"/>
      <w:bookmarkStart w:id="249" w:name="_Toc8699"/>
      <w:bookmarkStart w:id="250" w:name="_Toc12356"/>
      <w:r>
        <w:rPr>
          <w:rFonts w:hint="eastAsia"/>
          <w:b/>
          <w:bCs/>
          <w:sz w:val="24"/>
          <w:szCs w:val="24"/>
        </w:rPr>
        <w:t>十一、解决合同纠纷的方式：</w:t>
      </w:r>
      <w:bookmarkEnd w:id="248"/>
      <w:bookmarkEnd w:id="249"/>
      <w:bookmarkEnd w:id="250"/>
    </w:p>
    <w:p w14:paraId="777499F9">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本合同在履行中发生的争议，由双方当事人协商解决。协商或解决不成的，依法向</w:t>
      </w:r>
      <w:r>
        <w:rPr>
          <w:rStyle w:val="258"/>
          <w:rFonts w:hint="eastAsia" w:ascii="宋体" w:hAnsi="宋体" w:cs="宋体"/>
          <w:sz w:val="24"/>
          <w:szCs w:val="24"/>
          <w:u w:val="single" w:color="000000"/>
        </w:rPr>
        <w:t>甲方所在地</w:t>
      </w:r>
      <w:r>
        <w:rPr>
          <w:rStyle w:val="258"/>
          <w:rFonts w:hint="eastAsia" w:ascii="宋体" w:hAnsi="宋体" w:cs="宋体"/>
          <w:sz w:val="24"/>
          <w:szCs w:val="24"/>
        </w:rPr>
        <w:t>人民法院起诉。</w:t>
      </w:r>
    </w:p>
    <w:p w14:paraId="506C6508">
      <w:pPr>
        <w:spacing w:line="400" w:lineRule="exact"/>
        <w:ind w:firstLine="420"/>
        <w:rPr>
          <w:b/>
          <w:bCs/>
          <w:sz w:val="24"/>
          <w:szCs w:val="24"/>
        </w:rPr>
      </w:pPr>
      <w:bookmarkStart w:id="251" w:name="_Toc2737"/>
      <w:bookmarkStart w:id="252" w:name="_Toc3059"/>
      <w:bookmarkStart w:id="253" w:name="_Toc12582"/>
      <w:r>
        <w:rPr>
          <w:rFonts w:hint="eastAsia"/>
          <w:b/>
          <w:bCs/>
          <w:sz w:val="24"/>
          <w:szCs w:val="24"/>
        </w:rPr>
        <w:t>十二、安全责任：</w:t>
      </w:r>
      <w:bookmarkEnd w:id="251"/>
      <w:bookmarkEnd w:id="252"/>
      <w:bookmarkEnd w:id="253"/>
    </w:p>
    <w:p w14:paraId="0778022C">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1、乙方应遵守工程建设安全生产有关管理规定，严格按安全标准组织施工并随时接受行业安全检查人员依法实施的监督检查，采取必要的安全防护措施，及时消除事故隐患。</w:t>
      </w:r>
    </w:p>
    <w:p w14:paraId="7A9D4B49">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2、在施工过程中发生安全事故，给甲、乙双方及其他第三方造成人身、财产损害的，由乙方承担民事赔偿责任和其他行政、刑事责任，甲方不承担任何责任。</w:t>
      </w:r>
    </w:p>
    <w:p w14:paraId="730C0D79">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3、发生重大伤亡及其他安全事故，乙方应按有关规定立即通知甲方并上报有关部门，同时按政府有关部门要求处理。</w:t>
      </w:r>
    </w:p>
    <w:p w14:paraId="0C7DE878">
      <w:pPr>
        <w:spacing w:line="400" w:lineRule="exact"/>
        <w:ind w:firstLine="420"/>
        <w:rPr>
          <w:b/>
          <w:bCs/>
          <w:sz w:val="24"/>
          <w:szCs w:val="24"/>
        </w:rPr>
      </w:pPr>
      <w:bookmarkStart w:id="254" w:name="_Toc6364"/>
      <w:bookmarkStart w:id="255" w:name="_Toc8658"/>
      <w:r>
        <w:rPr>
          <w:rFonts w:hint="eastAsia"/>
          <w:b/>
          <w:bCs/>
          <w:sz w:val="24"/>
          <w:szCs w:val="24"/>
        </w:rPr>
        <w:t>十三、其他约定事项：</w:t>
      </w:r>
      <w:bookmarkEnd w:id="254"/>
      <w:bookmarkEnd w:id="255"/>
    </w:p>
    <w:p w14:paraId="28F1DC10">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1、业主如需申报政府相关补贴，乙方应全力配合。</w:t>
      </w:r>
    </w:p>
    <w:p w14:paraId="38356E3F">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2、乙方货物进场至电梯监督检验之前，货物保管、成品保护由乙方自行负责。</w:t>
      </w:r>
    </w:p>
    <w:p w14:paraId="3A9F2318">
      <w:pPr>
        <w:widowControl/>
        <w:adjustRightInd w:val="0"/>
        <w:spacing w:line="400" w:lineRule="exact"/>
        <w:ind w:firstLine="480" w:firstLineChars="200"/>
        <w:textAlignment w:val="baseline"/>
        <w:rPr>
          <w:rStyle w:val="258"/>
          <w:rFonts w:ascii="宋体" w:hAnsi="宋体" w:cs="宋体"/>
          <w:sz w:val="24"/>
          <w:szCs w:val="24"/>
        </w:rPr>
      </w:pPr>
      <w:r>
        <w:rPr>
          <w:rStyle w:val="258"/>
          <w:rFonts w:hint="eastAsia" w:ascii="宋体" w:hAnsi="宋体" w:cs="宋体"/>
          <w:sz w:val="24"/>
          <w:szCs w:val="24"/>
        </w:rPr>
        <w:t>3、在本合同签定后，合同如需加以补充或变更，需要双方签署书面补充合同或变更合同。</w:t>
      </w:r>
    </w:p>
    <w:p w14:paraId="5B9FDF54">
      <w:pPr>
        <w:widowControl/>
        <w:adjustRightInd w:val="0"/>
        <w:spacing w:line="400" w:lineRule="exact"/>
        <w:ind w:firstLine="480" w:firstLineChars="200"/>
        <w:textAlignment w:val="baseline"/>
        <w:outlineLvl w:val="1"/>
        <w:rPr>
          <w:rStyle w:val="258"/>
          <w:rFonts w:ascii="宋体" w:hAnsi="宋体" w:cs="宋体"/>
          <w:sz w:val="24"/>
          <w:szCs w:val="24"/>
        </w:rPr>
      </w:pPr>
      <w:bookmarkStart w:id="256" w:name="_Toc516"/>
      <w:bookmarkStart w:id="257" w:name="_Toc27941"/>
      <w:bookmarkStart w:id="258" w:name="_Toc23580"/>
      <w:r>
        <w:rPr>
          <w:rStyle w:val="258"/>
          <w:rFonts w:hint="eastAsia" w:ascii="宋体" w:hAnsi="宋体" w:cs="宋体"/>
          <w:sz w:val="24"/>
          <w:szCs w:val="24"/>
        </w:rPr>
        <w:t>4、合同未列入之条款，应按照《中华人民共和国</w:t>
      </w:r>
      <w:r>
        <w:rPr>
          <w:rFonts w:hint="eastAsia" w:ascii="宋体" w:hAnsi="宋体" w:cs="宋体"/>
          <w:sz w:val="24"/>
          <w:szCs w:val="24"/>
        </w:rPr>
        <w:t>民法典</w:t>
      </w:r>
      <w:r>
        <w:rPr>
          <w:rStyle w:val="258"/>
          <w:rFonts w:hint="eastAsia" w:ascii="宋体" w:hAnsi="宋体" w:cs="宋体"/>
          <w:sz w:val="24"/>
          <w:szCs w:val="24"/>
        </w:rPr>
        <w:t>》处理。</w:t>
      </w:r>
      <w:bookmarkEnd w:id="256"/>
      <w:bookmarkEnd w:id="257"/>
      <w:bookmarkEnd w:id="258"/>
    </w:p>
    <w:p w14:paraId="63C352B8">
      <w:pPr>
        <w:widowControl/>
        <w:adjustRightInd w:val="0"/>
        <w:spacing w:line="400" w:lineRule="exact"/>
        <w:ind w:firstLine="480" w:firstLineChars="200"/>
        <w:textAlignment w:val="baseline"/>
        <w:outlineLvl w:val="1"/>
        <w:rPr>
          <w:rStyle w:val="258"/>
          <w:rFonts w:ascii="宋体" w:hAnsi="宋体" w:cs="宋体"/>
          <w:sz w:val="24"/>
          <w:szCs w:val="24"/>
        </w:rPr>
      </w:pPr>
      <w:r>
        <w:rPr>
          <w:rStyle w:val="258"/>
          <w:rFonts w:hint="eastAsia" w:ascii="宋体" w:hAnsi="宋体" w:cs="宋体"/>
          <w:sz w:val="24"/>
          <w:szCs w:val="24"/>
        </w:rPr>
        <w:t>5、本项目的比选文件作为本合同的附件，具有同等法律效力。</w:t>
      </w:r>
    </w:p>
    <w:p w14:paraId="2181A15B">
      <w:pPr>
        <w:widowControl/>
        <w:adjustRightInd w:val="0"/>
        <w:spacing w:line="400" w:lineRule="exact"/>
        <w:ind w:firstLine="480" w:firstLineChars="200"/>
        <w:textAlignment w:val="baseline"/>
        <w:rPr>
          <w:rFonts w:ascii="宋体" w:hAnsi="宋体" w:cs="宋体"/>
          <w:szCs w:val="28"/>
        </w:rPr>
      </w:pPr>
      <w:r>
        <w:rPr>
          <w:rStyle w:val="258"/>
          <w:rFonts w:hint="eastAsia" w:ascii="宋体" w:hAnsi="宋体" w:cs="宋体"/>
          <w:sz w:val="24"/>
          <w:szCs w:val="24"/>
        </w:rPr>
        <w:t>6、本合同一式肆份，甲方执两份，乙方执两份，具有同等法律效力。经双方签字（盖章）后生效。</w:t>
      </w:r>
    </w:p>
    <w:p w14:paraId="0B7BBC05">
      <w:pPr>
        <w:spacing w:line="400" w:lineRule="exact"/>
        <w:ind w:right="12" w:firstLine="480"/>
        <w:rPr>
          <w:rFonts w:ascii="宋体" w:hAnsi="宋体" w:cs="宋体"/>
          <w:sz w:val="24"/>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14:paraId="605727B1">
      <w:pPr>
        <w:pStyle w:val="3"/>
        <w:jc w:val="center"/>
        <w:rPr>
          <w:rFonts w:hAnsi="宋体" w:cs="宋体"/>
          <w:b/>
          <w:bCs/>
          <w:sz w:val="30"/>
          <w:szCs w:val="30"/>
        </w:rPr>
      </w:pPr>
      <w:bookmarkStart w:id="259" w:name="_Hlt41879464"/>
      <w:bookmarkEnd w:id="259"/>
      <w:bookmarkStart w:id="260" w:name="_Toc20499"/>
      <w:bookmarkStart w:id="261" w:name="_Toc6968"/>
      <w:bookmarkStart w:id="262" w:name="_Toc9538"/>
      <w:bookmarkStart w:id="263" w:name="_Toc65660378"/>
      <w:bookmarkStart w:id="264" w:name="_Toc12789072"/>
      <w:bookmarkStart w:id="265" w:name="_Toc23317"/>
      <w:bookmarkStart w:id="266" w:name="_Toc18521"/>
      <w:r>
        <w:rPr>
          <w:rFonts w:hint="eastAsia" w:hAnsi="宋体" w:cs="宋体"/>
          <w:b/>
          <w:bCs/>
          <w:sz w:val="30"/>
          <w:szCs w:val="30"/>
        </w:rPr>
        <w:t>第七篇  响应文件格式要求</w:t>
      </w:r>
      <w:bookmarkEnd w:id="260"/>
      <w:bookmarkEnd w:id="261"/>
      <w:bookmarkEnd w:id="262"/>
      <w:bookmarkEnd w:id="263"/>
      <w:bookmarkEnd w:id="264"/>
      <w:bookmarkEnd w:id="265"/>
      <w:bookmarkEnd w:id="266"/>
    </w:p>
    <w:p w14:paraId="0C22B098">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14:paraId="54782EDA">
      <w:pPr>
        <w:spacing w:line="400" w:lineRule="exact"/>
        <w:ind w:firstLine="480" w:firstLineChars="200"/>
        <w:rPr>
          <w:rFonts w:ascii="宋体" w:hAnsi="宋体" w:cs="宋体"/>
          <w:sz w:val="24"/>
          <w:szCs w:val="24"/>
        </w:rPr>
      </w:pPr>
      <w:r>
        <w:rPr>
          <w:rFonts w:hint="eastAsia" w:ascii="宋体" w:hAnsi="宋体" w:cs="宋体"/>
          <w:sz w:val="24"/>
          <w:szCs w:val="24"/>
        </w:rPr>
        <w:t>（一）比选报价函</w:t>
      </w:r>
    </w:p>
    <w:p w14:paraId="41144CCF">
      <w:pPr>
        <w:spacing w:line="400" w:lineRule="exact"/>
        <w:ind w:firstLine="480" w:firstLineChars="200"/>
        <w:rPr>
          <w:rFonts w:ascii="宋体" w:hAnsi="宋体" w:cs="宋体"/>
          <w:sz w:val="24"/>
          <w:szCs w:val="24"/>
        </w:rPr>
      </w:pPr>
      <w:r>
        <w:rPr>
          <w:rFonts w:hint="eastAsia" w:ascii="宋体" w:hAnsi="宋体" w:cs="宋体"/>
          <w:sz w:val="24"/>
          <w:szCs w:val="24"/>
        </w:rPr>
        <w:t>（二）报价明细表</w:t>
      </w:r>
    </w:p>
    <w:p w14:paraId="694BF897">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14:paraId="4D638144">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14:paraId="157519EF">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14:paraId="60D0E375">
      <w:pPr>
        <w:spacing w:line="400" w:lineRule="exact"/>
        <w:ind w:firstLine="482" w:firstLineChars="200"/>
        <w:rPr>
          <w:rFonts w:ascii="宋体" w:hAnsi="宋体" w:cs="宋体"/>
          <w:b/>
          <w:sz w:val="24"/>
          <w:szCs w:val="24"/>
        </w:rPr>
      </w:pPr>
      <w:r>
        <w:rPr>
          <w:rFonts w:hint="eastAsia" w:ascii="宋体" w:hAnsi="宋体" w:cs="宋体"/>
          <w:b/>
          <w:sz w:val="24"/>
          <w:szCs w:val="24"/>
        </w:rPr>
        <w:t>三、商务部分</w:t>
      </w:r>
    </w:p>
    <w:p w14:paraId="144880DA">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47152DA7">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14:paraId="69B154B1">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14:paraId="128E803E">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669349F2">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137B0838">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1133C2D9">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6099A714">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14:paraId="3F0DE9BC">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14:paraId="5F192FE9">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14:paraId="4436C94A">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FF36D5C">
      <w:pPr>
        <w:keepNext/>
        <w:keepLines/>
        <w:adjustRightInd w:val="0"/>
        <w:snapToGrid w:val="0"/>
        <w:spacing w:line="400" w:lineRule="exact"/>
        <w:ind w:firstLine="482" w:firstLineChars="200"/>
        <w:outlineLvl w:val="1"/>
        <w:rPr>
          <w:rFonts w:ascii="宋体" w:hAnsi="宋体" w:cs="宋体"/>
          <w:b/>
          <w:sz w:val="24"/>
        </w:rPr>
      </w:pPr>
      <w:bookmarkStart w:id="267" w:name="_Toc65660379"/>
      <w:bookmarkStart w:id="268" w:name="_Toc313888360"/>
      <w:bookmarkStart w:id="269" w:name="_Toc30982"/>
      <w:bookmarkStart w:id="270" w:name="_Toc737"/>
      <w:bookmarkStart w:id="271" w:name="_Toc342913419"/>
      <w:bookmarkStart w:id="272" w:name="_Toc26343"/>
      <w:bookmarkStart w:id="273" w:name="_Toc313008356"/>
      <w:bookmarkStart w:id="274" w:name="_Toc14244"/>
      <w:bookmarkStart w:id="275" w:name="_Toc12789073"/>
      <w:bookmarkStart w:id="276" w:name="_Toc283382454"/>
      <w:r>
        <w:rPr>
          <w:rFonts w:hint="eastAsia" w:ascii="宋体" w:hAnsi="宋体" w:cs="宋体"/>
          <w:b/>
          <w:sz w:val="24"/>
        </w:rPr>
        <w:t>一、经济部分</w:t>
      </w:r>
      <w:bookmarkEnd w:id="267"/>
      <w:bookmarkEnd w:id="268"/>
      <w:bookmarkEnd w:id="269"/>
      <w:bookmarkEnd w:id="270"/>
      <w:bookmarkEnd w:id="271"/>
      <w:bookmarkEnd w:id="272"/>
      <w:bookmarkEnd w:id="273"/>
      <w:bookmarkEnd w:id="274"/>
    </w:p>
    <w:bookmarkEnd w:id="275"/>
    <w:bookmarkEnd w:id="276"/>
    <w:p w14:paraId="6FEB2C84">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14:paraId="0EABA627">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比选报价函</w:t>
      </w:r>
    </w:p>
    <w:p w14:paraId="44A38000">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重庆靖正恒悦项目管理有限公司（采购代理机构名称）</w:t>
      </w:r>
      <w:r>
        <w:rPr>
          <w:rFonts w:hint="eastAsia" w:ascii="宋体" w:hAnsi="宋体" w:cs="宋体"/>
          <w:sz w:val="24"/>
          <w:szCs w:val="24"/>
        </w:rPr>
        <w:t>：</w:t>
      </w:r>
    </w:p>
    <w:p w14:paraId="037849D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w:t>
      </w:r>
      <w:r>
        <w:rPr>
          <w:rFonts w:hint="eastAsia" w:ascii="宋体" w:hAnsi="宋体" w:cs="宋体"/>
          <w:b/>
          <w:bCs/>
          <w:sz w:val="24"/>
          <w:szCs w:val="24"/>
          <w:u w:val="single"/>
        </w:rPr>
        <w:t xml:space="preserve">         </w:t>
      </w:r>
      <w:r>
        <w:rPr>
          <w:rFonts w:hint="eastAsia" w:ascii="宋体" w:hAnsi="宋体" w:cs="宋体"/>
          <w:b/>
          <w:bCs/>
          <w:sz w:val="24"/>
          <w:szCs w:val="24"/>
        </w:rPr>
        <w:t>（比选项目名称）</w:t>
      </w:r>
      <w:r>
        <w:rPr>
          <w:rFonts w:hint="eastAsia" w:ascii="宋体" w:hAnsi="宋体" w:cs="宋体"/>
          <w:sz w:val="24"/>
          <w:szCs w:val="24"/>
        </w:rPr>
        <w:t>的竞争性比选文件，经详细研究，决定参加该比选项目的报价。</w:t>
      </w:r>
    </w:p>
    <w:p w14:paraId="1DFA274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1.愿意按照竞争性比选文件中的一切要求，提供本项目的交货及技术服务，</w:t>
      </w:r>
      <w:r>
        <w:rPr>
          <w:rFonts w:hint="eastAsia" w:ascii="宋体" w:hAnsi="宋体" w:cs="宋体"/>
          <w:b/>
          <w:bCs/>
          <w:sz w:val="24"/>
          <w:szCs w:val="24"/>
        </w:rPr>
        <w:t>我方所投电梯品牌为：</w:t>
      </w:r>
      <w:r>
        <w:rPr>
          <w:rFonts w:hint="eastAsia" w:ascii="宋体" w:hAnsi="宋体" w:cs="宋体"/>
          <w:b/>
          <w:bCs/>
          <w:sz w:val="24"/>
          <w:szCs w:val="24"/>
          <w:u w:val="single"/>
        </w:rPr>
        <w:t xml:space="preserve">       </w:t>
      </w:r>
      <w:r>
        <w:rPr>
          <w:rFonts w:hint="eastAsia" w:ascii="宋体" w:hAnsi="宋体" w:cs="宋体"/>
          <w:b/>
          <w:bCs/>
          <w:sz w:val="24"/>
          <w:szCs w:val="24"/>
        </w:rPr>
        <w:t>；投标总报价（含税）为人民币大写：</w:t>
      </w:r>
      <w:r>
        <w:rPr>
          <w:rFonts w:hint="eastAsia" w:ascii="宋体" w:hAnsi="宋体" w:cs="宋体"/>
          <w:b/>
          <w:bCs/>
          <w:sz w:val="24"/>
          <w:szCs w:val="24"/>
          <w:u w:val="single"/>
        </w:rPr>
        <w:t xml:space="preserve">      </w:t>
      </w:r>
      <w:r>
        <w:rPr>
          <w:rFonts w:hint="eastAsia" w:ascii="宋体" w:hAnsi="宋体" w:cs="宋体"/>
          <w:b/>
          <w:bCs/>
          <w:sz w:val="24"/>
          <w:szCs w:val="24"/>
        </w:rPr>
        <w:t>元整；人民币小写：</w:t>
      </w:r>
      <w:r>
        <w:rPr>
          <w:rFonts w:hint="eastAsia" w:ascii="宋体" w:hAnsi="宋体" w:cs="宋体"/>
          <w:b/>
          <w:bCs/>
          <w:sz w:val="24"/>
          <w:szCs w:val="24"/>
          <w:u w:val="single"/>
        </w:rPr>
        <w:t xml:space="preserve">     </w:t>
      </w:r>
      <w:r>
        <w:rPr>
          <w:rFonts w:hint="eastAsia" w:ascii="宋体" w:hAnsi="宋体" w:cs="宋体"/>
          <w:b/>
          <w:bCs/>
          <w:sz w:val="24"/>
          <w:szCs w:val="24"/>
        </w:rPr>
        <w:t>元。税率为</w:t>
      </w:r>
      <w:r>
        <w:rPr>
          <w:rFonts w:hint="eastAsia" w:ascii="宋体" w:hAnsi="宋体" w:cs="宋体"/>
          <w:b/>
          <w:bCs/>
          <w:sz w:val="24"/>
          <w:szCs w:val="24"/>
          <w:u w:val="single"/>
        </w:rPr>
        <w:t xml:space="preserve">    </w:t>
      </w:r>
      <w:r>
        <w:rPr>
          <w:rFonts w:hint="eastAsia" w:ascii="宋体" w:hAnsi="宋体" w:cs="宋体"/>
          <w:b/>
          <w:bCs/>
          <w:sz w:val="24"/>
          <w:szCs w:val="24"/>
        </w:rPr>
        <w:t>%。</w:t>
      </w:r>
    </w:p>
    <w:p w14:paraId="039BA7F4">
      <w:pPr>
        <w:tabs>
          <w:tab w:val="left" w:pos="6300"/>
        </w:tabs>
        <w:snapToGrid w:val="0"/>
        <w:spacing w:line="312" w:lineRule="auto"/>
        <w:ind w:firstLine="482" w:firstLineChars="200"/>
        <w:rPr>
          <w:rFonts w:ascii="宋体" w:hAnsi="宋体" w:cs="宋体"/>
          <w:b/>
          <w:bCs/>
          <w:sz w:val="24"/>
          <w:szCs w:val="24"/>
        </w:rPr>
      </w:pPr>
      <w:r>
        <w:rPr>
          <w:rFonts w:hint="eastAsia" w:ascii="宋体" w:hAnsi="宋体" w:cs="宋体"/>
          <w:b/>
          <w:bCs/>
          <w:sz w:val="24"/>
          <w:szCs w:val="24"/>
        </w:rPr>
        <w:t>2.我方现提交的响应文件为：响应文件正本</w:t>
      </w:r>
      <w:r>
        <w:rPr>
          <w:rFonts w:hint="eastAsia" w:ascii="宋体" w:hAnsi="宋体" w:cs="宋体"/>
          <w:b/>
          <w:bCs/>
          <w:sz w:val="24"/>
          <w:szCs w:val="24"/>
          <w:u w:val="single"/>
        </w:rPr>
        <w:t xml:space="preserve">   </w:t>
      </w:r>
      <w:r>
        <w:rPr>
          <w:rFonts w:hint="eastAsia" w:ascii="宋体" w:hAnsi="宋体" w:cs="宋体"/>
          <w:b/>
          <w:bCs/>
          <w:sz w:val="24"/>
          <w:szCs w:val="24"/>
        </w:rPr>
        <w:t>份，副本</w:t>
      </w:r>
      <w:r>
        <w:rPr>
          <w:rFonts w:hint="eastAsia" w:ascii="宋体" w:hAnsi="宋体" w:cs="宋体"/>
          <w:b/>
          <w:bCs/>
          <w:sz w:val="24"/>
          <w:szCs w:val="24"/>
          <w:u w:val="single"/>
        </w:rPr>
        <w:t xml:space="preserve">   </w:t>
      </w:r>
      <w:r>
        <w:rPr>
          <w:rFonts w:hint="eastAsia" w:ascii="宋体" w:hAnsi="宋体" w:cs="宋体"/>
          <w:b/>
          <w:bCs/>
          <w:sz w:val="24"/>
          <w:szCs w:val="24"/>
        </w:rPr>
        <w:t>份，行采家网站上传响应文件电子文档</w:t>
      </w:r>
      <w:r>
        <w:rPr>
          <w:rFonts w:hint="eastAsia" w:ascii="宋体" w:hAnsi="宋体" w:cs="宋体"/>
          <w:b/>
          <w:bCs/>
          <w:sz w:val="24"/>
          <w:szCs w:val="24"/>
          <w:u w:val="single"/>
        </w:rPr>
        <w:t xml:space="preserve"> 1 </w:t>
      </w:r>
      <w:r>
        <w:rPr>
          <w:rFonts w:hint="eastAsia" w:ascii="宋体" w:hAnsi="宋体" w:cs="宋体"/>
          <w:b/>
          <w:bCs/>
          <w:sz w:val="24"/>
          <w:szCs w:val="24"/>
        </w:rPr>
        <w:t>份。</w:t>
      </w:r>
    </w:p>
    <w:p w14:paraId="0B49FBD4">
      <w:pPr>
        <w:tabs>
          <w:tab w:val="left" w:pos="6300"/>
        </w:tabs>
        <w:snapToGrid w:val="0"/>
        <w:spacing w:line="312" w:lineRule="auto"/>
        <w:ind w:firstLine="482" w:firstLineChars="200"/>
        <w:rPr>
          <w:rFonts w:ascii="宋体" w:hAnsi="宋体" w:cs="宋体"/>
          <w:b/>
          <w:bCs/>
          <w:sz w:val="24"/>
          <w:szCs w:val="24"/>
          <w:u w:val="single"/>
        </w:rPr>
      </w:pPr>
      <w:r>
        <w:rPr>
          <w:rFonts w:hint="eastAsia" w:ascii="宋体" w:hAnsi="宋体" w:cs="宋体"/>
          <w:b/>
          <w:bCs/>
          <w:sz w:val="24"/>
          <w:szCs w:val="24"/>
        </w:rPr>
        <w:t>3.我方承诺：应在合同签订后</w:t>
      </w:r>
      <w:r>
        <w:rPr>
          <w:rFonts w:hint="eastAsia" w:ascii="宋体" w:hAnsi="宋体" w:cs="宋体"/>
          <w:b/>
          <w:bCs/>
          <w:sz w:val="24"/>
          <w:szCs w:val="24"/>
          <w:u w:val="single"/>
        </w:rPr>
        <w:t xml:space="preserve">   </w:t>
      </w:r>
      <w:r>
        <w:rPr>
          <w:rFonts w:hint="eastAsia" w:ascii="宋体" w:hAnsi="宋体" w:cs="宋体"/>
          <w:b/>
          <w:bCs/>
          <w:sz w:val="24"/>
          <w:szCs w:val="24"/>
        </w:rPr>
        <w:t>日历日内交货并完成安装调试（国家法定节假日顺延），同时通过特种设备监督管理部门验收合格并取得合格的检验监督报告。原厂整梯质保期为</w:t>
      </w:r>
    </w:p>
    <w:p w14:paraId="1B0E4153">
      <w:pPr>
        <w:tabs>
          <w:tab w:val="left" w:pos="6300"/>
        </w:tabs>
        <w:snapToGrid w:val="0"/>
        <w:spacing w:line="312" w:lineRule="auto"/>
        <w:rPr>
          <w:rFonts w:ascii="宋体" w:hAnsi="宋体" w:cs="宋体"/>
          <w:sz w:val="24"/>
          <w:szCs w:val="24"/>
        </w:rPr>
      </w:pPr>
      <w:r>
        <w:rPr>
          <w:rFonts w:hint="eastAsia" w:ascii="宋体" w:hAnsi="宋体" w:cs="宋体"/>
          <w:b/>
          <w:bCs/>
          <w:sz w:val="24"/>
          <w:szCs w:val="24"/>
          <w:u w:val="single"/>
        </w:rPr>
        <w:t xml:space="preserve">     </w:t>
      </w:r>
      <w:r>
        <w:rPr>
          <w:rFonts w:hint="eastAsia" w:ascii="宋体" w:hAnsi="宋体" w:cs="宋体"/>
          <w:b/>
          <w:bCs/>
          <w:sz w:val="24"/>
          <w:szCs w:val="24"/>
        </w:rPr>
        <w:t>年，原厂整机免费维保期为</w:t>
      </w:r>
      <w:r>
        <w:rPr>
          <w:rFonts w:hint="eastAsia" w:ascii="宋体" w:hAnsi="宋体" w:cs="宋体"/>
          <w:b/>
          <w:bCs/>
          <w:sz w:val="24"/>
          <w:szCs w:val="24"/>
          <w:u w:val="single"/>
        </w:rPr>
        <w:t xml:space="preserve">    </w:t>
      </w:r>
      <w:r>
        <w:rPr>
          <w:rFonts w:hint="eastAsia" w:ascii="宋体" w:hAnsi="宋体" w:cs="宋体"/>
          <w:b/>
          <w:bCs/>
          <w:sz w:val="24"/>
          <w:szCs w:val="24"/>
        </w:rPr>
        <w:t>年。质保期从重庆市特种设备检测研究院验收合格之日算起，质保期内使用配件必须为原厂配件。</w:t>
      </w:r>
    </w:p>
    <w:p w14:paraId="451A3B0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4.我方承诺：本次报价的有效期为提交响应文件截止时间起90天。</w:t>
      </w:r>
    </w:p>
    <w:p w14:paraId="7827DCD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5.我方完全理解和接受贵方竞争性比选文件的一切规定和要求及评审办法。</w:t>
      </w:r>
    </w:p>
    <w:p w14:paraId="1517F26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6.在整个比选过程中，我方若有违规行为，接受按照《中华人民共和国政府采购法》和本项目《竞争性比选文件》之规定给予惩罚。</w:t>
      </w:r>
    </w:p>
    <w:p w14:paraId="2F07267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7.我方若成为成交供应商，将按照最终报价结果签订合同，并且严格履行合同义务。本承诺函将成为合同不可分割的一部分，与合同具有同等的法律效力。</w:t>
      </w:r>
    </w:p>
    <w:p w14:paraId="159EEC4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8.我方同意按竞争性比选文件规定，交纳竞争性比选文件要求的保证金。如果我方成为成交供应商，保证在接到成交通知书后，向采购代理机构缴纳竞争性比选文件规定的采购代理服务费。</w:t>
      </w:r>
    </w:p>
    <w:p w14:paraId="6288B24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2B6F0AEE">
      <w:pPr>
        <w:tabs>
          <w:tab w:val="left" w:pos="6300"/>
        </w:tabs>
        <w:snapToGrid w:val="0"/>
        <w:spacing w:line="312" w:lineRule="auto"/>
        <w:ind w:firstLine="570"/>
        <w:rPr>
          <w:rFonts w:ascii="宋体" w:hAnsi="宋体" w:cs="宋体"/>
          <w:sz w:val="24"/>
          <w:szCs w:val="24"/>
        </w:rPr>
      </w:pPr>
    </w:p>
    <w:p w14:paraId="4B3165A5">
      <w:pPr>
        <w:tabs>
          <w:tab w:val="left" w:pos="6300"/>
        </w:tabs>
        <w:snapToGrid w:val="0"/>
        <w:spacing w:line="312" w:lineRule="auto"/>
        <w:ind w:firstLine="570"/>
        <w:rPr>
          <w:rFonts w:ascii="宋体" w:hAnsi="宋体" w:cs="宋体"/>
          <w:sz w:val="24"/>
          <w:szCs w:val="24"/>
        </w:rPr>
      </w:pPr>
    </w:p>
    <w:p w14:paraId="4025ED1B">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7F883875">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71C5AC28">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电话：                         </w:t>
      </w:r>
    </w:p>
    <w:p w14:paraId="52E724F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42512B57">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w:t>
      </w:r>
    </w:p>
    <w:p w14:paraId="180F4768">
      <w:pPr>
        <w:snapToGrid w:val="0"/>
        <w:spacing w:line="312" w:lineRule="auto"/>
        <w:ind w:firstLine="480" w:firstLineChars="200"/>
        <w:rPr>
          <w:rFonts w:ascii="宋体" w:hAnsi="宋体" w:cs="宋体"/>
          <w:sz w:val="24"/>
          <w:szCs w:val="24"/>
        </w:rPr>
      </w:pPr>
    </w:p>
    <w:p w14:paraId="0FCAD4A5">
      <w:pPr>
        <w:snapToGrid w:val="0"/>
        <w:spacing w:line="312" w:lineRule="auto"/>
        <w:ind w:firstLine="1680" w:firstLineChars="700"/>
        <w:jc w:val="right"/>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年   月   日</w:t>
      </w:r>
    </w:p>
    <w:p w14:paraId="07CD59C5">
      <w:pPr>
        <w:snapToGrid w:val="0"/>
        <w:spacing w:line="312" w:lineRule="auto"/>
        <w:ind w:firstLine="480" w:firstLineChars="200"/>
        <w:rPr>
          <w:rFonts w:ascii="宋体" w:hAnsi="宋体" w:cs="宋体"/>
          <w:sz w:val="24"/>
          <w:szCs w:val="24"/>
        </w:rPr>
      </w:pPr>
      <w:r>
        <w:rPr>
          <w:rFonts w:hint="eastAsia" w:ascii="宋体" w:hAnsi="宋体" w:cs="宋体"/>
          <w:sz w:val="24"/>
          <w:szCs w:val="24"/>
        </w:rPr>
        <w:t>（二）报价明细表</w:t>
      </w:r>
    </w:p>
    <w:p w14:paraId="2896EA4E">
      <w:pPr>
        <w:snapToGrid w:val="0"/>
        <w:spacing w:line="300" w:lineRule="exact"/>
        <w:ind w:firstLine="480" w:firstLineChars="200"/>
        <w:rPr>
          <w:rFonts w:ascii="宋体" w:hAnsi="宋体" w:cs="宋体"/>
          <w:sz w:val="24"/>
          <w:szCs w:val="24"/>
        </w:rPr>
      </w:pPr>
      <w:r>
        <w:rPr>
          <w:rFonts w:hint="eastAsia" w:ascii="宋体" w:hAnsi="宋体" w:cs="宋体"/>
          <w:sz w:val="24"/>
          <w:szCs w:val="24"/>
        </w:rPr>
        <w:t>注：</w:t>
      </w:r>
    </w:p>
    <w:p w14:paraId="3BC3BE55">
      <w:pPr>
        <w:snapToGrid w:val="0"/>
        <w:spacing w:line="300" w:lineRule="exact"/>
        <w:ind w:firstLine="480" w:firstLineChars="200"/>
        <w:rPr>
          <w:rFonts w:ascii="宋体" w:hAnsi="宋体" w:cs="宋体"/>
          <w:sz w:val="24"/>
          <w:szCs w:val="24"/>
        </w:rPr>
      </w:pPr>
      <w:r>
        <w:rPr>
          <w:rFonts w:hint="eastAsia" w:ascii="宋体" w:hAnsi="宋体" w:cs="宋体"/>
          <w:sz w:val="24"/>
          <w:szCs w:val="24"/>
        </w:rPr>
        <w:t>1、《比选报价函》中的含税投标总报价金额应与《报价明细表》中各楼栋含税报价总计金额之和一致，否则将按无效投标处理。</w:t>
      </w:r>
    </w:p>
    <w:p w14:paraId="368AFF5A">
      <w:pPr>
        <w:snapToGrid w:val="0"/>
        <w:spacing w:line="300" w:lineRule="exact"/>
        <w:ind w:firstLine="480" w:firstLineChars="200"/>
        <w:rPr>
          <w:rFonts w:ascii="宋体" w:hAnsi="宋体" w:cs="宋体"/>
          <w:sz w:val="24"/>
          <w:szCs w:val="24"/>
        </w:rPr>
      </w:pPr>
      <w:r>
        <w:rPr>
          <w:rFonts w:hint="eastAsia" w:ascii="宋体" w:hAnsi="宋体" w:cs="宋体"/>
          <w:sz w:val="24"/>
          <w:szCs w:val="24"/>
        </w:rPr>
        <w:t>2、供应商应按下表填写各楼栋报价明细表中相应数据，未填报数据视为报价已包含项目实施的此项费用，由此产生的后果皆由供应商自行承担责任，采购人不再补偿。</w:t>
      </w:r>
    </w:p>
    <w:p w14:paraId="1E561E13">
      <w:pPr>
        <w:pStyle w:val="49"/>
        <w:jc w:val="center"/>
        <w:rPr>
          <w:rFonts w:ascii="宋体" w:hAnsi="宋体" w:cs="宋体"/>
          <w:b/>
          <w:bCs/>
          <w:sz w:val="28"/>
          <w:szCs w:val="28"/>
        </w:rPr>
      </w:pPr>
      <w:r>
        <w:rPr>
          <w:rFonts w:hint="eastAsia" w:ascii="宋体" w:hAnsi="宋体" w:cs="宋体"/>
          <w:b/>
          <w:bCs/>
          <w:sz w:val="28"/>
          <w:szCs w:val="28"/>
        </w:rPr>
        <w:t>报价明细表-1</w:t>
      </w:r>
    </w:p>
    <w:p w14:paraId="67264F1D">
      <w:pPr>
        <w:snapToGrid w:val="0"/>
        <w:spacing w:line="300" w:lineRule="exact"/>
        <w:rPr>
          <w:rFonts w:ascii="宋体" w:hAnsi="宋体" w:cs="宋体"/>
          <w:b/>
          <w:bCs/>
          <w:sz w:val="24"/>
          <w:szCs w:val="24"/>
        </w:rPr>
      </w:pPr>
      <w:r>
        <w:rPr>
          <w:rFonts w:hint="eastAsia" w:ascii="宋体" w:hAnsi="宋体" w:cs="宋体"/>
          <w:b/>
          <w:bCs/>
          <w:sz w:val="24"/>
          <w:szCs w:val="24"/>
        </w:rPr>
        <w:t>1</w:t>
      </w:r>
      <w:r>
        <w:rPr>
          <w:rFonts w:ascii="宋体" w:hAnsi="宋体" w:cs="宋体"/>
          <w:b/>
          <w:bCs/>
          <w:sz w:val="24"/>
          <w:szCs w:val="24"/>
        </w:rPr>
        <w:t>台电梯：</w:t>
      </w:r>
      <w:r>
        <w:rPr>
          <w:rFonts w:hint="eastAsia" w:ascii="宋体" w:hAnsi="宋体" w:cs="宋体"/>
          <w:b/>
          <w:bCs/>
          <w:sz w:val="24"/>
          <w:szCs w:val="24"/>
        </w:rPr>
        <w:t>1</w:t>
      </w:r>
      <w:r>
        <w:rPr>
          <w:rFonts w:ascii="宋体" w:hAnsi="宋体" w:cs="宋体"/>
          <w:b/>
          <w:bCs/>
          <w:sz w:val="24"/>
          <w:szCs w:val="24"/>
        </w:rPr>
        <w:t>3栋1#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195"/>
        <w:gridCol w:w="2160"/>
        <w:gridCol w:w="1373"/>
      </w:tblGrid>
      <w:tr w14:paraId="7C95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vAlign w:val="center"/>
          </w:tcPr>
          <w:p w14:paraId="3B247DA2">
            <w:pPr>
              <w:jc w:val="center"/>
              <w:rPr>
                <w:rFonts w:ascii="宋体" w:hAnsi="宋体" w:cs="宋体"/>
                <w:b/>
                <w:bCs/>
                <w:sz w:val="24"/>
                <w:szCs w:val="24"/>
              </w:rPr>
            </w:pPr>
            <w:r>
              <w:rPr>
                <w:rFonts w:hint="eastAsia" w:ascii="宋体" w:hAnsi="宋体" w:cs="宋体"/>
                <w:b/>
                <w:bCs/>
                <w:sz w:val="24"/>
                <w:szCs w:val="24"/>
              </w:rPr>
              <w:t>序号</w:t>
            </w:r>
          </w:p>
        </w:tc>
        <w:tc>
          <w:tcPr>
            <w:tcW w:w="5195" w:type="dxa"/>
            <w:vAlign w:val="center"/>
          </w:tcPr>
          <w:p w14:paraId="4E71B68A">
            <w:pPr>
              <w:jc w:val="center"/>
              <w:rPr>
                <w:rFonts w:ascii="宋体" w:hAnsi="宋体" w:cs="宋体"/>
                <w:b/>
                <w:bCs/>
                <w:sz w:val="24"/>
                <w:szCs w:val="24"/>
              </w:rPr>
            </w:pPr>
            <w:r>
              <w:rPr>
                <w:rFonts w:hint="eastAsia" w:ascii="宋体" w:hAnsi="宋体" w:cs="宋体"/>
                <w:b/>
                <w:bCs/>
                <w:kern w:val="0"/>
                <w:sz w:val="24"/>
                <w:szCs w:val="24"/>
                <w:lang w:bidi="ar"/>
              </w:rPr>
              <w:t>分部分项工程项目清单计价表</w:t>
            </w:r>
          </w:p>
        </w:tc>
        <w:tc>
          <w:tcPr>
            <w:tcW w:w="2160" w:type="dxa"/>
            <w:vAlign w:val="center"/>
          </w:tcPr>
          <w:p w14:paraId="17AC5928">
            <w:pPr>
              <w:jc w:val="center"/>
              <w:rPr>
                <w:rFonts w:ascii="宋体" w:hAnsi="宋体" w:cs="宋体"/>
                <w:b/>
                <w:bCs/>
                <w:sz w:val="24"/>
                <w:szCs w:val="24"/>
              </w:rPr>
            </w:pPr>
            <w:r>
              <w:rPr>
                <w:rFonts w:hint="eastAsia" w:ascii="宋体" w:hAnsi="宋体" w:cs="宋体"/>
                <w:b/>
                <w:bCs/>
                <w:sz w:val="24"/>
                <w:szCs w:val="24"/>
              </w:rPr>
              <w:t>含税金额（元）</w:t>
            </w:r>
          </w:p>
        </w:tc>
        <w:tc>
          <w:tcPr>
            <w:tcW w:w="1373" w:type="dxa"/>
            <w:vAlign w:val="center"/>
          </w:tcPr>
          <w:p w14:paraId="52152D5E">
            <w:pPr>
              <w:jc w:val="center"/>
              <w:rPr>
                <w:rFonts w:ascii="宋体" w:hAnsi="宋体" w:cs="宋体"/>
                <w:b/>
                <w:bCs/>
                <w:sz w:val="24"/>
                <w:szCs w:val="24"/>
              </w:rPr>
            </w:pPr>
            <w:r>
              <w:rPr>
                <w:rFonts w:hint="eastAsia" w:ascii="宋体" w:hAnsi="宋体" w:cs="宋体"/>
                <w:b/>
                <w:bCs/>
                <w:sz w:val="24"/>
                <w:szCs w:val="24"/>
              </w:rPr>
              <w:t>备注</w:t>
            </w:r>
          </w:p>
        </w:tc>
      </w:tr>
      <w:tr w14:paraId="45A0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1B43E3EA">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5195" w:type="dxa"/>
            <w:shd w:val="clear" w:color="auto" w:fill="auto"/>
            <w:vAlign w:val="center"/>
          </w:tcPr>
          <w:p w14:paraId="68AA238C">
            <w:pPr>
              <w:widowControl/>
              <w:jc w:val="left"/>
              <w:textAlignment w:val="center"/>
              <w:rPr>
                <w:rFonts w:ascii="宋体" w:hAnsi="宋体" w:cs="宋体"/>
                <w:sz w:val="24"/>
                <w:szCs w:val="24"/>
              </w:rPr>
            </w:pPr>
            <w:r>
              <w:rPr>
                <w:rFonts w:hint="eastAsia" w:ascii="宋体" w:hAnsi="宋体" w:cs="宋体"/>
                <w:kern w:val="0"/>
                <w:sz w:val="24"/>
                <w:szCs w:val="24"/>
                <w:lang w:bidi="ar"/>
              </w:rPr>
              <w:t>电梯整机</w:t>
            </w:r>
          </w:p>
        </w:tc>
        <w:tc>
          <w:tcPr>
            <w:tcW w:w="2160" w:type="dxa"/>
            <w:vAlign w:val="center"/>
          </w:tcPr>
          <w:p w14:paraId="1A91EF93">
            <w:pPr>
              <w:jc w:val="center"/>
              <w:rPr>
                <w:rFonts w:ascii="宋体" w:hAnsi="宋体" w:cs="宋体"/>
                <w:sz w:val="24"/>
                <w:szCs w:val="24"/>
              </w:rPr>
            </w:pPr>
          </w:p>
        </w:tc>
        <w:tc>
          <w:tcPr>
            <w:tcW w:w="1373" w:type="dxa"/>
            <w:vAlign w:val="center"/>
          </w:tcPr>
          <w:p w14:paraId="6BAED12F">
            <w:pPr>
              <w:jc w:val="center"/>
              <w:rPr>
                <w:rFonts w:ascii="宋体" w:hAnsi="宋体" w:cs="宋体"/>
                <w:sz w:val="24"/>
                <w:szCs w:val="24"/>
              </w:rPr>
            </w:pPr>
          </w:p>
        </w:tc>
      </w:tr>
      <w:tr w14:paraId="0CB1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4ABB99AA">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5195" w:type="dxa"/>
            <w:shd w:val="clear" w:color="auto" w:fill="auto"/>
            <w:vAlign w:val="center"/>
          </w:tcPr>
          <w:p w14:paraId="1F8F9028">
            <w:pPr>
              <w:widowControl/>
              <w:jc w:val="left"/>
              <w:textAlignment w:val="center"/>
              <w:rPr>
                <w:rFonts w:ascii="宋体" w:hAnsi="宋体" w:cs="宋体"/>
                <w:sz w:val="24"/>
                <w:szCs w:val="24"/>
              </w:rPr>
            </w:pPr>
            <w:r>
              <w:rPr>
                <w:rFonts w:hint="eastAsia" w:ascii="宋体" w:hAnsi="宋体" w:cs="宋体"/>
                <w:kern w:val="0"/>
                <w:sz w:val="24"/>
                <w:szCs w:val="24"/>
                <w:lang w:bidi="ar"/>
              </w:rPr>
              <w:t>电梯运输</w:t>
            </w:r>
          </w:p>
        </w:tc>
        <w:tc>
          <w:tcPr>
            <w:tcW w:w="2160" w:type="dxa"/>
            <w:vAlign w:val="center"/>
          </w:tcPr>
          <w:p w14:paraId="624659C9">
            <w:pPr>
              <w:jc w:val="center"/>
              <w:rPr>
                <w:rFonts w:ascii="宋体" w:hAnsi="宋体" w:cs="宋体"/>
                <w:sz w:val="24"/>
                <w:szCs w:val="24"/>
              </w:rPr>
            </w:pPr>
          </w:p>
        </w:tc>
        <w:tc>
          <w:tcPr>
            <w:tcW w:w="1373" w:type="dxa"/>
            <w:vAlign w:val="center"/>
          </w:tcPr>
          <w:p w14:paraId="1E1E15B7">
            <w:pPr>
              <w:jc w:val="center"/>
              <w:rPr>
                <w:rFonts w:ascii="宋体" w:hAnsi="宋体" w:cs="宋体"/>
                <w:sz w:val="24"/>
                <w:szCs w:val="24"/>
              </w:rPr>
            </w:pPr>
          </w:p>
        </w:tc>
      </w:tr>
      <w:tr w14:paraId="3C9E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7A3A8F6D">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c>
          <w:tcPr>
            <w:tcW w:w="5195" w:type="dxa"/>
            <w:shd w:val="clear" w:color="auto" w:fill="auto"/>
            <w:vAlign w:val="center"/>
          </w:tcPr>
          <w:p w14:paraId="618460AD">
            <w:pPr>
              <w:widowControl/>
              <w:jc w:val="left"/>
              <w:textAlignment w:val="center"/>
              <w:rPr>
                <w:rFonts w:ascii="宋体" w:hAnsi="宋体" w:cs="宋体"/>
                <w:sz w:val="24"/>
                <w:szCs w:val="24"/>
              </w:rPr>
            </w:pPr>
            <w:r>
              <w:rPr>
                <w:rFonts w:hint="eastAsia" w:ascii="宋体" w:hAnsi="宋体" w:cs="宋体"/>
                <w:kern w:val="0"/>
                <w:sz w:val="24"/>
                <w:szCs w:val="24"/>
                <w:lang w:bidi="ar"/>
              </w:rPr>
              <w:t>电梯安装、调试</w:t>
            </w:r>
          </w:p>
        </w:tc>
        <w:tc>
          <w:tcPr>
            <w:tcW w:w="2160" w:type="dxa"/>
            <w:vAlign w:val="center"/>
          </w:tcPr>
          <w:p w14:paraId="5A82CB6F">
            <w:pPr>
              <w:jc w:val="center"/>
              <w:rPr>
                <w:rFonts w:ascii="宋体" w:hAnsi="宋体" w:cs="宋体"/>
                <w:sz w:val="24"/>
                <w:szCs w:val="24"/>
              </w:rPr>
            </w:pPr>
          </w:p>
        </w:tc>
        <w:tc>
          <w:tcPr>
            <w:tcW w:w="1373" w:type="dxa"/>
            <w:vAlign w:val="center"/>
          </w:tcPr>
          <w:p w14:paraId="523CFD1A">
            <w:pPr>
              <w:jc w:val="center"/>
              <w:rPr>
                <w:rFonts w:ascii="宋体" w:hAnsi="宋体" w:cs="宋体"/>
                <w:sz w:val="24"/>
                <w:szCs w:val="24"/>
              </w:rPr>
            </w:pPr>
          </w:p>
        </w:tc>
      </w:tr>
      <w:tr w14:paraId="0AF9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64D05CE9">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c>
          <w:tcPr>
            <w:tcW w:w="5195" w:type="dxa"/>
            <w:shd w:val="clear" w:color="auto" w:fill="auto"/>
            <w:vAlign w:val="center"/>
          </w:tcPr>
          <w:p w14:paraId="2B8AB6BC">
            <w:pPr>
              <w:pStyle w:val="49"/>
              <w:spacing w:line="240" w:lineRule="auto"/>
              <w:jc w:val="left"/>
              <w:rPr>
                <w:rFonts w:ascii="宋体" w:hAnsi="宋体" w:cs="宋体"/>
                <w:kern w:val="0"/>
                <w:szCs w:val="24"/>
                <w:lang w:bidi="ar"/>
              </w:rPr>
            </w:pPr>
            <w:r>
              <w:rPr>
                <w:rFonts w:hint="eastAsia" w:ascii="宋体" w:hAnsi="宋体" w:cs="宋体"/>
                <w:kern w:val="0"/>
                <w:szCs w:val="24"/>
                <w:lang w:bidi="ar"/>
              </w:rPr>
              <w:t>电梯机房部分装修装饰</w:t>
            </w:r>
          </w:p>
        </w:tc>
        <w:tc>
          <w:tcPr>
            <w:tcW w:w="2160" w:type="dxa"/>
            <w:vAlign w:val="center"/>
          </w:tcPr>
          <w:p w14:paraId="6801F8EE">
            <w:pPr>
              <w:jc w:val="center"/>
              <w:rPr>
                <w:rFonts w:ascii="宋体" w:hAnsi="宋体" w:cs="宋体"/>
                <w:sz w:val="24"/>
                <w:szCs w:val="24"/>
              </w:rPr>
            </w:pPr>
          </w:p>
        </w:tc>
        <w:tc>
          <w:tcPr>
            <w:tcW w:w="1373" w:type="dxa"/>
            <w:vAlign w:val="center"/>
          </w:tcPr>
          <w:p w14:paraId="766B2D4A">
            <w:pPr>
              <w:jc w:val="center"/>
              <w:rPr>
                <w:rFonts w:ascii="宋体" w:hAnsi="宋体" w:cs="宋体"/>
                <w:sz w:val="24"/>
                <w:szCs w:val="24"/>
              </w:rPr>
            </w:pPr>
          </w:p>
        </w:tc>
      </w:tr>
      <w:tr w14:paraId="255D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114471F0">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c>
          <w:tcPr>
            <w:tcW w:w="5195" w:type="dxa"/>
            <w:shd w:val="clear" w:color="auto" w:fill="auto"/>
            <w:vAlign w:val="center"/>
          </w:tcPr>
          <w:p w14:paraId="647807E4">
            <w:pPr>
              <w:pStyle w:val="49"/>
              <w:spacing w:line="240" w:lineRule="auto"/>
              <w:jc w:val="left"/>
              <w:rPr>
                <w:rFonts w:ascii="宋体" w:hAnsi="宋体" w:cs="宋体"/>
                <w:szCs w:val="24"/>
              </w:rPr>
            </w:pPr>
            <w:r>
              <w:rPr>
                <w:rFonts w:hint="eastAsia" w:ascii="宋体" w:hAnsi="宋体" w:cs="宋体"/>
                <w:kern w:val="0"/>
                <w:szCs w:val="24"/>
                <w:lang w:bidi="ar"/>
              </w:rPr>
              <w:t>措施项目费</w:t>
            </w:r>
          </w:p>
        </w:tc>
        <w:tc>
          <w:tcPr>
            <w:tcW w:w="2160" w:type="dxa"/>
            <w:vAlign w:val="center"/>
          </w:tcPr>
          <w:p w14:paraId="46565F7A">
            <w:pPr>
              <w:jc w:val="center"/>
              <w:rPr>
                <w:rFonts w:ascii="宋体" w:hAnsi="宋体" w:cs="宋体"/>
                <w:sz w:val="24"/>
                <w:szCs w:val="24"/>
              </w:rPr>
            </w:pPr>
          </w:p>
        </w:tc>
        <w:tc>
          <w:tcPr>
            <w:tcW w:w="1373" w:type="dxa"/>
            <w:vAlign w:val="center"/>
          </w:tcPr>
          <w:p w14:paraId="4DDDBA31">
            <w:pPr>
              <w:jc w:val="center"/>
              <w:rPr>
                <w:rFonts w:ascii="宋体" w:hAnsi="宋体" w:cs="宋体"/>
                <w:sz w:val="24"/>
                <w:szCs w:val="24"/>
              </w:rPr>
            </w:pPr>
          </w:p>
        </w:tc>
      </w:tr>
      <w:tr w14:paraId="0DC4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05251076">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c>
          <w:tcPr>
            <w:tcW w:w="5195" w:type="dxa"/>
            <w:shd w:val="clear" w:color="auto" w:fill="auto"/>
            <w:vAlign w:val="center"/>
          </w:tcPr>
          <w:p w14:paraId="16738CE6">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其他费用</w:t>
            </w:r>
          </w:p>
        </w:tc>
        <w:tc>
          <w:tcPr>
            <w:tcW w:w="2160" w:type="dxa"/>
            <w:vAlign w:val="center"/>
          </w:tcPr>
          <w:p w14:paraId="3BB92EB8">
            <w:pPr>
              <w:jc w:val="center"/>
              <w:rPr>
                <w:rFonts w:ascii="宋体" w:hAnsi="宋体" w:cs="宋体"/>
                <w:sz w:val="24"/>
                <w:szCs w:val="24"/>
              </w:rPr>
            </w:pPr>
          </w:p>
        </w:tc>
        <w:tc>
          <w:tcPr>
            <w:tcW w:w="1373" w:type="dxa"/>
            <w:vAlign w:val="center"/>
          </w:tcPr>
          <w:p w14:paraId="7A904D19">
            <w:pPr>
              <w:jc w:val="center"/>
              <w:rPr>
                <w:rFonts w:ascii="宋体" w:hAnsi="宋体" w:cs="宋体"/>
                <w:sz w:val="24"/>
                <w:szCs w:val="24"/>
              </w:rPr>
            </w:pPr>
          </w:p>
        </w:tc>
      </w:tr>
      <w:tr w14:paraId="3529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2A7A8C9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w:t>
            </w:r>
          </w:p>
        </w:tc>
        <w:tc>
          <w:tcPr>
            <w:tcW w:w="5195" w:type="dxa"/>
            <w:shd w:val="clear" w:color="auto" w:fill="auto"/>
            <w:vAlign w:val="center"/>
          </w:tcPr>
          <w:p w14:paraId="72DBBE2B">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旧梯残值</w:t>
            </w:r>
          </w:p>
        </w:tc>
        <w:tc>
          <w:tcPr>
            <w:tcW w:w="2160" w:type="dxa"/>
            <w:vAlign w:val="center"/>
          </w:tcPr>
          <w:p w14:paraId="71666478">
            <w:pPr>
              <w:jc w:val="center"/>
              <w:rPr>
                <w:rFonts w:ascii="宋体" w:hAnsi="宋体" w:cs="宋体"/>
                <w:sz w:val="24"/>
                <w:szCs w:val="24"/>
              </w:rPr>
            </w:pPr>
          </w:p>
        </w:tc>
        <w:tc>
          <w:tcPr>
            <w:tcW w:w="1373" w:type="dxa"/>
            <w:vAlign w:val="center"/>
          </w:tcPr>
          <w:p w14:paraId="2B9AD5C3">
            <w:pPr>
              <w:jc w:val="center"/>
              <w:rPr>
                <w:rFonts w:ascii="宋体" w:hAnsi="宋体" w:cs="宋体"/>
                <w:sz w:val="24"/>
                <w:szCs w:val="24"/>
              </w:rPr>
            </w:pPr>
          </w:p>
        </w:tc>
      </w:tr>
      <w:tr w14:paraId="4813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2" w:type="dxa"/>
            <w:shd w:val="clear" w:color="auto" w:fill="auto"/>
            <w:vAlign w:val="center"/>
          </w:tcPr>
          <w:p w14:paraId="6AA01273">
            <w:pPr>
              <w:widowControl/>
              <w:jc w:val="center"/>
              <w:textAlignment w:val="center"/>
              <w:rPr>
                <w:rFonts w:ascii="宋体" w:hAnsi="宋体" w:cs="宋体"/>
                <w:b/>
                <w:sz w:val="24"/>
                <w:szCs w:val="24"/>
              </w:rPr>
            </w:pPr>
            <w:r>
              <w:rPr>
                <w:rFonts w:hint="eastAsia" w:ascii="宋体" w:hAnsi="宋体" w:cs="宋体"/>
                <w:kern w:val="0"/>
                <w:sz w:val="24"/>
                <w:szCs w:val="24"/>
                <w:lang w:bidi="ar"/>
              </w:rPr>
              <w:t>8</w:t>
            </w:r>
          </w:p>
        </w:tc>
        <w:tc>
          <w:tcPr>
            <w:tcW w:w="5195" w:type="dxa"/>
            <w:shd w:val="clear" w:color="auto" w:fill="auto"/>
            <w:vAlign w:val="center"/>
          </w:tcPr>
          <w:p w14:paraId="012927E8">
            <w:pPr>
              <w:widowControl/>
              <w:jc w:val="left"/>
              <w:textAlignment w:val="center"/>
              <w:rPr>
                <w:rFonts w:ascii="宋体" w:hAnsi="宋体" w:cs="宋体"/>
                <w:b/>
                <w:bCs/>
                <w:kern w:val="0"/>
                <w:sz w:val="24"/>
                <w:szCs w:val="24"/>
                <w:lang w:bidi="ar"/>
              </w:rPr>
            </w:pPr>
            <w:r>
              <w:rPr>
                <w:rFonts w:hint="eastAsia" w:ascii="宋体" w:hAnsi="宋体" w:cs="宋体"/>
                <w:b/>
                <w:bCs/>
                <w:kern w:val="0"/>
                <w:sz w:val="24"/>
                <w:szCs w:val="24"/>
                <w:lang w:bidi="ar"/>
              </w:rPr>
              <w:t>此楼栋含税报价总计金额=（1+2+3+4+5+6）-7</w:t>
            </w:r>
          </w:p>
        </w:tc>
        <w:tc>
          <w:tcPr>
            <w:tcW w:w="2160" w:type="dxa"/>
            <w:vAlign w:val="center"/>
          </w:tcPr>
          <w:p w14:paraId="0D324B86">
            <w:pPr>
              <w:jc w:val="center"/>
              <w:rPr>
                <w:rFonts w:ascii="宋体" w:hAnsi="宋体" w:cs="宋体"/>
                <w:sz w:val="24"/>
                <w:szCs w:val="24"/>
              </w:rPr>
            </w:pPr>
          </w:p>
        </w:tc>
        <w:tc>
          <w:tcPr>
            <w:tcW w:w="1373" w:type="dxa"/>
            <w:vAlign w:val="center"/>
          </w:tcPr>
          <w:p w14:paraId="7D7B2D4A">
            <w:pPr>
              <w:jc w:val="center"/>
              <w:rPr>
                <w:rFonts w:ascii="宋体" w:hAnsi="宋体" w:cs="宋体"/>
                <w:sz w:val="24"/>
                <w:szCs w:val="24"/>
              </w:rPr>
            </w:pPr>
          </w:p>
        </w:tc>
      </w:tr>
    </w:tbl>
    <w:p w14:paraId="5A837443">
      <w:pPr>
        <w:pStyle w:val="269"/>
        <w:ind w:left="0" w:leftChars="0" w:firstLine="0" w:firstLineChars="0"/>
        <w:rPr>
          <w:rFonts w:ascii="宋体" w:hAnsi="宋体" w:cs="宋体"/>
          <w:sz w:val="24"/>
        </w:rPr>
      </w:pPr>
    </w:p>
    <w:p w14:paraId="7F41D4F0">
      <w:pPr>
        <w:adjustRightInd w:val="0"/>
        <w:snapToGrid w:val="0"/>
        <w:spacing w:line="480" w:lineRule="auto"/>
        <w:jc w:val="left"/>
        <w:rPr>
          <w:rFonts w:ascii="宋体" w:hAnsi="宋体" w:cs="宋体"/>
          <w:b/>
          <w:bCs/>
          <w:szCs w:val="28"/>
        </w:rPr>
      </w:pPr>
      <w:r>
        <w:rPr>
          <w:rFonts w:hint="eastAsia" w:ascii="宋体" w:hAnsi="宋体" w:cs="宋体"/>
          <w:sz w:val="24"/>
          <w:szCs w:val="24"/>
        </w:rPr>
        <w:t xml:space="preserve">注：原电梯残值抵扣不低于1万元/台。 </w:t>
      </w:r>
      <w:r>
        <w:rPr>
          <w:rFonts w:hint="eastAsia" w:ascii="宋体" w:hAnsi="宋体" w:cs="宋体"/>
          <w:b/>
          <w:bCs/>
          <w:szCs w:val="28"/>
        </w:rPr>
        <w:t xml:space="preserve">                        </w:t>
      </w:r>
    </w:p>
    <w:p w14:paraId="24A14F59">
      <w:pPr>
        <w:snapToGrid w:val="0"/>
        <w:spacing w:line="380" w:lineRule="exact"/>
        <w:ind w:firstLine="420"/>
        <w:jc w:val="right"/>
        <w:rPr>
          <w:rFonts w:ascii="宋体" w:hAnsi="宋体" w:cs="宋体"/>
          <w:b/>
          <w:bCs/>
          <w:sz w:val="24"/>
          <w:szCs w:val="24"/>
        </w:rPr>
      </w:pPr>
      <w:r>
        <w:rPr>
          <w:rFonts w:hint="eastAsia" w:ascii="宋体" w:hAnsi="宋体" w:cs="宋体"/>
          <w:b/>
          <w:bCs/>
          <w:szCs w:val="28"/>
        </w:rPr>
        <w:t xml:space="preserve">                              </w:t>
      </w:r>
      <w:r>
        <w:rPr>
          <w:rFonts w:hint="eastAsia" w:ascii="宋体" w:hAnsi="宋体" w:cs="宋体"/>
          <w:b/>
          <w:bCs/>
          <w:sz w:val="24"/>
          <w:szCs w:val="24"/>
        </w:rPr>
        <w:t>供应商名称（公章）：</w:t>
      </w:r>
    </w:p>
    <w:p w14:paraId="7BFD215A">
      <w:pPr>
        <w:snapToGrid w:val="0"/>
        <w:spacing w:line="380" w:lineRule="exact"/>
        <w:ind w:firstLine="420"/>
        <w:jc w:val="right"/>
        <w:rPr>
          <w:rFonts w:ascii="宋体" w:hAnsi="宋体" w:cs="宋体"/>
          <w:b/>
          <w:bCs/>
          <w:sz w:val="24"/>
          <w:szCs w:val="24"/>
        </w:rPr>
      </w:pPr>
      <w:r>
        <w:rPr>
          <w:rFonts w:hint="eastAsia" w:ascii="宋体" w:hAnsi="宋体" w:cs="宋体"/>
          <w:b/>
          <w:bCs/>
          <w:sz w:val="24"/>
          <w:szCs w:val="24"/>
        </w:rPr>
        <w:t xml:space="preserve">                                             年   月   日</w:t>
      </w:r>
    </w:p>
    <w:p w14:paraId="5890C42C">
      <w:pPr>
        <w:adjustRightInd w:val="0"/>
        <w:snapToGrid w:val="0"/>
        <w:spacing w:line="480" w:lineRule="auto"/>
        <w:jc w:val="center"/>
        <w:rPr>
          <w:rFonts w:ascii="宋体" w:hAnsi="宋体" w:cs="宋体"/>
          <w:b/>
          <w:bCs/>
          <w:szCs w:val="28"/>
        </w:rPr>
      </w:pPr>
    </w:p>
    <w:p w14:paraId="7B49DFA1">
      <w:pPr>
        <w:adjustRightInd w:val="0"/>
        <w:snapToGrid w:val="0"/>
        <w:spacing w:line="480" w:lineRule="auto"/>
        <w:jc w:val="center"/>
        <w:rPr>
          <w:rFonts w:ascii="宋体" w:hAnsi="宋体" w:cs="宋体"/>
          <w:b/>
          <w:bCs/>
          <w:szCs w:val="28"/>
        </w:rPr>
      </w:pPr>
    </w:p>
    <w:p w14:paraId="009800F0">
      <w:pPr>
        <w:adjustRightInd w:val="0"/>
        <w:snapToGrid w:val="0"/>
        <w:spacing w:line="480" w:lineRule="auto"/>
        <w:jc w:val="center"/>
        <w:rPr>
          <w:rFonts w:ascii="宋体" w:hAnsi="宋体" w:cs="宋体"/>
          <w:b/>
          <w:bCs/>
          <w:szCs w:val="28"/>
        </w:rPr>
      </w:pPr>
    </w:p>
    <w:p w14:paraId="0047A03E">
      <w:pPr>
        <w:adjustRightInd w:val="0"/>
        <w:snapToGrid w:val="0"/>
        <w:spacing w:line="480" w:lineRule="auto"/>
        <w:jc w:val="center"/>
        <w:rPr>
          <w:rFonts w:ascii="宋体" w:hAnsi="宋体" w:cs="宋体"/>
          <w:b/>
          <w:bCs/>
          <w:szCs w:val="28"/>
        </w:rPr>
      </w:pPr>
    </w:p>
    <w:p w14:paraId="78816BFC">
      <w:pPr>
        <w:adjustRightInd w:val="0"/>
        <w:snapToGrid w:val="0"/>
        <w:spacing w:line="480" w:lineRule="auto"/>
        <w:jc w:val="center"/>
        <w:rPr>
          <w:rFonts w:ascii="宋体" w:hAnsi="宋体" w:cs="宋体"/>
          <w:b/>
          <w:bCs/>
          <w:szCs w:val="28"/>
        </w:rPr>
      </w:pPr>
    </w:p>
    <w:p w14:paraId="3E023639">
      <w:pPr>
        <w:adjustRightInd w:val="0"/>
        <w:snapToGrid w:val="0"/>
        <w:spacing w:line="480" w:lineRule="auto"/>
        <w:jc w:val="center"/>
        <w:rPr>
          <w:rFonts w:ascii="宋体" w:hAnsi="宋体" w:cs="宋体"/>
          <w:b/>
          <w:bCs/>
          <w:szCs w:val="28"/>
        </w:rPr>
      </w:pPr>
    </w:p>
    <w:p w14:paraId="6136AD8F">
      <w:pPr>
        <w:adjustRightInd w:val="0"/>
        <w:snapToGrid w:val="0"/>
        <w:spacing w:line="480" w:lineRule="auto"/>
        <w:jc w:val="center"/>
        <w:rPr>
          <w:rFonts w:ascii="宋体" w:hAnsi="宋体" w:cs="宋体"/>
          <w:b/>
          <w:bCs/>
          <w:szCs w:val="28"/>
        </w:rPr>
      </w:pPr>
      <w:r>
        <w:rPr>
          <w:rFonts w:hint="eastAsia" w:ascii="宋体" w:hAnsi="宋体" w:cs="宋体"/>
          <w:b/>
          <w:bCs/>
          <w:szCs w:val="28"/>
        </w:rPr>
        <w:t>报价明细表-2</w:t>
      </w:r>
    </w:p>
    <w:p w14:paraId="0FF9C1BA">
      <w:pPr>
        <w:snapToGrid w:val="0"/>
        <w:spacing w:line="300" w:lineRule="exact"/>
        <w:rPr>
          <w:rFonts w:ascii="宋体" w:hAnsi="宋体" w:cs="宋体"/>
          <w:b/>
          <w:bCs/>
          <w:sz w:val="24"/>
          <w:szCs w:val="24"/>
        </w:rPr>
      </w:pPr>
      <w:r>
        <w:rPr>
          <w:rFonts w:hint="eastAsia" w:ascii="宋体" w:hAnsi="宋体" w:cs="宋体"/>
          <w:b/>
          <w:bCs/>
          <w:sz w:val="24"/>
          <w:szCs w:val="24"/>
        </w:rPr>
        <w:t>1</w:t>
      </w:r>
      <w:r>
        <w:rPr>
          <w:rFonts w:ascii="宋体" w:hAnsi="宋体" w:cs="宋体"/>
          <w:b/>
          <w:bCs/>
          <w:sz w:val="24"/>
          <w:szCs w:val="24"/>
        </w:rPr>
        <w:t>台电梯：</w:t>
      </w:r>
      <w:r>
        <w:rPr>
          <w:rFonts w:hint="eastAsia" w:ascii="宋体" w:hAnsi="宋体" w:cs="宋体"/>
          <w:b/>
          <w:bCs/>
          <w:sz w:val="24"/>
          <w:szCs w:val="24"/>
        </w:rPr>
        <w:t>13</w:t>
      </w:r>
      <w:r>
        <w:rPr>
          <w:rFonts w:ascii="宋体" w:hAnsi="宋体" w:cs="宋体"/>
          <w:b/>
          <w:bCs/>
          <w:sz w:val="24"/>
          <w:szCs w:val="24"/>
        </w:rPr>
        <w:t>栋2#</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195"/>
        <w:gridCol w:w="2160"/>
        <w:gridCol w:w="1373"/>
      </w:tblGrid>
      <w:tr w14:paraId="79E3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vAlign w:val="center"/>
          </w:tcPr>
          <w:p w14:paraId="591AD5C0">
            <w:pPr>
              <w:jc w:val="center"/>
              <w:rPr>
                <w:rFonts w:ascii="宋体" w:hAnsi="宋体" w:cs="宋体"/>
                <w:b/>
                <w:bCs/>
                <w:sz w:val="24"/>
                <w:szCs w:val="24"/>
              </w:rPr>
            </w:pPr>
            <w:r>
              <w:rPr>
                <w:rFonts w:hint="eastAsia" w:ascii="宋体" w:hAnsi="宋体" w:cs="宋体"/>
                <w:b/>
                <w:bCs/>
                <w:sz w:val="24"/>
                <w:szCs w:val="24"/>
              </w:rPr>
              <w:t>序号</w:t>
            </w:r>
          </w:p>
        </w:tc>
        <w:tc>
          <w:tcPr>
            <w:tcW w:w="5195" w:type="dxa"/>
            <w:vAlign w:val="center"/>
          </w:tcPr>
          <w:p w14:paraId="6E621DFD">
            <w:pPr>
              <w:jc w:val="center"/>
              <w:rPr>
                <w:rFonts w:ascii="宋体" w:hAnsi="宋体" w:cs="宋体"/>
                <w:b/>
                <w:bCs/>
                <w:sz w:val="24"/>
                <w:szCs w:val="24"/>
              </w:rPr>
            </w:pPr>
            <w:r>
              <w:rPr>
                <w:rFonts w:hint="eastAsia" w:ascii="宋体" w:hAnsi="宋体" w:cs="宋体"/>
                <w:b/>
                <w:bCs/>
                <w:kern w:val="0"/>
                <w:sz w:val="24"/>
                <w:szCs w:val="24"/>
                <w:lang w:bidi="ar"/>
              </w:rPr>
              <w:t>分部分项工程项目清单计价表</w:t>
            </w:r>
          </w:p>
        </w:tc>
        <w:tc>
          <w:tcPr>
            <w:tcW w:w="2160" w:type="dxa"/>
            <w:vAlign w:val="center"/>
          </w:tcPr>
          <w:p w14:paraId="3982FE47">
            <w:pPr>
              <w:jc w:val="center"/>
              <w:rPr>
                <w:rFonts w:ascii="宋体" w:hAnsi="宋体" w:cs="宋体"/>
                <w:b/>
                <w:bCs/>
                <w:sz w:val="24"/>
                <w:szCs w:val="24"/>
              </w:rPr>
            </w:pPr>
            <w:r>
              <w:rPr>
                <w:rFonts w:hint="eastAsia" w:ascii="宋体" w:hAnsi="宋体" w:cs="宋体"/>
                <w:b/>
                <w:bCs/>
                <w:sz w:val="24"/>
                <w:szCs w:val="24"/>
              </w:rPr>
              <w:t>含税金额（元）</w:t>
            </w:r>
          </w:p>
        </w:tc>
        <w:tc>
          <w:tcPr>
            <w:tcW w:w="1373" w:type="dxa"/>
            <w:vAlign w:val="center"/>
          </w:tcPr>
          <w:p w14:paraId="2ECB4C76">
            <w:pPr>
              <w:jc w:val="center"/>
              <w:rPr>
                <w:rFonts w:ascii="宋体" w:hAnsi="宋体" w:cs="宋体"/>
                <w:b/>
                <w:bCs/>
                <w:sz w:val="24"/>
                <w:szCs w:val="24"/>
              </w:rPr>
            </w:pPr>
            <w:r>
              <w:rPr>
                <w:rFonts w:hint="eastAsia" w:ascii="宋体" w:hAnsi="宋体" w:cs="宋体"/>
                <w:b/>
                <w:bCs/>
                <w:sz w:val="24"/>
                <w:szCs w:val="24"/>
              </w:rPr>
              <w:t>备注</w:t>
            </w:r>
          </w:p>
        </w:tc>
      </w:tr>
      <w:tr w14:paraId="308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18E7274E">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5195" w:type="dxa"/>
            <w:shd w:val="clear" w:color="auto" w:fill="auto"/>
            <w:vAlign w:val="center"/>
          </w:tcPr>
          <w:p w14:paraId="5A906E2F">
            <w:pPr>
              <w:widowControl/>
              <w:jc w:val="left"/>
              <w:textAlignment w:val="center"/>
              <w:rPr>
                <w:rFonts w:ascii="宋体" w:hAnsi="宋体" w:cs="宋体"/>
                <w:sz w:val="24"/>
                <w:szCs w:val="24"/>
              </w:rPr>
            </w:pPr>
            <w:r>
              <w:rPr>
                <w:rFonts w:hint="eastAsia" w:ascii="宋体" w:hAnsi="宋体" w:cs="宋体"/>
                <w:kern w:val="0"/>
                <w:sz w:val="24"/>
                <w:szCs w:val="24"/>
                <w:lang w:bidi="ar"/>
              </w:rPr>
              <w:t>电梯整机</w:t>
            </w:r>
          </w:p>
        </w:tc>
        <w:tc>
          <w:tcPr>
            <w:tcW w:w="2160" w:type="dxa"/>
            <w:vAlign w:val="center"/>
          </w:tcPr>
          <w:p w14:paraId="6F90CD3E">
            <w:pPr>
              <w:jc w:val="center"/>
              <w:rPr>
                <w:rFonts w:ascii="宋体" w:hAnsi="宋体" w:cs="宋体"/>
                <w:sz w:val="24"/>
                <w:szCs w:val="24"/>
              </w:rPr>
            </w:pPr>
          </w:p>
        </w:tc>
        <w:tc>
          <w:tcPr>
            <w:tcW w:w="1373" w:type="dxa"/>
            <w:vAlign w:val="center"/>
          </w:tcPr>
          <w:p w14:paraId="7D554719">
            <w:pPr>
              <w:jc w:val="center"/>
              <w:rPr>
                <w:rFonts w:ascii="宋体" w:hAnsi="宋体" w:cs="宋体"/>
                <w:sz w:val="24"/>
                <w:szCs w:val="24"/>
              </w:rPr>
            </w:pPr>
          </w:p>
        </w:tc>
      </w:tr>
      <w:tr w14:paraId="4DD8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42984BFE">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5195" w:type="dxa"/>
            <w:shd w:val="clear" w:color="auto" w:fill="auto"/>
            <w:vAlign w:val="center"/>
          </w:tcPr>
          <w:p w14:paraId="45D0A3B7">
            <w:pPr>
              <w:widowControl/>
              <w:jc w:val="left"/>
              <w:textAlignment w:val="center"/>
              <w:rPr>
                <w:rFonts w:ascii="宋体" w:hAnsi="宋体" w:cs="宋体"/>
                <w:sz w:val="24"/>
                <w:szCs w:val="24"/>
              </w:rPr>
            </w:pPr>
            <w:r>
              <w:rPr>
                <w:rFonts w:hint="eastAsia" w:ascii="宋体" w:hAnsi="宋体" w:cs="宋体"/>
                <w:kern w:val="0"/>
                <w:sz w:val="24"/>
                <w:szCs w:val="24"/>
                <w:lang w:bidi="ar"/>
              </w:rPr>
              <w:t>电梯运输</w:t>
            </w:r>
          </w:p>
        </w:tc>
        <w:tc>
          <w:tcPr>
            <w:tcW w:w="2160" w:type="dxa"/>
            <w:vAlign w:val="center"/>
          </w:tcPr>
          <w:p w14:paraId="0F86F916">
            <w:pPr>
              <w:jc w:val="center"/>
              <w:rPr>
                <w:rFonts w:ascii="宋体" w:hAnsi="宋体" w:cs="宋体"/>
                <w:sz w:val="24"/>
                <w:szCs w:val="24"/>
              </w:rPr>
            </w:pPr>
          </w:p>
        </w:tc>
        <w:tc>
          <w:tcPr>
            <w:tcW w:w="1373" w:type="dxa"/>
            <w:vAlign w:val="center"/>
          </w:tcPr>
          <w:p w14:paraId="47908005">
            <w:pPr>
              <w:jc w:val="center"/>
              <w:rPr>
                <w:rFonts w:ascii="宋体" w:hAnsi="宋体" w:cs="宋体"/>
                <w:sz w:val="24"/>
                <w:szCs w:val="24"/>
              </w:rPr>
            </w:pPr>
          </w:p>
        </w:tc>
      </w:tr>
      <w:tr w14:paraId="3BE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480F6A80">
            <w:pPr>
              <w:widowControl/>
              <w:jc w:val="center"/>
              <w:textAlignment w:val="center"/>
              <w:rPr>
                <w:rFonts w:ascii="宋体" w:hAnsi="宋体" w:cs="宋体"/>
                <w:sz w:val="24"/>
                <w:szCs w:val="24"/>
              </w:rPr>
            </w:pPr>
            <w:r>
              <w:rPr>
                <w:rFonts w:hint="eastAsia" w:ascii="宋体" w:hAnsi="宋体" w:cs="宋体"/>
                <w:kern w:val="0"/>
                <w:sz w:val="24"/>
                <w:szCs w:val="24"/>
                <w:lang w:bidi="ar"/>
              </w:rPr>
              <w:t>3</w:t>
            </w:r>
          </w:p>
        </w:tc>
        <w:tc>
          <w:tcPr>
            <w:tcW w:w="5195" w:type="dxa"/>
            <w:shd w:val="clear" w:color="auto" w:fill="auto"/>
            <w:vAlign w:val="center"/>
          </w:tcPr>
          <w:p w14:paraId="50B704A5">
            <w:pPr>
              <w:widowControl/>
              <w:jc w:val="left"/>
              <w:textAlignment w:val="center"/>
              <w:rPr>
                <w:rFonts w:ascii="宋体" w:hAnsi="宋体" w:cs="宋体"/>
                <w:sz w:val="24"/>
                <w:szCs w:val="24"/>
              </w:rPr>
            </w:pPr>
            <w:r>
              <w:rPr>
                <w:rFonts w:hint="eastAsia" w:ascii="宋体" w:hAnsi="宋体" w:cs="宋体"/>
                <w:kern w:val="0"/>
                <w:sz w:val="24"/>
                <w:szCs w:val="24"/>
                <w:lang w:bidi="ar"/>
              </w:rPr>
              <w:t>电梯安装、调试</w:t>
            </w:r>
          </w:p>
        </w:tc>
        <w:tc>
          <w:tcPr>
            <w:tcW w:w="2160" w:type="dxa"/>
            <w:vAlign w:val="center"/>
          </w:tcPr>
          <w:p w14:paraId="6DCB3728">
            <w:pPr>
              <w:jc w:val="center"/>
              <w:rPr>
                <w:rFonts w:ascii="宋体" w:hAnsi="宋体" w:cs="宋体"/>
                <w:sz w:val="24"/>
                <w:szCs w:val="24"/>
              </w:rPr>
            </w:pPr>
          </w:p>
        </w:tc>
        <w:tc>
          <w:tcPr>
            <w:tcW w:w="1373" w:type="dxa"/>
            <w:vAlign w:val="center"/>
          </w:tcPr>
          <w:p w14:paraId="3E3D9D0E">
            <w:pPr>
              <w:jc w:val="center"/>
              <w:rPr>
                <w:rFonts w:ascii="宋体" w:hAnsi="宋体" w:cs="宋体"/>
                <w:sz w:val="24"/>
                <w:szCs w:val="24"/>
              </w:rPr>
            </w:pPr>
          </w:p>
        </w:tc>
      </w:tr>
      <w:tr w14:paraId="50D6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4EB080B8">
            <w:pPr>
              <w:widowControl/>
              <w:jc w:val="center"/>
              <w:textAlignment w:val="center"/>
              <w:rPr>
                <w:rFonts w:ascii="宋体" w:hAnsi="宋体" w:cs="宋体"/>
                <w:sz w:val="24"/>
                <w:szCs w:val="24"/>
              </w:rPr>
            </w:pPr>
            <w:r>
              <w:rPr>
                <w:rFonts w:hint="eastAsia" w:ascii="宋体" w:hAnsi="宋体" w:cs="宋体"/>
                <w:kern w:val="0"/>
                <w:sz w:val="24"/>
                <w:szCs w:val="24"/>
                <w:lang w:bidi="ar"/>
              </w:rPr>
              <w:t>4</w:t>
            </w:r>
          </w:p>
        </w:tc>
        <w:tc>
          <w:tcPr>
            <w:tcW w:w="5195" w:type="dxa"/>
            <w:shd w:val="clear" w:color="auto" w:fill="auto"/>
            <w:vAlign w:val="center"/>
          </w:tcPr>
          <w:p w14:paraId="7719F628">
            <w:pPr>
              <w:adjustRightInd w:val="0"/>
              <w:snapToGrid w:val="0"/>
              <w:jc w:val="left"/>
              <w:rPr>
                <w:rFonts w:ascii="宋体" w:hAnsi="宋体" w:cs="宋体"/>
                <w:kern w:val="0"/>
                <w:sz w:val="24"/>
                <w:szCs w:val="24"/>
                <w:lang w:bidi="ar"/>
              </w:rPr>
            </w:pPr>
            <w:r>
              <w:rPr>
                <w:rFonts w:hint="eastAsia" w:ascii="宋体" w:hAnsi="宋体" w:cs="宋体"/>
                <w:kern w:val="0"/>
                <w:sz w:val="24"/>
                <w:szCs w:val="24"/>
                <w:lang w:bidi="ar"/>
              </w:rPr>
              <w:t>电梯机房部分装修装饰</w:t>
            </w:r>
          </w:p>
        </w:tc>
        <w:tc>
          <w:tcPr>
            <w:tcW w:w="2160" w:type="dxa"/>
            <w:vAlign w:val="center"/>
          </w:tcPr>
          <w:p w14:paraId="1052389B">
            <w:pPr>
              <w:jc w:val="center"/>
              <w:rPr>
                <w:rFonts w:ascii="宋体" w:hAnsi="宋体" w:cs="宋体"/>
                <w:sz w:val="24"/>
                <w:szCs w:val="24"/>
              </w:rPr>
            </w:pPr>
          </w:p>
        </w:tc>
        <w:tc>
          <w:tcPr>
            <w:tcW w:w="1373" w:type="dxa"/>
            <w:vAlign w:val="center"/>
          </w:tcPr>
          <w:p w14:paraId="083A35DC">
            <w:pPr>
              <w:jc w:val="center"/>
              <w:rPr>
                <w:rFonts w:ascii="宋体" w:hAnsi="宋体" w:cs="宋体"/>
                <w:sz w:val="24"/>
                <w:szCs w:val="24"/>
              </w:rPr>
            </w:pPr>
          </w:p>
        </w:tc>
      </w:tr>
      <w:tr w14:paraId="172A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5D3BC5A2">
            <w:pPr>
              <w:widowControl/>
              <w:jc w:val="center"/>
              <w:textAlignment w:val="center"/>
              <w:rPr>
                <w:rFonts w:ascii="宋体" w:hAnsi="宋体" w:cs="宋体"/>
                <w:sz w:val="24"/>
                <w:szCs w:val="24"/>
              </w:rPr>
            </w:pPr>
            <w:r>
              <w:rPr>
                <w:rFonts w:hint="eastAsia" w:ascii="宋体" w:hAnsi="宋体" w:cs="宋体"/>
                <w:kern w:val="0"/>
                <w:sz w:val="24"/>
                <w:szCs w:val="24"/>
                <w:lang w:bidi="ar"/>
              </w:rPr>
              <w:t>5</w:t>
            </w:r>
          </w:p>
        </w:tc>
        <w:tc>
          <w:tcPr>
            <w:tcW w:w="5195" w:type="dxa"/>
            <w:shd w:val="clear" w:color="auto" w:fill="auto"/>
            <w:vAlign w:val="center"/>
          </w:tcPr>
          <w:p w14:paraId="7D423F9B">
            <w:pPr>
              <w:adjustRightInd w:val="0"/>
              <w:snapToGrid w:val="0"/>
              <w:jc w:val="left"/>
              <w:rPr>
                <w:rFonts w:ascii="宋体" w:hAnsi="宋体" w:cs="宋体"/>
                <w:sz w:val="24"/>
                <w:szCs w:val="24"/>
              </w:rPr>
            </w:pPr>
            <w:r>
              <w:rPr>
                <w:rFonts w:hint="eastAsia" w:ascii="宋体" w:hAnsi="宋体" w:cs="宋体"/>
                <w:kern w:val="0"/>
                <w:sz w:val="24"/>
                <w:szCs w:val="24"/>
                <w:lang w:bidi="ar"/>
              </w:rPr>
              <w:t>措施项目费</w:t>
            </w:r>
          </w:p>
        </w:tc>
        <w:tc>
          <w:tcPr>
            <w:tcW w:w="2160" w:type="dxa"/>
            <w:vAlign w:val="center"/>
          </w:tcPr>
          <w:p w14:paraId="08746F40">
            <w:pPr>
              <w:jc w:val="center"/>
              <w:rPr>
                <w:rFonts w:ascii="宋体" w:hAnsi="宋体" w:cs="宋体"/>
                <w:sz w:val="24"/>
                <w:szCs w:val="24"/>
              </w:rPr>
            </w:pPr>
          </w:p>
        </w:tc>
        <w:tc>
          <w:tcPr>
            <w:tcW w:w="1373" w:type="dxa"/>
            <w:vAlign w:val="center"/>
          </w:tcPr>
          <w:p w14:paraId="73DD46D0">
            <w:pPr>
              <w:jc w:val="center"/>
              <w:rPr>
                <w:rFonts w:ascii="宋体" w:hAnsi="宋体" w:cs="宋体"/>
                <w:sz w:val="24"/>
                <w:szCs w:val="24"/>
              </w:rPr>
            </w:pPr>
          </w:p>
        </w:tc>
      </w:tr>
      <w:tr w14:paraId="0F92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5748B9AA">
            <w:pPr>
              <w:widowControl/>
              <w:jc w:val="center"/>
              <w:textAlignment w:val="center"/>
              <w:rPr>
                <w:rFonts w:ascii="宋体" w:hAnsi="宋体" w:cs="宋体"/>
                <w:sz w:val="24"/>
                <w:szCs w:val="24"/>
              </w:rPr>
            </w:pPr>
            <w:r>
              <w:rPr>
                <w:rFonts w:hint="eastAsia" w:ascii="宋体" w:hAnsi="宋体" w:cs="宋体"/>
                <w:kern w:val="0"/>
                <w:sz w:val="24"/>
                <w:szCs w:val="24"/>
                <w:lang w:bidi="ar"/>
              </w:rPr>
              <w:t>6</w:t>
            </w:r>
          </w:p>
        </w:tc>
        <w:tc>
          <w:tcPr>
            <w:tcW w:w="5195" w:type="dxa"/>
            <w:shd w:val="clear" w:color="auto" w:fill="auto"/>
            <w:vAlign w:val="center"/>
          </w:tcPr>
          <w:p w14:paraId="603267DC">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其他费用</w:t>
            </w:r>
          </w:p>
        </w:tc>
        <w:tc>
          <w:tcPr>
            <w:tcW w:w="2160" w:type="dxa"/>
            <w:vAlign w:val="center"/>
          </w:tcPr>
          <w:p w14:paraId="26BB8872">
            <w:pPr>
              <w:jc w:val="center"/>
              <w:rPr>
                <w:rFonts w:ascii="宋体" w:hAnsi="宋体" w:cs="宋体"/>
                <w:sz w:val="24"/>
                <w:szCs w:val="24"/>
              </w:rPr>
            </w:pPr>
          </w:p>
        </w:tc>
        <w:tc>
          <w:tcPr>
            <w:tcW w:w="1373" w:type="dxa"/>
            <w:vAlign w:val="center"/>
          </w:tcPr>
          <w:p w14:paraId="4DD9C6C0">
            <w:pPr>
              <w:jc w:val="center"/>
              <w:rPr>
                <w:rFonts w:ascii="宋体" w:hAnsi="宋体" w:cs="宋体"/>
                <w:sz w:val="24"/>
                <w:szCs w:val="24"/>
              </w:rPr>
            </w:pPr>
          </w:p>
        </w:tc>
      </w:tr>
      <w:tr w14:paraId="2C98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5B4D586D">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w:t>
            </w:r>
          </w:p>
        </w:tc>
        <w:tc>
          <w:tcPr>
            <w:tcW w:w="5195" w:type="dxa"/>
            <w:shd w:val="clear" w:color="auto" w:fill="auto"/>
            <w:vAlign w:val="center"/>
          </w:tcPr>
          <w:p w14:paraId="1444BF55">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旧梯残值</w:t>
            </w:r>
          </w:p>
        </w:tc>
        <w:tc>
          <w:tcPr>
            <w:tcW w:w="2160" w:type="dxa"/>
            <w:vAlign w:val="center"/>
          </w:tcPr>
          <w:p w14:paraId="0D6A6E71">
            <w:pPr>
              <w:jc w:val="center"/>
              <w:rPr>
                <w:rFonts w:ascii="宋体" w:hAnsi="宋体" w:cs="宋体"/>
                <w:sz w:val="24"/>
                <w:szCs w:val="24"/>
              </w:rPr>
            </w:pPr>
          </w:p>
        </w:tc>
        <w:tc>
          <w:tcPr>
            <w:tcW w:w="1373" w:type="dxa"/>
            <w:vAlign w:val="center"/>
          </w:tcPr>
          <w:p w14:paraId="11985501">
            <w:pPr>
              <w:jc w:val="center"/>
              <w:rPr>
                <w:rFonts w:ascii="宋体" w:hAnsi="宋体" w:cs="宋体"/>
                <w:sz w:val="24"/>
                <w:szCs w:val="24"/>
              </w:rPr>
            </w:pPr>
          </w:p>
        </w:tc>
      </w:tr>
      <w:tr w14:paraId="2488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shd w:val="clear" w:color="auto" w:fill="auto"/>
            <w:vAlign w:val="center"/>
          </w:tcPr>
          <w:p w14:paraId="3E05D5F9">
            <w:pPr>
              <w:widowControl/>
              <w:jc w:val="center"/>
              <w:textAlignment w:val="center"/>
              <w:rPr>
                <w:rFonts w:ascii="宋体" w:hAnsi="宋体" w:cs="宋体"/>
                <w:b/>
                <w:sz w:val="24"/>
                <w:szCs w:val="24"/>
              </w:rPr>
            </w:pPr>
            <w:r>
              <w:rPr>
                <w:rFonts w:hint="eastAsia" w:ascii="宋体" w:hAnsi="宋体" w:cs="宋体"/>
                <w:kern w:val="0"/>
                <w:sz w:val="24"/>
                <w:szCs w:val="24"/>
                <w:lang w:bidi="ar"/>
              </w:rPr>
              <w:t>8</w:t>
            </w:r>
          </w:p>
        </w:tc>
        <w:tc>
          <w:tcPr>
            <w:tcW w:w="5195" w:type="dxa"/>
            <w:shd w:val="clear" w:color="auto" w:fill="auto"/>
            <w:vAlign w:val="center"/>
          </w:tcPr>
          <w:p w14:paraId="09EF9713">
            <w:pPr>
              <w:widowControl/>
              <w:jc w:val="left"/>
              <w:textAlignment w:val="center"/>
              <w:rPr>
                <w:rFonts w:ascii="宋体" w:hAnsi="宋体" w:cs="宋体"/>
                <w:b/>
                <w:bCs/>
                <w:kern w:val="0"/>
                <w:sz w:val="24"/>
                <w:szCs w:val="24"/>
                <w:lang w:bidi="ar"/>
              </w:rPr>
            </w:pPr>
            <w:r>
              <w:rPr>
                <w:rFonts w:hint="eastAsia" w:ascii="宋体" w:hAnsi="宋体" w:cs="宋体"/>
                <w:b/>
                <w:bCs/>
                <w:kern w:val="0"/>
                <w:sz w:val="24"/>
                <w:szCs w:val="24"/>
                <w:lang w:bidi="ar"/>
              </w:rPr>
              <w:t>此楼栋含税报价总计金额=（1+2+3+4+5+6）-7</w:t>
            </w:r>
          </w:p>
        </w:tc>
        <w:tc>
          <w:tcPr>
            <w:tcW w:w="2160" w:type="dxa"/>
            <w:vAlign w:val="center"/>
          </w:tcPr>
          <w:p w14:paraId="04C4B461">
            <w:pPr>
              <w:jc w:val="center"/>
              <w:rPr>
                <w:rFonts w:ascii="宋体" w:hAnsi="宋体" w:cs="宋体"/>
                <w:sz w:val="24"/>
                <w:szCs w:val="24"/>
              </w:rPr>
            </w:pPr>
          </w:p>
        </w:tc>
        <w:tc>
          <w:tcPr>
            <w:tcW w:w="1373" w:type="dxa"/>
            <w:vAlign w:val="center"/>
          </w:tcPr>
          <w:p w14:paraId="12B05864">
            <w:pPr>
              <w:jc w:val="center"/>
              <w:rPr>
                <w:rFonts w:ascii="宋体" w:hAnsi="宋体" w:cs="宋体"/>
                <w:sz w:val="24"/>
                <w:szCs w:val="24"/>
              </w:rPr>
            </w:pPr>
          </w:p>
        </w:tc>
      </w:tr>
    </w:tbl>
    <w:p w14:paraId="6D9584FB">
      <w:pPr>
        <w:snapToGrid w:val="0"/>
        <w:spacing w:line="380" w:lineRule="exact"/>
        <w:ind w:firstLine="420"/>
        <w:rPr>
          <w:rFonts w:ascii="宋体" w:hAnsi="宋体" w:cs="宋体"/>
          <w:sz w:val="24"/>
          <w:szCs w:val="24"/>
        </w:rPr>
      </w:pPr>
      <w:r>
        <w:rPr>
          <w:rFonts w:hint="eastAsia" w:ascii="宋体" w:hAnsi="宋体" w:cs="宋体"/>
          <w:sz w:val="24"/>
          <w:szCs w:val="24"/>
        </w:rPr>
        <w:t>注：原电梯残值抵扣不低于1万元/台。</w:t>
      </w:r>
    </w:p>
    <w:p w14:paraId="0055F34B">
      <w:pPr>
        <w:snapToGrid w:val="0"/>
        <w:spacing w:line="380" w:lineRule="exact"/>
        <w:ind w:firstLine="420"/>
        <w:rPr>
          <w:rFonts w:ascii="宋体" w:hAnsi="宋体" w:cs="宋体"/>
          <w:b/>
          <w:bCs/>
          <w:sz w:val="24"/>
          <w:szCs w:val="24"/>
        </w:rPr>
      </w:pPr>
    </w:p>
    <w:p w14:paraId="39C60194">
      <w:pPr>
        <w:snapToGrid w:val="0"/>
        <w:spacing w:line="380" w:lineRule="exact"/>
        <w:ind w:firstLine="420"/>
        <w:rPr>
          <w:rFonts w:ascii="宋体" w:hAnsi="宋体" w:cs="宋体"/>
          <w:b/>
          <w:bCs/>
          <w:sz w:val="24"/>
          <w:szCs w:val="24"/>
        </w:rPr>
      </w:pPr>
    </w:p>
    <w:p w14:paraId="45E9CC63">
      <w:pPr>
        <w:snapToGrid w:val="0"/>
        <w:spacing w:line="380" w:lineRule="exact"/>
        <w:ind w:firstLine="420"/>
        <w:jc w:val="right"/>
        <w:rPr>
          <w:rFonts w:ascii="宋体" w:hAnsi="宋体" w:cs="宋体"/>
          <w:b/>
          <w:bCs/>
          <w:sz w:val="24"/>
          <w:szCs w:val="24"/>
        </w:rPr>
      </w:pPr>
      <w:r>
        <w:rPr>
          <w:rFonts w:hint="eastAsia" w:ascii="宋体" w:hAnsi="宋体" w:cs="宋体"/>
          <w:b/>
          <w:bCs/>
          <w:sz w:val="24"/>
          <w:szCs w:val="24"/>
        </w:rPr>
        <w:t>供应商名称（公章）：</w:t>
      </w:r>
    </w:p>
    <w:p w14:paraId="043E64DF">
      <w:pPr>
        <w:snapToGrid w:val="0"/>
        <w:spacing w:line="380" w:lineRule="exact"/>
        <w:ind w:firstLine="420"/>
        <w:jc w:val="right"/>
        <w:rPr>
          <w:rFonts w:ascii="宋体" w:hAnsi="宋体" w:cs="宋体"/>
          <w:b/>
          <w:bCs/>
          <w:sz w:val="24"/>
          <w:szCs w:val="24"/>
        </w:rPr>
        <w:sectPr>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b/>
          <w:bCs/>
          <w:sz w:val="24"/>
          <w:szCs w:val="24"/>
        </w:rPr>
        <w:t xml:space="preserve">                                             年   月   日</w:t>
      </w:r>
    </w:p>
    <w:p w14:paraId="15047426">
      <w:pPr>
        <w:keepNext/>
        <w:keepLines/>
        <w:adjustRightInd w:val="0"/>
        <w:snapToGrid w:val="0"/>
        <w:spacing w:line="400" w:lineRule="exact"/>
        <w:ind w:firstLine="482" w:firstLineChars="200"/>
        <w:jc w:val="center"/>
        <w:outlineLvl w:val="1"/>
        <w:rPr>
          <w:rFonts w:ascii="宋体" w:hAnsi="宋体" w:cs="宋体"/>
          <w:b/>
          <w:sz w:val="24"/>
        </w:rPr>
      </w:pPr>
      <w:bookmarkStart w:id="277" w:name="_Toc22655"/>
      <w:bookmarkStart w:id="278" w:name="_Toc26085"/>
      <w:bookmarkStart w:id="279" w:name="_Toc313888361"/>
      <w:bookmarkStart w:id="280" w:name="_Toc313008357"/>
      <w:bookmarkStart w:id="281" w:name="_Toc65660380"/>
      <w:bookmarkStart w:id="282" w:name="_Toc342913420"/>
      <w:bookmarkStart w:id="283" w:name="_Toc32307"/>
      <w:bookmarkStart w:id="284" w:name="_Toc14073"/>
      <w:r>
        <w:rPr>
          <w:rFonts w:hint="eastAsia" w:ascii="宋体" w:hAnsi="宋体" w:cs="宋体"/>
          <w:b/>
          <w:sz w:val="24"/>
        </w:rPr>
        <w:t>二、技术（质量）部分</w:t>
      </w:r>
      <w:bookmarkEnd w:id="277"/>
      <w:bookmarkEnd w:id="278"/>
      <w:bookmarkEnd w:id="279"/>
      <w:bookmarkEnd w:id="280"/>
      <w:bookmarkEnd w:id="281"/>
      <w:bookmarkEnd w:id="282"/>
      <w:bookmarkEnd w:id="283"/>
      <w:bookmarkEnd w:id="284"/>
    </w:p>
    <w:p w14:paraId="2F6A027F">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14:paraId="7B0A2B6B">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采购执行编号： JZHYZB-20250623                             </w:t>
      </w:r>
    </w:p>
    <w:p w14:paraId="31FFA640">
      <w:pPr>
        <w:spacing w:line="400" w:lineRule="exact"/>
        <w:ind w:firstLine="480" w:firstLineChars="200"/>
        <w:rPr>
          <w:rFonts w:ascii="宋体" w:hAnsi="宋体" w:cs="宋体"/>
          <w:sz w:val="24"/>
          <w:szCs w:val="24"/>
        </w:rPr>
      </w:pPr>
      <w:r>
        <w:rPr>
          <w:rFonts w:hint="eastAsia" w:ascii="宋体" w:hAnsi="宋体" w:cs="宋体"/>
          <w:sz w:val="24"/>
          <w:szCs w:val="24"/>
        </w:rPr>
        <w:t>比选项目名称：北国风光小区13栋两台电梯更新改造工程</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4F3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F02E27F">
            <w:pPr>
              <w:jc w:val="center"/>
              <w:rPr>
                <w:rFonts w:ascii="宋体" w:hAnsi="宋体" w:cs="宋体"/>
                <w:b/>
                <w:szCs w:val="21"/>
              </w:rPr>
            </w:pPr>
            <w:r>
              <w:rPr>
                <w:rFonts w:hint="eastAsia" w:ascii="宋体" w:hAnsi="宋体" w:cs="宋体"/>
                <w:b/>
                <w:bCs/>
                <w:sz w:val="21"/>
                <w:szCs w:val="21"/>
              </w:rPr>
              <w:t>序号</w:t>
            </w:r>
          </w:p>
        </w:tc>
        <w:tc>
          <w:tcPr>
            <w:tcW w:w="2844" w:type="dxa"/>
            <w:vAlign w:val="center"/>
          </w:tcPr>
          <w:p w14:paraId="3FDBC5BC">
            <w:pPr>
              <w:jc w:val="center"/>
              <w:rPr>
                <w:rFonts w:ascii="宋体" w:hAnsi="宋体" w:cs="宋体"/>
                <w:b/>
                <w:bCs/>
                <w:sz w:val="21"/>
                <w:szCs w:val="21"/>
              </w:rPr>
            </w:pPr>
            <w:r>
              <w:rPr>
                <w:rFonts w:hint="eastAsia" w:ascii="宋体" w:hAnsi="宋体" w:cs="宋体"/>
                <w:b/>
                <w:bCs/>
                <w:sz w:val="21"/>
                <w:szCs w:val="21"/>
              </w:rPr>
              <w:t>采购需求</w:t>
            </w:r>
          </w:p>
        </w:tc>
        <w:tc>
          <w:tcPr>
            <w:tcW w:w="2952" w:type="dxa"/>
            <w:vAlign w:val="center"/>
          </w:tcPr>
          <w:p w14:paraId="64D3B108">
            <w:pPr>
              <w:jc w:val="center"/>
              <w:rPr>
                <w:rFonts w:ascii="宋体" w:hAnsi="宋体" w:cs="宋体"/>
                <w:b/>
                <w:bCs/>
                <w:sz w:val="21"/>
                <w:szCs w:val="21"/>
              </w:rPr>
            </w:pPr>
            <w:r>
              <w:rPr>
                <w:rFonts w:hint="eastAsia" w:ascii="宋体" w:hAnsi="宋体" w:cs="宋体"/>
                <w:b/>
                <w:bCs/>
                <w:sz w:val="21"/>
                <w:szCs w:val="21"/>
              </w:rPr>
              <w:t>响应情况</w:t>
            </w:r>
          </w:p>
        </w:tc>
        <w:tc>
          <w:tcPr>
            <w:tcW w:w="2212" w:type="dxa"/>
            <w:vAlign w:val="center"/>
          </w:tcPr>
          <w:p w14:paraId="5AB1060F">
            <w:pPr>
              <w:jc w:val="center"/>
              <w:rPr>
                <w:rFonts w:ascii="宋体" w:hAnsi="宋体" w:cs="宋体"/>
                <w:b/>
                <w:bCs/>
                <w:sz w:val="21"/>
                <w:szCs w:val="21"/>
              </w:rPr>
            </w:pPr>
            <w:r>
              <w:rPr>
                <w:rFonts w:hint="eastAsia" w:ascii="宋体" w:hAnsi="宋体" w:cs="宋体"/>
                <w:b/>
                <w:bCs/>
                <w:sz w:val="21"/>
                <w:szCs w:val="21"/>
              </w:rPr>
              <w:t>差异说明</w:t>
            </w:r>
          </w:p>
        </w:tc>
      </w:tr>
      <w:tr w14:paraId="048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DEE9F6">
            <w:pPr>
              <w:tabs>
                <w:tab w:val="left" w:pos="6300"/>
              </w:tabs>
              <w:snapToGrid w:val="0"/>
              <w:jc w:val="center"/>
              <w:outlineLvl w:val="0"/>
              <w:rPr>
                <w:rFonts w:ascii="宋体" w:hAnsi="宋体" w:cs="宋体"/>
                <w:sz w:val="21"/>
                <w:szCs w:val="21"/>
              </w:rPr>
            </w:pPr>
          </w:p>
        </w:tc>
        <w:tc>
          <w:tcPr>
            <w:tcW w:w="2844" w:type="dxa"/>
            <w:vAlign w:val="center"/>
          </w:tcPr>
          <w:p w14:paraId="5DEC2871">
            <w:pPr>
              <w:tabs>
                <w:tab w:val="left" w:pos="6300"/>
              </w:tabs>
              <w:snapToGrid w:val="0"/>
              <w:jc w:val="center"/>
              <w:outlineLvl w:val="0"/>
              <w:rPr>
                <w:rFonts w:ascii="宋体" w:hAnsi="宋体" w:cs="宋体"/>
                <w:sz w:val="21"/>
                <w:szCs w:val="21"/>
              </w:rPr>
            </w:pPr>
          </w:p>
        </w:tc>
        <w:tc>
          <w:tcPr>
            <w:tcW w:w="2952" w:type="dxa"/>
            <w:vAlign w:val="center"/>
          </w:tcPr>
          <w:p w14:paraId="61AD1D2F">
            <w:pPr>
              <w:tabs>
                <w:tab w:val="left" w:pos="6300"/>
              </w:tabs>
              <w:snapToGrid w:val="0"/>
              <w:jc w:val="center"/>
              <w:outlineLvl w:val="0"/>
              <w:rPr>
                <w:rFonts w:ascii="宋体" w:hAnsi="宋体" w:cs="宋体"/>
                <w:sz w:val="21"/>
                <w:szCs w:val="21"/>
              </w:rPr>
            </w:pPr>
          </w:p>
        </w:tc>
        <w:tc>
          <w:tcPr>
            <w:tcW w:w="2212" w:type="dxa"/>
            <w:vAlign w:val="center"/>
          </w:tcPr>
          <w:p w14:paraId="023F8B91">
            <w:pPr>
              <w:tabs>
                <w:tab w:val="left" w:pos="6300"/>
              </w:tabs>
              <w:snapToGrid w:val="0"/>
              <w:jc w:val="center"/>
              <w:outlineLvl w:val="0"/>
              <w:rPr>
                <w:rFonts w:ascii="宋体" w:hAnsi="宋体" w:cs="宋体"/>
                <w:sz w:val="21"/>
                <w:szCs w:val="21"/>
              </w:rPr>
            </w:pPr>
          </w:p>
        </w:tc>
      </w:tr>
      <w:tr w14:paraId="2B87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A85CD1">
            <w:pPr>
              <w:tabs>
                <w:tab w:val="left" w:pos="6300"/>
              </w:tabs>
              <w:snapToGrid w:val="0"/>
              <w:jc w:val="center"/>
              <w:outlineLvl w:val="0"/>
              <w:rPr>
                <w:rFonts w:ascii="宋体" w:hAnsi="宋体" w:cs="宋体"/>
                <w:sz w:val="21"/>
                <w:szCs w:val="21"/>
              </w:rPr>
            </w:pPr>
          </w:p>
        </w:tc>
        <w:tc>
          <w:tcPr>
            <w:tcW w:w="2844" w:type="dxa"/>
            <w:vAlign w:val="center"/>
          </w:tcPr>
          <w:p w14:paraId="6460DE12">
            <w:pPr>
              <w:tabs>
                <w:tab w:val="left" w:pos="6300"/>
              </w:tabs>
              <w:snapToGrid w:val="0"/>
              <w:jc w:val="center"/>
              <w:outlineLvl w:val="0"/>
              <w:rPr>
                <w:rFonts w:ascii="宋体" w:hAnsi="宋体" w:cs="宋体"/>
                <w:sz w:val="21"/>
                <w:szCs w:val="21"/>
              </w:rPr>
            </w:pPr>
          </w:p>
        </w:tc>
        <w:tc>
          <w:tcPr>
            <w:tcW w:w="2952" w:type="dxa"/>
            <w:vAlign w:val="center"/>
          </w:tcPr>
          <w:p w14:paraId="76216BA1">
            <w:pPr>
              <w:tabs>
                <w:tab w:val="left" w:pos="6300"/>
              </w:tabs>
              <w:snapToGrid w:val="0"/>
              <w:jc w:val="center"/>
              <w:outlineLvl w:val="0"/>
              <w:rPr>
                <w:rFonts w:ascii="宋体" w:hAnsi="宋体" w:cs="宋体"/>
                <w:sz w:val="21"/>
                <w:szCs w:val="21"/>
              </w:rPr>
            </w:pPr>
          </w:p>
        </w:tc>
        <w:tc>
          <w:tcPr>
            <w:tcW w:w="2212" w:type="dxa"/>
            <w:vAlign w:val="center"/>
          </w:tcPr>
          <w:p w14:paraId="1EA01729">
            <w:pPr>
              <w:tabs>
                <w:tab w:val="left" w:pos="6300"/>
              </w:tabs>
              <w:snapToGrid w:val="0"/>
              <w:jc w:val="center"/>
              <w:outlineLvl w:val="0"/>
              <w:rPr>
                <w:rFonts w:ascii="宋体" w:hAnsi="宋体" w:cs="宋体"/>
                <w:sz w:val="21"/>
                <w:szCs w:val="21"/>
              </w:rPr>
            </w:pPr>
          </w:p>
        </w:tc>
      </w:tr>
      <w:tr w14:paraId="61ED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CAAABCA">
            <w:pPr>
              <w:tabs>
                <w:tab w:val="left" w:pos="6300"/>
              </w:tabs>
              <w:snapToGrid w:val="0"/>
              <w:jc w:val="center"/>
              <w:outlineLvl w:val="0"/>
              <w:rPr>
                <w:rFonts w:ascii="宋体" w:hAnsi="宋体" w:cs="宋体"/>
                <w:sz w:val="21"/>
                <w:szCs w:val="21"/>
              </w:rPr>
            </w:pPr>
          </w:p>
        </w:tc>
        <w:tc>
          <w:tcPr>
            <w:tcW w:w="2844" w:type="dxa"/>
            <w:vAlign w:val="center"/>
          </w:tcPr>
          <w:p w14:paraId="55A35AD2">
            <w:pPr>
              <w:tabs>
                <w:tab w:val="left" w:pos="6300"/>
              </w:tabs>
              <w:snapToGrid w:val="0"/>
              <w:jc w:val="center"/>
              <w:outlineLvl w:val="0"/>
              <w:rPr>
                <w:rFonts w:ascii="宋体" w:hAnsi="宋体" w:cs="宋体"/>
                <w:sz w:val="21"/>
                <w:szCs w:val="21"/>
              </w:rPr>
            </w:pPr>
          </w:p>
        </w:tc>
        <w:tc>
          <w:tcPr>
            <w:tcW w:w="2952" w:type="dxa"/>
            <w:vAlign w:val="center"/>
          </w:tcPr>
          <w:p w14:paraId="67DA3861">
            <w:pPr>
              <w:tabs>
                <w:tab w:val="left" w:pos="6300"/>
              </w:tabs>
              <w:snapToGrid w:val="0"/>
              <w:jc w:val="center"/>
              <w:outlineLvl w:val="0"/>
              <w:rPr>
                <w:rFonts w:ascii="宋体" w:hAnsi="宋体" w:cs="宋体"/>
                <w:sz w:val="21"/>
                <w:szCs w:val="21"/>
              </w:rPr>
            </w:pPr>
          </w:p>
        </w:tc>
        <w:tc>
          <w:tcPr>
            <w:tcW w:w="2212" w:type="dxa"/>
            <w:vAlign w:val="center"/>
          </w:tcPr>
          <w:p w14:paraId="218556E0">
            <w:pPr>
              <w:tabs>
                <w:tab w:val="left" w:pos="6300"/>
              </w:tabs>
              <w:snapToGrid w:val="0"/>
              <w:jc w:val="center"/>
              <w:outlineLvl w:val="0"/>
              <w:rPr>
                <w:rFonts w:ascii="宋体" w:hAnsi="宋体" w:cs="宋体"/>
                <w:sz w:val="21"/>
                <w:szCs w:val="21"/>
              </w:rPr>
            </w:pPr>
          </w:p>
        </w:tc>
      </w:tr>
      <w:tr w14:paraId="0CE3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BED677">
            <w:pPr>
              <w:tabs>
                <w:tab w:val="left" w:pos="6300"/>
              </w:tabs>
              <w:snapToGrid w:val="0"/>
              <w:jc w:val="center"/>
              <w:outlineLvl w:val="0"/>
              <w:rPr>
                <w:rFonts w:ascii="宋体" w:hAnsi="宋体" w:cs="宋体"/>
                <w:sz w:val="21"/>
                <w:szCs w:val="21"/>
              </w:rPr>
            </w:pPr>
          </w:p>
        </w:tc>
        <w:tc>
          <w:tcPr>
            <w:tcW w:w="2844" w:type="dxa"/>
            <w:vAlign w:val="center"/>
          </w:tcPr>
          <w:p w14:paraId="4E1DC545">
            <w:pPr>
              <w:tabs>
                <w:tab w:val="left" w:pos="6300"/>
              </w:tabs>
              <w:snapToGrid w:val="0"/>
              <w:jc w:val="center"/>
              <w:outlineLvl w:val="0"/>
              <w:rPr>
                <w:rFonts w:ascii="宋体" w:hAnsi="宋体" w:cs="宋体"/>
                <w:sz w:val="21"/>
                <w:szCs w:val="21"/>
              </w:rPr>
            </w:pPr>
          </w:p>
        </w:tc>
        <w:tc>
          <w:tcPr>
            <w:tcW w:w="2952" w:type="dxa"/>
            <w:vAlign w:val="center"/>
          </w:tcPr>
          <w:p w14:paraId="3D5DE6E3">
            <w:pPr>
              <w:tabs>
                <w:tab w:val="left" w:pos="6300"/>
              </w:tabs>
              <w:snapToGrid w:val="0"/>
              <w:jc w:val="center"/>
              <w:outlineLvl w:val="0"/>
              <w:rPr>
                <w:rFonts w:ascii="宋体" w:hAnsi="宋体" w:cs="宋体"/>
                <w:sz w:val="21"/>
                <w:szCs w:val="21"/>
              </w:rPr>
            </w:pPr>
          </w:p>
        </w:tc>
        <w:tc>
          <w:tcPr>
            <w:tcW w:w="2212" w:type="dxa"/>
            <w:vAlign w:val="center"/>
          </w:tcPr>
          <w:p w14:paraId="6839C123">
            <w:pPr>
              <w:tabs>
                <w:tab w:val="left" w:pos="6300"/>
              </w:tabs>
              <w:snapToGrid w:val="0"/>
              <w:jc w:val="center"/>
              <w:outlineLvl w:val="0"/>
              <w:rPr>
                <w:rFonts w:ascii="宋体" w:hAnsi="宋体" w:cs="宋体"/>
                <w:sz w:val="21"/>
                <w:szCs w:val="21"/>
              </w:rPr>
            </w:pPr>
          </w:p>
        </w:tc>
      </w:tr>
      <w:tr w14:paraId="249E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15A15C6">
            <w:pPr>
              <w:tabs>
                <w:tab w:val="left" w:pos="6300"/>
              </w:tabs>
              <w:snapToGrid w:val="0"/>
              <w:jc w:val="center"/>
              <w:outlineLvl w:val="0"/>
              <w:rPr>
                <w:rFonts w:ascii="宋体" w:hAnsi="宋体" w:cs="宋体"/>
                <w:sz w:val="21"/>
                <w:szCs w:val="21"/>
              </w:rPr>
            </w:pPr>
          </w:p>
        </w:tc>
        <w:tc>
          <w:tcPr>
            <w:tcW w:w="2844" w:type="dxa"/>
            <w:vAlign w:val="center"/>
          </w:tcPr>
          <w:p w14:paraId="044DDFD1">
            <w:pPr>
              <w:tabs>
                <w:tab w:val="left" w:pos="6300"/>
              </w:tabs>
              <w:snapToGrid w:val="0"/>
              <w:jc w:val="center"/>
              <w:outlineLvl w:val="0"/>
              <w:rPr>
                <w:rFonts w:ascii="宋体" w:hAnsi="宋体" w:cs="宋体"/>
                <w:sz w:val="21"/>
                <w:szCs w:val="21"/>
              </w:rPr>
            </w:pPr>
          </w:p>
        </w:tc>
        <w:tc>
          <w:tcPr>
            <w:tcW w:w="2952" w:type="dxa"/>
            <w:vAlign w:val="center"/>
          </w:tcPr>
          <w:p w14:paraId="19831B6A">
            <w:pPr>
              <w:tabs>
                <w:tab w:val="left" w:pos="6300"/>
              </w:tabs>
              <w:snapToGrid w:val="0"/>
              <w:jc w:val="center"/>
              <w:outlineLvl w:val="0"/>
              <w:rPr>
                <w:rFonts w:ascii="宋体" w:hAnsi="宋体" w:cs="宋体"/>
                <w:sz w:val="21"/>
                <w:szCs w:val="21"/>
              </w:rPr>
            </w:pPr>
          </w:p>
        </w:tc>
        <w:tc>
          <w:tcPr>
            <w:tcW w:w="2212" w:type="dxa"/>
            <w:vAlign w:val="center"/>
          </w:tcPr>
          <w:p w14:paraId="137F514F">
            <w:pPr>
              <w:tabs>
                <w:tab w:val="left" w:pos="6300"/>
              </w:tabs>
              <w:snapToGrid w:val="0"/>
              <w:jc w:val="center"/>
              <w:outlineLvl w:val="0"/>
              <w:rPr>
                <w:rFonts w:ascii="宋体" w:hAnsi="宋体" w:cs="宋体"/>
                <w:sz w:val="21"/>
                <w:szCs w:val="21"/>
              </w:rPr>
            </w:pPr>
          </w:p>
        </w:tc>
      </w:tr>
      <w:tr w14:paraId="6666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74069D">
            <w:pPr>
              <w:tabs>
                <w:tab w:val="left" w:pos="6300"/>
              </w:tabs>
              <w:snapToGrid w:val="0"/>
              <w:jc w:val="center"/>
              <w:outlineLvl w:val="0"/>
              <w:rPr>
                <w:rFonts w:ascii="宋体" w:hAnsi="宋体" w:cs="宋体"/>
                <w:sz w:val="21"/>
                <w:szCs w:val="21"/>
              </w:rPr>
            </w:pPr>
          </w:p>
        </w:tc>
        <w:tc>
          <w:tcPr>
            <w:tcW w:w="2844" w:type="dxa"/>
            <w:vAlign w:val="center"/>
          </w:tcPr>
          <w:p w14:paraId="1C4FBB1D">
            <w:pPr>
              <w:tabs>
                <w:tab w:val="left" w:pos="6300"/>
              </w:tabs>
              <w:snapToGrid w:val="0"/>
              <w:jc w:val="center"/>
              <w:outlineLvl w:val="0"/>
              <w:rPr>
                <w:rFonts w:ascii="宋体" w:hAnsi="宋体" w:cs="宋体"/>
                <w:sz w:val="21"/>
                <w:szCs w:val="21"/>
              </w:rPr>
            </w:pPr>
          </w:p>
        </w:tc>
        <w:tc>
          <w:tcPr>
            <w:tcW w:w="2952" w:type="dxa"/>
            <w:vAlign w:val="center"/>
          </w:tcPr>
          <w:p w14:paraId="7FC2F51B">
            <w:pPr>
              <w:tabs>
                <w:tab w:val="left" w:pos="6300"/>
              </w:tabs>
              <w:snapToGrid w:val="0"/>
              <w:jc w:val="center"/>
              <w:outlineLvl w:val="0"/>
              <w:rPr>
                <w:rFonts w:ascii="宋体" w:hAnsi="宋体" w:cs="宋体"/>
                <w:sz w:val="21"/>
                <w:szCs w:val="21"/>
              </w:rPr>
            </w:pPr>
          </w:p>
        </w:tc>
        <w:tc>
          <w:tcPr>
            <w:tcW w:w="2212" w:type="dxa"/>
            <w:vAlign w:val="center"/>
          </w:tcPr>
          <w:p w14:paraId="06826E43">
            <w:pPr>
              <w:tabs>
                <w:tab w:val="left" w:pos="6300"/>
              </w:tabs>
              <w:snapToGrid w:val="0"/>
              <w:jc w:val="center"/>
              <w:outlineLvl w:val="0"/>
              <w:rPr>
                <w:rFonts w:ascii="宋体" w:hAnsi="宋体" w:cs="宋体"/>
                <w:sz w:val="21"/>
                <w:szCs w:val="21"/>
              </w:rPr>
            </w:pPr>
          </w:p>
        </w:tc>
      </w:tr>
      <w:tr w14:paraId="07A4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00B07D">
            <w:pPr>
              <w:tabs>
                <w:tab w:val="left" w:pos="6300"/>
              </w:tabs>
              <w:snapToGrid w:val="0"/>
              <w:jc w:val="center"/>
              <w:outlineLvl w:val="0"/>
              <w:rPr>
                <w:rFonts w:ascii="宋体" w:hAnsi="宋体" w:cs="宋体"/>
                <w:sz w:val="21"/>
                <w:szCs w:val="21"/>
              </w:rPr>
            </w:pPr>
          </w:p>
        </w:tc>
        <w:tc>
          <w:tcPr>
            <w:tcW w:w="2844" w:type="dxa"/>
            <w:vAlign w:val="center"/>
          </w:tcPr>
          <w:p w14:paraId="14EE665C">
            <w:pPr>
              <w:tabs>
                <w:tab w:val="left" w:pos="6300"/>
              </w:tabs>
              <w:snapToGrid w:val="0"/>
              <w:jc w:val="center"/>
              <w:outlineLvl w:val="0"/>
              <w:rPr>
                <w:rFonts w:ascii="宋体" w:hAnsi="宋体" w:cs="宋体"/>
                <w:sz w:val="21"/>
                <w:szCs w:val="21"/>
              </w:rPr>
            </w:pPr>
          </w:p>
        </w:tc>
        <w:tc>
          <w:tcPr>
            <w:tcW w:w="2952" w:type="dxa"/>
            <w:vAlign w:val="center"/>
          </w:tcPr>
          <w:p w14:paraId="06F80875">
            <w:pPr>
              <w:tabs>
                <w:tab w:val="left" w:pos="6300"/>
              </w:tabs>
              <w:snapToGrid w:val="0"/>
              <w:jc w:val="center"/>
              <w:outlineLvl w:val="0"/>
              <w:rPr>
                <w:rFonts w:ascii="宋体" w:hAnsi="宋体" w:cs="宋体"/>
                <w:sz w:val="21"/>
                <w:szCs w:val="21"/>
              </w:rPr>
            </w:pPr>
          </w:p>
        </w:tc>
        <w:tc>
          <w:tcPr>
            <w:tcW w:w="2212" w:type="dxa"/>
            <w:vAlign w:val="center"/>
          </w:tcPr>
          <w:p w14:paraId="2A3332A0">
            <w:pPr>
              <w:tabs>
                <w:tab w:val="left" w:pos="6300"/>
              </w:tabs>
              <w:snapToGrid w:val="0"/>
              <w:jc w:val="center"/>
              <w:outlineLvl w:val="0"/>
              <w:rPr>
                <w:rFonts w:ascii="宋体" w:hAnsi="宋体" w:cs="宋体"/>
                <w:sz w:val="21"/>
                <w:szCs w:val="21"/>
              </w:rPr>
            </w:pPr>
          </w:p>
        </w:tc>
      </w:tr>
      <w:tr w14:paraId="598C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B8CA10">
            <w:pPr>
              <w:tabs>
                <w:tab w:val="left" w:pos="6300"/>
              </w:tabs>
              <w:snapToGrid w:val="0"/>
              <w:jc w:val="center"/>
              <w:outlineLvl w:val="0"/>
              <w:rPr>
                <w:rFonts w:ascii="宋体" w:hAnsi="宋体" w:cs="宋体"/>
                <w:sz w:val="21"/>
                <w:szCs w:val="21"/>
              </w:rPr>
            </w:pPr>
          </w:p>
        </w:tc>
        <w:tc>
          <w:tcPr>
            <w:tcW w:w="2844" w:type="dxa"/>
            <w:vAlign w:val="center"/>
          </w:tcPr>
          <w:p w14:paraId="30E1C93E">
            <w:pPr>
              <w:tabs>
                <w:tab w:val="left" w:pos="6300"/>
              </w:tabs>
              <w:snapToGrid w:val="0"/>
              <w:jc w:val="center"/>
              <w:outlineLvl w:val="0"/>
              <w:rPr>
                <w:rFonts w:ascii="宋体" w:hAnsi="宋体" w:cs="宋体"/>
                <w:sz w:val="21"/>
                <w:szCs w:val="21"/>
              </w:rPr>
            </w:pPr>
          </w:p>
        </w:tc>
        <w:tc>
          <w:tcPr>
            <w:tcW w:w="2952" w:type="dxa"/>
            <w:vAlign w:val="center"/>
          </w:tcPr>
          <w:p w14:paraId="110DFE36">
            <w:pPr>
              <w:tabs>
                <w:tab w:val="left" w:pos="6300"/>
              </w:tabs>
              <w:snapToGrid w:val="0"/>
              <w:jc w:val="center"/>
              <w:outlineLvl w:val="0"/>
              <w:rPr>
                <w:rFonts w:ascii="宋体" w:hAnsi="宋体" w:cs="宋体"/>
                <w:sz w:val="21"/>
                <w:szCs w:val="21"/>
              </w:rPr>
            </w:pPr>
          </w:p>
        </w:tc>
        <w:tc>
          <w:tcPr>
            <w:tcW w:w="2212" w:type="dxa"/>
            <w:vAlign w:val="center"/>
          </w:tcPr>
          <w:p w14:paraId="6BC839DB">
            <w:pPr>
              <w:tabs>
                <w:tab w:val="left" w:pos="6300"/>
              </w:tabs>
              <w:snapToGrid w:val="0"/>
              <w:jc w:val="center"/>
              <w:outlineLvl w:val="0"/>
              <w:rPr>
                <w:rFonts w:ascii="宋体" w:hAnsi="宋体" w:cs="宋体"/>
                <w:sz w:val="21"/>
                <w:szCs w:val="21"/>
              </w:rPr>
            </w:pPr>
          </w:p>
        </w:tc>
      </w:tr>
      <w:tr w14:paraId="336D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22F1A28">
            <w:pPr>
              <w:tabs>
                <w:tab w:val="left" w:pos="6300"/>
              </w:tabs>
              <w:snapToGrid w:val="0"/>
              <w:jc w:val="center"/>
              <w:outlineLvl w:val="0"/>
              <w:rPr>
                <w:rFonts w:ascii="宋体" w:hAnsi="宋体" w:cs="宋体"/>
                <w:sz w:val="21"/>
                <w:szCs w:val="21"/>
              </w:rPr>
            </w:pPr>
          </w:p>
        </w:tc>
        <w:tc>
          <w:tcPr>
            <w:tcW w:w="2844" w:type="dxa"/>
            <w:vAlign w:val="center"/>
          </w:tcPr>
          <w:p w14:paraId="1E74F8F1">
            <w:pPr>
              <w:tabs>
                <w:tab w:val="left" w:pos="6300"/>
              </w:tabs>
              <w:snapToGrid w:val="0"/>
              <w:jc w:val="center"/>
              <w:outlineLvl w:val="0"/>
              <w:rPr>
                <w:rFonts w:ascii="宋体" w:hAnsi="宋体" w:cs="宋体"/>
                <w:sz w:val="21"/>
                <w:szCs w:val="21"/>
              </w:rPr>
            </w:pPr>
          </w:p>
        </w:tc>
        <w:tc>
          <w:tcPr>
            <w:tcW w:w="2952" w:type="dxa"/>
            <w:vAlign w:val="center"/>
          </w:tcPr>
          <w:p w14:paraId="390CBE75">
            <w:pPr>
              <w:tabs>
                <w:tab w:val="left" w:pos="6300"/>
              </w:tabs>
              <w:snapToGrid w:val="0"/>
              <w:jc w:val="center"/>
              <w:outlineLvl w:val="0"/>
              <w:rPr>
                <w:rFonts w:ascii="宋体" w:hAnsi="宋体" w:cs="宋体"/>
                <w:sz w:val="21"/>
                <w:szCs w:val="21"/>
              </w:rPr>
            </w:pPr>
          </w:p>
        </w:tc>
        <w:tc>
          <w:tcPr>
            <w:tcW w:w="2212" w:type="dxa"/>
            <w:vAlign w:val="center"/>
          </w:tcPr>
          <w:p w14:paraId="4385DFBC">
            <w:pPr>
              <w:tabs>
                <w:tab w:val="left" w:pos="6300"/>
              </w:tabs>
              <w:snapToGrid w:val="0"/>
              <w:jc w:val="center"/>
              <w:outlineLvl w:val="0"/>
              <w:rPr>
                <w:rFonts w:ascii="宋体" w:hAnsi="宋体" w:cs="宋体"/>
                <w:sz w:val="21"/>
                <w:szCs w:val="21"/>
              </w:rPr>
            </w:pPr>
          </w:p>
        </w:tc>
      </w:tr>
      <w:tr w14:paraId="15AB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B722322">
            <w:pPr>
              <w:tabs>
                <w:tab w:val="left" w:pos="6300"/>
              </w:tabs>
              <w:snapToGrid w:val="0"/>
              <w:jc w:val="center"/>
              <w:outlineLvl w:val="0"/>
              <w:rPr>
                <w:rFonts w:ascii="宋体" w:hAnsi="宋体" w:cs="宋体"/>
                <w:sz w:val="21"/>
                <w:szCs w:val="21"/>
              </w:rPr>
            </w:pPr>
          </w:p>
        </w:tc>
        <w:tc>
          <w:tcPr>
            <w:tcW w:w="2844" w:type="dxa"/>
            <w:vAlign w:val="center"/>
          </w:tcPr>
          <w:p w14:paraId="67EF61E3">
            <w:pPr>
              <w:tabs>
                <w:tab w:val="left" w:pos="6300"/>
              </w:tabs>
              <w:snapToGrid w:val="0"/>
              <w:jc w:val="center"/>
              <w:outlineLvl w:val="0"/>
              <w:rPr>
                <w:rFonts w:ascii="宋体" w:hAnsi="宋体" w:cs="宋体"/>
                <w:sz w:val="21"/>
                <w:szCs w:val="21"/>
              </w:rPr>
            </w:pPr>
          </w:p>
        </w:tc>
        <w:tc>
          <w:tcPr>
            <w:tcW w:w="2952" w:type="dxa"/>
            <w:vAlign w:val="center"/>
          </w:tcPr>
          <w:p w14:paraId="62BF1237">
            <w:pPr>
              <w:tabs>
                <w:tab w:val="left" w:pos="6300"/>
              </w:tabs>
              <w:snapToGrid w:val="0"/>
              <w:jc w:val="center"/>
              <w:outlineLvl w:val="0"/>
              <w:rPr>
                <w:rFonts w:ascii="宋体" w:hAnsi="宋体" w:cs="宋体"/>
                <w:sz w:val="21"/>
                <w:szCs w:val="21"/>
              </w:rPr>
            </w:pPr>
          </w:p>
        </w:tc>
        <w:tc>
          <w:tcPr>
            <w:tcW w:w="2212" w:type="dxa"/>
            <w:vAlign w:val="center"/>
          </w:tcPr>
          <w:p w14:paraId="00DB7888">
            <w:pPr>
              <w:tabs>
                <w:tab w:val="left" w:pos="6300"/>
              </w:tabs>
              <w:snapToGrid w:val="0"/>
              <w:jc w:val="center"/>
              <w:outlineLvl w:val="0"/>
              <w:rPr>
                <w:rFonts w:ascii="宋体" w:hAnsi="宋体" w:cs="宋体"/>
                <w:sz w:val="21"/>
                <w:szCs w:val="21"/>
              </w:rPr>
            </w:pPr>
          </w:p>
        </w:tc>
      </w:tr>
    </w:tbl>
    <w:p w14:paraId="368D4B26">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270F5500">
      <w:pPr>
        <w:spacing w:line="500" w:lineRule="exact"/>
        <w:rPr>
          <w:rFonts w:ascii="宋体" w:hAnsi="宋体" w:cs="宋体"/>
          <w:sz w:val="24"/>
          <w:szCs w:val="28"/>
        </w:rPr>
      </w:pPr>
      <w:r>
        <w:rPr>
          <w:rFonts w:hint="eastAsia" w:ascii="宋体" w:hAnsi="宋体" w:cs="宋体"/>
          <w:sz w:val="24"/>
          <w:szCs w:val="28"/>
        </w:rPr>
        <w:t xml:space="preserve">    </w:t>
      </w:r>
    </w:p>
    <w:p w14:paraId="7D14B3EA">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14:paraId="59B2BCD8">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49CFE937">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50A398E3">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比选项目技术（质量）需求”中所列条款进行比较和响应；</w:t>
      </w:r>
    </w:p>
    <w:p w14:paraId="0E62F6B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14:paraId="56CB7C6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14:paraId="69A0A0F0">
      <w:pPr>
        <w:tabs>
          <w:tab w:val="left" w:pos="6300"/>
        </w:tabs>
        <w:snapToGrid w:val="0"/>
        <w:spacing w:line="500" w:lineRule="exact"/>
        <w:ind w:firstLine="480" w:firstLineChars="200"/>
        <w:rPr>
          <w:rFonts w:ascii="宋体" w:hAnsi="宋体" w:cs="宋体"/>
          <w:sz w:val="24"/>
          <w:szCs w:val="24"/>
        </w:rPr>
      </w:pPr>
    </w:p>
    <w:p w14:paraId="416B229B">
      <w:pPr>
        <w:keepNext/>
        <w:keepLines/>
        <w:adjustRightInd w:val="0"/>
        <w:snapToGrid w:val="0"/>
        <w:spacing w:line="400" w:lineRule="exact"/>
        <w:ind w:firstLine="640" w:firstLineChars="200"/>
        <w:outlineLvl w:val="1"/>
        <w:rPr>
          <w:rFonts w:ascii="宋体" w:hAnsi="宋体" w:cs="宋体"/>
          <w:b/>
          <w:sz w:val="24"/>
        </w:rPr>
      </w:pPr>
      <w:r>
        <w:rPr>
          <w:rFonts w:hint="eastAsia" w:ascii="宋体" w:hAnsi="宋体" w:cs="宋体"/>
          <w:sz w:val="32"/>
        </w:rPr>
        <w:br w:type="page"/>
      </w:r>
      <w:bookmarkStart w:id="285" w:name="_Toc65660381"/>
      <w:bookmarkStart w:id="286" w:name="_Toc32158"/>
      <w:bookmarkStart w:id="287" w:name="_Toc27717"/>
      <w:bookmarkStart w:id="288" w:name="_Toc19848"/>
      <w:bookmarkStart w:id="289" w:name="_Toc32339"/>
      <w:bookmarkStart w:id="290" w:name="_Toc313888362"/>
      <w:bookmarkStart w:id="291" w:name="_Toc342913421"/>
      <w:bookmarkStart w:id="292" w:name="_Toc313008358"/>
      <w:r>
        <w:rPr>
          <w:rFonts w:hint="eastAsia" w:ascii="宋体" w:hAnsi="宋体" w:cs="宋体"/>
          <w:b/>
          <w:sz w:val="24"/>
        </w:rPr>
        <w:t>三、</w:t>
      </w:r>
      <w:bookmarkEnd w:id="285"/>
      <w:bookmarkEnd w:id="286"/>
      <w:bookmarkEnd w:id="287"/>
      <w:bookmarkEnd w:id="288"/>
      <w:bookmarkEnd w:id="289"/>
      <w:r>
        <w:rPr>
          <w:rFonts w:hint="eastAsia" w:ascii="宋体" w:hAnsi="宋体" w:cs="宋体"/>
          <w:b/>
          <w:sz w:val="24"/>
        </w:rPr>
        <w:t>商务部分</w:t>
      </w:r>
    </w:p>
    <w:p w14:paraId="17D94C83">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4728FBF9">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采购执行编号： JZHYZB-20250623                             </w:t>
      </w:r>
    </w:p>
    <w:p w14:paraId="19549517">
      <w:pPr>
        <w:spacing w:line="400" w:lineRule="exact"/>
        <w:ind w:firstLine="480" w:firstLineChars="200"/>
        <w:rPr>
          <w:rFonts w:ascii="宋体" w:hAnsi="宋体" w:cs="宋体"/>
          <w:sz w:val="24"/>
          <w:szCs w:val="24"/>
        </w:rPr>
      </w:pPr>
      <w:r>
        <w:rPr>
          <w:rFonts w:hint="eastAsia" w:ascii="宋体" w:hAnsi="宋体" w:cs="宋体"/>
          <w:sz w:val="24"/>
          <w:szCs w:val="24"/>
        </w:rPr>
        <w:t xml:space="preserve">比选项目名称：北国风光小区13栋两台电梯更新改造工程                        </w:t>
      </w:r>
    </w:p>
    <w:p w14:paraId="13D0AE0F">
      <w:pPr>
        <w:spacing w:line="400" w:lineRule="exact"/>
        <w:ind w:firstLine="480" w:firstLineChars="200"/>
        <w:rPr>
          <w:rFonts w:ascii="宋体" w:hAnsi="宋体" w:cs="宋体"/>
          <w:sz w:val="24"/>
          <w:szCs w:val="24"/>
        </w:rPr>
      </w:pP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47B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7A1D0F7">
            <w:pPr>
              <w:jc w:val="center"/>
              <w:rPr>
                <w:rFonts w:ascii="宋体" w:hAnsi="宋体" w:cs="宋体"/>
                <w:b/>
                <w:szCs w:val="24"/>
              </w:rPr>
            </w:pPr>
            <w:r>
              <w:rPr>
                <w:rFonts w:hint="eastAsia" w:ascii="宋体" w:hAnsi="宋体" w:cs="宋体"/>
                <w:b/>
                <w:bCs/>
                <w:sz w:val="21"/>
                <w:szCs w:val="21"/>
              </w:rPr>
              <w:t>序号</w:t>
            </w:r>
          </w:p>
        </w:tc>
        <w:tc>
          <w:tcPr>
            <w:tcW w:w="3184" w:type="dxa"/>
            <w:vAlign w:val="center"/>
          </w:tcPr>
          <w:p w14:paraId="679D673A">
            <w:pPr>
              <w:jc w:val="center"/>
              <w:rPr>
                <w:rFonts w:ascii="宋体" w:hAnsi="宋体" w:cs="宋体"/>
                <w:b/>
                <w:bCs/>
                <w:sz w:val="21"/>
                <w:szCs w:val="21"/>
              </w:rPr>
            </w:pPr>
            <w:r>
              <w:rPr>
                <w:rFonts w:hint="eastAsia" w:ascii="宋体" w:hAnsi="宋体" w:cs="宋体"/>
                <w:b/>
                <w:bCs/>
                <w:sz w:val="21"/>
                <w:szCs w:val="21"/>
              </w:rPr>
              <w:t>采购需求</w:t>
            </w:r>
          </w:p>
        </w:tc>
        <w:tc>
          <w:tcPr>
            <w:tcW w:w="2438" w:type="dxa"/>
            <w:vAlign w:val="center"/>
          </w:tcPr>
          <w:p w14:paraId="55A9CE3C">
            <w:pPr>
              <w:jc w:val="center"/>
              <w:rPr>
                <w:rFonts w:ascii="宋体" w:hAnsi="宋体" w:cs="宋体"/>
                <w:b/>
                <w:bCs/>
                <w:sz w:val="21"/>
                <w:szCs w:val="21"/>
              </w:rPr>
            </w:pPr>
            <w:r>
              <w:rPr>
                <w:rFonts w:hint="eastAsia" w:ascii="宋体" w:hAnsi="宋体" w:cs="宋体"/>
                <w:b/>
                <w:bCs/>
                <w:sz w:val="21"/>
                <w:szCs w:val="21"/>
              </w:rPr>
              <w:t>响应情况</w:t>
            </w:r>
          </w:p>
        </w:tc>
        <w:tc>
          <w:tcPr>
            <w:tcW w:w="2359" w:type="dxa"/>
            <w:vAlign w:val="center"/>
          </w:tcPr>
          <w:p w14:paraId="7E3195B9">
            <w:pPr>
              <w:jc w:val="center"/>
              <w:rPr>
                <w:rFonts w:ascii="宋体" w:hAnsi="宋体" w:cs="宋体"/>
                <w:b/>
                <w:bCs/>
                <w:sz w:val="21"/>
                <w:szCs w:val="21"/>
              </w:rPr>
            </w:pPr>
            <w:r>
              <w:rPr>
                <w:rFonts w:hint="eastAsia" w:ascii="宋体" w:hAnsi="宋体" w:cs="宋体"/>
                <w:b/>
                <w:bCs/>
                <w:sz w:val="21"/>
                <w:szCs w:val="21"/>
              </w:rPr>
              <w:t>差异说明</w:t>
            </w:r>
          </w:p>
        </w:tc>
      </w:tr>
      <w:tr w14:paraId="1575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12255E4">
            <w:pPr>
              <w:tabs>
                <w:tab w:val="left" w:pos="6300"/>
              </w:tabs>
              <w:snapToGrid w:val="0"/>
              <w:jc w:val="center"/>
              <w:outlineLvl w:val="0"/>
              <w:rPr>
                <w:rFonts w:ascii="宋体" w:hAnsi="宋体" w:cs="宋体"/>
                <w:sz w:val="21"/>
                <w:szCs w:val="24"/>
              </w:rPr>
            </w:pPr>
          </w:p>
        </w:tc>
        <w:tc>
          <w:tcPr>
            <w:tcW w:w="3184" w:type="dxa"/>
            <w:vAlign w:val="center"/>
          </w:tcPr>
          <w:p w14:paraId="39ED21E7">
            <w:pPr>
              <w:tabs>
                <w:tab w:val="left" w:pos="6300"/>
              </w:tabs>
              <w:snapToGrid w:val="0"/>
              <w:jc w:val="center"/>
              <w:outlineLvl w:val="0"/>
              <w:rPr>
                <w:rFonts w:ascii="宋体" w:hAnsi="宋体" w:cs="宋体"/>
                <w:sz w:val="21"/>
                <w:szCs w:val="24"/>
              </w:rPr>
            </w:pPr>
          </w:p>
        </w:tc>
        <w:tc>
          <w:tcPr>
            <w:tcW w:w="2438" w:type="dxa"/>
            <w:vAlign w:val="center"/>
          </w:tcPr>
          <w:p w14:paraId="5F097726">
            <w:pPr>
              <w:tabs>
                <w:tab w:val="left" w:pos="6300"/>
              </w:tabs>
              <w:snapToGrid w:val="0"/>
              <w:outlineLvl w:val="0"/>
              <w:rPr>
                <w:rFonts w:ascii="宋体" w:hAnsi="宋体" w:cs="宋体"/>
                <w:sz w:val="21"/>
                <w:szCs w:val="24"/>
              </w:rPr>
            </w:pPr>
          </w:p>
        </w:tc>
        <w:tc>
          <w:tcPr>
            <w:tcW w:w="2359" w:type="dxa"/>
            <w:vAlign w:val="center"/>
          </w:tcPr>
          <w:p w14:paraId="276D37DD">
            <w:pPr>
              <w:tabs>
                <w:tab w:val="left" w:pos="6300"/>
              </w:tabs>
              <w:snapToGrid w:val="0"/>
              <w:jc w:val="center"/>
              <w:outlineLvl w:val="0"/>
              <w:rPr>
                <w:rFonts w:ascii="宋体" w:hAnsi="宋体" w:cs="宋体"/>
                <w:sz w:val="21"/>
                <w:szCs w:val="24"/>
              </w:rPr>
            </w:pPr>
          </w:p>
        </w:tc>
      </w:tr>
      <w:tr w14:paraId="72C0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3EC230E">
            <w:pPr>
              <w:tabs>
                <w:tab w:val="left" w:pos="6300"/>
              </w:tabs>
              <w:snapToGrid w:val="0"/>
              <w:jc w:val="center"/>
              <w:outlineLvl w:val="0"/>
              <w:rPr>
                <w:rFonts w:ascii="宋体" w:hAnsi="宋体" w:cs="宋体"/>
                <w:sz w:val="21"/>
                <w:szCs w:val="24"/>
              </w:rPr>
            </w:pPr>
          </w:p>
        </w:tc>
        <w:tc>
          <w:tcPr>
            <w:tcW w:w="3184" w:type="dxa"/>
            <w:vAlign w:val="center"/>
          </w:tcPr>
          <w:p w14:paraId="023DB5EC">
            <w:pPr>
              <w:tabs>
                <w:tab w:val="left" w:pos="6300"/>
              </w:tabs>
              <w:snapToGrid w:val="0"/>
              <w:jc w:val="center"/>
              <w:outlineLvl w:val="0"/>
              <w:rPr>
                <w:rFonts w:ascii="宋体" w:hAnsi="宋体" w:cs="宋体"/>
                <w:sz w:val="21"/>
                <w:szCs w:val="24"/>
              </w:rPr>
            </w:pPr>
          </w:p>
        </w:tc>
        <w:tc>
          <w:tcPr>
            <w:tcW w:w="2438" w:type="dxa"/>
            <w:vAlign w:val="center"/>
          </w:tcPr>
          <w:p w14:paraId="0AB63DCF">
            <w:pPr>
              <w:tabs>
                <w:tab w:val="left" w:pos="6300"/>
              </w:tabs>
              <w:snapToGrid w:val="0"/>
              <w:jc w:val="center"/>
              <w:outlineLvl w:val="0"/>
              <w:rPr>
                <w:rFonts w:ascii="宋体" w:hAnsi="宋体" w:cs="宋体"/>
                <w:sz w:val="21"/>
                <w:szCs w:val="24"/>
              </w:rPr>
            </w:pPr>
          </w:p>
        </w:tc>
        <w:tc>
          <w:tcPr>
            <w:tcW w:w="2359" w:type="dxa"/>
            <w:vAlign w:val="center"/>
          </w:tcPr>
          <w:p w14:paraId="6190D934">
            <w:pPr>
              <w:tabs>
                <w:tab w:val="left" w:pos="6300"/>
              </w:tabs>
              <w:snapToGrid w:val="0"/>
              <w:jc w:val="center"/>
              <w:outlineLvl w:val="0"/>
              <w:rPr>
                <w:rFonts w:ascii="宋体" w:hAnsi="宋体" w:cs="宋体"/>
                <w:sz w:val="21"/>
                <w:szCs w:val="24"/>
              </w:rPr>
            </w:pPr>
          </w:p>
        </w:tc>
      </w:tr>
      <w:tr w14:paraId="2013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CE6324">
            <w:pPr>
              <w:tabs>
                <w:tab w:val="left" w:pos="6300"/>
              </w:tabs>
              <w:snapToGrid w:val="0"/>
              <w:jc w:val="center"/>
              <w:outlineLvl w:val="0"/>
              <w:rPr>
                <w:rFonts w:ascii="宋体" w:hAnsi="宋体" w:cs="宋体"/>
                <w:sz w:val="21"/>
                <w:szCs w:val="24"/>
              </w:rPr>
            </w:pPr>
          </w:p>
        </w:tc>
        <w:tc>
          <w:tcPr>
            <w:tcW w:w="3184" w:type="dxa"/>
            <w:vAlign w:val="center"/>
          </w:tcPr>
          <w:p w14:paraId="37C19A08">
            <w:pPr>
              <w:tabs>
                <w:tab w:val="left" w:pos="6300"/>
              </w:tabs>
              <w:snapToGrid w:val="0"/>
              <w:jc w:val="center"/>
              <w:outlineLvl w:val="0"/>
              <w:rPr>
                <w:rFonts w:ascii="宋体" w:hAnsi="宋体" w:cs="宋体"/>
                <w:sz w:val="21"/>
                <w:szCs w:val="24"/>
              </w:rPr>
            </w:pPr>
          </w:p>
        </w:tc>
        <w:tc>
          <w:tcPr>
            <w:tcW w:w="2438" w:type="dxa"/>
            <w:vAlign w:val="center"/>
          </w:tcPr>
          <w:p w14:paraId="1617E9AE">
            <w:pPr>
              <w:tabs>
                <w:tab w:val="left" w:pos="6300"/>
              </w:tabs>
              <w:snapToGrid w:val="0"/>
              <w:jc w:val="center"/>
              <w:outlineLvl w:val="0"/>
              <w:rPr>
                <w:rFonts w:ascii="宋体" w:hAnsi="宋体" w:cs="宋体"/>
                <w:sz w:val="21"/>
                <w:szCs w:val="24"/>
              </w:rPr>
            </w:pPr>
          </w:p>
        </w:tc>
        <w:tc>
          <w:tcPr>
            <w:tcW w:w="2359" w:type="dxa"/>
            <w:vAlign w:val="center"/>
          </w:tcPr>
          <w:p w14:paraId="2FE3FF35">
            <w:pPr>
              <w:tabs>
                <w:tab w:val="left" w:pos="6300"/>
              </w:tabs>
              <w:snapToGrid w:val="0"/>
              <w:jc w:val="center"/>
              <w:outlineLvl w:val="0"/>
              <w:rPr>
                <w:rFonts w:ascii="宋体" w:hAnsi="宋体" w:cs="宋体"/>
                <w:sz w:val="21"/>
                <w:szCs w:val="24"/>
              </w:rPr>
            </w:pPr>
          </w:p>
        </w:tc>
      </w:tr>
      <w:tr w14:paraId="5808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65705C1">
            <w:pPr>
              <w:tabs>
                <w:tab w:val="left" w:pos="6300"/>
              </w:tabs>
              <w:snapToGrid w:val="0"/>
              <w:jc w:val="center"/>
              <w:outlineLvl w:val="0"/>
              <w:rPr>
                <w:rFonts w:ascii="宋体" w:hAnsi="宋体" w:cs="宋体"/>
                <w:sz w:val="21"/>
                <w:szCs w:val="24"/>
              </w:rPr>
            </w:pPr>
          </w:p>
        </w:tc>
        <w:tc>
          <w:tcPr>
            <w:tcW w:w="3184" w:type="dxa"/>
            <w:vAlign w:val="center"/>
          </w:tcPr>
          <w:p w14:paraId="1613CF4F">
            <w:pPr>
              <w:tabs>
                <w:tab w:val="left" w:pos="6300"/>
              </w:tabs>
              <w:snapToGrid w:val="0"/>
              <w:jc w:val="center"/>
              <w:outlineLvl w:val="0"/>
              <w:rPr>
                <w:rFonts w:ascii="宋体" w:hAnsi="宋体" w:cs="宋体"/>
                <w:sz w:val="21"/>
                <w:szCs w:val="24"/>
              </w:rPr>
            </w:pPr>
          </w:p>
        </w:tc>
        <w:tc>
          <w:tcPr>
            <w:tcW w:w="2438" w:type="dxa"/>
            <w:vAlign w:val="center"/>
          </w:tcPr>
          <w:p w14:paraId="0D17A08D">
            <w:pPr>
              <w:tabs>
                <w:tab w:val="left" w:pos="6300"/>
              </w:tabs>
              <w:snapToGrid w:val="0"/>
              <w:jc w:val="center"/>
              <w:outlineLvl w:val="0"/>
              <w:rPr>
                <w:rFonts w:ascii="宋体" w:hAnsi="宋体" w:cs="宋体"/>
                <w:sz w:val="21"/>
                <w:szCs w:val="24"/>
              </w:rPr>
            </w:pPr>
          </w:p>
        </w:tc>
        <w:tc>
          <w:tcPr>
            <w:tcW w:w="2359" w:type="dxa"/>
            <w:vAlign w:val="center"/>
          </w:tcPr>
          <w:p w14:paraId="5B9E01F0">
            <w:pPr>
              <w:tabs>
                <w:tab w:val="left" w:pos="6300"/>
              </w:tabs>
              <w:snapToGrid w:val="0"/>
              <w:jc w:val="center"/>
              <w:outlineLvl w:val="0"/>
              <w:rPr>
                <w:rFonts w:ascii="宋体" w:hAnsi="宋体" w:cs="宋体"/>
                <w:sz w:val="21"/>
                <w:szCs w:val="24"/>
              </w:rPr>
            </w:pPr>
          </w:p>
        </w:tc>
      </w:tr>
      <w:tr w14:paraId="39E7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0971596">
            <w:pPr>
              <w:tabs>
                <w:tab w:val="left" w:pos="6300"/>
              </w:tabs>
              <w:snapToGrid w:val="0"/>
              <w:jc w:val="center"/>
              <w:outlineLvl w:val="0"/>
              <w:rPr>
                <w:rFonts w:ascii="宋体" w:hAnsi="宋体" w:cs="宋体"/>
                <w:sz w:val="21"/>
                <w:szCs w:val="24"/>
              </w:rPr>
            </w:pPr>
          </w:p>
        </w:tc>
        <w:tc>
          <w:tcPr>
            <w:tcW w:w="3184" w:type="dxa"/>
            <w:vAlign w:val="center"/>
          </w:tcPr>
          <w:p w14:paraId="71ACD42D">
            <w:pPr>
              <w:tabs>
                <w:tab w:val="left" w:pos="6300"/>
              </w:tabs>
              <w:snapToGrid w:val="0"/>
              <w:jc w:val="center"/>
              <w:outlineLvl w:val="0"/>
              <w:rPr>
                <w:rFonts w:ascii="宋体" w:hAnsi="宋体" w:cs="宋体"/>
                <w:sz w:val="21"/>
                <w:szCs w:val="24"/>
              </w:rPr>
            </w:pPr>
          </w:p>
        </w:tc>
        <w:tc>
          <w:tcPr>
            <w:tcW w:w="2438" w:type="dxa"/>
            <w:vAlign w:val="center"/>
          </w:tcPr>
          <w:p w14:paraId="7A4FFD48">
            <w:pPr>
              <w:tabs>
                <w:tab w:val="left" w:pos="6300"/>
              </w:tabs>
              <w:snapToGrid w:val="0"/>
              <w:jc w:val="center"/>
              <w:outlineLvl w:val="0"/>
              <w:rPr>
                <w:rFonts w:ascii="宋体" w:hAnsi="宋体" w:cs="宋体"/>
                <w:sz w:val="21"/>
                <w:szCs w:val="24"/>
              </w:rPr>
            </w:pPr>
          </w:p>
        </w:tc>
        <w:tc>
          <w:tcPr>
            <w:tcW w:w="2359" w:type="dxa"/>
            <w:vAlign w:val="center"/>
          </w:tcPr>
          <w:p w14:paraId="585EC238">
            <w:pPr>
              <w:tabs>
                <w:tab w:val="left" w:pos="6300"/>
              </w:tabs>
              <w:snapToGrid w:val="0"/>
              <w:jc w:val="center"/>
              <w:outlineLvl w:val="0"/>
              <w:rPr>
                <w:rFonts w:ascii="宋体" w:hAnsi="宋体" w:cs="宋体"/>
                <w:sz w:val="21"/>
                <w:szCs w:val="24"/>
              </w:rPr>
            </w:pPr>
          </w:p>
        </w:tc>
      </w:tr>
      <w:tr w14:paraId="043F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C832861">
            <w:pPr>
              <w:tabs>
                <w:tab w:val="left" w:pos="6300"/>
              </w:tabs>
              <w:snapToGrid w:val="0"/>
              <w:jc w:val="center"/>
              <w:outlineLvl w:val="0"/>
              <w:rPr>
                <w:rFonts w:ascii="宋体" w:hAnsi="宋体" w:cs="宋体"/>
                <w:sz w:val="21"/>
                <w:szCs w:val="24"/>
              </w:rPr>
            </w:pPr>
          </w:p>
        </w:tc>
        <w:tc>
          <w:tcPr>
            <w:tcW w:w="3184" w:type="dxa"/>
            <w:vAlign w:val="center"/>
          </w:tcPr>
          <w:p w14:paraId="23DB7205">
            <w:pPr>
              <w:tabs>
                <w:tab w:val="left" w:pos="6300"/>
              </w:tabs>
              <w:snapToGrid w:val="0"/>
              <w:jc w:val="center"/>
              <w:outlineLvl w:val="0"/>
              <w:rPr>
                <w:rFonts w:ascii="宋体" w:hAnsi="宋体" w:cs="宋体"/>
                <w:sz w:val="21"/>
                <w:szCs w:val="24"/>
              </w:rPr>
            </w:pPr>
          </w:p>
        </w:tc>
        <w:tc>
          <w:tcPr>
            <w:tcW w:w="2438" w:type="dxa"/>
            <w:vAlign w:val="center"/>
          </w:tcPr>
          <w:p w14:paraId="5129D2C8">
            <w:pPr>
              <w:tabs>
                <w:tab w:val="left" w:pos="6300"/>
              </w:tabs>
              <w:snapToGrid w:val="0"/>
              <w:jc w:val="center"/>
              <w:outlineLvl w:val="0"/>
              <w:rPr>
                <w:rFonts w:ascii="宋体" w:hAnsi="宋体" w:cs="宋体"/>
                <w:sz w:val="21"/>
                <w:szCs w:val="24"/>
              </w:rPr>
            </w:pPr>
          </w:p>
        </w:tc>
        <w:tc>
          <w:tcPr>
            <w:tcW w:w="2359" w:type="dxa"/>
            <w:vAlign w:val="center"/>
          </w:tcPr>
          <w:p w14:paraId="72428ED7">
            <w:pPr>
              <w:tabs>
                <w:tab w:val="left" w:pos="6300"/>
              </w:tabs>
              <w:snapToGrid w:val="0"/>
              <w:jc w:val="center"/>
              <w:outlineLvl w:val="0"/>
              <w:rPr>
                <w:rFonts w:ascii="宋体" w:hAnsi="宋体" w:cs="宋体"/>
                <w:sz w:val="21"/>
                <w:szCs w:val="24"/>
              </w:rPr>
            </w:pPr>
          </w:p>
        </w:tc>
      </w:tr>
    </w:tbl>
    <w:p w14:paraId="6A93F983">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0A624A4F">
      <w:pPr>
        <w:spacing w:line="500" w:lineRule="exact"/>
        <w:rPr>
          <w:rFonts w:ascii="宋体" w:hAnsi="宋体" w:cs="宋体"/>
          <w:sz w:val="24"/>
          <w:szCs w:val="28"/>
        </w:rPr>
      </w:pPr>
      <w:r>
        <w:rPr>
          <w:rFonts w:hint="eastAsia" w:ascii="宋体" w:hAnsi="宋体" w:cs="宋体"/>
          <w:sz w:val="24"/>
          <w:szCs w:val="28"/>
        </w:rPr>
        <w:t xml:space="preserve">    </w:t>
      </w:r>
    </w:p>
    <w:p w14:paraId="6856EB0E">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65EFEE17">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596A26A8">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6B5CD5B2">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比选项目商务需求”中所列条款进行比较和响应；</w:t>
      </w:r>
    </w:p>
    <w:p w14:paraId="783290ED">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14:paraId="774F7DAA">
      <w:pPr>
        <w:tabs>
          <w:tab w:val="left" w:pos="6300"/>
        </w:tabs>
        <w:snapToGrid w:val="0"/>
        <w:spacing w:line="480" w:lineRule="exact"/>
        <w:ind w:firstLine="480" w:firstLineChars="200"/>
        <w:rPr>
          <w:rFonts w:ascii="宋体" w:hAnsi="宋体" w:cs="宋体"/>
          <w:sz w:val="24"/>
          <w:szCs w:val="24"/>
        </w:rPr>
      </w:pPr>
    </w:p>
    <w:p w14:paraId="2C83F684">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14:paraId="7ECEFDD1">
      <w:pPr>
        <w:tabs>
          <w:tab w:val="left" w:pos="6300"/>
        </w:tabs>
        <w:snapToGrid w:val="0"/>
        <w:spacing w:line="480" w:lineRule="exact"/>
        <w:ind w:firstLine="480" w:firstLineChars="200"/>
        <w:rPr>
          <w:rFonts w:ascii="宋体" w:hAnsi="宋体" w:cs="宋体"/>
          <w:sz w:val="24"/>
          <w:szCs w:val="24"/>
        </w:rPr>
      </w:pPr>
    </w:p>
    <w:p w14:paraId="7B60F459">
      <w:pPr>
        <w:keepNext/>
        <w:keepLines/>
        <w:adjustRightInd w:val="0"/>
        <w:snapToGrid w:val="0"/>
        <w:spacing w:line="400" w:lineRule="exact"/>
        <w:ind w:firstLine="482" w:firstLineChars="200"/>
        <w:outlineLvl w:val="1"/>
        <w:rPr>
          <w:rFonts w:ascii="宋体" w:hAnsi="宋体" w:cs="宋体"/>
          <w:b/>
          <w:sz w:val="24"/>
        </w:rPr>
      </w:pPr>
      <w:r>
        <w:rPr>
          <w:rFonts w:hint="eastAsia" w:ascii="宋体" w:hAnsi="宋体" w:cs="宋体"/>
          <w:b/>
          <w:sz w:val="24"/>
          <w:szCs w:val="24"/>
        </w:rPr>
        <w:br w:type="page"/>
      </w:r>
      <w:bookmarkStart w:id="293" w:name="_Toc3934"/>
      <w:bookmarkStart w:id="294" w:name="_Toc2082"/>
      <w:bookmarkStart w:id="295" w:name="_Toc21793"/>
      <w:bookmarkStart w:id="296" w:name="_Toc20162"/>
      <w:bookmarkStart w:id="297" w:name="_Toc65660382"/>
      <w:r>
        <w:rPr>
          <w:rFonts w:hint="eastAsia" w:ascii="宋体" w:hAnsi="宋体" w:cs="宋体"/>
          <w:b/>
          <w:sz w:val="24"/>
        </w:rPr>
        <w:t>四、</w:t>
      </w:r>
      <w:bookmarkEnd w:id="290"/>
      <w:bookmarkEnd w:id="291"/>
      <w:bookmarkEnd w:id="292"/>
      <w:r>
        <w:rPr>
          <w:rFonts w:hint="eastAsia" w:ascii="宋体" w:hAnsi="宋体" w:cs="宋体"/>
          <w:b/>
          <w:sz w:val="24"/>
        </w:rPr>
        <w:t>资格条件及其他</w:t>
      </w:r>
      <w:bookmarkEnd w:id="293"/>
      <w:bookmarkEnd w:id="294"/>
      <w:bookmarkEnd w:id="295"/>
      <w:bookmarkEnd w:id="296"/>
      <w:bookmarkEnd w:id="297"/>
      <w:bookmarkStart w:id="298" w:name="_Toc313888363"/>
      <w:bookmarkStart w:id="299" w:name="_Toc313008359"/>
      <w:bookmarkStart w:id="300" w:name="_Toc342913422"/>
    </w:p>
    <w:p w14:paraId="0B337E70">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40B9C84D">
      <w:pPr>
        <w:tabs>
          <w:tab w:val="left" w:pos="6300"/>
        </w:tabs>
        <w:snapToGrid w:val="0"/>
        <w:spacing w:line="500" w:lineRule="exact"/>
        <w:ind w:firstLine="570"/>
        <w:rPr>
          <w:rFonts w:ascii="宋体" w:hAnsi="宋体" w:cs="宋体"/>
          <w:sz w:val="24"/>
          <w:szCs w:val="24"/>
        </w:rPr>
      </w:pPr>
    </w:p>
    <w:p w14:paraId="58274474">
      <w:pPr>
        <w:tabs>
          <w:tab w:val="left" w:pos="6300"/>
        </w:tabs>
        <w:snapToGrid w:val="0"/>
        <w:spacing w:line="500" w:lineRule="exact"/>
        <w:ind w:firstLine="570"/>
        <w:rPr>
          <w:rFonts w:ascii="宋体" w:hAnsi="宋体" w:cs="宋体"/>
        </w:rPr>
      </w:pPr>
    </w:p>
    <w:p w14:paraId="3072F5C9">
      <w:pPr>
        <w:tabs>
          <w:tab w:val="left" w:pos="6300"/>
        </w:tabs>
        <w:snapToGrid w:val="0"/>
        <w:spacing w:line="500" w:lineRule="exact"/>
        <w:ind w:firstLine="570"/>
        <w:rPr>
          <w:rFonts w:ascii="宋体" w:hAnsi="宋体" w:cs="宋体"/>
        </w:rPr>
      </w:pPr>
    </w:p>
    <w:p w14:paraId="7EAC194D">
      <w:pPr>
        <w:tabs>
          <w:tab w:val="left" w:pos="6300"/>
        </w:tabs>
        <w:snapToGrid w:val="0"/>
        <w:spacing w:line="500" w:lineRule="exact"/>
        <w:ind w:firstLine="570"/>
        <w:rPr>
          <w:rFonts w:ascii="宋体" w:hAnsi="宋体" w:cs="宋体"/>
        </w:rPr>
      </w:pPr>
    </w:p>
    <w:p w14:paraId="18F02C4F">
      <w:pPr>
        <w:tabs>
          <w:tab w:val="left" w:pos="6300"/>
        </w:tabs>
        <w:snapToGrid w:val="0"/>
        <w:spacing w:line="500" w:lineRule="exact"/>
        <w:ind w:firstLine="570"/>
        <w:rPr>
          <w:rFonts w:ascii="宋体" w:hAnsi="宋体" w:cs="宋体"/>
        </w:rPr>
      </w:pPr>
    </w:p>
    <w:p w14:paraId="03556BCD">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76ECE42D">
      <w:pPr>
        <w:tabs>
          <w:tab w:val="left" w:pos="6300"/>
        </w:tabs>
        <w:snapToGrid w:val="0"/>
        <w:spacing w:line="500" w:lineRule="exact"/>
        <w:ind w:firstLine="570"/>
        <w:rPr>
          <w:rFonts w:ascii="宋体" w:hAnsi="宋体" w:cs="宋体"/>
          <w:sz w:val="24"/>
        </w:rPr>
      </w:pPr>
    </w:p>
    <w:p w14:paraId="46768063">
      <w:pPr>
        <w:tabs>
          <w:tab w:val="left" w:pos="6300"/>
        </w:tabs>
        <w:snapToGrid w:val="0"/>
        <w:spacing w:line="500" w:lineRule="exact"/>
        <w:ind w:firstLine="570"/>
        <w:rPr>
          <w:rFonts w:ascii="宋体" w:hAnsi="宋体" w:cs="宋体"/>
          <w:sz w:val="24"/>
        </w:rPr>
      </w:pPr>
      <w:r>
        <w:rPr>
          <w:rFonts w:hint="eastAsia" w:ascii="宋体" w:hAnsi="宋体" w:cs="宋体"/>
          <w:sz w:val="24"/>
        </w:rPr>
        <w:t>比选项目名称：</w:t>
      </w:r>
      <w:r>
        <w:rPr>
          <w:rFonts w:hint="eastAsia" w:ascii="宋体" w:hAnsi="宋体" w:cs="宋体"/>
          <w:sz w:val="24"/>
          <w:u w:val="single"/>
        </w:rPr>
        <w:t>北国风光小区13栋两台电梯更新改造工程</w:t>
      </w:r>
    </w:p>
    <w:p w14:paraId="456546F5">
      <w:pPr>
        <w:tabs>
          <w:tab w:val="left" w:pos="6300"/>
        </w:tabs>
        <w:snapToGrid w:val="0"/>
        <w:spacing w:line="500" w:lineRule="exact"/>
        <w:ind w:firstLine="570"/>
        <w:rPr>
          <w:rFonts w:ascii="宋体" w:hAnsi="宋体" w:cs="宋体"/>
          <w:sz w:val="24"/>
        </w:rPr>
      </w:pPr>
    </w:p>
    <w:p w14:paraId="1C680E3D">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重庆靖正恒悦项目管理有限公司</w:t>
      </w:r>
      <w:r>
        <w:rPr>
          <w:rFonts w:hint="eastAsia" w:ascii="宋体" w:hAnsi="宋体" w:cs="宋体"/>
          <w:sz w:val="24"/>
        </w:rPr>
        <w:t>（采购代理机构名称）：</w:t>
      </w:r>
    </w:p>
    <w:p w14:paraId="12123AC2">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w:t>
      </w:r>
      <w:r>
        <w:rPr>
          <w:rFonts w:hint="eastAsia" w:ascii="宋体" w:hAnsi="宋体" w:cs="宋体"/>
          <w:sz w:val="24"/>
          <w:u w:val="single"/>
        </w:rPr>
        <w:t xml:space="preserve">    </w:t>
      </w:r>
      <w:r>
        <w:rPr>
          <w:rFonts w:hint="eastAsia" w:ascii="宋体" w:hAnsi="宋体" w:cs="宋体"/>
          <w:sz w:val="24"/>
        </w:rPr>
        <w:t>（性别）在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1B3F94A8">
      <w:pPr>
        <w:tabs>
          <w:tab w:val="left" w:pos="6300"/>
        </w:tabs>
        <w:snapToGrid w:val="0"/>
        <w:spacing w:line="500" w:lineRule="exact"/>
        <w:ind w:firstLine="570"/>
        <w:rPr>
          <w:rFonts w:ascii="宋体" w:hAnsi="宋体" w:cs="宋体"/>
          <w:sz w:val="24"/>
        </w:rPr>
      </w:pPr>
    </w:p>
    <w:p w14:paraId="2E869500">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2E8EAFCA">
      <w:pPr>
        <w:tabs>
          <w:tab w:val="left" w:pos="6300"/>
        </w:tabs>
        <w:snapToGrid w:val="0"/>
        <w:spacing w:line="500" w:lineRule="exact"/>
        <w:ind w:firstLine="570"/>
        <w:rPr>
          <w:rFonts w:ascii="宋体" w:hAnsi="宋体" w:cs="宋体"/>
          <w:sz w:val="24"/>
        </w:rPr>
      </w:pPr>
    </w:p>
    <w:p w14:paraId="29E42CF9">
      <w:pPr>
        <w:tabs>
          <w:tab w:val="left" w:pos="6300"/>
        </w:tabs>
        <w:snapToGrid w:val="0"/>
        <w:spacing w:line="500" w:lineRule="exact"/>
        <w:ind w:firstLine="570"/>
        <w:rPr>
          <w:rFonts w:ascii="宋体" w:hAnsi="宋体" w:cs="宋体"/>
          <w:sz w:val="24"/>
        </w:rPr>
      </w:pPr>
    </w:p>
    <w:p w14:paraId="6FCC3B4C">
      <w:pPr>
        <w:tabs>
          <w:tab w:val="left" w:pos="6300"/>
        </w:tabs>
        <w:snapToGrid w:val="0"/>
        <w:spacing w:line="500" w:lineRule="exact"/>
        <w:ind w:firstLine="570"/>
        <w:rPr>
          <w:rFonts w:ascii="宋体" w:hAnsi="宋体" w:cs="宋体"/>
          <w:sz w:val="24"/>
        </w:rPr>
      </w:pPr>
    </w:p>
    <w:p w14:paraId="20380C85">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47D1CC19">
      <w:pPr>
        <w:tabs>
          <w:tab w:val="left" w:pos="6300"/>
        </w:tabs>
        <w:snapToGrid w:val="0"/>
        <w:spacing w:line="500" w:lineRule="exact"/>
        <w:ind w:firstLine="570"/>
        <w:rPr>
          <w:rFonts w:ascii="宋体" w:hAnsi="宋体" w:cs="宋体"/>
          <w:sz w:val="24"/>
        </w:rPr>
      </w:pPr>
    </w:p>
    <w:p w14:paraId="290967F7">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60AC7144">
      <w:pPr>
        <w:tabs>
          <w:tab w:val="left" w:pos="6300"/>
        </w:tabs>
        <w:snapToGrid w:val="0"/>
        <w:spacing w:line="500" w:lineRule="exact"/>
        <w:ind w:firstLine="570"/>
        <w:rPr>
          <w:rFonts w:ascii="宋体" w:hAnsi="宋体" w:cs="宋体"/>
          <w:sz w:val="24"/>
        </w:rPr>
      </w:pPr>
    </w:p>
    <w:p w14:paraId="3BEC0085">
      <w:pPr>
        <w:tabs>
          <w:tab w:val="left" w:pos="6300"/>
        </w:tabs>
        <w:snapToGrid w:val="0"/>
        <w:spacing w:line="500" w:lineRule="exact"/>
        <w:ind w:firstLine="570"/>
        <w:rPr>
          <w:rFonts w:ascii="宋体" w:hAnsi="宋体" w:cs="宋体"/>
          <w:sz w:val="24"/>
        </w:rPr>
      </w:pPr>
    </w:p>
    <w:p w14:paraId="503BE879">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040A5952">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4349C6CA">
      <w:pPr>
        <w:tabs>
          <w:tab w:val="left" w:pos="6300"/>
        </w:tabs>
        <w:snapToGrid w:val="0"/>
        <w:spacing w:line="500" w:lineRule="exact"/>
        <w:ind w:firstLine="570"/>
        <w:rPr>
          <w:rFonts w:ascii="宋体" w:hAnsi="宋体" w:cs="宋体"/>
          <w:sz w:val="24"/>
        </w:rPr>
      </w:pPr>
    </w:p>
    <w:p w14:paraId="6D8BE204">
      <w:pPr>
        <w:tabs>
          <w:tab w:val="left" w:pos="6300"/>
        </w:tabs>
        <w:snapToGrid w:val="0"/>
        <w:spacing w:line="500" w:lineRule="exact"/>
        <w:ind w:firstLine="570"/>
        <w:rPr>
          <w:rFonts w:ascii="宋体" w:hAnsi="宋体" w:cs="宋体"/>
          <w:sz w:val="24"/>
        </w:rPr>
      </w:pPr>
    </w:p>
    <w:p w14:paraId="2D67ECD9">
      <w:pPr>
        <w:tabs>
          <w:tab w:val="left" w:pos="6300"/>
        </w:tabs>
        <w:snapToGrid w:val="0"/>
        <w:spacing w:line="500" w:lineRule="exact"/>
        <w:ind w:firstLine="570"/>
        <w:rPr>
          <w:rFonts w:ascii="宋体" w:hAnsi="宋体" w:cs="宋体"/>
          <w:sz w:val="24"/>
        </w:rPr>
      </w:pPr>
    </w:p>
    <w:p w14:paraId="4EB3A505">
      <w:pPr>
        <w:tabs>
          <w:tab w:val="left" w:pos="6300"/>
        </w:tabs>
        <w:snapToGrid w:val="0"/>
        <w:spacing w:line="500" w:lineRule="exact"/>
        <w:ind w:firstLine="570"/>
        <w:rPr>
          <w:rFonts w:ascii="宋体" w:hAnsi="宋体" w:cs="宋体"/>
          <w:sz w:val="24"/>
        </w:rPr>
      </w:pPr>
    </w:p>
    <w:p w14:paraId="6DC614B2">
      <w:pPr>
        <w:tabs>
          <w:tab w:val="left" w:pos="6300"/>
        </w:tabs>
        <w:snapToGrid w:val="0"/>
        <w:spacing w:line="500" w:lineRule="exact"/>
        <w:ind w:firstLine="570"/>
        <w:rPr>
          <w:rFonts w:ascii="宋体" w:hAnsi="宋体" w:cs="宋体"/>
          <w:sz w:val="24"/>
        </w:rPr>
      </w:pPr>
    </w:p>
    <w:p w14:paraId="7C1C0684">
      <w:pPr>
        <w:tabs>
          <w:tab w:val="left" w:pos="6300"/>
        </w:tabs>
        <w:snapToGrid w:val="0"/>
        <w:spacing w:line="500" w:lineRule="exact"/>
        <w:ind w:firstLine="570"/>
        <w:rPr>
          <w:rFonts w:ascii="宋体" w:hAnsi="宋体" w:cs="宋体"/>
          <w:sz w:val="24"/>
        </w:rPr>
      </w:pPr>
    </w:p>
    <w:p w14:paraId="76F4EF93">
      <w:pPr>
        <w:tabs>
          <w:tab w:val="left" w:pos="6300"/>
        </w:tabs>
        <w:snapToGrid w:val="0"/>
        <w:spacing w:line="500" w:lineRule="exact"/>
        <w:ind w:firstLine="570"/>
        <w:rPr>
          <w:rFonts w:ascii="宋体" w:hAnsi="宋体" w:cs="宋体"/>
          <w:sz w:val="24"/>
        </w:rPr>
      </w:pPr>
    </w:p>
    <w:p w14:paraId="03510AA0">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3022AE3E">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39255254">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比选项目名称</w:t>
      </w:r>
      <w:r>
        <w:rPr>
          <w:rFonts w:hint="eastAsia" w:ascii="宋体" w:hAnsi="宋体" w:cs="宋体"/>
          <w:sz w:val="24"/>
        </w:rPr>
        <w:t>：</w:t>
      </w:r>
      <w:r>
        <w:rPr>
          <w:rFonts w:hint="eastAsia" w:ascii="宋体" w:hAnsi="宋体" w:cs="宋体"/>
          <w:sz w:val="24"/>
          <w:u w:val="single"/>
        </w:rPr>
        <w:t xml:space="preserve">北国风光小区13栋两台电梯更新改造工程 </w:t>
      </w:r>
    </w:p>
    <w:p w14:paraId="5B06DCB7">
      <w:pPr>
        <w:tabs>
          <w:tab w:val="left" w:pos="6300"/>
        </w:tabs>
        <w:snapToGrid w:val="0"/>
        <w:spacing w:line="500" w:lineRule="exact"/>
        <w:ind w:firstLine="570"/>
        <w:rPr>
          <w:rFonts w:ascii="宋体" w:hAnsi="宋体" w:cs="宋体"/>
          <w:sz w:val="24"/>
        </w:rPr>
      </w:pPr>
    </w:p>
    <w:p w14:paraId="523D3E45">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重庆靖正恒悦项目管理有限公司</w:t>
      </w:r>
      <w:r>
        <w:rPr>
          <w:rFonts w:hint="eastAsia" w:ascii="宋体" w:hAnsi="宋体" w:cs="宋体"/>
          <w:sz w:val="24"/>
        </w:rPr>
        <w:t>（采购代理机构名称）：</w:t>
      </w:r>
    </w:p>
    <w:p w14:paraId="6EF0CB86">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14:paraId="184129D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2AF7ABF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EF4E77B">
      <w:pPr>
        <w:tabs>
          <w:tab w:val="left" w:pos="6300"/>
        </w:tabs>
        <w:snapToGrid w:val="0"/>
        <w:spacing w:line="500" w:lineRule="exact"/>
        <w:ind w:firstLine="570"/>
        <w:rPr>
          <w:rFonts w:ascii="宋体" w:hAnsi="宋体" w:cs="宋体"/>
          <w:sz w:val="24"/>
        </w:rPr>
      </w:pPr>
    </w:p>
    <w:p w14:paraId="050D9710">
      <w:pPr>
        <w:tabs>
          <w:tab w:val="left" w:pos="6300"/>
        </w:tabs>
        <w:snapToGrid w:val="0"/>
        <w:spacing w:line="500" w:lineRule="exact"/>
        <w:ind w:firstLine="570"/>
        <w:rPr>
          <w:rFonts w:ascii="宋体" w:hAnsi="宋体" w:cs="宋体"/>
          <w:sz w:val="24"/>
        </w:rPr>
      </w:pPr>
    </w:p>
    <w:p w14:paraId="4E4DC030">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566691A9">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24F4DA46">
      <w:pPr>
        <w:tabs>
          <w:tab w:val="left" w:pos="6300"/>
        </w:tabs>
        <w:snapToGrid w:val="0"/>
        <w:spacing w:line="500" w:lineRule="exact"/>
        <w:ind w:firstLine="570"/>
        <w:rPr>
          <w:rFonts w:ascii="宋体" w:hAnsi="宋体" w:cs="宋体"/>
          <w:sz w:val="24"/>
          <w:szCs w:val="28"/>
        </w:rPr>
      </w:pPr>
    </w:p>
    <w:p w14:paraId="256D0457">
      <w:pPr>
        <w:tabs>
          <w:tab w:val="left" w:pos="6300"/>
        </w:tabs>
        <w:snapToGrid w:val="0"/>
        <w:spacing w:line="500" w:lineRule="exact"/>
        <w:ind w:firstLine="570"/>
        <w:rPr>
          <w:rFonts w:ascii="宋体" w:hAnsi="宋体" w:cs="宋体"/>
          <w:sz w:val="24"/>
        </w:rPr>
      </w:pPr>
    </w:p>
    <w:p w14:paraId="71679AA6">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210C1B0B">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105B49C4">
      <w:pPr>
        <w:tabs>
          <w:tab w:val="left" w:pos="6300"/>
        </w:tabs>
        <w:snapToGrid w:val="0"/>
        <w:spacing w:line="500" w:lineRule="exact"/>
        <w:ind w:firstLine="570"/>
        <w:rPr>
          <w:rFonts w:ascii="宋体" w:hAnsi="宋体" w:cs="宋体"/>
          <w:sz w:val="24"/>
        </w:rPr>
      </w:pPr>
    </w:p>
    <w:p w14:paraId="0D8F6D88">
      <w:pPr>
        <w:tabs>
          <w:tab w:val="left" w:pos="6300"/>
        </w:tabs>
        <w:snapToGrid w:val="0"/>
        <w:spacing w:line="500" w:lineRule="exact"/>
        <w:ind w:firstLine="570"/>
        <w:rPr>
          <w:rFonts w:ascii="宋体" w:hAnsi="宋体" w:cs="宋体"/>
          <w:sz w:val="24"/>
        </w:rPr>
      </w:pPr>
    </w:p>
    <w:p w14:paraId="5F7A0026">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360F06A5">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65437BA9">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54F2CA90">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注：若为法定代表人办理并签署响应文件的，不提供此文件。</w:t>
      </w:r>
    </w:p>
    <w:p w14:paraId="0189C4D1">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14:paraId="29316A14">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4F33BA7F">
      <w:pPr>
        <w:tabs>
          <w:tab w:val="left" w:pos="6300"/>
        </w:tabs>
        <w:snapToGrid w:val="0"/>
        <w:spacing w:line="530" w:lineRule="exact"/>
        <w:rPr>
          <w:rFonts w:ascii="宋体" w:hAnsi="宋体" w:cs="宋体"/>
          <w:sz w:val="24"/>
        </w:rPr>
      </w:pPr>
    </w:p>
    <w:p w14:paraId="16593CF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重庆靖正恒悦项目管理有限公司</w:t>
      </w:r>
      <w:r>
        <w:rPr>
          <w:rFonts w:hint="eastAsia" w:ascii="宋体" w:hAnsi="宋体" w:cs="宋体"/>
          <w:sz w:val="24"/>
        </w:rPr>
        <w:t>（采购代理机构名称）：</w:t>
      </w:r>
    </w:p>
    <w:p w14:paraId="1B3A693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6AF1D9E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77DD384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46258BA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6A69815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62744F0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058E6E98">
      <w:pPr>
        <w:tabs>
          <w:tab w:val="left" w:pos="6300"/>
        </w:tabs>
        <w:snapToGrid w:val="0"/>
        <w:spacing w:line="500" w:lineRule="exact"/>
        <w:ind w:firstLine="480" w:firstLineChars="200"/>
        <w:rPr>
          <w:rFonts w:ascii="宋体" w:hAnsi="宋体" w:cs="宋体"/>
          <w:sz w:val="24"/>
        </w:rPr>
      </w:pPr>
    </w:p>
    <w:p w14:paraId="6E4D3869">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4A9B6C29">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14:paraId="0F23FA48">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14:paraId="183D00CD">
      <w:pPr>
        <w:widowControl/>
        <w:spacing w:line="400" w:lineRule="exact"/>
        <w:ind w:firstLine="480" w:firstLineChars="200"/>
        <w:jc w:val="left"/>
        <w:rPr>
          <w:rFonts w:ascii="宋体" w:hAnsi="宋体" w:cs="宋体"/>
          <w:sz w:val="24"/>
          <w:szCs w:val="24"/>
        </w:rPr>
      </w:pPr>
    </w:p>
    <w:p w14:paraId="10D4E5C2">
      <w:pPr>
        <w:keepNext/>
        <w:keepLines/>
        <w:adjustRightInd w:val="0"/>
        <w:snapToGrid w:val="0"/>
        <w:spacing w:line="400" w:lineRule="exact"/>
        <w:ind w:firstLine="482" w:firstLineChars="200"/>
        <w:outlineLvl w:val="1"/>
        <w:rPr>
          <w:rFonts w:ascii="宋体" w:hAnsi="宋体" w:cs="宋体"/>
          <w:b/>
          <w:sz w:val="24"/>
        </w:rPr>
      </w:pPr>
      <w:r>
        <w:rPr>
          <w:rFonts w:hint="eastAsia" w:ascii="宋体" w:hAnsi="宋体" w:cs="宋体"/>
          <w:b/>
          <w:sz w:val="24"/>
          <w:szCs w:val="24"/>
        </w:rPr>
        <w:br w:type="page"/>
      </w:r>
      <w:bookmarkStart w:id="301" w:name="_Toc17010"/>
      <w:bookmarkStart w:id="302" w:name="_Toc15815"/>
      <w:bookmarkStart w:id="303" w:name="_Toc2080"/>
      <w:bookmarkStart w:id="304" w:name="_Toc65660383"/>
      <w:bookmarkStart w:id="305" w:name="_Toc8013"/>
      <w:r>
        <w:rPr>
          <w:rFonts w:hint="eastAsia" w:ascii="宋体" w:hAnsi="宋体" w:cs="宋体"/>
          <w:b/>
          <w:sz w:val="24"/>
        </w:rPr>
        <w:t>五、</w:t>
      </w:r>
      <w:bookmarkEnd w:id="298"/>
      <w:bookmarkEnd w:id="299"/>
      <w:bookmarkEnd w:id="300"/>
      <w:r>
        <w:rPr>
          <w:rFonts w:hint="eastAsia" w:ascii="宋体" w:hAnsi="宋体" w:cs="宋体"/>
          <w:b/>
          <w:sz w:val="24"/>
        </w:rPr>
        <w:t>其他资料</w:t>
      </w:r>
      <w:bookmarkEnd w:id="301"/>
      <w:bookmarkEnd w:id="302"/>
      <w:bookmarkEnd w:id="303"/>
      <w:bookmarkEnd w:id="304"/>
      <w:bookmarkEnd w:id="305"/>
    </w:p>
    <w:p w14:paraId="620A44F5">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其他与项目有关的资料（自附）</w:t>
      </w:r>
    </w:p>
    <w:p w14:paraId="55771304">
      <w:pPr>
        <w:spacing w:line="360" w:lineRule="auto"/>
        <w:ind w:firstLine="480" w:firstLineChars="200"/>
        <w:rPr>
          <w:rFonts w:ascii="宋体" w:hAnsi="宋体" w:cs="宋体"/>
          <w:sz w:val="24"/>
          <w:szCs w:val="24"/>
        </w:rPr>
      </w:pPr>
    </w:p>
    <w:p w14:paraId="212BCC68">
      <w:pPr>
        <w:spacing w:line="360" w:lineRule="auto"/>
        <w:ind w:firstLine="480" w:firstLineChars="200"/>
        <w:jc w:val="center"/>
        <w:rPr>
          <w:rFonts w:ascii="宋体" w:hAnsi="宋体" w:cs="宋体"/>
          <w:sz w:val="24"/>
          <w:szCs w:val="24"/>
        </w:rPr>
      </w:pPr>
    </w:p>
    <w:p w14:paraId="48A318E7">
      <w:pPr>
        <w:spacing w:line="360" w:lineRule="auto"/>
        <w:ind w:firstLine="480" w:firstLineChars="200"/>
        <w:jc w:val="center"/>
        <w:rPr>
          <w:rFonts w:ascii="宋体" w:hAnsi="宋体" w:cs="宋体"/>
          <w:sz w:val="24"/>
          <w:szCs w:val="24"/>
        </w:rPr>
      </w:pPr>
    </w:p>
    <w:p w14:paraId="1D7F399E">
      <w:pPr>
        <w:spacing w:line="360" w:lineRule="auto"/>
        <w:ind w:firstLine="480" w:firstLineChars="200"/>
        <w:jc w:val="center"/>
        <w:rPr>
          <w:rFonts w:ascii="宋体" w:hAnsi="宋体" w:cs="宋体"/>
          <w:sz w:val="24"/>
          <w:szCs w:val="24"/>
        </w:rPr>
      </w:pPr>
    </w:p>
    <w:p w14:paraId="5CBB4B7B">
      <w:pPr>
        <w:spacing w:line="360" w:lineRule="auto"/>
        <w:ind w:firstLine="480" w:firstLineChars="200"/>
        <w:jc w:val="center"/>
        <w:rPr>
          <w:rFonts w:ascii="宋体" w:hAnsi="宋体" w:cs="宋体"/>
          <w:sz w:val="24"/>
          <w:szCs w:val="24"/>
        </w:rPr>
      </w:pPr>
    </w:p>
    <w:p w14:paraId="7B61D758">
      <w:pPr>
        <w:spacing w:line="360" w:lineRule="auto"/>
        <w:ind w:firstLine="480" w:firstLineChars="200"/>
        <w:jc w:val="center"/>
        <w:rPr>
          <w:rFonts w:ascii="宋体" w:hAnsi="宋体" w:cs="宋体"/>
          <w:sz w:val="24"/>
          <w:szCs w:val="24"/>
        </w:rPr>
      </w:pPr>
    </w:p>
    <w:p w14:paraId="2D6EE315">
      <w:pPr>
        <w:spacing w:line="360" w:lineRule="auto"/>
        <w:ind w:firstLine="480" w:firstLineChars="200"/>
        <w:jc w:val="center"/>
        <w:rPr>
          <w:rFonts w:ascii="宋体" w:hAnsi="宋体" w:cs="宋体"/>
          <w:sz w:val="24"/>
          <w:szCs w:val="24"/>
        </w:rPr>
      </w:pPr>
    </w:p>
    <w:p w14:paraId="16234DBA">
      <w:pPr>
        <w:spacing w:line="360" w:lineRule="auto"/>
        <w:ind w:firstLine="480" w:firstLineChars="200"/>
        <w:jc w:val="center"/>
        <w:rPr>
          <w:rFonts w:ascii="宋体" w:hAnsi="宋体" w:cs="宋体"/>
          <w:sz w:val="24"/>
          <w:szCs w:val="24"/>
        </w:rPr>
      </w:pPr>
    </w:p>
    <w:p w14:paraId="6735E1FD">
      <w:pPr>
        <w:spacing w:line="360" w:lineRule="auto"/>
        <w:ind w:firstLine="480" w:firstLineChars="200"/>
        <w:jc w:val="center"/>
        <w:rPr>
          <w:rFonts w:ascii="宋体" w:hAnsi="宋体" w:cs="宋体"/>
          <w:sz w:val="24"/>
          <w:szCs w:val="24"/>
        </w:rPr>
      </w:pPr>
    </w:p>
    <w:p w14:paraId="4B7B8C93">
      <w:pPr>
        <w:spacing w:line="360" w:lineRule="auto"/>
        <w:ind w:firstLine="480" w:firstLineChars="200"/>
        <w:jc w:val="center"/>
        <w:rPr>
          <w:rFonts w:ascii="宋体" w:hAnsi="宋体" w:cs="宋体"/>
          <w:sz w:val="24"/>
          <w:szCs w:val="24"/>
        </w:rPr>
      </w:pPr>
    </w:p>
    <w:p w14:paraId="3231368F">
      <w:pPr>
        <w:spacing w:line="360" w:lineRule="auto"/>
        <w:ind w:firstLine="480" w:firstLineChars="200"/>
        <w:jc w:val="center"/>
        <w:rPr>
          <w:rFonts w:ascii="宋体" w:hAnsi="宋体" w:cs="宋体"/>
          <w:sz w:val="24"/>
          <w:szCs w:val="24"/>
        </w:rPr>
      </w:pPr>
    </w:p>
    <w:p w14:paraId="71DA4A17">
      <w:pPr>
        <w:spacing w:line="360" w:lineRule="auto"/>
        <w:ind w:firstLine="480" w:firstLineChars="200"/>
        <w:jc w:val="center"/>
        <w:rPr>
          <w:rFonts w:ascii="宋体" w:hAnsi="宋体" w:cs="宋体"/>
          <w:sz w:val="24"/>
          <w:szCs w:val="24"/>
        </w:rPr>
      </w:pPr>
    </w:p>
    <w:p w14:paraId="58E5E133">
      <w:pPr>
        <w:spacing w:line="360" w:lineRule="auto"/>
        <w:ind w:firstLine="480" w:firstLineChars="200"/>
        <w:jc w:val="center"/>
        <w:rPr>
          <w:rFonts w:ascii="宋体" w:hAnsi="宋体" w:cs="宋体"/>
          <w:sz w:val="24"/>
          <w:szCs w:val="24"/>
        </w:rPr>
      </w:pPr>
    </w:p>
    <w:p w14:paraId="0170981D">
      <w:pPr>
        <w:spacing w:line="360" w:lineRule="auto"/>
        <w:ind w:firstLine="480" w:firstLineChars="200"/>
        <w:jc w:val="center"/>
        <w:rPr>
          <w:rFonts w:ascii="宋体" w:hAnsi="宋体" w:cs="宋体"/>
          <w:sz w:val="24"/>
          <w:szCs w:val="24"/>
        </w:rPr>
      </w:pPr>
    </w:p>
    <w:p w14:paraId="66C8864E">
      <w:pPr>
        <w:spacing w:line="360" w:lineRule="auto"/>
        <w:ind w:firstLine="480" w:firstLineChars="200"/>
        <w:jc w:val="center"/>
        <w:rPr>
          <w:rFonts w:ascii="宋体" w:hAnsi="宋体" w:cs="宋体"/>
          <w:sz w:val="24"/>
          <w:szCs w:val="24"/>
        </w:rPr>
      </w:pPr>
    </w:p>
    <w:p w14:paraId="11A88199">
      <w:pPr>
        <w:spacing w:line="360" w:lineRule="auto"/>
        <w:ind w:firstLine="480" w:firstLineChars="200"/>
        <w:jc w:val="center"/>
        <w:rPr>
          <w:rFonts w:ascii="宋体" w:hAnsi="宋体" w:cs="宋体"/>
          <w:sz w:val="24"/>
          <w:szCs w:val="24"/>
        </w:rPr>
      </w:pPr>
    </w:p>
    <w:p w14:paraId="1A8164A8">
      <w:pPr>
        <w:spacing w:line="360" w:lineRule="auto"/>
        <w:ind w:firstLine="480" w:firstLineChars="200"/>
        <w:jc w:val="center"/>
        <w:rPr>
          <w:rFonts w:ascii="宋体" w:hAnsi="宋体" w:cs="宋体"/>
          <w:sz w:val="24"/>
          <w:szCs w:val="24"/>
        </w:rPr>
      </w:pPr>
    </w:p>
    <w:p w14:paraId="4DCB8592">
      <w:pPr>
        <w:spacing w:line="360" w:lineRule="auto"/>
        <w:ind w:firstLine="480" w:firstLineChars="200"/>
        <w:jc w:val="center"/>
        <w:rPr>
          <w:rFonts w:ascii="宋体" w:hAnsi="宋体" w:cs="宋体"/>
          <w:sz w:val="24"/>
          <w:szCs w:val="24"/>
        </w:rPr>
      </w:pPr>
    </w:p>
    <w:p w14:paraId="6851D7C9">
      <w:pPr>
        <w:spacing w:line="360" w:lineRule="auto"/>
        <w:ind w:firstLine="480" w:firstLineChars="200"/>
        <w:jc w:val="center"/>
        <w:rPr>
          <w:rFonts w:ascii="宋体" w:hAnsi="宋体" w:cs="宋体"/>
          <w:sz w:val="24"/>
          <w:szCs w:val="24"/>
        </w:rPr>
      </w:pPr>
    </w:p>
    <w:p w14:paraId="142AD07C">
      <w:pPr>
        <w:spacing w:line="360" w:lineRule="auto"/>
        <w:ind w:firstLine="480" w:firstLineChars="200"/>
        <w:jc w:val="center"/>
        <w:rPr>
          <w:rFonts w:ascii="宋体" w:hAnsi="宋体" w:cs="宋体"/>
          <w:sz w:val="24"/>
          <w:szCs w:val="24"/>
        </w:rPr>
      </w:pPr>
    </w:p>
    <w:p w14:paraId="14C0C8BB">
      <w:pPr>
        <w:spacing w:line="360" w:lineRule="auto"/>
        <w:ind w:firstLine="480" w:firstLineChars="200"/>
        <w:jc w:val="center"/>
        <w:rPr>
          <w:rFonts w:ascii="宋体" w:hAnsi="宋体" w:cs="宋体"/>
          <w:sz w:val="24"/>
          <w:szCs w:val="24"/>
        </w:rPr>
      </w:pPr>
    </w:p>
    <w:p w14:paraId="6BCE3D24">
      <w:pPr>
        <w:spacing w:line="360" w:lineRule="auto"/>
        <w:ind w:firstLine="480" w:firstLineChars="200"/>
        <w:jc w:val="center"/>
        <w:rPr>
          <w:rFonts w:ascii="宋体" w:hAnsi="宋体" w:cs="宋体"/>
          <w:sz w:val="24"/>
          <w:szCs w:val="24"/>
        </w:rPr>
      </w:pPr>
    </w:p>
    <w:p w14:paraId="7C585DF7">
      <w:pPr>
        <w:spacing w:line="360" w:lineRule="auto"/>
        <w:ind w:firstLine="560" w:firstLineChars="200"/>
        <w:jc w:val="center"/>
        <w:rPr>
          <w:rFonts w:ascii="宋体" w:hAnsi="宋体" w:cs="宋体"/>
        </w:rPr>
      </w:pPr>
      <w:r>
        <w:rPr>
          <w:rFonts w:hint="eastAsia" w:ascii="宋体" w:hAnsi="宋体" w:cs="宋体"/>
        </w:rPr>
        <w:t>（结束）</w:t>
      </w:r>
    </w:p>
    <w:p w14:paraId="3B233489">
      <w:pPr>
        <w:rPr>
          <w:rFonts w:ascii="宋体" w:hAnsi="宋体" w:cs="宋体"/>
        </w:rPr>
      </w:pPr>
    </w:p>
    <w:sectPr>
      <w:headerReference r:id="rId10" w:type="default"/>
      <w:footerReference r:id="rId11" w:type="default"/>
      <w:pgSz w:w="11907" w:h="16840"/>
      <w:pgMar w:top="1134" w:right="1191" w:bottom="1134" w:left="113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
    <w:altName w:val="Roman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PMingLiU-ExtB">
    <w:panose1 w:val="02020500000000000000"/>
    <w:charset w:val="88"/>
    <w:family w:val="auto"/>
    <w:pitch w:val="default"/>
    <w:sig w:usb0="8000002F" w:usb1="02000008" w:usb2="00000000" w:usb3="00000000" w:csb0="0010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0EEE">
    <w:pPr>
      <w:framePr w:wrap="around" w:vAnchor="text" w:hAnchor="margin" w:xAlign="center" w:y="1"/>
      <w:snapToGrid w:val="0"/>
      <w:jc w:val="center"/>
      <w:rPr>
        <w:rStyle w:val="63"/>
        <w:rFonts w:ascii="宋体" w:hAnsi="Times New Roman"/>
        <w:sz w:val="21"/>
        <w:szCs w:val="21"/>
      </w:rPr>
    </w:pPr>
    <w:r>
      <w:rPr>
        <w:rFonts w:ascii="宋体" w:hAnsi="Times New Roman"/>
        <w:sz w:val="21"/>
        <w:szCs w:val="21"/>
      </w:rPr>
      <w:fldChar w:fldCharType="begin"/>
    </w:r>
    <w:r>
      <w:rPr>
        <w:rStyle w:val="63"/>
        <w:rFonts w:ascii="宋体" w:hAnsi="Times New Roman"/>
        <w:sz w:val="21"/>
        <w:szCs w:val="21"/>
      </w:rPr>
      <w:instrText xml:space="preserve">PAGE  </w:instrText>
    </w:r>
    <w:r>
      <w:rPr>
        <w:rFonts w:ascii="宋体" w:hAnsi="Times New Roman"/>
        <w:sz w:val="21"/>
        <w:szCs w:val="21"/>
      </w:rPr>
      <w:fldChar w:fldCharType="separate"/>
    </w:r>
    <w:r>
      <w:rPr>
        <w:rStyle w:val="63"/>
        <w:rFonts w:ascii="宋体" w:hAnsi="Times New Roman"/>
        <w:sz w:val="21"/>
        <w:szCs w:val="21"/>
      </w:rPr>
      <w:t>- 6 -</w:t>
    </w:r>
    <w:r>
      <w:rPr>
        <w:rFonts w:ascii="宋体" w:hAnsi="Times New Roman"/>
        <w:sz w:val="21"/>
        <w:szCs w:val="21"/>
      </w:rPr>
      <w:fldChar w:fldCharType="end"/>
    </w:r>
  </w:p>
  <w:p w14:paraId="66C0C84D">
    <w:pPr>
      <w:snapToGrid w:val="0"/>
      <w:jc w:val="left"/>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899A">
    <w:pPr>
      <w:framePr w:wrap="around" w:vAnchor="text" w:hAnchor="margin" w:xAlign="center" w:y="1"/>
      <w:snapToGrid w:val="0"/>
      <w:jc w:val="left"/>
      <w:rPr>
        <w:rStyle w:val="63"/>
        <w:rFonts w:ascii="Times New Roman" w:hAnsi="Times New Roman"/>
        <w:sz w:val="18"/>
      </w:rPr>
    </w:pPr>
    <w:r>
      <w:rPr>
        <w:rFonts w:ascii="Times New Roman" w:hAnsi="Times New Roman"/>
        <w:sz w:val="18"/>
      </w:rPr>
      <w:fldChar w:fldCharType="begin"/>
    </w:r>
    <w:r>
      <w:rPr>
        <w:rStyle w:val="63"/>
        <w:rFonts w:ascii="Times New Roman" w:hAnsi="Times New Roman"/>
      </w:rPr>
      <w:instrText xml:space="preserve">PAGE  </w:instrText>
    </w:r>
    <w:r>
      <w:rPr>
        <w:rFonts w:ascii="Times New Roman" w:hAnsi="Times New Roman"/>
        <w:sz w:val="18"/>
      </w:rPr>
      <w:fldChar w:fldCharType="end"/>
    </w:r>
  </w:p>
  <w:p w14:paraId="3D193193">
    <w:pPr>
      <w:snapToGrid w:val="0"/>
      <w:jc w:val="left"/>
      <w:rPr>
        <w:rFonts w:ascii="Times New Roman" w:hAnsi="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093C">
    <w:pPr>
      <w:framePr w:wrap="around" w:vAnchor="text" w:hAnchor="margin" w:xAlign="center" w:y="1"/>
      <w:snapToGrid w:val="0"/>
      <w:jc w:val="left"/>
      <w:rPr>
        <w:rStyle w:val="63"/>
        <w:rFonts w:ascii="Times New Roman" w:hAnsi="Times New Roman"/>
        <w:sz w:val="18"/>
      </w:rPr>
    </w:pPr>
  </w:p>
  <w:p w14:paraId="5A3A7507">
    <w:pPr>
      <w:snapToGrid w:val="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A4E1">
    <w:pPr>
      <w:snapToGrid w:val="0"/>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6E76">
    <w:pPr>
      <w:framePr w:wrap="around" w:vAnchor="text" w:hAnchor="margin" w:xAlign="center" w:y="1"/>
      <w:snapToGrid w:val="0"/>
      <w:jc w:val="left"/>
      <w:rPr>
        <w:rStyle w:val="63"/>
        <w:rFonts w:ascii="Times New Roman" w:hAnsi="Times New Roman"/>
        <w:sz w:val="18"/>
      </w:rPr>
    </w:pPr>
    <w:r>
      <w:rPr>
        <w:rFonts w:ascii="Times New Roman" w:hAnsi="Times New Roman"/>
        <w:sz w:val="18"/>
      </w:rPr>
      <w:fldChar w:fldCharType="begin"/>
    </w:r>
    <w:r>
      <w:rPr>
        <w:rStyle w:val="63"/>
        <w:rFonts w:ascii="Times New Roman" w:hAnsi="Times New Roman"/>
      </w:rPr>
      <w:instrText xml:space="preserve">PAGE  </w:instrText>
    </w:r>
    <w:r>
      <w:rPr>
        <w:rFonts w:ascii="Times New Roman" w:hAnsi="Times New Roman"/>
        <w:sz w:val="18"/>
      </w:rPr>
      <w:fldChar w:fldCharType="end"/>
    </w:r>
  </w:p>
  <w:p w14:paraId="4B163DB9">
    <w:pPr>
      <w:snapToGrid w:val="0"/>
      <w:ind w:right="360"/>
      <w:jc w:val="left"/>
      <w:rPr>
        <w:rFonts w:ascii="Times New Roman" w:hAnsi="Times New Roman"/>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214">
    <w:pPr>
      <w:pStyle w:val="36"/>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32B23">
                          <w:pPr>
                            <w:pStyle w:val="36"/>
                          </w:pPr>
                          <w:r>
                            <w:fldChar w:fldCharType="begin"/>
                          </w:r>
                          <w:r>
                            <w:instrText xml:space="preserve"> PAGE  \* MERGEFORMAT </w:instrText>
                          </w:r>
                          <w:r>
                            <w:fldChar w:fldCharType="separate"/>
                          </w:r>
                          <w:r>
                            <w:t>- 34 -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6032B23">
                    <w:pPr>
                      <w:pStyle w:val="3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B9CE">
    <w:pPr>
      <w:pStyle w:val="36"/>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BF817">
                          <w:pPr>
                            <w:pStyle w:val="36"/>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5DBF817">
                    <w:pPr>
                      <w:pStyle w:val="36"/>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5EC2">
    <w:pPr>
      <w:pBdr>
        <w:bottom w:val="single" w:color="auto" w:sz="6" w:space="1"/>
      </w:pBdr>
      <w:snapToGrid w:val="0"/>
      <w:rPr>
        <w:rFonts w:ascii="方正仿宋_GBK" w:hAnsi="Times New Roman" w:eastAsia="方正仿宋_GBK"/>
        <w:sz w:val="21"/>
        <w:szCs w:val="21"/>
      </w:rPr>
    </w:pPr>
    <w:r>
      <w:rPr>
        <w:rFonts w:hint="eastAsia" w:ascii="方正仿宋_GBK" w:hAnsi="Times New Roman"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D616">
    <w:pPr>
      <w:pStyle w:val="37"/>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4593E"/>
    <w:multiLevelType w:val="singleLevel"/>
    <w:tmpl w:val="DF44593E"/>
    <w:lvl w:ilvl="0" w:tentative="0">
      <w:start w:val="6"/>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7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14"/>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8F99A3"/>
    <w:multiLevelType w:val="singleLevel"/>
    <w:tmpl w:val="2F8F99A3"/>
    <w:lvl w:ilvl="0" w:tentative="0">
      <w:start w:val="4"/>
      <w:numFmt w:val="chineseCounting"/>
      <w:suff w:val="nothing"/>
      <w:lvlText w:val="（%1）"/>
      <w:lvlJc w:val="left"/>
      <w:rPr>
        <w:rFonts w:hint="eastAsia"/>
      </w:rPr>
    </w:lvl>
  </w:abstractNum>
  <w:abstractNum w:abstractNumId="13">
    <w:nsid w:val="5F9F03B8"/>
    <w:multiLevelType w:val="singleLevel"/>
    <w:tmpl w:val="5F9F03B8"/>
    <w:lvl w:ilvl="0" w:tentative="0">
      <w:start w:val="3"/>
      <w:numFmt w:val="chineseCounting"/>
      <w:suff w:val="nothing"/>
      <w:lvlText w:val="%1、"/>
      <w:lvlJc w:val="left"/>
      <w:rPr>
        <w:rFonts w:hint="eastAsia"/>
      </w:rPr>
    </w:lvl>
  </w:abstractNum>
  <w:num w:numId="1">
    <w:abstractNumId w:val="8"/>
  </w:num>
  <w:num w:numId="2">
    <w:abstractNumId w:val="4"/>
  </w:num>
  <w:num w:numId="3">
    <w:abstractNumId w:val="9"/>
  </w:num>
  <w:num w:numId="4">
    <w:abstractNumId w:val="5"/>
  </w:num>
  <w:num w:numId="5">
    <w:abstractNumId w:val="1"/>
  </w:num>
  <w:num w:numId="6">
    <w:abstractNumId w:val="10"/>
  </w:num>
  <w:num w:numId="7">
    <w:abstractNumId w:val="11"/>
  </w:num>
  <w:num w:numId="8">
    <w:abstractNumId w:val="2"/>
  </w:num>
  <w:num w:numId="9">
    <w:abstractNumId w:val="3"/>
  </w:num>
  <w:num w:numId="10">
    <w:abstractNumId w:val="6"/>
  </w:num>
  <w:num w:numId="11">
    <w:abstractNumId w:val="7"/>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zkxMTQxMTZiMWEzNzVkNjQ3NTU5Y2U1Zjc1YzEifQ=="/>
  </w:docVars>
  <w:rsids>
    <w:rsidRoot w:val="00172A27"/>
    <w:rsid w:val="0000112E"/>
    <w:rsid w:val="000028EB"/>
    <w:rsid w:val="000040DE"/>
    <w:rsid w:val="000075E8"/>
    <w:rsid w:val="00007C4C"/>
    <w:rsid w:val="00011B4B"/>
    <w:rsid w:val="00015708"/>
    <w:rsid w:val="00016B79"/>
    <w:rsid w:val="00017816"/>
    <w:rsid w:val="000212DA"/>
    <w:rsid w:val="00027457"/>
    <w:rsid w:val="000353BF"/>
    <w:rsid w:val="0003632F"/>
    <w:rsid w:val="000371B5"/>
    <w:rsid w:val="000477BA"/>
    <w:rsid w:val="000477D8"/>
    <w:rsid w:val="0004789B"/>
    <w:rsid w:val="0005019B"/>
    <w:rsid w:val="00050303"/>
    <w:rsid w:val="000509B8"/>
    <w:rsid w:val="0005298B"/>
    <w:rsid w:val="00052D6F"/>
    <w:rsid w:val="00053032"/>
    <w:rsid w:val="0005417C"/>
    <w:rsid w:val="000547DB"/>
    <w:rsid w:val="00055A9D"/>
    <w:rsid w:val="00055C35"/>
    <w:rsid w:val="000576E1"/>
    <w:rsid w:val="00063981"/>
    <w:rsid w:val="00072809"/>
    <w:rsid w:val="0007633E"/>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5F7D"/>
    <w:rsid w:val="000B6281"/>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1345"/>
    <w:rsid w:val="000E3259"/>
    <w:rsid w:val="000E34D5"/>
    <w:rsid w:val="000E7FE1"/>
    <w:rsid w:val="000F3379"/>
    <w:rsid w:val="000F445F"/>
    <w:rsid w:val="000F4B23"/>
    <w:rsid w:val="000F7DBF"/>
    <w:rsid w:val="0010014A"/>
    <w:rsid w:val="00100639"/>
    <w:rsid w:val="0010540A"/>
    <w:rsid w:val="00105873"/>
    <w:rsid w:val="0010750E"/>
    <w:rsid w:val="001116A4"/>
    <w:rsid w:val="00111E71"/>
    <w:rsid w:val="00111FFE"/>
    <w:rsid w:val="00113E83"/>
    <w:rsid w:val="00115BC0"/>
    <w:rsid w:val="00116856"/>
    <w:rsid w:val="00120259"/>
    <w:rsid w:val="00125D0C"/>
    <w:rsid w:val="001266BF"/>
    <w:rsid w:val="00132BF6"/>
    <w:rsid w:val="00133D16"/>
    <w:rsid w:val="00134D29"/>
    <w:rsid w:val="00143114"/>
    <w:rsid w:val="00144004"/>
    <w:rsid w:val="0014507D"/>
    <w:rsid w:val="00147FB4"/>
    <w:rsid w:val="00150028"/>
    <w:rsid w:val="0015011C"/>
    <w:rsid w:val="00150429"/>
    <w:rsid w:val="001506E4"/>
    <w:rsid w:val="00154037"/>
    <w:rsid w:val="00155015"/>
    <w:rsid w:val="001572BD"/>
    <w:rsid w:val="00160EF6"/>
    <w:rsid w:val="001632C4"/>
    <w:rsid w:val="00163424"/>
    <w:rsid w:val="00170B84"/>
    <w:rsid w:val="00172A27"/>
    <w:rsid w:val="001778CA"/>
    <w:rsid w:val="00177975"/>
    <w:rsid w:val="00180ACB"/>
    <w:rsid w:val="0018271F"/>
    <w:rsid w:val="001833EE"/>
    <w:rsid w:val="00183A17"/>
    <w:rsid w:val="00186623"/>
    <w:rsid w:val="001879FD"/>
    <w:rsid w:val="0019218F"/>
    <w:rsid w:val="00193595"/>
    <w:rsid w:val="001A0E0B"/>
    <w:rsid w:val="001A268D"/>
    <w:rsid w:val="001A6DCC"/>
    <w:rsid w:val="001B303E"/>
    <w:rsid w:val="001B3DBD"/>
    <w:rsid w:val="001B4377"/>
    <w:rsid w:val="001B473F"/>
    <w:rsid w:val="001B77D9"/>
    <w:rsid w:val="001B7C1A"/>
    <w:rsid w:val="001C12AF"/>
    <w:rsid w:val="001C2C8D"/>
    <w:rsid w:val="001C4D23"/>
    <w:rsid w:val="001D2321"/>
    <w:rsid w:val="001D2DCD"/>
    <w:rsid w:val="001D3045"/>
    <w:rsid w:val="001D5055"/>
    <w:rsid w:val="001D5741"/>
    <w:rsid w:val="001D630C"/>
    <w:rsid w:val="001D7AFF"/>
    <w:rsid w:val="001E201B"/>
    <w:rsid w:val="001E3A2E"/>
    <w:rsid w:val="001E453B"/>
    <w:rsid w:val="001E5CAC"/>
    <w:rsid w:val="001E725F"/>
    <w:rsid w:val="001F1AF7"/>
    <w:rsid w:val="001F1E63"/>
    <w:rsid w:val="001F1F41"/>
    <w:rsid w:val="001F4052"/>
    <w:rsid w:val="001F4964"/>
    <w:rsid w:val="001F7063"/>
    <w:rsid w:val="00202B04"/>
    <w:rsid w:val="00204936"/>
    <w:rsid w:val="0020592C"/>
    <w:rsid w:val="002100EE"/>
    <w:rsid w:val="00212515"/>
    <w:rsid w:val="00214638"/>
    <w:rsid w:val="0021704D"/>
    <w:rsid w:val="00222097"/>
    <w:rsid w:val="00222FEC"/>
    <w:rsid w:val="00226EBC"/>
    <w:rsid w:val="00227938"/>
    <w:rsid w:val="0023117C"/>
    <w:rsid w:val="002337EC"/>
    <w:rsid w:val="002348E0"/>
    <w:rsid w:val="002357D1"/>
    <w:rsid w:val="002357E0"/>
    <w:rsid w:val="00241FCE"/>
    <w:rsid w:val="00242121"/>
    <w:rsid w:val="00244928"/>
    <w:rsid w:val="00250B00"/>
    <w:rsid w:val="00250E69"/>
    <w:rsid w:val="00251FAB"/>
    <w:rsid w:val="00252C06"/>
    <w:rsid w:val="00255AD9"/>
    <w:rsid w:val="00261A69"/>
    <w:rsid w:val="002643C1"/>
    <w:rsid w:val="00265203"/>
    <w:rsid w:val="00271D47"/>
    <w:rsid w:val="002721EA"/>
    <w:rsid w:val="00280E8A"/>
    <w:rsid w:val="0028290D"/>
    <w:rsid w:val="00282C54"/>
    <w:rsid w:val="00283623"/>
    <w:rsid w:val="00285164"/>
    <w:rsid w:val="00287092"/>
    <w:rsid w:val="00290243"/>
    <w:rsid w:val="00291F10"/>
    <w:rsid w:val="002942EC"/>
    <w:rsid w:val="002A1EAB"/>
    <w:rsid w:val="002A411F"/>
    <w:rsid w:val="002A4956"/>
    <w:rsid w:val="002A6710"/>
    <w:rsid w:val="002B5057"/>
    <w:rsid w:val="002B7904"/>
    <w:rsid w:val="002C1593"/>
    <w:rsid w:val="002C2507"/>
    <w:rsid w:val="002C2E6E"/>
    <w:rsid w:val="002C45CE"/>
    <w:rsid w:val="002C61E9"/>
    <w:rsid w:val="002D04B0"/>
    <w:rsid w:val="002D269B"/>
    <w:rsid w:val="002D3FED"/>
    <w:rsid w:val="002D7725"/>
    <w:rsid w:val="002E1839"/>
    <w:rsid w:val="002E2A4B"/>
    <w:rsid w:val="002E38BB"/>
    <w:rsid w:val="002E4758"/>
    <w:rsid w:val="002E6F8D"/>
    <w:rsid w:val="002F0E91"/>
    <w:rsid w:val="002F16E9"/>
    <w:rsid w:val="002F1E35"/>
    <w:rsid w:val="002F3DE3"/>
    <w:rsid w:val="002F50B6"/>
    <w:rsid w:val="002F632E"/>
    <w:rsid w:val="00302C6D"/>
    <w:rsid w:val="003032BF"/>
    <w:rsid w:val="00310AF9"/>
    <w:rsid w:val="00312C54"/>
    <w:rsid w:val="0031465E"/>
    <w:rsid w:val="00315742"/>
    <w:rsid w:val="003163B3"/>
    <w:rsid w:val="00316CE1"/>
    <w:rsid w:val="00320BC7"/>
    <w:rsid w:val="00322A7A"/>
    <w:rsid w:val="00323A21"/>
    <w:rsid w:val="00327002"/>
    <w:rsid w:val="00327C17"/>
    <w:rsid w:val="0033402F"/>
    <w:rsid w:val="00341DEB"/>
    <w:rsid w:val="0034349D"/>
    <w:rsid w:val="003434CB"/>
    <w:rsid w:val="003448FB"/>
    <w:rsid w:val="0034606B"/>
    <w:rsid w:val="00346A3D"/>
    <w:rsid w:val="00346E97"/>
    <w:rsid w:val="00350843"/>
    <w:rsid w:val="00350C20"/>
    <w:rsid w:val="003518E6"/>
    <w:rsid w:val="00354669"/>
    <w:rsid w:val="003548FA"/>
    <w:rsid w:val="00355A74"/>
    <w:rsid w:val="003577BC"/>
    <w:rsid w:val="00361427"/>
    <w:rsid w:val="00362D5A"/>
    <w:rsid w:val="003632FB"/>
    <w:rsid w:val="0036458B"/>
    <w:rsid w:val="0036522F"/>
    <w:rsid w:val="00371D2F"/>
    <w:rsid w:val="00372141"/>
    <w:rsid w:val="0037557C"/>
    <w:rsid w:val="0038033A"/>
    <w:rsid w:val="0038238A"/>
    <w:rsid w:val="00384161"/>
    <w:rsid w:val="00386304"/>
    <w:rsid w:val="00386B19"/>
    <w:rsid w:val="00387610"/>
    <w:rsid w:val="00390FEA"/>
    <w:rsid w:val="0039114B"/>
    <w:rsid w:val="003947B0"/>
    <w:rsid w:val="00395C2F"/>
    <w:rsid w:val="003973D3"/>
    <w:rsid w:val="003A0892"/>
    <w:rsid w:val="003A2D5B"/>
    <w:rsid w:val="003A3B0B"/>
    <w:rsid w:val="003A449E"/>
    <w:rsid w:val="003A71F3"/>
    <w:rsid w:val="003B19F5"/>
    <w:rsid w:val="003B2ABF"/>
    <w:rsid w:val="003B31F8"/>
    <w:rsid w:val="003C0AB8"/>
    <w:rsid w:val="003C3844"/>
    <w:rsid w:val="003C4B53"/>
    <w:rsid w:val="003D0E0A"/>
    <w:rsid w:val="003D3B22"/>
    <w:rsid w:val="003D3F09"/>
    <w:rsid w:val="003D42F8"/>
    <w:rsid w:val="003F1366"/>
    <w:rsid w:val="00402B32"/>
    <w:rsid w:val="004063DA"/>
    <w:rsid w:val="00410243"/>
    <w:rsid w:val="00410C93"/>
    <w:rsid w:val="00411B4A"/>
    <w:rsid w:val="00411B5C"/>
    <w:rsid w:val="0041485E"/>
    <w:rsid w:val="00416E58"/>
    <w:rsid w:val="00417E99"/>
    <w:rsid w:val="00420063"/>
    <w:rsid w:val="00420E06"/>
    <w:rsid w:val="0042338D"/>
    <w:rsid w:val="00427935"/>
    <w:rsid w:val="00430008"/>
    <w:rsid w:val="004363BE"/>
    <w:rsid w:val="004372AA"/>
    <w:rsid w:val="0044695E"/>
    <w:rsid w:val="0045251D"/>
    <w:rsid w:val="004552DF"/>
    <w:rsid w:val="0046039C"/>
    <w:rsid w:val="00460DBE"/>
    <w:rsid w:val="00462878"/>
    <w:rsid w:val="004636FD"/>
    <w:rsid w:val="00465B7A"/>
    <w:rsid w:val="00465D34"/>
    <w:rsid w:val="00472285"/>
    <w:rsid w:val="00472AA2"/>
    <w:rsid w:val="00473EA5"/>
    <w:rsid w:val="004754BD"/>
    <w:rsid w:val="004762B3"/>
    <w:rsid w:val="00476B31"/>
    <w:rsid w:val="0048188E"/>
    <w:rsid w:val="00484CBB"/>
    <w:rsid w:val="004917B0"/>
    <w:rsid w:val="00492BEA"/>
    <w:rsid w:val="0049315B"/>
    <w:rsid w:val="004953EC"/>
    <w:rsid w:val="00495813"/>
    <w:rsid w:val="004962EA"/>
    <w:rsid w:val="004A0D29"/>
    <w:rsid w:val="004A0DE1"/>
    <w:rsid w:val="004A2410"/>
    <w:rsid w:val="004A27AC"/>
    <w:rsid w:val="004A4183"/>
    <w:rsid w:val="004B165D"/>
    <w:rsid w:val="004B176E"/>
    <w:rsid w:val="004B28C2"/>
    <w:rsid w:val="004B2C5D"/>
    <w:rsid w:val="004B39D8"/>
    <w:rsid w:val="004C1DD0"/>
    <w:rsid w:val="004C3C43"/>
    <w:rsid w:val="004C618A"/>
    <w:rsid w:val="004C64E4"/>
    <w:rsid w:val="004C7223"/>
    <w:rsid w:val="004D7BCE"/>
    <w:rsid w:val="004E156F"/>
    <w:rsid w:val="004E38D1"/>
    <w:rsid w:val="004E55DB"/>
    <w:rsid w:val="004F161C"/>
    <w:rsid w:val="004F2D57"/>
    <w:rsid w:val="004F497A"/>
    <w:rsid w:val="004F4F7F"/>
    <w:rsid w:val="004F6399"/>
    <w:rsid w:val="00501981"/>
    <w:rsid w:val="00502B2F"/>
    <w:rsid w:val="00510581"/>
    <w:rsid w:val="00512D00"/>
    <w:rsid w:val="0051390D"/>
    <w:rsid w:val="00514179"/>
    <w:rsid w:val="00524966"/>
    <w:rsid w:val="0052579F"/>
    <w:rsid w:val="00526D3C"/>
    <w:rsid w:val="00527C5A"/>
    <w:rsid w:val="00530836"/>
    <w:rsid w:val="0053473C"/>
    <w:rsid w:val="0054028A"/>
    <w:rsid w:val="005421CE"/>
    <w:rsid w:val="0054369F"/>
    <w:rsid w:val="00544BEA"/>
    <w:rsid w:val="005460D5"/>
    <w:rsid w:val="005519C9"/>
    <w:rsid w:val="00556D9F"/>
    <w:rsid w:val="00560570"/>
    <w:rsid w:val="005651B0"/>
    <w:rsid w:val="00566A85"/>
    <w:rsid w:val="00567D04"/>
    <w:rsid w:val="00573AE3"/>
    <w:rsid w:val="005810F4"/>
    <w:rsid w:val="005838D0"/>
    <w:rsid w:val="00584BFC"/>
    <w:rsid w:val="00586747"/>
    <w:rsid w:val="005902D9"/>
    <w:rsid w:val="0059196A"/>
    <w:rsid w:val="00596AB7"/>
    <w:rsid w:val="00597743"/>
    <w:rsid w:val="005A15D1"/>
    <w:rsid w:val="005A1EA7"/>
    <w:rsid w:val="005A5FAF"/>
    <w:rsid w:val="005A6938"/>
    <w:rsid w:val="005B0724"/>
    <w:rsid w:val="005B1E46"/>
    <w:rsid w:val="005B3D75"/>
    <w:rsid w:val="005B448D"/>
    <w:rsid w:val="005B4BB2"/>
    <w:rsid w:val="005B5133"/>
    <w:rsid w:val="005B575B"/>
    <w:rsid w:val="005B7C8B"/>
    <w:rsid w:val="005C1B86"/>
    <w:rsid w:val="005C39CC"/>
    <w:rsid w:val="005C42AC"/>
    <w:rsid w:val="005C4F84"/>
    <w:rsid w:val="005D37D0"/>
    <w:rsid w:val="005D703E"/>
    <w:rsid w:val="005E5525"/>
    <w:rsid w:val="005E7FAC"/>
    <w:rsid w:val="005F11C0"/>
    <w:rsid w:val="005F37E8"/>
    <w:rsid w:val="005F58F3"/>
    <w:rsid w:val="005F5E0B"/>
    <w:rsid w:val="00611A9B"/>
    <w:rsid w:val="00612FD9"/>
    <w:rsid w:val="00613410"/>
    <w:rsid w:val="00613E81"/>
    <w:rsid w:val="00615D80"/>
    <w:rsid w:val="00617986"/>
    <w:rsid w:val="00627A5A"/>
    <w:rsid w:val="00630943"/>
    <w:rsid w:val="00636775"/>
    <w:rsid w:val="00637021"/>
    <w:rsid w:val="00641635"/>
    <w:rsid w:val="0064237A"/>
    <w:rsid w:val="00642926"/>
    <w:rsid w:val="0064583B"/>
    <w:rsid w:val="00647C5B"/>
    <w:rsid w:val="00650406"/>
    <w:rsid w:val="0065057A"/>
    <w:rsid w:val="0065293D"/>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45C4"/>
    <w:rsid w:val="006953ED"/>
    <w:rsid w:val="00697C14"/>
    <w:rsid w:val="006A100B"/>
    <w:rsid w:val="006A143A"/>
    <w:rsid w:val="006A3285"/>
    <w:rsid w:val="006A4336"/>
    <w:rsid w:val="006A55E4"/>
    <w:rsid w:val="006A69E9"/>
    <w:rsid w:val="006B1942"/>
    <w:rsid w:val="006B3903"/>
    <w:rsid w:val="006B5737"/>
    <w:rsid w:val="006B5CFD"/>
    <w:rsid w:val="006B72DE"/>
    <w:rsid w:val="006C023B"/>
    <w:rsid w:val="006C5FC1"/>
    <w:rsid w:val="006C6006"/>
    <w:rsid w:val="006C7DC4"/>
    <w:rsid w:val="006D44E1"/>
    <w:rsid w:val="006D5DEB"/>
    <w:rsid w:val="006D6B52"/>
    <w:rsid w:val="006E21FA"/>
    <w:rsid w:val="006E2308"/>
    <w:rsid w:val="006E27E0"/>
    <w:rsid w:val="006E561A"/>
    <w:rsid w:val="006E60A9"/>
    <w:rsid w:val="006E6479"/>
    <w:rsid w:val="006E798E"/>
    <w:rsid w:val="006F05A5"/>
    <w:rsid w:val="006F0FB7"/>
    <w:rsid w:val="006F21AC"/>
    <w:rsid w:val="006F2519"/>
    <w:rsid w:val="006F2D7A"/>
    <w:rsid w:val="006F3ABB"/>
    <w:rsid w:val="006F7DCF"/>
    <w:rsid w:val="00700B6E"/>
    <w:rsid w:val="0070153C"/>
    <w:rsid w:val="00704E5D"/>
    <w:rsid w:val="00705739"/>
    <w:rsid w:val="007064F5"/>
    <w:rsid w:val="00706963"/>
    <w:rsid w:val="00706FB8"/>
    <w:rsid w:val="00710EAD"/>
    <w:rsid w:val="00711643"/>
    <w:rsid w:val="00715FB5"/>
    <w:rsid w:val="007171A6"/>
    <w:rsid w:val="00717918"/>
    <w:rsid w:val="0071799D"/>
    <w:rsid w:val="00725C47"/>
    <w:rsid w:val="00726088"/>
    <w:rsid w:val="00730B6A"/>
    <w:rsid w:val="00736D88"/>
    <w:rsid w:val="00736DD2"/>
    <w:rsid w:val="00737A25"/>
    <w:rsid w:val="007411DE"/>
    <w:rsid w:val="0074681C"/>
    <w:rsid w:val="00746EC2"/>
    <w:rsid w:val="00747837"/>
    <w:rsid w:val="0075180E"/>
    <w:rsid w:val="00754E57"/>
    <w:rsid w:val="0075736A"/>
    <w:rsid w:val="007654E2"/>
    <w:rsid w:val="0076555E"/>
    <w:rsid w:val="00766274"/>
    <w:rsid w:val="007711E1"/>
    <w:rsid w:val="00771E46"/>
    <w:rsid w:val="00774087"/>
    <w:rsid w:val="007757DD"/>
    <w:rsid w:val="00781168"/>
    <w:rsid w:val="007848BF"/>
    <w:rsid w:val="0078689C"/>
    <w:rsid w:val="00792B0D"/>
    <w:rsid w:val="007959AC"/>
    <w:rsid w:val="007A20E0"/>
    <w:rsid w:val="007A56AC"/>
    <w:rsid w:val="007B2204"/>
    <w:rsid w:val="007B32BE"/>
    <w:rsid w:val="007B4B60"/>
    <w:rsid w:val="007B4E4F"/>
    <w:rsid w:val="007B5713"/>
    <w:rsid w:val="007B7198"/>
    <w:rsid w:val="007C4793"/>
    <w:rsid w:val="007C523B"/>
    <w:rsid w:val="007D7E65"/>
    <w:rsid w:val="007E19E0"/>
    <w:rsid w:val="007E235D"/>
    <w:rsid w:val="007E7BDF"/>
    <w:rsid w:val="007F0A21"/>
    <w:rsid w:val="007F451F"/>
    <w:rsid w:val="008007B6"/>
    <w:rsid w:val="008041D4"/>
    <w:rsid w:val="00805933"/>
    <w:rsid w:val="00807D0E"/>
    <w:rsid w:val="0081156A"/>
    <w:rsid w:val="00811A53"/>
    <w:rsid w:val="00811D97"/>
    <w:rsid w:val="0081619C"/>
    <w:rsid w:val="00817FB4"/>
    <w:rsid w:val="0082730C"/>
    <w:rsid w:val="00827398"/>
    <w:rsid w:val="00827A32"/>
    <w:rsid w:val="008412BE"/>
    <w:rsid w:val="00842974"/>
    <w:rsid w:val="00846FCC"/>
    <w:rsid w:val="0085014E"/>
    <w:rsid w:val="00851EF4"/>
    <w:rsid w:val="0085550A"/>
    <w:rsid w:val="00855C51"/>
    <w:rsid w:val="00856B77"/>
    <w:rsid w:val="00857766"/>
    <w:rsid w:val="00857E6A"/>
    <w:rsid w:val="008616EF"/>
    <w:rsid w:val="00861791"/>
    <w:rsid w:val="00863848"/>
    <w:rsid w:val="008639F2"/>
    <w:rsid w:val="00863C25"/>
    <w:rsid w:val="008641B7"/>
    <w:rsid w:val="00864DC1"/>
    <w:rsid w:val="0086763D"/>
    <w:rsid w:val="008705BC"/>
    <w:rsid w:val="00871009"/>
    <w:rsid w:val="00875A42"/>
    <w:rsid w:val="00875F04"/>
    <w:rsid w:val="00876373"/>
    <w:rsid w:val="00880A38"/>
    <w:rsid w:val="008850EB"/>
    <w:rsid w:val="008857CC"/>
    <w:rsid w:val="008863E6"/>
    <w:rsid w:val="008904A8"/>
    <w:rsid w:val="00891A45"/>
    <w:rsid w:val="008959FF"/>
    <w:rsid w:val="008A0C79"/>
    <w:rsid w:val="008A4BB5"/>
    <w:rsid w:val="008A68CE"/>
    <w:rsid w:val="008B2146"/>
    <w:rsid w:val="008B3351"/>
    <w:rsid w:val="008B4622"/>
    <w:rsid w:val="008C0637"/>
    <w:rsid w:val="008C10A7"/>
    <w:rsid w:val="008C1892"/>
    <w:rsid w:val="008C1D7E"/>
    <w:rsid w:val="008C1E1D"/>
    <w:rsid w:val="008C4665"/>
    <w:rsid w:val="008C510F"/>
    <w:rsid w:val="008D06BE"/>
    <w:rsid w:val="008D0FE0"/>
    <w:rsid w:val="008D1DC6"/>
    <w:rsid w:val="008D3659"/>
    <w:rsid w:val="008E0CF1"/>
    <w:rsid w:val="008E1474"/>
    <w:rsid w:val="008E262B"/>
    <w:rsid w:val="008E66B8"/>
    <w:rsid w:val="008F1988"/>
    <w:rsid w:val="008F43BA"/>
    <w:rsid w:val="008F5227"/>
    <w:rsid w:val="008F6252"/>
    <w:rsid w:val="009014E5"/>
    <w:rsid w:val="009023F3"/>
    <w:rsid w:val="00903540"/>
    <w:rsid w:val="0090383C"/>
    <w:rsid w:val="00912132"/>
    <w:rsid w:val="00912765"/>
    <w:rsid w:val="00915390"/>
    <w:rsid w:val="00915AFC"/>
    <w:rsid w:val="00917F59"/>
    <w:rsid w:val="009211CD"/>
    <w:rsid w:val="00921E62"/>
    <w:rsid w:val="00922FAD"/>
    <w:rsid w:val="00924F0A"/>
    <w:rsid w:val="0092579F"/>
    <w:rsid w:val="00926CB9"/>
    <w:rsid w:val="0092708B"/>
    <w:rsid w:val="0093049D"/>
    <w:rsid w:val="00930CFA"/>
    <w:rsid w:val="00931044"/>
    <w:rsid w:val="00933B34"/>
    <w:rsid w:val="00934E6D"/>
    <w:rsid w:val="00936838"/>
    <w:rsid w:val="00937713"/>
    <w:rsid w:val="00941683"/>
    <w:rsid w:val="00941A72"/>
    <w:rsid w:val="00944CC5"/>
    <w:rsid w:val="00946407"/>
    <w:rsid w:val="0094759E"/>
    <w:rsid w:val="009478AA"/>
    <w:rsid w:val="009519FB"/>
    <w:rsid w:val="009560B3"/>
    <w:rsid w:val="00963A39"/>
    <w:rsid w:val="00965932"/>
    <w:rsid w:val="00966820"/>
    <w:rsid w:val="009702E8"/>
    <w:rsid w:val="00971600"/>
    <w:rsid w:val="00971E57"/>
    <w:rsid w:val="009723CF"/>
    <w:rsid w:val="00973717"/>
    <w:rsid w:val="00973EB6"/>
    <w:rsid w:val="00974A13"/>
    <w:rsid w:val="00980037"/>
    <w:rsid w:val="00983B43"/>
    <w:rsid w:val="00990AA9"/>
    <w:rsid w:val="00991B37"/>
    <w:rsid w:val="00993362"/>
    <w:rsid w:val="0099647C"/>
    <w:rsid w:val="0099752A"/>
    <w:rsid w:val="00997744"/>
    <w:rsid w:val="00997E58"/>
    <w:rsid w:val="009A7A6C"/>
    <w:rsid w:val="009B1B1E"/>
    <w:rsid w:val="009B2EDB"/>
    <w:rsid w:val="009B5443"/>
    <w:rsid w:val="009B6096"/>
    <w:rsid w:val="009C0879"/>
    <w:rsid w:val="009C3034"/>
    <w:rsid w:val="009C4DEB"/>
    <w:rsid w:val="009C6C1E"/>
    <w:rsid w:val="009D1A6B"/>
    <w:rsid w:val="009D3162"/>
    <w:rsid w:val="009D3181"/>
    <w:rsid w:val="009D6489"/>
    <w:rsid w:val="009E0C8F"/>
    <w:rsid w:val="009E1169"/>
    <w:rsid w:val="009E2F1C"/>
    <w:rsid w:val="009E348B"/>
    <w:rsid w:val="009E737D"/>
    <w:rsid w:val="009E79B1"/>
    <w:rsid w:val="009F28E3"/>
    <w:rsid w:val="009F5842"/>
    <w:rsid w:val="009F6803"/>
    <w:rsid w:val="00A01930"/>
    <w:rsid w:val="00A03977"/>
    <w:rsid w:val="00A12B4E"/>
    <w:rsid w:val="00A22213"/>
    <w:rsid w:val="00A2453D"/>
    <w:rsid w:val="00A25A21"/>
    <w:rsid w:val="00A26185"/>
    <w:rsid w:val="00A26FF7"/>
    <w:rsid w:val="00A27BD2"/>
    <w:rsid w:val="00A27BE2"/>
    <w:rsid w:val="00A30323"/>
    <w:rsid w:val="00A31077"/>
    <w:rsid w:val="00A3730B"/>
    <w:rsid w:val="00A37C81"/>
    <w:rsid w:val="00A41E4A"/>
    <w:rsid w:val="00A42CE3"/>
    <w:rsid w:val="00A445DC"/>
    <w:rsid w:val="00A44BEA"/>
    <w:rsid w:val="00A45D44"/>
    <w:rsid w:val="00A47655"/>
    <w:rsid w:val="00A47700"/>
    <w:rsid w:val="00A52D1B"/>
    <w:rsid w:val="00A55650"/>
    <w:rsid w:val="00A569E8"/>
    <w:rsid w:val="00A610EC"/>
    <w:rsid w:val="00A613D3"/>
    <w:rsid w:val="00A67920"/>
    <w:rsid w:val="00A67AE8"/>
    <w:rsid w:val="00A711C6"/>
    <w:rsid w:val="00A737AF"/>
    <w:rsid w:val="00A74559"/>
    <w:rsid w:val="00A756B7"/>
    <w:rsid w:val="00A75A98"/>
    <w:rsid w:val="00A75C90"/>
    <w:rsid w:val="00A76DA9"/>
    <w:rsid w:val="00A81327"/>
    <w:rsid w:val="00A84863"/>
    <w:rsid w:val="00A932A2"/>
    <w:rsid w:val="00A95D95"/>
    <w:rsid w:val="00A977EC"/>
    <w:rsid w:val="00AA13DD"/>
    <w:rsid w:val="00AA2730"/>
    <w:rsid w:val="00AA3FD1"/>
    <w:rsid w:val="00AA57F3"/>
    <w:rsid w:val="00AB05AF"/>
    <w:rsid w:val="00AB11B3"/>
    <w:rsid w:val="00AB5ED3"/>
    <w:rsid w:val="00AB6B0C"/>
    <w:rsid w:val="00AB70CD"/>
    <w:rsid w:val="00AC4898"/>
    <w:rsid w:val="00AC48B3"/>
    <w:rsid w:val="00AC7AC9"/>
    <w:rsid w:val="00AC7D41"/>
    <w:rsid w:val="00AD09C0"/>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55FA"/>
    <w:rsid w:val="00B16BBB"/>
    <w:rsid w:val="00B17214"/>
    <w:rsid w:val="00B200AA"/>
    <w:rsid w:val="00B22702"/>
    <w:rsid w:val="00B30645"/>
    <w:rsid w:val="00B32B44"/>
    <w:rsid w:val="00B32BCD"/>
    <w:rsid w:val="00B422DA"/>
    <w:rsid w:val="00B4399C"/>
    <w:rsid w:val="00B44B87"/>
    <w:rsid w:val="00B478C3"/>
    <w:rsid w:val="00B5069F"/>
    <w:rsid w:val="00B52715"/>
    <w:rsid w:val="00B561E2"/>
    <w:rsid w:val="00B56779"/>
    <w:rsid w:val="00B56C8A"/>
    <w:rsid w:val="00B61348"/>
    <w:rsid w:val="00B6263F"/>
    <w:rsid w:val="00B627B6"/>
    <w:rsid w:val="00B67114"/>
    <w:rsid w:val="00B70750"/>
    <w:rsid w:val="00B75449"/>
    <w:rsid w:val="00B77B01"/>
    <w:rsid w:val="00B806DC"/>
    <w:rsid w:val="00B80919"/>
    <w:rsid w:val="00B81FE4"/>
    <w:rsid w:val="00B82082"/>
    <w:rsid w:val="00B8292A"/>
    <w:rsid w:val="00B82ACC"/>
    <w:rsid w:val="00B84133"/>
    <w:rsid w:val="00B91AE4"/>
    <w:rsid w:val="00B91E6E"/>
    <w:rsid w:val="00BA0852"/>
    <w:rsid w:val="00BA527C"/>
    <w:rsid w:val="00BA64B4"/>
    <w:rsid w:val="00BA7E28"/>
    <w:rsid w:val="00BA7E3B"/>
    <w:rsid w:val="00BB170E"/>
    <w:rsid w:val="00BB1CFF"/>
    <w:rsid w:val="00BB527A"/>
    <w:rsid w:val="00BB5C4B"/>
    <w:rsid w:val="00BB6959"/>
    <w:rsid w:val="00BB7494"/>
    <w:rsid w:val="00BB7AE3"/>
    <w:rsid w:val="00BC2390"/>
    <w:rsid w:val="00BC7017"/>
    <w:rsid w:val="00BD71EC"/>
    <w:rsid w:val="00BD7A7A"/>
    <w:rsid w:val="00BE07A9"/>
    <w:rsid w:val="00BE1580"/>
    <w:rsid w:val="00BE20EA"/>
    <w:rsid w:val="00BE3215"/>
    <w:rsid w:val="00BE54F1"/>
    <w:rsid w:val="00BE67C9"/>
    <w:rsid w:val="00BE6918"/>
    <w:rsid w:val="00BF273B"/>
    <w:rsid w:val="00BF46A7"/>
    <w:rsid w:val="00BF5230"/>
    <w:rsid w:val="00BF747D"/>
    <w:rsid w:val="00C1090C"/>
    <w:rsid w:val="00C20BEE"/>
    <w:rsid w:val="00C210D8"/>
    <w:rsid w:val="00C21AE6"/>
    <w:rsid w:val="00C240C8"/>
    <w:rsid w:val="00C250E4"/>
    <w:rsid w:val="00C26513"/>
    <w:rsid w:val="00C279B3"/>
    <w:rsid w:val="00C27FA6"/>
    <w:rsid w:val="00C31433"/>
    <w:rsid w:val="00C324C9"/>
    <w:rsid w:val="00C328C9"/>
    <w:rsid w:val="00C346EB"/>
    <w:rsid w:val="00C347C0"/>
    <w:rsid w:val="00C372D4"/>
    <w:rsid w:val="00C37F72"/>
    <w:rsid w:val="00C420C1"/>
    <w:rsid w:val="00C45963"/>
    <w:rsid w:val="00C472B8"/>
    <w:rsid w:val="00C53124"/>
    <w:rsid w:val="00C53B2E"/>
    <w:rsid w:val="00C54018"/>
    <w:rsid w:val="00C56D7B"/>
    <w:rsid w:val="00C6160A"/>
    <w:rsid w:val="00C63BC6"/>
    <w:rsid w:val="00C65711"/>
    <w:rsid w:val="00C67DDB"/>
    <w:rsid w:val="00C76ECD"/>
    <w:rsid w:val="00C76FFC"/>
    <w:rsid w:val="00C7771A"/>
    <w:rsid w:val="00C77870"/>
    <w:rsid w:val="00C803FC"/>
    <w:rsid w:val="00C82019"/>
    <w:rsid w:val="00C84E04"/>
    <w:rsid w:val="00C84EB8"/>
    <w:rsid w:val="00C910BE"/>
    <w:rsid w:val="00C922BE"/>
    <w:rsid w:val="00C9232C"/>
    <w:rsid w:val="00C92F2D"/>
    <w:rsid w:val="00CA134E"/>
    <w:rsid w:val="00CA5844"/>
    <w:rsid w:val="00CA7415"/>
    <w:rsid w:val="00CB0693"/>
    <w:rsid w:val="00CB265C"/>
    <w:rsid w:val="00CB2703"/>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6F66"/>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25B6"/>
    <w:rsid w:val="00D33DD7"/>
    <w:rsid w:val="00D41BA9"/>
    <w:rsid w:val="00D45986"/>
    <w:rsid w:val="00D52376"/>
    <w:rsid w:val="00D52D0B"/>
    <w:rsid w:val="00D566E3"/>
    <w:rsid w:val="00D572DC"/>
    <w:rsid w:val="00D576B6"/>
    <w:rsid w:val="00D612C2"/>
    <w:rsid w:val="00D62F80"/>
    <w:rsid w:val="00D652F4"/>
    <w:rsid w:val="00D66DA9"/>
    <w:rsid w:val="00D706B3"/>
    <w:rsid w:val="00D70AD7"/>
    <w:rsid w:val="00D745E0"/>
    <w:rsid w:val="00D76AA3"/>
    <w:rsid w:val="00D80604"/>
    <w:rsid w:val="00D92ADD"/>
    <w:rsid w:val="00DA086B"/>
    <w:rsid w:val="00DA18C8"/>
    <w:rsid w:val="00DA1D7A"/>
    <w:rsid w:val="00DA3B3C"/>
    <w:rsid w:val="00DA5493"/>
    <w:rsid w:val="00DA6834"/>
    <w:rsid w:val="00DA7E05"/>
    <w:rsid w:val="00DB4794"/>
    <w:rsid w:val="00DB4DC7"/>
    <w:rsid w:val="00DB5C3E"/>
    <w:rsid w:val="00DB628E"/>
    <w:rsid w:val="00DD19E1"/>
    <w:rsid w:val="00DE1E39"/>
    <w:rsid w:val="00DE3353"/>
    <w:rsid w:val="00DE43BF"/>
    <w:rsid w:val="00DE647B"/>
    <w:rsid w:val="00DE6E57"/>
    <w:rsid w:val="00DE7E57"/>
    <w:rsid w:val="00DF47D6"/>
    <w:rsid w:val="00DF482A"/>
    <w:rsid w:val="00DF5425"/>
    <w:rsid w:val="00DF68EF"/>
    <w:rsid w:val="00DF782C"/>
    <w:rsid w:val="00E01B9B"/>
    <w:rsid w:val="00E030A0"/>
    <w:rsid w:val="00E0425A"/>
    <w:rsid w:val="00E075A1"/>
    <w:rsid w:val="00E117B8"/>
    <w:rsid w:val="00E124E3"/>
    <w:rsid w:val="00E14812"/>
    <w:rsid w:val="00E15554"/>
    <w:rsid w:val="00E15DDE"/>
    <w:rsid w:val="00E17C1A"/>
    <w:rsid w:val="00E203CD"/>
    <w:rsid w:val="00E20947"/>
    <w:rsid w:val="00E20AFA"/>
    <w:rsid w:val="00E21116"/>
    <w:rsid w:val="00E2339E"/>
    <w:rsid w:val="00E23A3A"/>
    <w:rsid w:val="00E23E23"/>
    <w:rsid w:val="00E270A9"/>
    <w:rsid w:val="00E3245B"/>
    <w:rsid w:val="00E32DCD"/>
    <w:rsid w:val="00E3303D"/>
    <w:rsid w:val="00E35C87"/>
    <w:rsid w:val="00E3707B"/>
    <w:rsid w:val="00E50685"/>
    <w:rsid w:val="00E54312"/>
    <w:rsid w:val="00E57F6B"/>
    <w:rsid w:val="00E64B3E"/>
    <w:rsid w:val="00E65844"/>
    <w:rsid w:val="00E663F4"/>
    <w:rsid w:val="00E70006"/>
    <w:rsid w:val="00E723CF"/>
    <w:rsid w:val="00E7342C"/>
    <w:rsid w:val="00E74B95"/>
    <w:rsid w:val="00E76363"/>
    <w:rsid w:val="00E845C5"/>
    <w:rsid w:val="00E84B64"/>
    <w:rsid w:val="00E855E7"/>
    <w:rsid w:val="00E86AC9"/>
    <w:rsid w:val="00E87CFE"/>
    <w:rsid w:val="00E91D81"/>
    <w:rsid w:val="00E92559"/>
    <w:rsid w:val="00E92BC2"/>
    <w:rsid w:val="00E93EDB"/>
    <w:rsid w:val="00E94267"/>
    <w:rsid w:val="00E94CA4"/>
    <w:rsid w:val="00E97202"/>
    <w:rsid w:val="00EA010E"/>
    <w:rsid w:val="00EA3693"/>
    <w:rsid w:val="00EA384A"/>
    <w:rsid w:val="00EB00B0"/>
    <w:rsid w:val="00EB1E33"/>
    <w:rsid w:val="00EB2181"/>
    <w:rsid w:val="00EB5869"/>
    <w:rsid w:val="00EC0881"/>
    <w:rsid w:val="00EC0892"/>
    <w:rsid w:val="00EC0BC3"/>
    <w:rsid w:val="00EC4665"/>
    <w:rsid w:val="00EC6CB3"/>
    <w:rsid w:val="00ED060F"/>
    <w:rsid w:val="00ED377D"/>
    <w:rsid w:val="00ED4D2B"/>
    <w:rsid w:val="00ED7DBC"/>
    <w:rsid w:val="00ED7FA0"/>
    <w:rsid w:val="00EF1253"/>
    <w:rsid w:val="00EF2A4D"/>
    <w:rsid w:val="00EF305A"/>
    <w:rsid w:val="00EF3FC7"/>
    <w:rsid w:val="00EF4F54"/>
    <w:rsid w:val="00EF7003"/>
    <w:rsid w:val="00F0053B"/>
    <w:rsid w:val="00F019BE"/>
    <w:rsid w:val="00F115B7"/>
    <w:rsid w:val="00F16313"/>
    <w:rsid w:val="00F2025B"/>
    <w:rsid w:val="00F20667"/>
    <w:rsid w:val="00F20FF1"/>
    <w:rsid w:val="00F21F4B"/>
    <w:rsid w:val="00F234C0"/>
    <w:rsid w:val="00F35457"/>
    <w:rsid w:val="00F3595B"/>
    <w:rsid w:val="00F36608"/>
    <w:rsid w:val="00F36D58"/>
    <w:rsid w:val="00F41170"/>
    <w:rsid w:val="00F426A6"/>
    <w:rsid w:val="00F429FD"/>
    <w:rsid w:val="00F43602"/>
    <w:rsid w:val="00F4623C"/>
    <w:rsid w:val="00F46E44"/>
    <w:rsid w:val="00F515B0"/>
    <w:rsid w:val="00F55278"/>
    <w:rsid w:val="00F56399"/>
    <w:rsid w:val="00F56A2E"/>
    <w:rsid w:val="00F57AE0"/>
    <w:rsid w:val="00F60188"/>
    <w:rsid w:val="00F60CD2"/>
    <w:rsid w:val="00F63FE3"/>
    <w:rsid w:val="00F73AC2"/>
    <w:rsid w:val="00F768C2"/>
    <w:rsid w:val="00F7750A"/>
    <w:rsid w:val="00F80006"/>
    <w:rsid w:val="00F80084"/>
    <w:rsid w:val="00F8166E"/>
    <w:rsid w:val="00F833E0"/>
    <w:rsid w:val="00F84048"/>
    <w:rsid w:val="00F87A29"/>
    <w:rsid w:val="00F87C90"/>
    <w:rsid w:val="00F95676"/>
    <w:rsid w:val="00F966EA"/>
    <w:rsid w:val="00FA4D21"/>
    <w:rsid w:val="00FA57DA"/>
    <w:rsid w:val="00FA5C8C"/>
    <w:rsid w:val="00FA6D7E"/>
    <w:rsid w:val="00FA77F5"/>
    <w:rsid w:val="00FB13BC"/>
    <w:rsid w:val="00FB1A28"/>
    <w:rsid w:val="00FB1B2D"/>
    <w:rsid w:val="00FB7C08"/>
    <w:rsid w:val="00FC58E1"/>
    <w:rsid w:val="00FC5A85"/>
    <w:rsid w:val="00FC7653"/>
    <w:rsid w:val="00FD0677"/>
    <w:rsid w:val="00FD159B"/>
    <w:rsid w:val="00FD2470"/>
    <w:rsid w:val="00FD42AF"/>
    <w:rsid w:val="00FD4503"/>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D767C"/>
    <w:rsid w:val="011B1C79"/>
    <w:rsid w:val="0125469A"/>
    <w:rsid w:val="01260E98"/>
    <w:rsid w:val="0132783D"/>
    <w:rsid w:val="014D4B17"/>
    <w:rsid w:val="015045B8"/>
    <w:rsid w:val="01504981"/>
    <w:rsid w:val="0159792A"/>
    <w:rsid w:val="016D6AC7"/>
    <w:rsid w:val="016D7265"/>
    <w:rsid w:val="016D7DD1"/>
    <w:rsid w:val="01792284"/>
    <w:rsid w:val="017D61DA"/>
    <w:rsid w:val="01836134"/>
    <w:rsid w:val="01895494"/>
    <w:rsid w:val="018F6D2C"/>
    <w:rsid w:val="01AE030F"/>
    <w:rsid w:val="01C107D2"/>
    <w:rsid w:val="01C54B55"/>
    <w:rsid w:val="01CE57B8"/>
    <w:rsid w:val="01D37272"/>
    <w:rsid w:val="01DD5F46"/>
    <w:rsid w:val="01F14357"/>
    <w:rsid w:val="01F7028A"/>
    <w:rsid w:val="0217728B"/>
    <w:rsid w:val="02311A90"/>
    <w:rsid w:val="02380E83"/>
    <w:rsid w:val="024E06A7"/>
    <w:rsid w:val="02590F98"/>
    <w:rsid w:val="025A0DC5"/>
    <w:rsid w:val="02661BC2"/>
    <w:rsid w:val="02722AD9"/>
    <w:rsid w:val="027258A5"/>
    <w:rsid w:val="02801118"/>
    <w:rsid w:val="02894DD9"/>
    <w:rsid w:val="028A4B59"/>
    <w:rsid w:val="02932389"/>
    <w:rsid w:val="02993EC1"/>
    <w:rsid w:val="02A15215"/>
    <w:rsid w:val="02A84BD6"/>
    <w:rsid w:val="02B81E4D"/>
    <w:rsid w:val="02C40750"/>
    <w:rsid w:val="02C7674C"/>
    <w:rsid w:val="02C90B1E"/>
    <w:rsid w:val="02C90CB7"/>
    <w:rsid w:val="02DE2CF9"/>
    <w:rsid w:val="02ED0078"/>
    <w:rsid w:val="02EE6DB5"/>
    <w:rsid w:val="02F43497"/>
    <w:rsid w:val="02F61CBC"/>
    <w:rsid w:val="02F756C2"/>
    <w:rsid w:val="03037AC8"/>
    <w:rsid w:val="03135958"/>
    <w:rsid w:val="03234A7E"/>
    <w:rsid w:val="033A3FB1"/>
    <w:rsid w:val="034040FC"/>
    <w:rsid w:val="0342198C"/>
    <w:rsid w:val="035D1859"/>
    <w:rsid w:val="036775E2"/>
    <w:rsid w:val="03705BCA"/>
    <w:rsid w:val="037D67D2"/>
    <w:rsid w:val="0388388E"/>
    <w:rsid w:val="038A036A"/>
    <w:rsid w:val="03AE2F54"/>
    <w:rsid w:val="03B12839"/>
    <w:rsid w:val="03B44E81"/>
    <w:rsid w:val="03B57EAA"/>
    <w:rsid w:val="03B8194B"/>
    <w:rsid w:val="03B947F2"/>
    <w:rsid w:val="03BD42D2"/>
    <w:rsid w:val="03D110B4"/>
    <w:rsid w:val="03DD1CE2"/>
    <w:rsid w:val="03E47515"/>
    <w:rsid w:val="03E70A05"/>
    <w:rsid w:val="03EF58CD"/>
    <w:rsid w:val="040666BE"/>
    <w:rsid w:val="040C0819"/>
    <w:rsid w:val="040D1B6E"/>
    <w:rsid w:val="04162220"/>
    <w:rsid w:val="041F4B84"/>
    <w:rsid w:val="0420780F"/>
    <w:rsid w:val="042A3842"/>
    <w:rsid w:val="04525864"/>
    <w:rsid w:val="045964CE"/>
    <w:rsid w:val="045A27C0"/>
    <w:rsid w:val="045B52FD"/>
    <w:rsid w:val="045D32FA"/>
    <w:rsid w:val="045F3A8D"/>
    <w:rsid w:val="04644D1A"/>
    <w:rsid w:val="04677FAF"/>
    <w:rsid w:val="04846E88"/>
    <w:rsid w:val="048738C2"/>
    <w:rsid w:val="048E7165"/>
    <w:rsid w:val="04A94931"/>
    <w:rsid w:val="04AD2373"/>
    <w:rsid w:val="04CC4CB2"/>
    <w:rsid w:val="04CC6B08"/>
    <w:rsid w:val="04D8694E"/>
    <w:rsid w:val="04DB5E41"/>
    <w:rsid w:val="04DD3D50"/>
    <w:rsid w:val="04E220D4"/>
    <w:rsid w:val="04E8141C"/>
    <w:rsid w:val="04EF105C"/>
    <w:rsid w:val="04F33A71"/>
    <w:rsid w:val="04F76DD4"/>
    <w:rsid w:val="04FF7C5D"/>
    <w:rsid w:val="05092D32"/>
    <w:rsid w:val="0521388A"/>
    <w:rsid w:val="053662A1"/>
    <w:rsid w:val="05435B35"/>
    <w:rsid w:val="057175A3"/>
    <w:rsid w:val="05752968"/>
    <w:rsid w:val="0580501B"/>
    <w:rsid w:val="05832D5D"/>
    <w:rsid w:val="05880F3B"/>
    <w:rsid w:val="05A02C7F"/>
    <w:rsid w:val="05A167D5"/>
    <w:rsid w:val="05B66017"/>
    <w:rsid w:val="05CF3DB5"/>
    <w:rsid w:val="05D22BD7"/>
    <w:rsid w:val="05D932A2"/>
    <w:rsid w:val="05E17E07"/>
    <w:rsid w:val="05FF1838"/>
    <w:rsid w:val="06025A90"/>
    <w:rsid w:val="060C08A1"/>
    <w:rsid w:val="06110DFB"/>
    <w:rsid w:val="06123656"/>
    <w:rsid w:val="0618401F"/>
    <w:rsid w:val="06204F9E"/>
    <w:rsid w:val="06355214"/>
    <w:rsid w:val="06407354"/>
    <w:rsid w:val="06500E91"/>
    <w:rsid w:val="06672E75"/>
    <w:rsid w:val="067958AB"/>
    <w:rsid w:val="067B1C86"/>
    <w:rsid w:val="068666C9"/>
    <w:rsid w:val="068C1838"/>
    <w:rsid w:val="06966A2B"/>
    <w:rsid w:val="06BB5028"/>
    <w:rsid w:val="06C40DCA"/>
    <w:rsid w:val="06C6780F"/>
    <w:rsid w:val="06C85989"/>
    <w:rsid w:val="06CD343A"/>
    <w:rsid w:val="06F943A0"/>
    <w:rsid w:val="06FE347C"/>
    <w:rsid w:val="06FF7F4A"/>
    <w:rsid w:val="0703567E"/>
    <w:rsid w:val="07047ECE"/>
    <w:rsid w:val="07097C34"/>
    <w:rsid w:val="071853AE"/>
    <w:rsid w:val="07313F51"/>
    <w:rsid w:val="07407E0E"/>
    <w:rsid w:val="074D10CC"/>
    <w:rsid w:val="07576CD8"/>
    <w:rsid w:val="077A1431"/>
    <w:rsid w:val="077D494F"/>
    <w:rsid w:val="079035F7"/>
    <w:rsid w:val="079F6F2A"/>
    <w:rsid w:val="07A43DB1"/>
    <w:rsid w:val="07A86D96"/>
    <w:rsid w:val="07C44941"/>
    <w:rsid w:val="07CE4A17"/>
    <w:rsid w:val="07CE7149"/>
    <w:rsid w:val="07D962E2"/>
    <w:rsid w:val="07DA7C53"/>
    <w:rsid w:val="07DD65F7"/>
    <w:rsid w:val="07F5433A"/>
    <w:rsid w:val="07FE1CDB"/>
    <w:rsid w:val="07FE68E4"/>
    <w:rsid w:val="080E6316"/>
    <w:rsid w:val="08187672"/>
    <w:rsid w:val="083514EA"/>
    <w:rsid w:val="083B16D7"/>
    <w:rsid w:val="0848667D"/>
    <w:rsid w:val="085705E0"/>
    <w:rsid w:val="085846A0"/>
    <w:rsid w:val="08720602"/>
    <w:rsid w:val="08751FBD"/>
    <w:rsid w:val="089D0466"/>
    <w:rsid w:val="089F1CE5"/>
    <w:rsid w:val="089F79E9"/>
    <w:rsid w:val="08AC4379"/>
    <w:rsid w:val="08B65503"/>
    <w:rsid w:val="08C4114D"/>
    <w:rsid w:val="08C55238"/>
    <w:rsid w:val="08C6429C"/>
    <w:rsid w:val="08C77405"/>
    <w:rsid w:val="08DB6A6D"/>
    <w:rsid w:val="08EF7A01"/>
    <w:rsid w:val="0904639A"/>
    <w:rsid w:val="090B777A"/>
    <w:rsid w:val="0918624A"/>
    <w:rsid w:val="092C0E5C"/>
    <w:rsid w:val="09422C9A"/>
    <w:rsid w:val="09424A96"/>
    <w:rsid w:val="094F275C"/>
    <w:rsid w:val="096A0B31"/>
    <w:rsid w:val="096A2148"/>
    <w:rsid w:val="096C1815"/>
    <w:rsid w:val="0972671A"/>
    <w:rsid w:val="097E7DA5"/>
    <w:rsid w:val="09803D7A"/>
    <w:rsid w:val="098E71BF"/>
    <w:rsid w:val="09901235"/>
    <w:rsid w:val="099B68C7"/>
    <w:rsid w:val="09A83576"/>
    <w:rsid w:val="09B22E96"/>
    <w:rsid w:val="09B26559"/>
    <w:rsid w:val="09B907C2"/>
    <w:rsid w:val="09BA5D53"/>
    <w:rsid w:val="09C270E2"/>
    <w:rsid w:val="09E748DF"/>
    <w:rsid w:val="09F86A86"/>
    <w:rsid w:val="09FC1D01"/>
    <w:rsid w:val="09FD076D"/>
    <w:rsid w:val="0A006242"/>
    <w:rsid w:val="0A060280"/>
    <w:rsid w:val="0A075F84"/>
    <w:rsid w:val="0A141668"/>
    <w:rsid w:val="0A4C4515"/>
    <w:rsid w:val="0A542A13"/>
    <w:rsid w:val="0A5E2458"/>
    <w:rsid w:val="0A61251E"/>
    <w:rsid w:val="0A792DA1"/>
    <w:rsid w:val="0A8C21A4"/>
    <w:rsid w:val="0A8C6724"/>
    <w:rsid w:val="0A977411"/>
    <w:rsid w:val="0AA92466"/>
    <w:rsid w:val="0AC27052"/>
    <w:rsid w:val="0AC56307"/>
    <w:rsid w:val="0AE37C05"/>
    <w:rsid w:val="0AEB4BC1"/>
    <w:rsid w:val="0AED1FFF"/>
    <w:rsid w:val="0AF53DB5"/>
    <w:rsid w:val="0AF67B2D"/>
    <w:rsid w:val="0AF77E8D"/>
    <w:rsid w:val="0B065C6C"/>
    <w:rsid w:val="0B0E6391"/>
    <w:rsid w:val="0B1272D8"/>
    <w:rsid w:val="0B1424C2"/>
    <w:rsid w:val="0B177AFB"/>
    <w:rsid w:val="0B1F7AC7"/>
    <w:rsid w:val="0B39657B"/>
    <w:rsid w:val="0B461220"/>
    <w:rsid w:val="0B492353"/>
    <w:rsid w:val="0B4C1AC9"/>
    <w:rsid w:val="0B512FB6"/>
    <w:rsid w:val="0B691EA3"/>
    <w:rsid w:val="0B6A07AB"/>
    <w:rsid w:val="0B6B5465"/>
    <w:rsid w:val="0B755AA9"/>
    <w:rsid w:val="0B7A3449"/>
    <w:rsid w:val="0B8069F5"/>
    <w:rsid w:val="0B814E53"/>
    <w:rsid w:val="0B826CE0"/>
    <w:rsid w:val="0B862159"/>
    <w:rsid w:val="0B962468"/>
    <w:rsid w:val="0B9D740B"/>
    <w:rsid w:val="0B9F1C6E"/>
    <w:rsid w:val="0BD555C8"/>
    <w:rsid w:val="0BDC2EFD"/>
    <w:rsid w:val="0BE1416F"/>
    <w:rsid w:val="0BE53C10"/>
    <w:rsid w:val="0BEE2489"/>
    <w:rsid w:val="0BF64289"/>
    <w:rsid w:val="0BF8410F"/>
    <w:rsid w:val="0BFA7A25"/>
    <w:rsid w:val="0C056E77"/>
    <w:rsid w:val="0C077DBF"/>
    <w:rsid w:val="0C0C366D"/>
    <w:rsid w:val="0C1222DD"/>
    <w:rsid w:val="0C1B6313"/>
    <w:rsid w:val="0C271224"/>
    <w:rsid w:val="0C2B5693"/>
    <w:rsid w:val="0C312EBF"/>
    <w:rsid w:val="0C3409D1"/>
    <w:rsid w:val="0C4A1EDF"/>
    <w:rsid w:val="0C50352B"/>
    <w:rsid w:val="0C5B40EC"/>
    <w:rsid w:val="0C774C9E"/>
    <w:rsid w:val="0CA50467"/>
    <w:rsid w:val="0CAA3452"/>
    <w:rsid w:val="0CAD77DF"/>
    <w:rsid w:val="0CC54C7F"/>
    <w:rsid w:val="0CFE2C9E"/>
    <w:rsid w:val="0D0A1FE1"/>
    <w:rsid w:val="0D0A2A0F"/>
    <w:rsid w:val="0D0F5366"/>
    <w:rsid w:val="0D1C75B2"/>
    <w:rsid w:val="0D1F15BD"/>
    <w:rsid w:val="0D2963D8"/>
    <w:rsid w:val="0D2C757B"/>
    <w:rsid w:val="0D2F1D05"/>
    <w:rsid w:val="0D337086"/>
    <w:rsid w:val="0D3E5667"/>
    <w:rsid w:val="0D4265B5"/>
    <w:rsid w:val="0D6856AB"/>
    <w:rsid w:val="0D6F1E62"/>
    <w:rsid w:val="0D750E6C"/>
    <w:rsid w:val="0D7A2A5F"/>
    <w:rsid w:val="0D8315C3"/>
    <w:rsid w:val="0D9A0C44"/>
    <w:rsid w:val="0D9E0A77"/>
    <w:rsid w:val="0DA76AE3"/>
    <w:rsid w:val="0DAC29F2"/>
    <w:rsid w:val="0DC80C78"/>
    <w:rsid w:val="0DCA57E5"/>
    <w:rsid w:val="0DCC061D"/>
    <w:rsid w:val="0DCE0020"/>
    <w:rsid w:val="0DCF6614"/>
    <w:rsid w:val="0DD23B5A"/>
    <w:rsid w:val="0DD47061"/>
    <w:rsid w:val="0DE11555"/>
    <w:rsid w:val="0E0475E9"/>
    <w:rsid w:val="0E0D4D74"/>
    <w:rsid w:val="0E137FAF"/>
    <w:rsid w:val="0E166C35"/>
    <w:rsid w:val="0E1D35C1"/>
    <w:rsid w:val="0E253848"/>
    <w:rsid w:val="0E323206"/>
    <w:rsid w:val="0E423593"/>
    <w:rsid w:val="0E443D5A"/>
    <w:rsid w:val="0E4566B4"/>
    <w:rsid w:val="0E496C9A"/>
    <w:rsid w:val="0E4E2D45"/>
    <w:rsid w:val="0E526540"/>
    <w:rsid w:val="0E533734"/>
    <w:rsid w:val="0E5B75AF"/>
    <w:rsid w:val="0E5C38F5"/>
    <w:rsid w:val="0E5D208C"/>
    <w:rsid w:val="0E6A2312"/>
    <w:rsid w:val="0E783D33"/>
    <w:rsid w:val="0E863AC2"/>
    <w:rsid w:val="0E8849E6"/>
    <w:rsid w:val="0E8B6774"/>
    <w:rsid w:val="0E963983"/>
    <w:rsid w:val="0E972A24"/>
    <w:rsid w:val="0E980EBB"/>
    <w:rsid w:val="0E9C4820"/>
    <w:rsid w:val="0EAE5C87"/>
    <w:rsid w:val="0EB775D4"/>
    <w:rsid w:val="0EBB4FF0"/>
    <w:rsid w:val="0EC03618"/>
    <w:rsid w:val="0EC20BEA"/>
    <w:rsid w:val="0EC23F5B"/>
    <w:rsid w:val="0EDB3F6B"/>
    <w:rsid w:val="0EDF0927"/>
    <w:rsid w:val="0EE71770"/>
    <w:rsid w:val="0EF93425"/>
    <w:rsid w:val="0EFA1E3D"/>
    <w:rsid w:val="0EFC3018"/>
    <w:rsid w:val="0EFD7236"/>
    <w:rsid w:val="0F0033FE"/>
    <w:rsid w:val="0F0C5B71"/>
    <w:rsid w:val="0F102B00"/>
    <w:rsid w:val="0F1D151B"/>
    <w:rsid w:val="0F1D4BC8"/>
    <w:rsid w:val="0F285F9E"/>
    <w:rsid w:val="0F2A6053"/>
    <w:rsid w:val="0F3D2270"/>
    <w:rsid w:val="0F3F5BEA"/>
    <w:rsid w:val="0F413F94"/>
    <w:rsid w:val="0F430FD4"/>
    <w:rsid w:val="0F5A0CFF"/>
    <w:rsid w:val="0F5D0D3B"/>
    <w:rsid w:val="0F630BDA"/>
    <w:rsid w:val="0F865924"/>
    <w:rsid w:val="0F8D38E0"/>
    <w:rsid w:val="0FA94FFE"/>
    <w:rsid w:val="0FAF2EB3"/>
    <w:rsid w:val="0FB545CB"/>
    <w:rsid w:val="0FC24AB0"/>
    <w:rsid w:val="0FD158FF"/>
    <w:rsid w:val="0FD41C91"/>
    <w:rsid w:val="0FE22A75"/>
    <w:rsid w:val="0FE465FF"/>
    <w:rsid w:val="0FE95B56"/>
    <w:rsid w:val="0FF07479"/>
    <w:rsid w:val="0FFD4D1C"/>
    <w:rsid w:val="10000301"/>
    <w:rsid w:val="1004532A"/>
    <w:rsid w:val="100E00B6"/>
    <w:rsid w:val="10110D83"/>
    <w:rsid w:val="10115AD8"/>
    <w:rsid w:val="101E3A6A"/>
    <w:rsid w:val="10233173"/>
    <w:rsid w:val="1024272A"/>
    <w:rsid w:val="10276990"/>
    <w:rsid w:val="102802AF"/>
    <w:rsid w:val="102D16D0"/>
    <w:rsid w:val="103142DB"/>
    <w:rsid w:val="10344B52"/>
    <w:rsid w:val="1034544C"/>
    <w:rsid w:val="10357851"/>
    <w:rsid w:val="103804F1"/>
    <w:rsid w:val="103A01BE"/>
    <w:rsid w:val="103C4BC2"/>
    <w:rsid w:val="10430851"/>
    <w:rsid w:val="10430E79"/>
    <w:rsid w:val="104A7EA5"/>
    <w:rsid w:val="106065D9"/>
    <w:rsid w:val="10672559"/>
    <w:rsid w:val="10673D79"/>
    <w:rsid w:val="106F6A60"/>
    <w:rsid w:val="10744527"/>
    <w:rsid w:val="10755870"/>
    <w:rsid w:val="10817B8B"/>
    <w:rsid w:val="1088601E"/>
    <w:rsid w:val="1097590F"/>
    <w:rsid w:val="1098201D"/>
    <w:rsid w:val="10A30004"/>
    <w:rsid w:val="10B31AC8"/>
    <w:rsid w:val="10B512B8"/>
    <w:rsid w:val="10B65D95"/>
    <w:rsid w:val="10B826E5"/>
    <w:rsid w:val="10BD5BA8"/>
    <w:rsid w:val="10C123FA"/>
    <w:rsid w:val="10C151B6"/>
    <w:rsid w:val="10CB62AF"/>
    <w:rsid w:val="10FC2D15"/>
    <w:rsid w:val="10FF70DE"/>
    <w:rsid w:val="11010A52"/>
    <w:rsid w:val="110613D7"/>
    <w:rsid w:val="110B7B9F"/>
    <w:rsid w:val="111B6A6A"/>
    <w:rsid w:val="111C00CF"/>
    <w:rsid w:val="11241C6E"/>
    <w:rsid w:val="113329B2"/>
    <w:rsid w:val="1164721C"/>
    <w:rsid w:val="11651816"/>
    <w:rsid w:val="116D5089"/>
    <w:rsid w:val="117A57CA"/>
    <w:rsid w:val="118440E5"/>
    <w:rsid w:val="11A4519E"/>
    <w:rsid w:val="11AE1965"/>
    <w:rsid w:val="11B461B6"/>
    <w:rsid w:val="11B80336"/>
    <w:rsid w:val="11BD14E0"/>
    <w:rsid w:val="11D108B7"/>
    <w:rsid w:val="11E53726"/>
    <w:rsid w:val="11F0177A"/>
    <w:rsid w:val="11F23DDD"/>
    <w:rsid w:val="11FB4046"/>
    <w:rsid w:val="120C3472"/>
    <w:rsid w:val="121E5C37"/>
    <w:rsid w:val="122B1445"/>
    <w:rsid w:val="122B3A78"/>
    <w:rsid w:val="122E6A5A"/>
    <w:rsid w:val="123065BD"/>
    <w:rsid w:val="12311611"/>
    <w:rsid w:val="123F17D3"/>
    <w:rsid w:val="124467EB"/>
    <w:rsid w:val="12502219"/>
    <w:rsid w:val="12531EB0"/>
    <w:rsid w:val="125C5BF4"/>
    <w:rsid w:val="12647A72"/>
    <w:rsid w:val="12672A95"/>
    <w:rsid w:val="127E0B34"/>
    <w:rsid w:val="128D521B"/>
    <w:rsid w:val="129C6FED"/>
    <w:rsid w:val="12A23EAA"/>
    <w:rsid w:val="12A4590E"/>
    <w:rsid w:val="12B1593C"/>
    <w:rsid w:val="12D371AD"/>
    <w:rsid w:val="12FB4D13"/>
    <w:rsid w:val="131A2B99"/>
    <w:rsid w:val="131E23A3"/>
    <w:rsid w:val="13205B53"/>
    <w:rsid w:val="132304F7"/>
    <w:rsid w:val="13271835"/>
    <w:rsid w:val="132A71AF"/>
    <w:rsid w:val="1331316C"/>
    <w:rsid w:val="133B4FB9"/>
    <w:rsid w:val="133C68AA"/>
    <w:rsid w:val="13460D42"/>
    <w:rsid w:val="13470ED9"/>
    <w:rsid w:val="134A170E"/>
    <w:rsid w:val="134D2B8A"/>
    <w:rsid w:val="134E6B88"/>
    <w:rsid w:val="1350052E"/>
    <w:rsid w:val="13574DD0"/>
    <w:rsid w:val="13745AEF"/>
    <w:rsid w:val="139F2A74"/>
    <w:rsid w:val="13A008CD"/>
    <w:rsid w:val="13A723E3"/>
    <w:rsid w:val="13A77344"/>
    <w:rsid w:val="13CF1F85"/>
    <w:rsid w:val="13CF59D6"/>
    <w:rsid w:val="13D8488F"/>
    <w:rsid w:val="13EC307D"/>
    <w:rsid w:val="13EE0DD1"/>
    <w:rsid w:val="13FE2D40"/>
    <w:rsid w:val="140E57A8"/>
    <w:rsid w:val="141365C8"/>
    <w:rsid w:val="14456DE6"/>
    <w:rsid w:val="14551087"/>
    <w:rsid w:val="145675AF"/>
    <w:rsid w:val="145D2C16"/>
    <w:rsid w:val="1461498E"/>
    <w:rsid w:val="14673664"/>
    <w:rsid w:val="146A5355"/>
    <w:rsid w:val="147A5E14"/>
    <w:rsid w:val="148040ED"/>
    <w:rsid w:val="14805F30"/>
    <w:rsid w:val="14973355"/>
    <w:rsid w:val="14AA4D7E"/>
    <w:rsid w:val="14B24C5C"/>
    <w:rsid w:val="14C132E4"/>
    <w:rsid w:val="14D81E33"/>
    <w:rsid w:val="14E8558F"/>
    <w:rsid w:val="14F201F3"/>
    <w:rsid w:val="14F45F31"/>
    <w:rsid w:val="15081525"/>
    <w:rsid w:val="150A66AF"/>
    <w:rsid w:val="15113B96"/>
    <w:rsid w:val="15125E28"/>
    <w:rsid w:val="151848B0"/>
    <w:rsid w:val="152239F8"/>
    <w:rsid w:val="153313C4"/>
    <w:rsid w:val="15461BF7"/>
    <w:rsid w:val="15494455"/>
    <w:rsid w:val="15641609"/>
    <w:rsid w:val="156A427D"/>
    <w:rsid w:val="158F27F9"/>
    <w:rsid w:val="1591465B"/>
    <w:rsid w:val="15A9411A"/>
    <w:rsid w:val="15B11221"/>
    <w:rsid w:val="15BA62C3"/>
    <w:rsid w:val="15BC7CF8"/>
    <w:rsid w:val="15BE22B1"/>
    <w:rsid w:val="15D63E55"/>
    <w:rsid w:val="15D86B42"/>
    <w:rsid w:val="15D90BDF"/>
    <w:rsid w:val="15DD5ECA"/>
    <w:rsid w:val="15EF5C47"/>
    <w:rsid w:val="15F453FB"/>
    <w:rsid w:val="1600455E"/>
    <w:rsid w:val="16012E00"/>
    <w:rsid w:val="161F2668"/>
    <w:rsid w:val="162B2D81"/>
    <w:rsid w:val="16354F06"/>
    <w:rsid w:val="16387C49"/>
    <w:rsid w:val="163F4E6B"/>
    <w:rsid w:val="16475867"/>
    <w:rsid w:val="1649480C"/>
    <w:rsid w:val="1651451D"/>
    <w:rsid w:val="16587142"/>
    <w:rsid w:val="165A0089"/>
    <w:rsid w:val="16715BFE"/>
    <w:rsid w:val="167330E8"/>
    <w:rsid w:val="1676510F"/>
    <w:rsid w:val="16791B2B"/>
    <w:rsid w:val="167A366C"/>
    <w:rsid w:val="16A9014A"/>
    <w:rsid w:val="16B84A32"/>
    <w:rsid w:val="16BC4C89"/>
    <w:rsid w:val="16C62CF0"/>
    <w:rsid w:val="16C96C02"/>
    <w:rsid w:val="16D13A93"/>
    <w:rsid w:val="16E44ABF"/>
    <w:rsid w:val="16EC2F91"/>
    <w:rsid w:val="16F00307"/>
    <w:rsid w:val="16F15FB1"/>
    <w:rsid w:val="16F75359"/>
    <w:rsid w:val="16F76EDA"/>
    <w:rsid w:val="16F81AD2"/>
    <w:rsid w:val="1700124A"/>
    <w:rsid w:val="1709683E"/>
    <w:rsid w:val="170B0EAA"/>
    <w:rsid w:val="1716153F"/>
    <w:rsid w:val="171D7928"/>
    <w:rsid w:val="171E5F9A"/>
    <w:rsid w:val="171F0B4E"/>
    <w:rsid w:val="172D06CB"/>
    <w:rsid w:val="172D48D7"/>
    <w:rsid w:val="174B7841"/>
    <w:rsid w:val="174D4542"/>
    <w:rsid w:val="1751178D"/>
    <w:rsid w:val="17521185"/>
    <w:rsid w:val="17527376"/>
    <w:rsid w:val="17553155"/>
    <w:rsid w:val="17671865"/>
    <w:rsid w:val="177B5C92"/>
    <w:rsid w:val="17861330"/>
    <w:rsid w:val="17962426"/>
    <w:rsid w:val="179C20E1"/>
    <w:rsid w:val="179D11A9"/>
    <w:rsid w:val="17A141F7"/>
    <w:rsid w:val="17A72566"/>
    <w:rsid w:val="17B234F6"/>
    <w:rsid w:val="17D5054D"/>
    <w:rsid w:val="17E44B72"/>
    <w:rsid w:val="17F31887"/>
    <w:rsid w:val="17F431B8"/>
    <w:rsid w:val="17FB61FF"/>
    <w:rsid w:val="180A5DFF"/>
    <w:rsid w:val="180C6BE2"/>
    <w:rsid w:val="181949BB"/>
    <w:rsid w:val="181C294C"/>
    <w:rsid w:val="181C739F"/>
    <w:rsid w:val="181E3FEC"/>
    <w:rsid w:val="18326A17"/>
    <w:rsid w:val="18583BD5"/>
    <w:rsid w:val="185A4F8B"/>
    <w:rsid w:val="185F4F64"/>
    <w:rsid w:val="18881F6D"/>
    <w:rsid w:val="189C1061"/>
    <w:rsid w:val="189C7F66"/>
    <w:rsid w:val="189F7AE4"/>
    <w:rsid w:val="18A1732B"/>
    <w:rsid w:val="18A64387"/>
    <w:rsid w:val="18B35706"/>
    <w:rsid w:val="18B455FA"/>
    <w:rsid w:val="18B65D3E"/>
    <w:rsid w:val="18C63644"/>
    <w:rsid w:val="18C821EE"/>
    <w:rsid w:val="18D73301"/>
    <w:rsid w:val="18DC6F08"/>
    <w:rsid w:val="18E057B6"/>
    <w:rsid w:val="18ED7A84"/>
    <w:rsid w:val="18EF01C7"/>
    <w:rsid w:val="18F12204"/>
    <w:rsid w:val="18F924A4"/>
    <w:rsid w:val="190068C7"/>
    <w:rsid w:val="190667D2"/>
    <w:rsid w:val="1920672D"/>
    <w:rsid w:val="192D2E87"/>
    <w:rsid w:val="194E5CC9"/>
    <w:rsid w:val="195B2869"/>
    <w:rsid w:val="19627DD0"/>
    <w:rsid w:val="197025FA"/>
    <w:rsid w:val="19726CE2"/>
    <w:rsid w:val="197C0CF2"/>
    <w:rsid w:val="198468B8"/>
    <w:rsid w:val="1985668C"/>
    <w:rsid w:val="19856C4C"/>
    <w:rsid w:val="19875239"/>
    <w:rsid w:val="19956654"/>
    <w:rsid w:val="19AC61A1"/>
    <w:rsid w:val="19B75B45"/>
    <w:rsid w:val="19D379B8"/>
    <w:rsid w:val="19D511CC"/>
    <w:rsid w:val="19E445B9"/>
    <w:rsid w:val="19ED131F"/>
    <w:rsid w:val="19F732B6"/>
    <w:rsid w:val="19FC3383"/>
    <w:rsid w:val="1A004BB4"/>
    <w:rsid w:val="1A0960B5"/>
    <w:rsid w:val="1A096D76"/>
    <w:rsid w:val="1A0F5EEA"/>
    <w:rsid w:val="1A134D3F"/>
    <w:rsid w:val="1A1C478F"/>
    <w:rsid w:val="1A1F5E07"/>
    <w:rsid w:val="1A203259"/>
    <w:rsid w:val="1A2451E1"/>
    <w:rsid w:val="1A25776D"/>
    <w:rsid w:val="1A3B5478"/>
    <w:rsid w:val="1A4426FE"/>
    <w:rsid w:val="1A555ADC"/>
    <w:rsid w:val="1A5B03F7"/>
    <w:rsid w:val="1A5C58EA"/>
    <w:rsid w:val="1A747435"/>
    <w:rsid w:val="1A7948E0"/>
    <w:rsid w:val="1A7E60DC"/>
    <w:rsid w:val="1A7F0309"/>
    <w:rsid w:val="1A8E4F93"/>
    <w:rsid w:val="1A953215"/>
    <w:rsid w:val="1A9D1E89"/>
    <w:rsid w:val="1AAB4BCB"/>
    <w:rsid w:val="1ABD0CE9"/>
    <w:rsid w:val="1AC26C91"/>
    <w:rsid w:val="1AD102CD"/>
    <w:rsid w:val="1AF2262C"/>
    <w:rsid w:val="1AF4282F"/>
    <w:rsid w:val="1AF84297"/>
    <w:rsid w:val="1AF916A0"/>
    <w:rsid w:val="1B021D33"/>
    <w:rsid w:val="1B0E23ED"/>
    <w:rsid w:val="1B3A75C2"/>
    <w:rsid w:val="1B3E60DA"/>
    <w:rsid w:val="1B4C6C32"/>
    <w:rsid w:val="1B5C0E37"/>
    <w:rsid w:val="1B5F1B58"/>
    <w:rsid w:val="1B64198F"/>
    <w:rsid w:val="1B862EF8"/>
    <w:rsid w:val="1B8844BC"/>
    <w:rsid w:val="1B8E324C"/>
    <w:rsid w:val="1B9A5153"/>
    <w:rsid w:val="1B9D4639"/>
    <w:rsid w:val="1BA817B3"/>
    <w:rsid w:val="1BB16714"/>
    <w:rsid w:val="1BBA2257"/>
    <w:rsid w:val="1BC577D4"/>
    <w:rsid w:val="1BDD3C46"/>
    <w:rsid w:val="1BDE1625"/>
    <w:rsid w:val="1BE0016A"/>
    <w:rsid w:val="1BE315D9"/>
    <w:rsid w:val="1BFC40C1"/>
    <w:rsid w:val="1BFD52CB"/>
    <w:rsid w:val="1C0801FA"/>
    <w:rsid w:val="1C102D1B"/>
    <w:rsid w:val="1C1B3D3B"/>
    <w:rsid w:val="1C1B73F4"/>
    <w:rsid w:val="1C2145D6"/>
    <w:rsid w:val="1C236DEF"/>
    <w:rsid w:val="1C2416A3"/>
    <w:rsid w:val="1C2506FF"/>
    <w:rsid w:val="1C271290"/>
    <w:rsid w:val="1C382851"/>
    <w:rsid w:val="1C395892"/>
    <w:rsid w:val="1C410ABC"/>
    <w:rsid w:val="1C421454"/>
    <w:rsid w:val="1C446125"/>
    <w:rsid w:val="1C4D6193"/>
    <w:rsid w:val="1C4E1577"/>
    <w:rsid w:val="1C5F19D6"/>
    <w:rsid w:val="1C635D7E"/>
    <w:rsid w:val="1C6632CB"/>
    <w:rsid w:val="1C731D10"/>
    <w:rsid w:val="1C8166F6"/>
    <w:rsid w:val="1C8179D9"/>
    <w:rsid w:val="1C827935"/>
    <w:rsid w:val="1C892ADC"/>
    <w:rsid w:val="1C8D2613"/>
    <w:rsid w:val="1C8E7336"/>
    <w:rsid w:val="1C903426"/>
    <w:rsid w:val="1C9E7876"/>
    <w:rsid w:val="1CA84A27"/>
    <w:rsid w:val="1CA8617A"/>
    <w:rsid w:val="1CA90268"/>
    <w:rsid w:val="1CBD6AD7"/>
    <w:rsid w:val="1CBF2C82"/>
    <w:rsid w:val="1CCF653B"/>
    <w:rsid w:val="1CD33E10"/>
    <w:rsid w:val="1CE53E3A"/>
    <w:rsid w:val="1CE80822"/>
    <w:rsid w:val="1CF7217C"/>
    <w:rsid w:val="1D0600A4"/>
    <w:rsid w:val="1D085BCA"/>
    <w:rsid w:val="1D314D7C"/>
    <w:rsid w:val="1D385263"/>
    <w:rsid w:val="1D4A686E"/>
    <w:rsid w:val="1D4D7A81"/>
    <w:rsid w:val="1D7940CD"/>
    <w:rsid w:val="1D855628"/>
    <w:rsid w:val="1D862542"/>
    <w:rsid w:val="1D935415"/>
    <w:rsid w:val="1DAA5EB2"/>
    <w:rsid w:val="1DB5761A"/>
    <w:rsid w:val="1DCF7908"/>
    <w:rsid w:val="1DD10155"/>
    <w:rsid w:val="1DF148B0"/>
    <w:rsid w:val="1DFA65A3"/>
    <w:rsid w:val="1DFD4103"/>
    <w:rsid w:val="1E1203B5"/>
    <w:rsid w:val="1E1C644B"/>
    <w:rsid w:val="1E226E68"/>
    <w:rsid w:val="1E274038"/>
    <w:rsid w:val="1E3F732A"/>
    <w:rsid w:val="1E4F5A7B"/>
    <w:rsid w:val="1E4F663B"/>
    <w:rsid w:val="1E654ED4"/>
    <w:rsid w:val="1E6E2435"/>
    <w:rsid w:val="1E741412"/>
    <w:rsid w:val="1E753113"/>
    <w:rsid w:val="1E914D5B"/>
    <w:rsid w:val="1E916CEF"/>
    <w:rsid w:val="1EA04B8E"/>
    <w:rsid w:val="1EAD39FF"/>
    <w:rsid w:val="1EB53AE2"/>
    <w:rsid w:val="1EB77316"/>
    <w:rsid w:val="1ECE386C"/>
    <w:rsid w:val="1EDA063D"/>
    <w:rsid w:val="1EEC350C"/>
    <w:rsid w:val="1EF07B54"/>
    <w:rsid w:val="1EF65ED1"/>
    <w:rsid w:val="1EF86D03"/>
    <w:rsid w:val="1F0169DF"/>
    <w:rsid w:val="1F0914BD"/>
    <w:rsid w:val="1F10383E"/>
    <w:rsid w:val="1F1A7314"/>
    <w:rsid w:val="1F2760B0"/>
    <w:rsid w:val="1F316B42"/>
    <w:rsid w:val="1F3B126A"/>
    <w:rsid w:val="1F5B1F39"/>
    <w:rsid w:val="1F6B5EB7"/>
    <w:rsid w:val="1F79116C"/>
    <w:rsid w:val="1F803150"/>
    <w:rsid w:val="1F8B663F"/>
    <w:rsid w:val="1F933B6D"/>
    <w:rsid w:val="1F971487"/>
    <w:rsid w:val="1F9B0813"/>
    <w:rsid w:val="1FA5406C"/>
    <w:rsid w:val="1FAB474C"/>
    <w:rsid w:val="1FAD2193"/>
    <w:rsid w:val="1FAE5E34"/>
    <w:rsid w:val="1FB010FC"/>
    <w:rsid w:val="1FB5190D"/>
    <w:rsid w:val="1FD473A2"/>
    <w:rsid w:val="1FD75E6D"/>
    <w:rsid w:val="1FE952FA"/>
    <w:rsid w:val="20032679"/>
    <w:rsid w:val="200D6143"/>
    <w:rsid w:val="20155E88"/>
    <w:rsid w:val="201762B3"/>
    <w:rsid w:val="201C5838"/>
    <w:rsid w:val="201E0CFC"/>
    <w:rsid w:val="202F16C0"/>
    <w:rsid w:val="20365850"/>
    <w:rsid w:val="203C3DDD"/>
    <w:rsid w:val="2042173D"/>
    <w:rsid w:val="20472A0F"/>
    <w:rsid w:val="204C0C81"/>
    <w:rsid w:val="204D1354"/>
    <w:rsid w:val="20551D5D"/>
    <w:rsid w:val="206D3E0B"/>
    <w:rsid w:val="207A40F1"/>
    <w:rsid w:val="207C0F46"/>
    <w:rsid w:val="207F3FB6"/>
    <w:rsid w:val="208134A5"/>
    <w:rsid w:val="208143B7"/>
    <w:rsid w:val="20A25089"/>
    <w:rsid w:val="20B4447D"/>
    <w:rsid w:val="20BB2E64"/>
    <w:rsid w:val="20C00248"/>
    <w:rsid w:val="20C6413B"/>
    <w:rsid w:val="20CC5F0A"/>
    <w:rsid w:val="20D5021D"/>
    <w:rsid w:val="20DB4F95"/>
    <w:rsid w:val="20EA0C0A"/>
    <w:rsid w:val="20EA3839"/>
    <w:rsid w:val="20F63B7C"/>
    <w:rsid w:val="20F70489"/>
    <w:rsid w:val="20F81FDE"/>
    <w:rsid w:val="21013108"/>
    <w:rsid w:val="21071D51"/>
    <w:rsid w:val="211C3DAA"/>
    <w:rsid w:val="212B539D"/>
    <w:rsid w:val="212E5902"/>
    <w:rsid w:val="21314DF3"/>
    <w:rsid w:val="21460B0C"/>
    <w:rsid w:val="21466CC1"/>
    <w:rsid w:val="215D509E"/>
    <w:rsid w:val="216A29E9"/>
    <w:rsid w:val="216B2E38"/>
    <w:rsid w:val="217A05EA"/>
    <w:rsid w:val="218E52EE"/>
    <w:rsid w:val="219A1264"/>
    <w:rsid w:val="21A809A5"/>
    <w:rsid w:val="21AA1EEC"/>
    <w:rsid w:val="21B26F3A"/>
    <w:rsid w:val="21B31E7D"/>
    <w:rsid w:val="21BA10AC"/>
    <w:rsid w:val="21CA2E7B"/>
    <w:rsid w:val="21D267A7"/>
    <w:rsid w:val="21E35F41"/>
    <w:rsid w:val="21E97EBB"/>
    <w:rsid w:val="21EA12B6"/>
    <w:rsid w:val="21F63E62"/>
    <w:rsid w:val="21FF416D"/>
    <w:rsid w:val="2205509A"/>
    <w:rsid w:val="22163C90"/>
    <w:rsid w:val="221B3C31"/>
    <w:rsid w:val="222A51F7"/>
    <w:rsid w:val="222F2989"/>
    <w:rsid w:val="223D33AB"/>
    <w:rsid w:val="223D6797"/>
    <w:rsid w:val="22541E9B"/>
    <w:rsid w:val="22742C45"/>
    <w:rsid w:val="22745421"/>
    <w:rsid w:val="227B3565"/>
    <w:rsid w:val="22886894"/>
    <w:rsid w:val="22900BBB"/>
    <w:rsid w:val="229C185A"/>
    <w:rsid w:val="22A939AB"/>
    <w:rsid w:val="22AB3844"/>
    <w:rsid w:val="22AF418E"/>
    <w:rsid w:val="22BC5C2F"/>
    <w:rsid w:val="22C434E6"/>
    <w:rsid w:val="22CA360C"/>
    <w:rsid w:val="22F322DF"/>
    <w:rsid w:val="22FB3ADB"/>
    <w:rsid w:val="230734DA"/>
    <w:rsid w:val="23097A09"/>
    <w:rsid w:val="230A4901"/>
    <w:rsid w:val="23186599"/>
    <w:rsid w:val="23363822"/>
    <w:rsid w:val="23492A98"/>
    <w:rsid w:val="234F4F9F"/>
    <w:rsid w:val="236004DD"/>
    <w:rsid w:val="23643277"/>
    <w:rsid w:val="236A5F21"/>
    <w:rsid w:val="237004F0"/>
    <w:rsid w:val="237C17D0"/>
    <w:rsid w:val="237C2E0C"/>
    <w:rsid w:val="23832D79"/>
    <w:rsid w:val="2393303A"/>
    <w:rsid w:val="23A81EB5"/>
    <w:rsid w:val="23AC12A8"/>
    <w:rsid w:val="23C10043"/>
    <w:rsid w:val="23C33B62"/>
    <w:rsid w:val="23C92124"/>
    <w:rsid w:val="23CB668F"/>
    <w:rsid w:val="23D92665"/>
    <w:rsid w:val="23DB74E8"/>
    <w:rsid w:val="23EC49B8"/>
    <w:rsid w:val="240F5A90"/>
    <w:rsid w:val="241C24D2"/>
    <w:rsid w:val="24287E32"/>
    <w:rsid w:val="24356EDC"/>
    <w:rsid w:val="243748CB"/>
    <w:rsid w:val="24446917"/>
    <w:rsid w:val="244C1963"/>
    <w:rsid w:val="244E07F7"/>
    <w:rsid w:val="24570568"/>
    <w:rsid w:val="247116E9"/>
    <w:rsid w:val="24770D8C"/>
    <w:rsid w:val="2478463F"/>
    <w:rsid w:val="24800324"/>
    <w:rsid w:val="248F01FE"/>
    <w:rsid w:val="249C50CF"/>
    <w:rsid w:val="24A3229B"/>
    <w:rsid w:val="24AF30A7"/>
    <w:rsid w:val="24BB54B4"/>
    <w:rsid w:val="24CB26EC"/>
    <w:rsid w:val="24CB276B"/>
    <w:rsid w:val="24D3573A"/>
    <w:rsid w:val="24D42CDE"/>
    <w:rsid w:val="24E60EA1"/>
    <w:rsid w:val="24F84776"/>
    <w:rsid w:val="250018A8"/>
    <w:rsid w:val="25034EC9"/>
    <w:rsid w:val="25052BDB"/>
    <w:rsid w:val="251C2547"/>
    <w:rsid w:val="251E2948"/>
    <w:rsid w:val="252C67D5"/>
    <w:rsid w:val="25335027"/>
    <w:rsid w:val="253402FE"/>
    <w:rsid w:val="25503CCA"/>
    <w:rsid w:val="255658F1"/>
    <w:rsid w:val="25697F9B"/>
    <w:rsid w:val="2570253C"/>
    <w:rsid w:val="257313AA"/>
    <w:rsid w:val="257E032D"/>
    <w:rsid w:val="258120BD"/>
    <w:rsid w:val="258424AE"/>
    <w:rsid w:val="258831CB"/>
    <w:rsid w:val="259D10B5"/>
    <w:rsid w:val="259F6D3F"/>
    <w:rsid w:val="25AC4397"/>
    <w:rsid w:val="25AC73F0"/>
    <w:rsid w:val="25C91C70"/>
    <w:rsid w:val="25CD6031"/>
    <w:rsid w:val="25E27596"/>
    <w:rsid w:val="25E65168"/>
    <w:rsid w:val="25F25851"/>
    <w:rsid w:val="26015A19"/>
    <w:rsid w:val="26062902"/>
    <w:rsid w:val="260C19E4"/>
    <w:rsid w:val="26172776"/>
    <w:rsid w:val="261C6EDE"/>
    <w:rsid w:val="26245D8F"/>
    <w:rsid w:val="26415E76"/>
    <w:rsid w:val="264213C7"/>
    <w:rsid w:val="26461F5A"/>
    <w:rsid w:val="264B644D"/>
    <w:rsid w:val="2664268E"/>
    <w:rsid w:val="26675EF0"/>
    <w:rsid w:val="266766B2"/>
    <w:rsid w:val="26693856"/>
    <w:rsid w:val="268077C9"/>
    <w:rsid w:val="268D7140"/>
    <w:rsid w:val="269D7FD6"/>
    <w:rsid w:val="26A20792"/>
    <w:rsid w:val="26A44B7A"/>
    <w:rsid w:val="26B430B5"/>
    <w:rsid w:val="26BA6895"/>
    <w:rsid w:val="26C74DB3"/>
    <w:rsid w:val="26D422DA"/>
    <w:rsid w:val="26E01B85"/>
    <w:rsid w:val="26E069E8"/>
    <w:rsid w:val="26F22358"/>
    <w:rsid w:val="26F35DC8"/>
    <w:rsid w:val="26F44B25"/>
    <w:rsid w:val="26F74783"/>
    <w:rsid w:val="27032DC4"/>
    <w:rsid w:val="270D2A2D"/>
    <w:rsid w:val="2712188B"/>
    <w:rsid w:val="272B740C"/>
    <w:rsid w:val="273121C1"/>
    <w:rsid w:val="27384399"/>
    <w:rsid w:val="273E6D68"/>
    <w:rsid w:val="27531E6D"/>
    <w:rsid w:val="275B16C7"/>
    <w:rsid w:val="275B2D9A"/>
    <w:rsid w:val="27661F4C"/>
    <w:rsid w:val="276A2576"/>
    <w:rsid w:val="27771FB6"/>
    <w:rsid w:val="277841B0"/>
    <w:rsid w:val="27830923"/>
    <w:rsid w:val="27847502"/>
    <w:rsid w:val="279D7543"/>
    <w:rsid w:val="27A0235E"/>
    <w:rsid w:val="27A94DCE"/>
    <w:rsid w:val="27AC68C4"/>
    <w:rsid w:val="27AE5CFD"/>
    <w:rsid w:val="27BB5456"/>
    <w:rsid w:val="27C46B92"/>
    <w:rsid w:val="27C732F3"/>
    <w:rsid w:val="27C82DD9"/>
    <w:rsid w:val="27D04393"/>
    <w:rsid w:val="27D85FBE"/>
    <w:rsid w:val="27E234BC"/>
    <w:rsid w:val="27E60276"/>
    <w:rsid w:val="27EA0562"/>
    <w:rsid w:val="27F0727D"/>
    <w:rsid w:val="28064E1B"/>
    <w:rsid w:val="280D61D7"/>
    <w:rsid w:val="283244AF"/>
    <w:rsid w:val="28370AE6"/>
    <w:rsid w:val="283F3339"/>
    <w:rsid w:val="284208D6"/>
    <w:rsid w:val="284C2EC3"/>
    <w:rsid w:val="284F35CF"/>
    <w:rsid w:val="2857412D"/>
    <w:rsid w:val="28587C4F"/>
    <w:rsid w:val="286C0DA0"/>
    <w:rsid w:val="286C17BB"/>
    <w:rsid w:val="28727189"/>
    <w:rsid w:val="28820CD0"/>
    <w:rsid w:val="28844465"/>
    <w:rsid w:val="288566F4"/>
    <w:rsid w:val="288928F8"/>
    <w:rsid w:val="289016FF"/>
    <w:rsid w:val="28955C65"/>
    <w:rsid w:val="28990FE8"/>
    <w:rsid w:val="28B14BC9"/>
    <w:rsid w:val="28B22E8D"/>
    <w:rsid w:val="28B23C3B"/>
    <w:rsid w:val="28B37B09"/>
    <w:rsid w:val="28B37BA6"/>
    <w:rsid w:val="28B5472C"/>
    <w:rsid w:val="28B60944"/>
    <w:rsid w:val="28BF2C03"/>
    <w:rsid w:val="28C40E35"/>
    <w:rsid w:val="28D177B8"/>
    <w:rsid w:val="28DC58FC"/>
    <w:rsid w:val="28EC4443"/>
    <w:rsid w:val="28FA7DA0"/>
    <w:rsid w:val="290E11B2"/>
    <w:rsid w:val="290F02E0"/>
    <w:rsid w:val="290F3536"/>
    <w:rsid w:val="291D5104"/>
    <w:rsid w:val="29240CB7"/>
    <w:rsid w:val="29243951"/>
    <w:rsid w:val="2925122E"/>
    <w:rsid w:val="292C3A8A"/>
    <w:rsid w:val="29361D11"/>
    <w:rsid w:val="293730B7"/>
    <w:rsid w:val="293F1711"/>
    <w:rsid w:val="29511C5F"/>
    <w:rsid w:val="29657F00"/>
    <w:rsid w:val="296A66E0"/>
    <w:rsid w:val="296E2B57"/>
    <w:rsid w:val="297B40ED"/>
    <w:rsid w:val="29905390"/>
    <w:rsid w:val="2992577F"/>
    <w:rsid w:val="299E5AD3"/>
    <w:rsid w:val="29A12E98"/>
    <w:rsid w:val="29B34965"/>
    <w:rsid w:val="29BA46F0"/>
    <w:rsid w:val="29C81DEE"/>
    <w:rsid w:val="29CC6860"/>
    <w:rsid w:val="29CD5104"/>
    <w:rsid w:val="29D03AE9"/>
    <w:rsid w:val="29D35C3B"/>
    <w:rsid w:val="29E96443"/>
    <w:rsid w:val="29EA3801"/>
    <w:rsid w:val="29F77F7F"/>
    <w:rsid w:val="2A0C2A72"/>
    <w:rsid w:val="2A0D3F44"/>
    <w:rsid w:val="2A0F77B2"/>
    <w:rsid w:val="2A17569E"/>
    <w:rsid w:val="2A2E1891"/>
    <w:rsid w:val="2A33308A"/>
    <w:rsid w:val="2A522B7B"/>
    <w:rsid w:val="2A554FF6"/>
    <w:rsid w:val="2A587332"/>
    <w:rsid w:val="2A6358A0"/>
    <w:rsid w:val="2A697EC4"/>
    <w:rsid w:val="2A755520"/>
    <w:rsid w:val="2A8A6487"/>
    <w:rsid w:val="2A957438"/>
    <w:rsid w:val="2AAA6513"/>
    <w:rsid w:val="2ABA0CE3"/>
    <w:rsid w:val="2ABC6BA4"/>
    <w:rsid w:val="2ACB2722"/>
    <w:rsid w:val="2ACC6767"/>
    <w:rsid w:val="2AD3585E"/>
    <w:rsid w:val="2AD73A46"/>
    <w:rsid w:val="2AD9065F"/>
    <w:rsid w:val="2AE1609D"/>
    <w:rsid w:val="2AE934C2"/>
    <w:rsid w:val="2B0E43B4"/>
    <w:rsid w:val="2B1420FC"/>
    <w:rsid w:val="2B1963D3"/>
    <w:rsid w:val="2B2636BF"/>
    <w:rsid w:val="2B2A3E4E"/>
    <w:rsid w:val="2B2A6827"/>
    <w:rsid w:val="2B392377"/>
    <w:rsid w:val="2B3C0A9A"/>
    <w:rsid w:val="2B4E1EAD"/>
    <w:rsid w:val="2B606BD1"/>
    <w:rsid w:val="2B6B30F4"/>
    <w:rsid w:val="2B6D70C3"/>
    <w:rsid w:val="2B7B72AC"/>
    <w:rsid w:val="2B8124AF"/>
    <w:rsid w:val="2B812547"/>
    <w:rsid w:val="2B854247"/>
    <w:rsid w:val="2B9E6593"/>
    <w:rsid w:val="2BA453AC"/>
    <w:rsid w:val="2BBE3630"/>
    <w:rsid w:val="2BC6121D"/>
    <w:rsid w:val="2BC6254C"/>
    <w:rsid w:val="2BC730F4"/>
    <w:rsid w:val="2BCA04EF"/>
    <w:rsid w:val="2BE23A73"/>
    <w:rsid w:val="2BE772F2"/>
    <w:rsid w:val="2BF75B25"/>
    <w:rsid w:val="2BFC4057"/>
    <w:rsid w:val="2BFD08C4"/>
    <w:rsid w:val="2C003A50"/>
    <w:rsid w:val="2C063C1D"/>
    <w:rsid w:val="2C0F5533"/>
    <w:rsid w:val="2C0F6098"/>
    <w:rsid w:val="2C1F1C18"/>
    <w:rsid w:val="2C22559E"/>
    <w:rsid w:val="2C2F43D6"/>
    <w:rsid w:val="2C31056E"/>
    <w:rsid w:val="2C364F00"/>
    <w:rsid w:val="2C395466"/>
    <w:rsid w:val="2C3D2F5D"/>
    <w:rsid w:val="2C3D5164"/>
    <w:rsid w:val="2C5A4A61"/>
    <w:rsid w:val="2C717D50"/>
    <w:rsid w:val="2C74376C"/>
    <w:rsid w:val="2C7801D0"/>
    <w:rsid w:val="2C83302B"/>
    <w:rsid w:val="2C84529A"/>
    <w:rsid w:val="2C9C243A"/>
    <w:rsid w:val="2CBA5C99"/>
    <w:rsid w:val="2CCC46FF"/>
    <w:rsid w:val="2CD943F3"/>
    <w:rsid w:val="2CF51284"/>
    <w:rsid w:val="2CFC5F8C"/>
    <w:rsid w:val="2CFE28F9"/>
    <w:rsid w:val="2D11306E"/>
    <w:rsid w:val="2D114DCF"/>
    <w:rsid w:val="2D216306"/>
    <w:rsid w:val="2D242BB1"/>
    <w:rsid w:val="2D2439EA"/>
    <w:rsid w:val="2D257DE8"/>
    <w:rsid w:val="2D3B050B"/>
    <w:rsid w:val="2D3F69CC"/>
    <w:rsid w:val="2D481BC1"/>
    <w:rsid w:val="2D48475C"/>
    <w:rsid w:val="2D4D1BCC"/>
    <w:rsid w:val="2D4F6EFD"/>
    <w:rsid w:val="2D545814"/>
    <w:rsid w:val="2D697359"/>
    <w:rsid w:val="2D6F7A1B"/>
    <w:rsid w:val="2D7204DC"/>
    <w:rsid w:val="2D80741E"/>
    <w:rsid w:val="2D88079B"/>
    <w:rsid w:val="2D891D55"/>
    <w:rsid w:val="2D996688"/>
    <w:rsid w:val="2D9B47A9"/>
    <w:rsid w:val="2DA81799"/>
    <w:rsid w:val="2DAA1075"/>
    <w:rsid w:val="2DBA30ED"/>
    <w:rsid w:val="2DD17B9E"/>
    <w:rsid w:val="2DF05E5F"/>
    <w:rsid w:val="2DF84BF8"/>
    <w:rsid w:val="2E1A39AF"/>
    <w:rsid w:val="2E20297E"/>
    <w:rsid w:val="2E361EAB"/>
    <w:rsid w:val="2E362CA1"/>
    <w:rsid w:val="2E386A1D"/>
    <w:rsid w:val="2E624245"/>
    <w:rsid w:val="2E6F1538"/>
    <w:rsid w:val="2E744998"/>
    <w:rsid w:val="2E7F3168"/>
    <w:rsid w:val="2E842CB0"/>
    <w:rsid w:val="2E934B35"/>
    <w:rsid w:val="2EA547CC"/>
    <w:rsid w:val="2EAE6F07"/>
    <w:rsid w:val="2EBC39EE"/>
    <w:rsid w:val="2EBF6C5D"/>
    <w:rsid w:val="2ED533A3"/>
    <w:rsid w:val="2ED753FC"/>
    <w:rsid w:val="2EEA298A"/>
    <w:rsid w:val="2EEB6F3A"/>
    <w:rsid w:val="2EF328ED"/>
    <w:rsid w:val="2EF86A48"/>
    <w:rsid w:val="2EFC2AA4"/>
    <w:rsid w:val="2EFF324B"/>
    <w:rsid w:val="2F0E76F0"/>
    <w:rsid w:val="2F0F6197"/>
    <w:rsid w:val="2F120BE1"/>
    <w:rsid w:val="2F222891"/>
    <w:rsid w:val="2F260202"/>
    <w:rsid w:val="2F287C43"/>
    <w:rsid w:val="2F493F0A"/>
    <w:rsid w:val="2F495F2A"/>
    <w:rsid w:val="2F4F3A71"/>
    <w:rsid w:val="2F541613"/>
    <w:rsid w:val="2F756311"/>
    <w:rsid w:val="2F792C68"/>
    <w:rsid w:val="2FB347A5"/>
    <w:rsid w:val="2FBE2214"/>
    <w:rsid w:val="2FCF07C9"/>
    <w:rsid w:val="2FD12AE3"/>
    <w:rsid w:val="2FD80315"/>
    <w:rsid w:val="2FE41092"/>
    <w:rsid w:val="2FE87896"/>
    <w:rsid w:val="2FEC1265"/>
    <w:rsid w:val="2FF75939"/>
    <w:rsid w:val="2FF970BE"/>
    <w:rsid w:val="2FFD7C30"/>
    <w:rsid w:val="30182543"/>
    <w:rsid w:val="302419D6"/>
    <w:rsid w:val="302827D3"/>
    <w:rsid w:val="30311B0B"/>
    <w:rsid w:val="303932AE"/>
    <w:rsid w:val="303E67EE"/>
    <w:rsid w:val="30420F9B"/>
    <w:rsid w:val="305922DF"/>
    <w:rsid w:val="305B3FDF"/>
    <w:rsid w:val="305F095F"/>
    <w:rsid w:val="30601978"/>
    <w:rsid w:val="30681B2A"/>
    <w:rsid w:val="308D5920"/>
    <w:rsid w:val="309655A9"/>
    <w:rsid w:val="30BF5C92"/>
    <w:rsid w:val="30C93074"/>
    <w:rsid w:val="30CB1CB5"/>
    <w:rsid w:val="30D10088"/>
    <w:rsid w:val="30D25086"/>
    <w:rsid w:val="30D76AEB"/>
    <w:rsid w:val="30E93A58"/>
    <w:rsid w:val="30EB1633"/>
    <w:rsid w:val="30EF5146"/>
    <w:rsid w:val="30F276FC"/>
    <w:rsid w:val="310A1821"/>
    <w:rsid w:val="310C4A77"/>
    <w:rsid w:val="311741D6"/>
    <w:rsid w:val="311F10D6"/>
    <w:rsid w:val="311F24BE"/>
    <w:rsid w:val="311F69A8"/>
    <w:rsid w:val="31313A84"/>
    <w:rsid w:val="313C4E21"/>
    <w:rsid w:val="314632BB"/>
    <w:rsid w:val="3148126B"/>
    <w:rsid w:val="314A231E"/>
    <w:rsid w:val="314E32B9"/>
    <w:rsid w:val="315346D2"/>
    <w:rsid w:val="315372CC"/>
    <w:rsid w:val="3157280D"/>
    <w:rsid w:val="315D67A3"/>
    <w:rsid w:val="3163417D"/>
    <w:rsid w:val="316F76AD"/>
    <w:rsid w:val="317579FC"/>
    <w:rsid w:val="317902A9"/>
    <w:rsid w:val="317C6D20"/>
    <w:rsid w:val="317D6BDC"/>
    <w:rsid w:val="318179DB"/>
    <w:rsid w:val="31956B3E"/>
    <w:rsid w:val="319638C6"/>
    <w:rsid w:val="31970732"/>
    <w:rsid w:val="31A43F7B"/>
    <w:rsid w:val="31B15FEC"/>
    <w:rsid w:val="31B402FA"/>
    <w:rsid w:val="31D44E72"/>
    <w:rsid w:val="31E03CCA"/>
    <w:rsid w:val="31E27790"/>
    <w:rsid w:val="31F02423"/>
    <w:rsid w:val="31F664E1"/>
    <w:rsid w:val="32052E10"/>
    <w:rsid w:val="32134D7B"/>
    <w:rsid w:val="32311AA4"/>
    <w:rsid w:val="32353110"/>
    <w:rsid w:val="32362E6E"/>
    <w:rsid w:val="323A37C3"/>
    <w:rsid w:val="323A55BB"/>
    <w:rsid w:val="3240150B"/>
    <w:rsid w:val="324803BF"/>
    <w:rsid w:val="3261786D"/>
    <w:rsid w:val="326A2A2B"/>
    <w:rsid w:val="327A179F"/>
    <w:rsid w:val="328D4EBA"/>
    <w:rsid w:val="3292535C"/>
    <w:rsid w:val="329C7B3E"/>
    <w:rsid w:val="32BA381F"/>
    <w:rsid w:val="32C04482"/>
    <w:rsid w:val="32C12C2B"/>
    <w:rsid w:val="32CC0848"/>
    <w:rsid w:val="32CF5CFB"/>
    <w:rsid w:val="32D768F9"/>
    <w:rsid w:val="32D80470"/>
    <w:rsid w:val="32D86FF1"/>
    <w:rsid w:val="32E17678"/>
    <w:rsid w:val="32E47C9F"/>
    <w:rsid w:val="32E95A74"/>
    <w:rsid w:val="32EC50D1"/>
    <w:rsid w:val="32F272EE"/>
    <w:rsid w:val="32F479DD"/>
    <w:rsid w:val="32FF63EB"/>
    <w:rsid w:val="331C0D3B"/>
    <w:rsid w:val="332307F9"/>
    <w:rsid w:val="33346832"/>
    <w:rsid w:val="3338085C"/>
    <w:rsid w:val="333B5874"/>
    <w:rsid w:val="33433433"/>
    <w:rsid w:val="334545B9"/>
    <w:rsid w:val="334C37C7"/>
    <w:rsid w:val="334D2131"/>
    <w:rsid w:val="33581A56"/>
    <w:rsid w:val="33802506"/>
    <w:rsid w:val="338E5DEF"/>
    <w:rsid w:val="339D315C"/>
    <w:rsid w:val="339F2AE6"/>
    <w:rsid w:val="33A06705"/>
    <w:rsid w:val="33A645CF"/>
    <w:rsid w:val="33AD0505"/>
    <w:rsid w:val="33B33BDF"/>
    <w:rsid w:val="33B42B8C"/>
    <w:rsid w:val="33CE4D97"/>
    <w:rsid w:val="33D75FC0"/>
    <w:rsid w:val="33EA6EBD"/>
    <w:rsid w:val="33ED1F20"/>
    <w:rsid w:val="33FE2F74"/>
    <w:rsid w:val="3409363C"/>
    <w:rsid w:val="340A328C"/>
    <w:rsid w:val="340D7248"/>
    <w:rsid w:val="34160775"/>
    <w:rsid w:val="341838A6"/>
    <w:rsid w:val="34204F4C"/>
    <w:rsid w:val="342B6C55"/>
    <w:rsid w:val="34327F5F"/>
    <w:rsid w:val="343B47A4"/>
    <w:rsid w:val="344067CA"/>
    <w:rsid w:val="34416F7C"/>
    <w:rsid w:val="34426687"/>
    <w:rsid w:val="344319D6"/>
    <w:rsid w:val="3446015E"/>
    <w:rsid w:val="344F5E3E"/>
    <w:rsid w:val="3462394C"/>
    <w:rsid w:val="347B0DB3"/>
    <w:rsid w:val="348619F6"/>
    <w:rsid w:val="348B5E86"/>
    <w:rsid w:val="34965481"/>
    <w:rsid w:val="34A2132C"/>
    <w:rsid w:val="34AD79C6"/>
    <w:rsid w:val="34B868E1"/>
    <w:rsid w:val="34BA2157"/>
    <w:rsid w:val="34C70909"/>
    <w:rsid w:val="34D16F8B"/>
    <w:rsid w:val="34D321B9"/>
    <w:rsid w:val="34D64AA7"/>
    <w:rsid w:val="34D83195"/>
    <w:rsid w:val="34D83D60"/>
    <w:rsid w:val="34E63569"/>
    <w:rsid w:val="34E750DA"/>
    <w:rsid w:val="34F67921"/>
    <w:rsid w:val="350325D0"/>
    <w:rsid w:val="350974B0"/>
    <w:rsid w:val="350E58F0"/>
    <w:rsid w:val="35252644"/>
    <w:rsid w:val="35261B4D"/>
    <w:rsid w:val="352C7F5B"/>
    <w:rsid w:val="35415CC5"/>
    <w:rsid w:val="354631E6"/>
    <w:rsid w:val="35474A00"/>
    <w:rsid w:val="355514A4"/>
    <w:rsid w:val="356133A7"/>
    <w:rsid w:val="357B3B1B"/>
    <w:rsid w:val="35903B55"/>
    <w:rsid w:val="359412D3"/>
    <w:rsid w:val="35A146C6"/>
    <w:rsid w:val="35A95619"/>
    <w:rsid w:val="35AB1391"/>
    <w:rsid w:val="35C67F79"/>
    <w:rsid w:val="35D13379"/>
    <w:rsid w:val="35D429CB"/>
    <w:rsid w:val="35D72B1B"/>
    <w:rsid w:val="35E13004"/>
    <w:rsid w:val="35E24DB2"/>
    <w:rsid w:val="35EB4C6E"/>
    <w:rsid w:val="35F20D6E"/>
    <w:rsid w:val="35F45C39"/>
    <w:rsid w:val="36004B53"/>
    <w:rsid w:val="362F0EDA"/>
    <w:rsid w:val="36315D3A"/>
    <w:rsid w:val="36363E0D"/>
    <w:rsid w:val="36416E8F"/>
    <w:rsid w:val="365F7FAF"/>
    <w:rsid w:val="36635313"/>
    <w:rsid w:val="36635C63"/>
    <w:rsid w:val="366F00BD"/>
    <w:rsid w:val="367C2E30"/>
    <w:rsid w:val="367D1CA4"/>
    <w:rsid w:val="367F4CA6"/>
    <w:rsid w:val="36934F7F"/>
    <w:rsid w:val="3695131D"/>
    <w:rsid w:val="369737B0"/>
    <w:rsid w:val="36995759"/>
    <w:rsid w:val="36AC228B"/>
    <w:rsid w:val="36B04C59"/>
    <w:rsid w:val="36BE665F"/>
    <w:rsid w:val="36C615CE"/>
    <w:rsid w:val="36E8434B"/>
    <w:rsid w:val="36EF5742"/>
    <w:rsid w:val="36F20B4D"/>
    <w:rsid w:val="36FA0A90"/>
    <w:rsid w:val="370D0F31"/>
    <w:rsid w:val="372525FF"/>
    <w:rsid w:val="372F0378"/>
    <w:rsid w:val="372F652A"/>
    <w:rsid w:val="37396A34"/>
    <w:rsid w:val="373B04F2"/>
    <w:rsid w:val="374E16EB"/>
    <w:rsid w:val="375079EC"/>
    <w:rsid w:val="375342C7"/>
    <w:rsid w:val="37565FF2"/>
    <w:rsid w:val="376223F0"/>
    <w:rsid w:val="376F3DA2"/>
    <w:rsid w:val="37836D98"/>
    <w:rsid w:val="3784633D"/>
    <w:rsid w:val="378F5C5E"/>
    <w:rsid w:val="3799680D"/>
    <w:rsid w:val="37AB1391"/>
    <w:rsid w:val="37BE79BC"/>
    <w:rsid w:val="37C10C47"/>
    <w:rsid w:val="37C47D68"/>
    <w:rsid w:val="37D4691B"/>
    <w:rsid w:val="37DC6DA7"/>
    <w:rsid w:val="37E64902"/>
    <w:rsid w:val="37EE0826"/>
    <w:rsid w:val="37EE0A92"/>
    <w:rsid w:val="37F11176"/>
    <w:rsid w:val="37F324A3"/>
    <w:rsid w:val="37F621FD"/>
    <w:rsid w:val="38061BDA"/>
    <w:rsid w:val="381044CC"/>
    <w:rsid w:val="381366DF"/>
    <w:rsid w:val="38210309"/>
    <w:rsid w:val="38263E22"/>
    <w:rsid w:val="38290904"/>
    <w:rsid w:val="3830014D"/>
    <w:rsid w:val="38335ECE"/>
    <w:rsid w:val="383429A6"/>
    <w:rsid w:val="38431D54"/>
    <w:rsid w:val="3849468E"/>
    <w:rsid w:val="386267CB"/>
    <w:rsid w:val="386F4220"/>
    <w:rsid w:val="387060D2"/>
    <w:rsid w:val="38806B18"/>
    <w:rsid w:val="389102DA"/>
    <w:rsid w:val="389C24F8"/>
    <w:rsid w:val="389F232A"/>
    <w:rsid w:val="38C47680"/>
    <w:rsid w:val="38D37649"/>
    <w:rsid w:val="38E54054"/>
    <w:rsid w:val="38F235C6"/>
    <w:rsid w:val="38F62E5D"/>
    <w:rsid w:val="38F641A1"/>
    <w:rsid w:val="390850EA"/>
    <w:rsid w:val="39152B52"/>
    <w:rsid w:val="391F4983"/>
    <w:rsid w:val="39225B16"/>
    <w:rsid w:val="39226B49"/>
    <w:rsid w:val="39275DFB"/>
    <w:rsid w:val="39286304"/>
    <w:rsid w:val="393115C2"/>
    <w:rsid w:val="39407FD8"/>
    <w:rsid w:val="394A2C6F"/>
    <w:rsid w:val="394E76CF"/>
    <w:rsid w:val="3958607A"/>
    <w:rsid w:val="395D0A0D"/>
    <w:rsid w:val="3968580F"/>
    <w:rsid w:val="397F0102"/>
    <w:rsid w:val="398B16FF"/>
    <w:rsid w:val="39B159CA"/>
    <w:rsid w:val="39B800F5"/>
    <w:rsid w:val="39BE53D6"/>
    <w:rsid w:val="39D56CB9"/>
    <w:rsid w:val="39D76904"/>
    <w:rsid w:val="39DB4F94"/>
    <w:rsid w:val="39E711EA"/>
    <w:rsid w:val="39E9620C"/>
    <w:rsid w:val="39EB3B81"/>
    <w:rsid w:val="39F149E8"/>
    <w:rsid w:val="39F54CA2"/>
    <w:rsid w:val="3A064531"/>
    <w:rsid w:val="3A0A1B23"/>
    <w:rsid w:val="3A0C7A10"/>
    <w:rsid w:val="3A0E7C4F"/>
    <w:rsid w:val="3A1473EF"/>
    <w:rsid w:val="3A1A0893"/>
    <w:rsid w:val="3A2B732D"/>
    <w:rsid w:val="3A3A5CD6"/>
    <w:rsid w:val="3A4B70E9"/>
    <w:rsid w:val="3A5C534F"/>
    <w:rsid w:val="3A667F7C"/>
    <w:rsid w:val="3A6B6DF4"/>
    <w:rsid w:val="3A7139DF"/>
    <w:rsid w:val="3A730F09"/>
    <w:rsid w:val="3A800457"/>
    <w:rsid w:val="3A826517"/>
    <w:rsid w:val="3A9374F9"/>
    <w:rsid w:val="3A997463"/>
    <w:rsid w:val="3A9B19D4"/>
    <w:rsid w:val="3A9D5BAC"/>
    <w:rsid w:val="3AA60AE3"/>
    <w:rsid w:val="3AAB720F"/>
    <w:rsid w:val="3AAD2388"/>
    <w:rsid w:val="3AB15DF4"/>
    <w:rsid w:val="3AB53EE2"/>
    <w:rsid w:val="3AB701EF"/>
    <w:rsid w:val="3AB84DFB"/>
    <w:rsid w:val="3ABC7EBD"/>
    <w:rsid w:val="3AC30EDE"/>
    <w:rsid w:val="3AD4390D"/>
    <w:rsid w:val="3ADC4D58"/>
    <w:rsid w:val="3ADF1B88"/>
    <w:rsid w:val="3AE84145"/>
    <w:rsid w:val="3AED5DC5"/>
    <w:rsid w:val="3AF07C00"/>
    <w:rsid w:val="3B003E5B"/>
    <w:rsid w:val="3B02109A"/>
    <w:rsid w:val="3B19419E"/>
    <w:rsid w:val="3B1A13AF"/>
    <w:rsid w:val="3B265952"/>
    <w:rsid w:val="3B276B65"/>
    <w:rsid w:val="3B2C0842"/>
    <w:rsid w:val="3B385475"/>
    <w:rsid w:val="3B415A12"/>
    <w:rsid w:val="3B4C08AC"/>
    <w:rsid w:val="3B5B07F2"/>
    <w:rsid w:val="3B5B46B0"/>
    <w:rsid w:val="3B6030BF"/>
    <w:rsid w:val="3B647824"/>
    <w:rsid w:val="3B652639"/>
    <w:rsid w:val="3B77415E"/>
    <w:rsid w:val="3B9608A1"/>
    <w:rsid w:val="3B9A7EDD"/>
    <w:rsid w:val="3B9B3B3D"/>
    <w:rsid w:val="3BA5394C"/>
    <w:rsid w:val="3BAC40A8"/>
    <w:rsid w:val="3BAE4749"/>
    <w:rsid w:val="3BB624CB"/>
    <w:rsid w:val="3BBB0CCE"/>
    <w:rsid w:val="3BC42118"/>
    <w:rsid w:val="3BD32C9B"/>
    <w:rsid w:val="3BD67FC5"/>
    <w:rsid w:val="3BDC4070"/>
    <w:rsid w:val="3BE51ED5"/>
    <w:rsid w:val="3BE712C4"/>
    <w:rsid w:val="3BEE5B7C"/>
    <w:rsid w:val="3BF96691"/>
    <w:rsid w:val="3BFE3F91"/>
    <w:rsid w:val="3C0E1B2A"/>
    <w:rsid w:val="3C0F6496"/>
    <w:rsid w:val="3C1A68AD"/>
    <w:rsid w:val="3C221F5A"/>
    <w:rsid w:val="3C2346A6"/>
    <w:rsid w:val="3C2F6709"/>
    <w:rsid w:val="3C34421F"/>
    <w:rsid w:val="3C37572C"/>
    <w:rsid w:val="3C4760FB"/>
    <w:rsid w:val="3C484FEC"/>
    <w:rsid w:val="3C5671D9"/>
    <w:rsid w:val="3C5E3766"/>
    <w:rsid w:val="3C7254C1"/>
    <w:rsid w:val="3C752E14"/>
    <w:rsid w:val="3C776758"/>
    <w:rsid w:val="3C9608F4"/>
    <w:rsid w:val="3C986B1F"/>
    <w:rsid w:val="3C9E0CF8"/>
    <w:rsid w:val="3CA628B2"/>
    <w:rsid w:val="3CA74BDD"/>
    <w:rsid w:val="3CA80B2A"/>
    <w:rsid w:val="3CAF79B9"/>
    <w:rsid w:val="3CBB2A96"/>
    <w:rsid w:val="3CBC6F3C"/>
    <w:rsid w:val="3CC64D8C"/>
    <w:rsid w:val="3CCE695F"/>
    <w:rsid w:val="3CD27922"/>
    <w:rsid w:val="3CE4280A"/>
    <w:rsid w:val="3CF83061"/>
    <w:rsid w:val="3CFC2C39"/>
    <w:rsid w:val="3D060539"/>
    <w:rsid w:val="3D0855A2"/>
    <w:rsid w:val="3D0F48FB"/>
    <w:rsid w:val="3D257113"/>
    <w:rsid w:val="3D2F0AF9"/>
    <w:rsid w:val="3D487C94"/>
    <w:rsid w:val="3D54685A"/>
    <w:rsid w:val="3D5C2D06"/>
    <w:rsid w:val="3D5E2339"/>
    <w:rsid w:val="3D6C3AFB"/>
    <w:rsid w:val="3D784546"/>
    <w:rsid w:val="3D806A9B"/>
    <w:rsid w:val="3D856577"/>
    <w:rsid w:val="3D885FA9"/>
    <w:rsid w:val="3D8C1654"/>
    <w:rsid w:val="3D934BE4"/>
    <w:rsid w:val="3D97792F"/>
    <w:rsid w:val="3DA2386D"/>
    <w:rsid w:val="3DAD1EEC"/>
    <w:rsid w:val="3DB8289D"/>
    <w:rsid w:val="3DBF485F"/>
    <w:rsid w:val="3DC079A3"/>
    <w:rsid w:val="3DE5760F"/>
    <w:rsid w:val="3DEC08A8"/>
    <w:rsid w:val="3DFF0E5D"/>
    <w:rsid w:val="3E283D84"/>
    <w:rsid w:val="3E3622B8"/>
    <w:rsid w:val="3E4573F0"/>
    <w:rsid w:val="3E4E10B2"/>
    <w:rsid w:val="3E4E3201"/>
    <w:rsid w:val="3E510B20"/>
    <w:rsid w:val="3E5527E2"/>
    <w:rsid w:val="3E561730"/>
    <w:rsid w:val="3E5F5509"/>
    <w:rsid w:val="3E610F8C"/>
    <w:rsid w:val="3E675386"/>
    <w:rsid w:val="3E8527E8"/>
    <w:rsid w:val="3E903D46"/>
    <w:rsid w:val="3E9055C8"/>
    <w:rsid w:val="3E952404"/>
    <w:rsid w:val="3EA053E9"/>
    <w:rsid w:val="3EA334DD"/>
    <w:rsid w:val="3EA465B8"/>
    <w:rsid w:val="3EAB54D7"/>
    <w:rsid w:val="3EB209EE"/>
    <w:rsid w:val="3EBC47E4"/>
    <w:rsid w:val="3EBC6D49"/>
    <w:rsid w:val="3EC3774B"/>
    <w:rsid w:val="3ECA0F7C"/>
    <w:rsid w:val="3ED060A2"/>
    <w:rsid w:val="3ED5511F"/>
    <w:rsid w:val="3EE85404"/>
    <w:rsid w:val="3EEC7956"/>
    <w:rsid w:val="3EF765D5"/>
    <w:rsid w:val="3EF7710B"/>
    <w:rsid w:val="3EF87B99"/>
    <w:rsid w:val="3EFB14C6"/>
    <w:rsid w:val="3F084677"/>
    <w:rsid w:val="3F0920F4"/>
    <w:rsid w:val="3F0B2EA0"/>
    <w:rsid w:val="3F0C3E23"/>
    <w:rsid w:val="3F14769B"/>
    <w:rsid w:val="3F186A65"/>
    <w:rsid w:val="3F236FD5"/>
    <w:rsid w:val="3F2F4DE1"/>
    <w:rsid w:val="3F4C78EC"/>
    <w:rsid w:val="3F520ACF"/>
    <w:rsid w:val="3F5761BC"/>
    <w:rsid w:val="3F7136BA"/>
    <w:rsid w:val="3F7C6868"/>
    <w:rsid w:val="3F8224CB"/>
    <w:rsid w:val="3F8409D2"/>
    <w:rsid w:val="3F8D4479"/>
    <w:rsid w:val="3F96537C"/>
    <w:rsid w:val="3F966EDD"/>
    <w:rsid w:val="3F970FDE"/>
    <w:rsid w:val="3F997BD3"/>
    <w:rsid w:val="3FA4608F"/>
    <w:rsid w:val="3FBA7117"/>
    <w:rsid w:val="3FBA7232"/>
    <w:rsid w:val="3FC50AB9"/>
    <w:rsid w:val="3FD100D2"/>
    <w:rsid w:val="3FD55988"/>
    <w:rsid w:val="3FE03AB7"/>
    <w:rsid w:val="3FE10479"/>
    <w:rsid w:val="3FF33400"/>
    <w:rsid w:val="3FFF2FBA"/>
    <w:rsid w:val="3FFFCA38"/>
    <w:rsid w:val="4008248A"/>
    <w:rsid w:val="40151FE5"/>
    <w:rsid w:val="401B25AD"/>
    <w:rsid w:val="401F4AA1"/>
    <w:rsid w:val="40334BCE"/>
    <w:rsid w:val="403B3F6F"/>
    <w:rsid w:val="403C00CA"/>
    <w:rsid w:val="4046428C"/>
    <w:rsid w:val="404C0D0E"/>
    <w:rsid w:val="405A7C3B"/>
    <w:rsid w:val="406D13F2"/>
    <w:rsid w:val="407E26B1"/>
    <w:rsid w:val="40863438"/>
    <w:rsid w:val="408F243F"/>
    <w:rsid w:val="40985140"/>
    <w:rsid w:val="409A6EE8"/>
    <w:rsid w:val="40AC3868"/>
    <w:rsid w:val="40C8717C"/>
    <w:rsid w:val="40CE527F"/>
    <w:rsid w:val="40D45B3E"/>
    <w:rsid w:val="40D52C7B"/>
    <w:rsid w:val="40DF1457"/>
    <w:rsid w:val="40E671FE"/>
    <w:rsid w:val="41002317"/>
    <w:rsid w:val="41030E35"/>
    <w:rsid w:val="41196BFD"/>
    <w:rsid w:val="412769CC"/>
    <w:rsid w:val="412C7F8F"/>
    <w:rsid w:val="41344748"/>
    <w:rsid w:val="4135004E"/>
    <w:rsid w:val="41363C01"/>
    <w:rsid w:val="413C193F"/>
    <w:rsid w:val="415374D0"/>
    <w:rsid w:val="41700675"/>
    <w:rsid w:val="417E4C6C"/>
    <w:rsid w:val="418351D0"/>
    <w:rsid w:val="4185620E"/>
    <w:rsid w:val="418D65CF"/>
    <w:rsid w:val="41994793"/>
    <w:rsid w:val="41AE12EE"/>
    <w:rsid w:val="41B4140F"/>
    <w:rsid w:val="41B65472"/>
    <w:rsid w:val="41BC4620"/>
    <w:rsid w:val="41C0209A"/>
    <w:rsid w:val="41C53D52"/>
    <w:rsid w:val="41C80A89"/>
    <w:rsid w:val="41CE7C0B"/>
    <w:rsid w:val="41D96BAE"/>
    <w:rsid w:val="41E72C0E"/>
    <w:rsid w:val="41E8090D"/>
    <w:rsid w:val="41EA017C"/>
    <w:rsid w:val="41EE61B3"/>
    <w:rsid w:val="41F45E6E"/>
    <w:rsid w:val="41F74C6C"/>
    <w:rsid w:val="41FD27DD"/>
    <w:rsid w:val="420773A5"/>
    <w:rsid w:val="421137D3"/>
    <w:rsid w:val="42146974"/>
    <w:rsid w:val="42197A4E"/>
    <w:rsid w:val="424622E4"/>
    <w:rsid w:val="424C45B4"/>
    <w:rsid w:val="424C4859"/>
    <w:rsid w:val="425214A5"/>
    <w:rsid w:val="425C1690"/>
    <w:rsid w:val="42672AE3"/>
    <w:rsid w:val="427415DE"/>
    <w:rsid w:val="42882752"/>
    <w:rsid w:val="428970C0"/>
    <w:rsid w:val="428B0222"/>
    <w:rsid w:val="42A065E5"/>
    <w:rsid w:val="42A9004C"/>
    <w:rsid w:val="42B06F9B"/>
    <w:rsid w:val="42BA147F"/>
    <w:rsid w:val="42C062B2"/>
    <w:rsid w:val="42CB5122"/>
    <w:rsid w:val="42EE32FC"/>
    <w:rsid w:val="42F24C23"/>
    <w:rsid w:val="43014CE6"/>
    <w:rsid w:val="43102C90"/>
    <w:rsid w:val="431A7B56"/>
    <w:rsid w:val="431B1F06"/>
    <w:rsid w:val="43213EBD"/>
    <w:rsid w:val="43361F5E"/>
    <w:rsid w:val="434D7041"/>
    <w:rsid w:val="4350088E"/>
    <w:rsid w:val="436545E9"/>
    <w:rsid w:val="436C5462"/>
    <w:rsid w:val="436D0D30"/>
    <w:rsid w:val="4371243F"/>
    <w:rsid w:val="437C1CBF"/>
    <w:rsid w:val="438258CE"/>
    <w:rsid w:val="43947908"/>
    <w:rsid w:val="439873F8"/>
    <w:rsid w:val="43A644A3"/>
    <w:rsid w:val="43C00FC9"/>
    <w:rsid w:val="43D24BFD"/>
    <w:rsid w:val="43D84D01"/>
    <w:rsid w:val="43DC05F0"/>
    <w:rsid w:val="43E514BC"/>
    <w:rsid w:val="44010064"/>
    <w:rsid w:val="44277F65"/>
    <w:rsid w:val="442F4166"/>
    <w:rsid w:val="443B431D"/>
    <w:rsid w:val="445175A7"/>
    <w:rsid w:val="445B77D0"/>
    <w:rsid w:val="445D7C68"/>
    <w:rsid w:val="446D3343"/>
    <w:rsid w:val="44735770"/>
    <w:rsid w:val="44915BF6"/>
    <w:rsid w:val="44984905"/>
    <w:rsid w:val="449E7402"/>
    <w:rsid w:val="449F47B6"/>
    <w:rsid w:val="44A41DCD"/>
    <w:rsid w:val="44AB076B"/>
    <w:rsid w:val="44B87C9F"/>
    <w:rsid w:val="44C1472D"/>
    <w:rsid w:val="44C16CAB"/>
    <w:rsid w:val="44C35BC9"/>
    <w:rsid w:val="44E802C6"/>
    <w:rsid w:val="45060ED2"/>
    <w:rsid w:val="450A60D4"/>
    <w:rsid w:val="450E75B7"/>
    <w:rsid w:val="451D1297"/>
    <w:rsid w:val="451E1B7F"/>
    <w:rsid w:val="452432EE"/>
    <w:rsid w:val="45287844"/>
    <w:rsid w:val="45300B85"/>
    <w:rsid w:val="4540527E"/>
    <w:rsid w:val="45527E74"/>
    <w:rsid w:val="455308E6"/>
    <w:rsid w:val="4555378E"/>
    <w:rsid w:val="455561E0"/>
    <w:rsid w:val="45584411"/>
    <w:rsid w:val="45594965"/>
    <w:rsid w:val="455F0924"/>
    <w:rsid w:val="456735C0"/>
    <w:rsid w:val="456D2789"/>
    <w:rsid w:val="456D2D94"/>
    <w:rsid w:val="457C19E2"/>
    <w:rsid w:val="457E7A89"/>
    <w:rsid w:val="457F4834"/>
    <w:rsid w:val="45856C79"/>
    <w:rsid w:val="45A3243E"/>
    <w:rsid w:val="45A45CA6"/>
    <w:rsid w:val="45A86A88"/>
    <w:rsid w:val="45AA4C0F"/>
    <w:rsid w:val="45AE5B70"/>
    <w:rsid w:val="45AF7272"/>
    <w:rsid w:val="45B46107"/>
    <w:rsid w:val="45B50119"/>
    <w:rsid w:val="45B778DE"/>
    <w:rsid w:val="45B92231"/>
    <w:rsid w:val="45B9706C"/>
    <w:rsid w:val="45BE47AE"/>
    <w:rsid w:val="45C25217"/>
    <w:rsid w:val="45CB49F3"/>
    <w:rsid w:val="45CC591B"/>
    <w:rsid w:val="45E726AC"/>
    <w:rsid w:val="45EA68EF"/>
    <w:rsid w:val="45EF3866"/>
    <w:rsid w:val="45F2498B"/>
    <w:rsid w:val="45F435EA"/>
    <w:rsid w:val="45F776C2"/>
    <w:rsid w:val="46194F8D"/>
    <w:rsid w:val="461D5895"/>
    <w:rsid w:val="46252865"/>
    <w:rsid w:val="464F7E8C"/>
    <w:rsid w:val="466379A0"/>
    <w:rsid w:val="46795B73"/>
    <w:rsid w:val="46835F2C"/>
    <w:rsid w:val="469156ED"/>
    <w:rsid w:val="46A064B9"/>
    <w:rsid w:val="46B37073"/>
    <w:rsid w:val="46B37479"/>
    <w:rsid w:val="46B92C5E"/>
    <w:rsid w:val="46BC277A"/>
    <w:rsid w:val="46C53CB1"/>
    <w:rsid w:val="46C634BE"/>
    <w:rsid w:val="46CC5F1A"/>
    <w:rsid w:val="46CD70C7"/>
    <w:rsid w:val="46D25639"/>
    <w:rsid w:val="46DF3C89"/>
    <w:rsid w:val="46E456A4"/>
    <w:rsid w:val="46E8029E"/>
    <w:rsid w:val="46F04554"/>
    <w:rsid w:val="46F25184"/>
    <w:rsid w:val="47060B1D"/>
    <w:rsid w:val="470A1F4E"/>
    <w:rsid w:val="470B65BB"/>
    <w:rsid w:val="470C2336"/>
    <w:rsid w:val="470D3D85"/>
    <w:rsid w:val="470F2269"/>
    <w:rsid w:val="47111879"/>
    <w:rsid w:val="47115291"/>
    <w:rsid w:val="471A0099"/>
    <w:rsid w:val="4736778D"/>
    <w:rsid w:val="47440719"/>
    <w:rsid w:val="47487A5F"/>
    <w:rsid w:val="4764623A"/>
    <w:rsid w:val="476E6CED"/>
    <w:rsid w:val="477144CB"/>
    <w:rsid w:val="47737835"/>
    <w:rsid w:val="477B1ABA"/>
    <w:rsid w:val="477B7317"/>
    <w:rsid w:val="479003E6"/>
    <w:rsid w:val="479101D2"/>
    <w:rsid w:val="47A3396B"/>
    <w:rsid w:val="47AA5131"/>
    <w:rsid w:val="47AF4EE8"/>
    <w:rsid w:val="47B6200F"/>
    <w:rsid w:val="47CD3B64"/>
    <w:rsid w:val="47D35DB1"/>
    <w:rsid w:val="47FA303B"/>
    <w:rsid w:val="47FB783B"/>
    <w:rsid w:val="47FC782A"/>
    <w:rsid w:val="48050DD4"/>
    <w:rsid w:val="480A1E0A"/>
    <w:rsid w:val="480A63EB"/>
    <w:rsid w:val="480D3502"/>
    <w:rsid w:val="481E7563"/>
    <w:rsid w:val="483E684A"/>
    <w:rsid w:val="48522C79"/>
    <w:rsid w:val="48532744"/>
    <w:rsid w:val="48661D34"/>
    <w:rsid w:val="4870256A"/>
    <w:rsid w:val="48767174"/>
    <w:rsid w:val="487D54A1"/>
    <w:rsid w:val="48944C19"/>
    <w:rsid w:val="489E6887"/>
    <w:rsid w:val="48A04E07"/>
    <w:rsid w:val="48A15B36"/>
    <w:rsid w:val="48A64F09"/>
    <w:rsid w:val="48B00D40"/>
    <w:rsid w:val="48B77474"/>
    <w:rsid w:val="48BB76E5"/>
    <w:rsid w:val="48C04CFB"/>
    <w:rsid w:val="48EA1F71"/>
    <w:rsid w:val="48F1177C"/>
    <w:rsid w:val="49032001"/>
    <w:rsid w:val="490E2E80"/>
    <w:rsid w:val="491C5451"/>
    <w:rsid w:val="491C5DE6"/>
    <w:rsid w:val="491E1C32"/>
    <w:rsid w:val="492956CC"/>
    <w:rsid w:val="49413F52"/>
    <w:rsid w:val="494B6CBB"/>
    <w:rsid w:val="495264A5"/>
    <w:rsid w:val="49585F89"/>
    <w:rsid w:val="495E079C"/>
    <w:rsid w:val="496F3163"/>
    <w:rsid w:val="4970325B"/>
    <w:rsid w:val="497A16BC"/>
    <w:rsid w:val="498B7FB9"/>
    <w:rsid w:val="49951CE4"/>
    <w:rsid w:val="499875AE"/>
    <w:rsid w:val="499D18CA"/>
    <w:rsid w:val="49A41FD5"/>
    <w:rsid w:val="49A5110B"/>
    <w:rsid w:val="49A8454F"/>
    <w:rsid w:val="49A91BC0"/>
    <w:rsid w:val="49AC4C9B"/>
    <w:rsid w:val="49B223D6"/>
    <w:rsid w:val="49E73BAD"/>
    <w:rsid w:val="49EA4BDD"/>
    <w:rsid w:val="4A0B7E4D"/>
    <w:rsid w:val="4A1115B3"/>
    <w:rsid w:val="4A181F56"/>
    <w:rsid w:val="4A195F96"/>
    <w:rsid w:val="4A1D6A64"/>
    <w:rsid w:val="4A2135CB"/>
    <w:rsid w:val="4A255457"/>
    <w:rsid w:val="4A293372"/>
    <w:rsid w:val="4A2D06C2"/>
    <w:rsid w:val="4A3F61EB"/>
    <w:rsid w:val="4A457C70"/>
    <w:rsid w:val="4A60254F"/>
    <w:rsid w:val="4A690C8F"/>
    <w:rsid w:val="4A825F2B"/>
    <w:rsid w:val="4A8F5711"/>
    <w:rsid w:val="4A9858ED"/>
    <w:rsid w:val="4A9B5E30"/>
    <w:rsid w:val="4A9E1D36"/>
    <w:rsid w:val="4AA81BE0"/>
    <w:rsid w:val="4ABE090A"/>
    <w:rsid w:val="4ABF0059"/>
    <w:rsid w:val="4AC812BF"/>
    <w:rsid w:val="4AC81793"/>
    <w:rsid w:val="4ACC6808"/>
    <w:rsid w:val="4AEA314C"/>
    <w:rsid w:val="4AF3460B"/>
    <w:rsid w:val="4AFA5749"/>
    <w:rsid w:val="4B126B9F"/>
    <w:rsid w:val="4B15353E"/>
    <w:rsid w:val="4B2649EC"/>
    <w:rsid w:val="4B312C21"/>
    <w:rsid w:val="4B34064F"/>
    <w:rsid w:val="4B344B01"/>
    <w:rsid w:val="4B3519D1"/>
    <w:rsid w:val="4B394F62"/>
    <w:rsid w:val="4B44149B"/>
    <w:rsid w:val="4B461FA1"/>
    <w:rsid w:val="4B505E8B"/>
    <w:rsid w:val="4B7C0FC4"/>
    <w:rsid w:val="4B8B48EA"/>
    <w:rsid w:val="4B935E86"/>
    <w:rsid w:val="4B9B6DB2"/>
    <w:rsid w:val="4B9D454A"/>
    <w:rsid w:val="4BAF7C48"/>
    <w:rsid w:val="4BBA5F35"/>
    <w:rsid w:val="4BC42FEC"/>
    <w:rsid w:val="4BC46B51"/>
    <w:rsid w:val="4BCF1913"/>
    <w:rsid w:val="4BD05255"/>
    <w:rsid w:val="4BD74836"/>
    <w:rsid w:val="4BD80F46"/>
    <w:rsid w:val="4BDD6AEA"/>
    <w:rsid w:val="4BEB2A84"/>
    <w:rsid w:val="4C05635B"/>
    <w:rsid w:val="4C110813"/>
    <w:rsid w:val="4C183BDA"/>
    <w:rsid w:val="4C271C44"/>
    <w:rsid w:val="4C2D188F"/>
    <w:rsid w:val="4C3149C4"/>
    <w:rsid w:val="4C3B4FDC"/>
    <w:rsid w:val="4C3D27C9"/>
    <w:rsid w:val="4C3D6D8F"/>
    <w:rsid w:val="4C4360F4"/>
    <w:rsid w:val="4C471CF9"/>
    <w:rsid w:val="4C497B37"/>
    <w:rsid w:val="4C4D453F"/>
    <w:rsid w:val="4C541867"/>
    <w:rsid w:val="4C6644FE"/>
    <w:rsid w:val="4C6A3788"/>
    <w:rsid w:val="4C717BE6"/>
    <w:rsid w:val="4C80297D"/>
    <w:rsid w:val="4C9417C6"/>
    <w:rsid w:val="4C95087D"/>
    <w:rsid w:val="4C990151"/>
    <w:rsid w:val="4C9E7130"/>
    <w:rsid w:val="4CA25563"/>
    <w:rsid w:val="4CA40468"/>
    <w:rsid w:val="4CC66BA5"/>
    <w:rsid w:val="4CE20577"/>
    <w:rsid w:val="4CE36023"/>
    <w:rsid w:val="4CE37EE9"/>
    <w:rsid w:val="4CEE64ED"/>
    <w:rsid w:val="4CFF5ED3"/>
    <w:rsid w:val="4D222F7F"/>
    <w:rsid w:val="4D413775"/>
    <w:rsid w:val="4D413D05"/>
    <w:rsid w:val="4D442987"/>
    <w:rsid w:val="4D517593"/>
    <w:rsid w:val="4D532C20"/>
    <w:rsid w:val="4D6E142B"/>
    <w:rsid w:val="4D740721"/>
    <w:rsid w:val="4D75743A"/>
    <w:rsid w:val="4D810262"/>
    <w:rsid w:val="4D810694"/>
    <w:rsid w:val="4D847BDE"/>
    <w:rsid w:val="4D885D04"/>
    <w:rsid w:val="4D8E0D02"/>
    <w:rsid w:val="4DB47968"/>
    <w:rsid w:val="4DB97644"/>
    <w:rsid w:val="4DBE2066"/>
    <w:rsid w:val="4DCD36D9"/>
    <w:rsid w:val="4DCF2002"/>
    <w:rsid w:val="4DD23507"/>
    <w:rsid w:val="4DDB714B"/>
    <w:rsid w:val="4DE17BEE"/>
    <w:rsid w:val="4DE3189D"/>
    <w:rsid w:val="4DF35FC2"/>
    <w:rsid w:val="4DFE6D44"/>
    <w:rsid w:val="4E013C25"/>
    <w:rsid w:val="4E02431F"/>
    <w:rsid w:val="4E067EC7"/>
    <w:rsid w:val="4E0914D7"/>
    <w:rsid w:val="4E174236"/>
    <w:rsid w:val="4E1B08FD"/>
    <w:rsid w:val="4E1F46AE"/>
    <w:rsid w:val="4E2D2CB0"/>
    <w:rsid w:val="4E2F2F55"/>
    <w:rsid w:val="4E315603"/>
    <w:rsid w:val="4E363BFC"/>
    <w:rsid w:val="4E4166B5"/>
    <w:rsid w:val="4E425E1E"/>
    <w:rsid w:val="4E452DBC"/>
    <w:rsid w:val="4E460EA4"/>
    <w:rsid w:val="4E4E56F9"/>
    <w:rsid w:val="4E4F1509"/>
    <w:rsid w:val="4E5F4911"/>
    <w:rsid w:val="4E6C1DEA"/>
    <w:rsid w:val="4E750842"/>
    <w:rsid w:val="4E766588"/>
    <w:rsid w:val="4E7B5D66"/>
    <w:rsid w:val="4E7C2785"/>
    <w:rsid w:val="4E7F769E"/>
    <w:rsid w:val="4E804743"/>
    <w:rsid w:val="4E824A5E"/>
    <w:rsid w:val="4E8D7060"/>
    <w:rsid w:val="4E914FC2"/>
    <w:rsid w:val="4E9478CC"/>
    <w:rsid w:val="4E9C0017"/>
    <w:rsid w:val="4E9D57F2"/>
    <w:rsid w:val="4EA50606"/>
    <w:rsid w:val="4EAC5F97"/>
    <w:rsid w:val="4EAD19C4"/>
    <w:rsid w:val="4EB81245"/>
    <w:rsid w:val="4EB9387B"/>
    <w:rsid w:val="4EC05A55"/>
    <w:rsid w:val="4EC95CE1"/>
    <w:rsid w:val="4ED937FE"/>
    <w:rsid w:val="4EE11040"/>
    <w:rsid w:val="4EEA53C2"/>
    <w:rsid w:val="4EEA7980"/>
    <w:rsid w:val="4EEF4B91"/>
    <w:rsid w:val="4EF55292"/>
    <w:rsid w:val="4EFF04C8"/>
    <w:rsid w:val="4F020299"/>
    <w:rsid w:val="4F193009"/>
    <w:rsid w:val="4F1A55B1"/>
    <w:rsid w:val="4F2064F4"/>
    <w:rsid w:val="4F216F0D"/>
    <w:rsid w:val="4F287F42"/>
    <w:rsid w:val="4F317E38"/>
    <w:rsid w:val="4F322E5A"/>
    <w:rsid w:val="4F340ACC"/>
    <w:rsid w:val="4F40679C"/>
    <w:rsid w:val="4F425B41"/>
    <w:rsid w:val="4F5B7732"/>
    <w:rsid w:val="4F731D97"/>
    <w:rsid w:val="4F863CEA"/>
    <w:rsid w:val="4F8E380C"/>
    <w:rsid w:val="4F9540B9"/>
    <w:rsid w:val="4F9F566B"/>
    <w:rsid w:val="4F9F6734"/>
    <w:rsid w:val="4FA12817"/>
    <w:rsid w:val="4FAF6685"/>
    <w:rsid w:val="4FB31116"/>
    <w:rsid w:val="4FB8741A"/>
    <w:rsid w:val="4FC46188"/>
    <w:rsid w:val="4FD159FE"/>
    <w:rsid w:val="4FD25E95"/>
    <w:rsid w:val="4FDD3A7F"/>
    <w:rsid w:val="4FE04F25"/>
    <w:rsid w:val="4FF84F5F"/>
    <w:rsid w:val="4FFB1042"/>
    <w:rsid w:val="4FFC2ABD"/>
    <w:rsid w:val="4FFD2B5D"/>
    <w:rsid w:val="501B5EF2"/>
    <w:rsid w:val="5023629C"/>
    <w:rsid w:val="50292F4D"/>
    <w:rsid w:val="502C1B48"/>
    <w:rsid w:val="50491571"/>
    <w:rsid w:val="504E4B13"/>
    <w:rsid w:val="50534BEB"/>
    <w:rsid w:val="50611263"/>
    <w:rsid w:val="50615C9C"/>
    <w:rsid w:val="50624749"/>
    <w:rsid w:val="50624806"/>
    <w:rsid w:val="506F24DD"/>
    <w:rsid w:val="50720485"/>
    <w:rsid w:val="50854860"/>
    <w:rsid w:val="508605D9"/>
    <w:rsid w:val="508D2516"/>
    <w:rsid w:val="508D6964"/>
    <w:rsid w:val="509673EA"/>
    <w:rsid w:val="50AE2A27"/>
    <w:rsid w:val="50AE6EB8"/>
    <w:rsid w:val="50DC516E"/>
    <w:rsid w:val="50E825A5"/>
    <w:rsid w:val="50ED2B10"/>
    <w:rsid w:val="50F25C6E"/>
    <w:rsid w:val="50F641CA"/>
    <w:rsid w:val="510A38B1"/>
    <w:rsid w:val="511E595C"/>
    <w:rsid w:val="5135052B"/>
    <w:rsid w:val="51426BF5"/>
    <w:rsid w:val="51525993"/>
    <w:rsid w:val="51544338"/>
    <w:rsid w:val="515D3F33"/>
    <w:rsid w:val="51680D3A"/>
    <w:rsid w:val="516D4037"/>
    <w:rsid w:val="51756FC7"/>
    <w:rsid w:val="517729DD"/>
    <w:rsid w:val="517858CE"/>
    <w:rsid w:val="5189040D"/>
    <w:rsid w:val="519805C3"/>
    <w:rsid w:val="519B7F47"/>
    <w:rsid w:val="51A1138F"/>
    <w:rsid w:val="51AF4F35"/>
    <w:rsid w:val="51B35069"/>
    <w:rsid w:val="51BC5ACC"/>
    <w:rsid w:val="51C55D72"/>
    <w:rsid w:val="51C958BE"/>
    <w:rsid w:val="51CC08CF"/>
    <w:rsid w:val="51D204BE"/>
    <w:rsid w:val="51D9488C"/>
    <w:rsid w:val="51DB759A"/>
    <w:rsid w:val="51F405E2"/>
    <w:rsid w:val="51F45B52"/>
    <w:rsid w:val="52041E26"/>
    <w:rsid w:val="520527C7"/>
    <w:rsid w:val="520C5A77"/>
    <w:rsid w:val="520F3BC8"/>
    <w:rsid w:val="523522B6"/>
    <w:rsid w:val="5245738A"/>
    <w:rsid w:val="5269731C"/>
    <w:rsid w:val="526A4359"/>
    <w:rsid w:val="52711F3C"/>
    <w:rsid w:val="5272748D"/>
    <w:rsid w:val="52823F6A"/>
    <w:rsid w:val="528A406D"/>
    <w:rsid w:val="529979B3"/>
    <w:rsid w:val="529C2700"/>
    <w:rsid w:val="529C40E3"/>
    <w:rsid w:val="52B06007"/>
    <w:rsid w:val="52C02AD1"/>
    <w:rsid w:val="52CA0CE5"/>
    <w:rsid w:val="52D11CE2"/>
    <w:rsid w:val="52D92ACB"/>
    <w:rsid w:val="52E12DA6"/>
    <w:rsid w:val="52EA7F96"/>
    <w:rsid w:val="52F14C6F"/>
    <w:rsid w:val="530829F0"/>
    <w:rsid w:val="531A554E"/>
    <w:rsid w:val="531E0F9C"/>
    <w:rsid w:val="532E5683"/>
    <w:rsid w:val="534B58E0"/>
    <w:rsid w:val="535C0ABD"/>
    <w:rsid w:val="535D7C11"/>
    <w:rsid w:val="53640CAC"/>
    <w:rsid w:val="53710FFA"/>
    <w:rsid w:val="537D65C2"/>
    <w:rsid w:val="538552ED"/>
    <w:rsid w:val="538C2996"/>
    <w:rsid w:val="538D3D20"/>
    <w:rsid w:val="53BB3DEA"/>
    <w:rsid w:val="53BB61C7"/>
    <w:rsid w:val="53BD2965"/>
    <w:rsid w:val="53CB09D3"/>
    <w:rsid w:val="53D457EE"/>
    <w:rsid w:val="53D55F5F"/>
    <w:rsid w:val="53DF5EFD"/>
    <w:rsid w:val="53E27D52"/>
    <w:rsid w:val="53ED03CF"/>
    <w:rsid w:val="53F6133F"/>
    <w:rsid w:val="541E7C60"/>
    <w:rsid w:val="541F7C9F"/>
    <w:rsid w:val="5424616B"/>
    <w:rsid w:val="54265B5E"/>
    <w:rsid w:val="54330A77"/>
    <w:rsid w:val="54342C25"/>
    <w:rsid w:val="543B7103"/>
    <w:rsid w:val="54465D45"/>
    <w:rsid w:val="54485F67"/>
    <w:rsid w:val="544C3023"/>
    <w:rsid w:val="5463667D"/>
    <w:rsid w:val="54877909"/>
    <w:rsid w:val="5488350A"/>
    <w:rsid w:val="54921C42"/>
    <w:rsid w:val="54AE6B07"/>
    <w:rsid w:val="54B90F7D"/>
    <w:rsid w:val="54BB6FFA"/>
    <w:rsid w:val="54BD1FDF"/>
    <w:rsid w:val="54BF2DC9"/>
    <w:rsid w:val="54C51A6B"/>
    <w:rsid w:val="54CE3180"/>
    <w:rsid w:val="54F71B19"/>
    <w:rsid w:val="55072A4B"/>
    <w:rsid w:val="55085A60"/>
    <w:rsid w:val="55173E54"/>
    <w:rsid w:val="55200136"/>
    <w:rsid w:val="5523289A"/>
    <w:rsid w:val="552929F7"/>
    <w:rsid w:val="552C5495"/>
    <w:rsid w:val="55336B96"/>
    <w:rsid w:val="554259FB"/>
    <w:rsid w:val="555A7E5A"/>
    <w:rsid w:val="557C4CE4"/>
    <w:rsid w:val="557F08FB"/>
    <w:rsid w:val="55832775"/>
    <w:rsid w:val="55915C5C"/>
    <w:rsid w:val="559F0FA0"/>
    <w:rsid w:val="559F6647"/>
    <w:rsid w:val="55A35EA2"/>
    <w:rsid w:val="55B71F05"/>
    <w:rsid w:val="55B84BFE"/>
    <w:rsid w:val="55B860B5"/>
    <w:rsid w:val="55D765D8"/>
    <w:rsid w:val="55DB13C7"/>
    <w:rsid w:val="55E74F22"/>
    <w:rsid w:val="55ED4953"/>
    <w:rsid w:val="55F04FF6"/>
    <w:rsid w:val="55FD5C05"/>
    <w:rsid w:val="562C39D0"/>
    <w:rsid w:val="5633556B"/>
    <w:rsid w:val="563B4759"/>
    <w:rsid w:val="56440D1A"/>
    <w:rsid w:val="5649100F"/>
    <w:rsid w:val="565408CC"/>
    <w:rsid w:val="565B01D1"/>
    <w:rsid w:val="56604743"/>
    <w:rsid w:val="569B5175"/>
    <w:rsid w:val="56A63A6B"/>
    <w:rsid w:val="56A97394"/>
    <w:rsid w:val="56AF23B9"/>
    <w:rsid w:val="56BB5F3C"/>
    <w:rsid w:val="56BD608E"/>
    <w:rsid w:val="56BFAE93"/>
    <w:rsid w:val="56C25877"/>
    <w:rsid w:val="56CF79B5"/>
    <w:rsid w:val="56D26326"/>
    <w:rsid w:val="56D701ED"/>
    <w:rsid w:val="56DB31FB"/>
    <w:rsid w:val="56E36888"/>
    <w:rsid w:val="56E6075F"/>
    <w:rsid w:val="56ED6A4F"/>
    <w:rsid w:val="56FB0B62"/>
    <w:rsid w:val="56FB38F8"/>
    <w:rsid w:val="572B7D76"/>
    <w:rsid w:val="57480204"/>
    <w:rsid w:val="574F1705"/>
    <w:rsid w:val="575346E6"/>
    <w:rsid w:val="57546437"/>
    <w:rsid w:val="57596A47"/>
    <w:rsid w:val="575C4647"/>
    <w:rsid w:val="57700C66"/>
    <w:rsid w:val="57710FE8"/>
    <w:rsid w:val="57881DA7"/>
    <w:rsid w:val="579652ED"/>
    <w:rsid w:val="57B856D0"/>
    <w:rsid w:val="57BB11C0"/>
    <w:rsid w:val="57D74343"/>
    <w:rsid w:val="57DA7B88"/>
    <w:rsid w:val="57F41F18"/>
    <w:rsid w:val="58216B9E"/>
    <w:rsid w:val="582270EA"/>
    <w:rsid w:val="584611FC"/>
    <w:rsid w:val="584625B9"/>
    <w:rsid w:val="585636CA"/>
    <w:rsid w:val="585E073D"/>
    <w:rsid w:val="586B2AA2"/>
    <w:rsid w:val="586D6BD1"/>
    <w:rsid w:val="58750470"/>
    <w:rsid w:val="58783F4D"/>
    <w:rsid w:val="58870D6E"/>
    <w:rsid w:val="58896317"/>
    <w:rsid w:val="588E1216"/>
    <w:rsid w:val="58934D65"/>
    <w:rsid w:val="589F3F28"/>
    <w:rsid w:val="58A5484D"/>
    <w:rsid w:val="58A82EAD"/>
    <w:rsid w:val="58B25CD4"/>
    <w:rsid w:val="58B53004"/>
    <w:rsid w:val="58B6180A"/>
    <w:rsid w:val="58B70F82"/>
    <w:rsid w:val="58D36A81"/>
    <w:rsid w:val="58DA2A14"/>
    <w:rsid w:val="58E14760"/>
    <w:rsid w:val="58E1680A"/>
    <w:rsid w:val="58E47279"/>
    <w:rsid w:val="58F36328"/>
    <w:rsid w:val="58F505A7"/>
    <w:rsid w:val="591A2206"/>
    <w:rsid w:val="59220B64"/>
    <w:rsid w:val="59241213"/>
    <w:rsid w:val="5925099C"/>
    <w:rsid w:val="592C120A"/>
    <w:rsid w:val="5949196E"/>
    <w:rsid w:val="594B23BF"/>
    <w:rsid w:val="5959426B"/>
    <w:rsid w:val="596976B8"/>
    <w:rsid w:val="596D62FA"/>
    <w:rsid w:val="5971576F"/>
    <w:rsid w:val="59791019"/>
    <w:rsid w:val="598067A1"/>
    <w:rsid w:val="598633F7"/>
    <w:rsid w:val="598725D6"/>
    <w:rsid w:val="59A71CEC"/>
    <w:rsid w:val="59A80A2C"/>
    <w:rsid w:val="59B039A6"/>
    <w:rsid w:val="59B62442"/>
    <w:rsid w:val="59C3586B"/>
    <w:rsid w:val="59DB7BE7"/>
    <w:rsid w:val="59E67BEF"/>
    <w:rsid w:val="5A044CD7"/>
    <w:rsid w:val="5A1E35BF"/>
    <w:rsid w:val="5A214555"/>
    <w:rsid w:val="5A225816"/>
    <w:rsid w:val="5A3A31C3"/>
    <w:rsid w:val="5A3B0D0B"/>
    <w:rsid w:val="5A3B1862"/>
    <w:rsid w:val="5A3E7416"/>
    <w:rsid w:val="5A4548FE"/>
    <w:rsid w:val="5A466973"/>
    <w:rsid w:val="5A47527D"/>
    <w:rsid w:val="5A52173F"/>
    <w:rsid w:val="5A5D2B2C"/>
    <w:rsid w:val="5A634F64"/>
    <w:rsid w:val="5A6A1854"/>
    <w:rsid w:val="5A771855"/>
    <w:rsid w:val="5A7B26EA"/>
    <w:rsid w:val="5A882E77"/>
    <w:rsid w:val="5A9C6BCC"/>
    <w:rsid w:val="5A9E4986"/>
    <w:rsid w:val="5A9F5E78"/>
    <w:rsid w:val="5AA35018"/>
    <w:rsid w:val="5AAC21B6"/>
    <w:rsid w:val="5AB42467"/>
    <w:rsid w:val="5AC8583D"/>
    <w:rsid w:val="5AC95E45"/>
    <w:rsid w:val="5AD32B73"/>
    <w:rsid w:val="5AE3680F"/>
    <w:rsid w:val="5AE64A95"/>
    <w:rsid w:val="5AFE1DDF"/>
    <w:rsid w:val="5B0077AE"/>
    <w:rsid w:val="5B0373F5"/>
    <w:rsid w:val="5B1340E6"/>
    <w:rsid w:val="5B295D1F"/>
    <w:rsid w:val="5B391A07"/>
    <w:rsid w:val="5B4D72F6"/>
    <w:rsid w:val="5B556495"/>
    <w:rsid w:val="5B557C15"/>
    <w:rsid w:val="5B70435F"/>
    <w:rsid w:val="5B7130F1"/>
    <w:rsid w:val="5B744020"/>
    <w:rsid w:val="5B7D1D66"/>
    <w:rsid w:val="5B8F6493"/>
    <w:rsid w:val="5B9861E9"/>
    <w:rsid w:val="5B990374"/>
    <w:rsid w:val="5B9C4B16"/>
    <w:rsid w:val="5BC6564F"/>
    <w:rsid w:val="5BD62414"/>
    <w:rsid w:val="5BD7058C"/>
    <w:rsid w:val="5BDC11F0"/>
    <w:rsid w:val="5BED02C0"/>
    <w:rsid w:val="5BEF2162"/>
    <w:rsid w:val="5BF05CDF"/>
    <w:rsid w:val="5BFA16FB"/>
    <w:rsid w:val="5C1F5A65"/>
    <w:rsid w:val="5C4066A5"/>
    <w:rsid w:val="5C5E432F"/>
    <w:rsid w:val="5C761B75"/>
    <w:rsid w:val="5C7A210E"/>
    <w:rsid w:val="5C820272"/>
    <w:rsid w:val="5C846692"/>
    <w:rsid w:val="5C8A064E"/>
    <w:rsid w:val="5CB33834"/>
    <w:rsid w:val="5CBC1860"/>
    <w:rsid w:val="5CBF40CA"/>
    <w:rsid w:val="5CC46C82"/>
    <w:rsid w:val="5CD14EB6"/>
    <w:rsid w:val="5CDD730A"/>
    <w:rsid w:val="5CE22035"/>
    <w:rsid w:val="5CF7587D"/>
    <w:rsid w:val="5D222DF7"/>
    <w:rsid w:val="5D272917"/>
    <w:rsid w:val="5D385550"/>
    <w:rsid w:val="5D491040"/>
    <w:rsid w:val="5D552C05"/>
    <w:rsid w:val="5D704AEA"/>
    <w:rsid w:val="5D8538F5"/>
    <w:rsid w:val="5D8D253F"/>
    <w:rsid w:val="5DA9259B"/>
    <w:rsid w:val="5DAF62A3"/>
    <w:rsid w:val="5DE05FAF"/>
    <w:rsid w:val="5DE27014"/>
    <w:rsid w:val="5DE43D38"/>
    <w:rsid w:val="5DED40FD"/>
    <w:rsid w:val="5DEF45E6"/>
    <w:rsid w:val="5DF070C7"/>
    <w:rsid w:val="5DF516E7"/>
    <w:rsid w:val="5DF6625D"/>
    <w:rsid w:val="5DFB78A1"/>
    <w:rsid w:val="5E042740"/>
    <w:rsid w:val="5E074541"/>
    <w:rsid w:val="5E131ECE"/>
    <w:rsid w:val="5E177F67"/>
    <w:rsid w:val="5E2824F8"/>
    <w:rsid w:val="5E312342"/>
    <w:rsid w:val="5E3953DC"/>
    <w:rsid w:val="5E546526"/>
    <w:rsid w:val="5E5E3C7C"/>
    <w:rsid w:val="5E622685"/>
    <w:rsid w:val="5E64014B"/>
    <w:rsid w:val="5E692BF8"/>
    <w:rsid w:val="5E6F461C"/>
    <w:rsid w:val="5E7E1181"/>
    <w:rsid w:val="5E8B1DC8"/>
    <w:rsid w:val="5E8E5AFF"/>
    <w:rsid w:val="5E8E66C2"/>
    <w:rsid w:val="5E921A5B"/>
    <w:rsid w:val="5E983765"/>
    <w:rsid w:val="5E992D6E"/>
    <w:rsid w:val="5EA83F0C"/>
    <w:rsid w:val="5EB1580B"/>
    <w:rsid w:val="5EBF6C53"/>
    <w:rsid w:val="5ECC6B94"/>
    <w:rsid w:val="5EDD765C"/>
    <w:rsid w:val="5EE132BE"/>
    <w:rsid w:val="5EE21FEF"/>
    <w:rsid w:val="5EE809FF"/>
    <w:rsid w:val="5EEB1B3A"/>
    <w:rsid w:val="5F0454EA"/>
    <w:rsid w:val="5F060738"/>
    <w:rsid w:val="5F080754"/>
    <w:rsid w:val="5F1052C0"/>
    <w:rsid w:val="5F117322"/>
    <w:rsid w:val="5F175124"/>
    <w:rsid w:val="5F1C1314"/>
    <w:rsid w:val="5F324694"/>
    <w:rsid w:val="5F3308FB"/>
    <w:rsid w:val="5F3B5A4A"/>
    <w:rsid w:val="5F416AD5"/>
    <w:rsid w:val="5F603A43"/>
    <w:rsid w:val="5F654C59"/>
    <w:rsid w:val="5F681618"/>
    <w:rsid w:val="5F685995"/>
    <w:rsid w:val="5F6E0BB6"/>
    <w:rsid w:val="5F8715C5"/>
    <w:rsid w:val="5FA00370"/>
    <w:rsid w:val="5FA23C0D"/>
    <w:rsid w:val="5FA97B31"/>
    <w:rsid w:val="5FAE30F2"/>
    <w:rsid w:val="5FBD68DE"/>
    <w:rsid w:val="5FBF1411"/>
    <w:rsid w:val="5FCF11F2"/>
    <w:rsid w:val="5FD02B65"/>
    <w:rsid w:val="5FEF131A"/>
    <w:rsid w:val="60014213"/>
    <w:rsid w:val="60061C8E"/>
    <w:rsid w:val="60066843"/>
    <w:rsid w:val="60070445"/>
    <w:rsid w:val="600B4656"/>
    <w:rsid w:val="600C0AFA"/>
    <w:rsid w:val="600F7CBF"/>
    <w:rsid w:val="60145BE9"/>
    <w:rsid w:val="602E6BAE"/>
    <w:rsid w:val="6030036E"/>
    <w:rsid w:val="60321761"/>
    <w:rsid w:val="603B432F"/>
    <w:rsid w:val="603F58EB"/>
    <w:rsid w:val="60405809"/>
    <w:rsid w:val="604208D0"/>
    <w:rsid w:val="60495D3A"/>
    <w:rsid w:val="604F07E6"/>
    <w:rsid w:val="6050092C"/>
    <w:rsid w:val="6053679E"/>
    <w:rsid w:val="60615395"/>
    <w:rsid w:val="606352D7"/>
    <w:rsid w:val="608B58E7"/>
    <w:rsid w:val="608E3EBE"/>
    <w:rsid w:val="609548B6"/>
    <w:rsid w:val="60AB1B22"/>
    <w:rsid w:val="60BE4E95"/>
    <w:rsid w:val="60C53FFF"/>
    <w:rsid w:val="60CE1419"/>
    <w:rsid w:val="60D060CA"/>
    <w:rsid w:val="60D23FB5"/>
    <w:rsid w:val="60DB5A3B"/>
    <w:rsid w:val="60E03D35"/>
    <w:rsid w:val="60E67FD5"/>
    <w:rsid w:val="60EA40C6"/>
    <w:rsid w:val="60FB2DC7"/>
    <w:rsid w:val="60FB3346"/>
    <w:rsid w:val="60FE387E"/>
    <w:rsid w:val="61077C47"/>
    <w:rsid w:val="610859DB"/>
    <w:rsid w:val="611A1414"/>
    <w:rsid w:val="611F0DC5"/>
    <w:rsid w:val="61287D74"/>
    <w:rsid w:val="612E045B"/>
    <w:rsid w:val="612E4A80"/>
    <w:rsid w:val="613555BA"/>
    <w:rsid w:val="61362008"/>
    <w:rsid w:val="614868F3"/>
    <w:rsid w:val="61527746"/>
    <w:rsid w:val="615B08EF"/>
    <w:rsid w:val="615B2AA4"/>
    <w:rsid w:val="61601744"/>
    <w:rsid w:val="616745B9"/>
    <w:rsid w:val="616A46AA"/>
    <w:rsid w:val="6178545B"/>
    <w:rsid w:val="617B06C3"/>
    <w:rsid w:val="61882403"/>
    <w:rsid w:val="6190296C"/>
    <w:rsid w:val="61994B35"/>
    <w:rsid w:val="619B25B8"/>
    <w:rsid w:val="619B3521"/>
    <w:rsid w:val="61A87821"/>
    <w:rsid w:val="61BB7859"/>
    <w:rsid w:val="61BE4076"/>
    <w:rsid w:val="61C34597"/>
    <w:rsid w:val="61CD47C2"/>
    <w:rsid w:val="61D11707"/>
    <w:rsid w:val="61D50805"/>
    <w:rsid w:val="61D867CE"/>
    <w:rsid w:val="61D92C5E"/>
    <w:rsid w:val="61E6537B"/>
    <w:rsid w:val="61EE3FF7"/>
    <w:rsid w:val="62023AA5"/>
    <w:rsid w:val="62025657"/>
    <w:rsid w:val="6208352F"/>
    <w:rsid w:val="620B0D4D"/>
    <w:rsid w:val="621D541D"/>
    <w:rsid w:val="62295F11"/>
    <w:rsid w:val="622A0CE9"/>
    <w:rsid w:val="6237161D"/>
    <w:rsid w:val="62425BD4"/>
    <w:rsid w:val="625469B4"/>
    <w:rsid w:val="625664E0"/>
    <w:rsid w:val="62623953"/>
    <w:rsid w:val="626537E0"/>
    <w:rsid w:val="62654AC1"/>
    <w:rsid w:val="62662018"/>
    <w:rsid w:val="626A15EF"/>
    <w:rsid w:val="627306D4"/>
    <w:rsid w:val="62742987"/>
    <w:rsid w:val="62832C3E"/>
    <w:rsid w:val="628E5862"/>
    <w:rsid w:val="62931B90"/>
    <w:rsid w:val="62970F08"/>
    <w:rsid w:val="629B237B"/>
    <w:rsid w:val="62AD7C47"/>
    <w:rsid w:val="62B75221"/>
    <w:rsid w:val="62B81491"/>
    <w:rsid w:val="62C57EC0"/>
    <w:rsid w:val="62C7276D"/>
    <w:rsid w:val="62CA475F"/>
    <w:rsid w:val="62D13FB8"/>
    <w:rsid w:val="62D34DD2"/>
    <w:rsid w:val="62D522DA"/>
    <w:rsid w:val="62E0403B"/>
    <w:rsid w:val="62E77D1A"/>
    <w:rsid w:val="62F33D61"/>
    <w:rsid w:val="62F41FFC"/>
    <w:rsid w:val="62F826CC"/>
    <w:rsid w:val="62FD35E5"/>
    <w:rsid w:val="62FF6C09"/>
    <w:rsid w:val="630A67C2"/>
    <w:rsid w:val="630F44ED"/>
    <w:rsid w:val="631810DE"/>
    <w:rsid w:val="631D413D"/>
    <w:rsid w:val="63260AD7"/>
    <w:rsid w:val="634734CF"/>
    <w:rsid w:val="634A442A"/>
    <w:rsid w:val="635C14E4"/>
    <w:rsid w:val="63691D6E"/>
    <w:rsid w:val="636C5F8B"/>
    <w:rsid w:val="637721C3"/>
    <w:rsid w:val="637F3391"/>
    <w:rsid w:val="638B36A0"/>
    <w:rsid w:val="638D1F52"/>
    <w:rsid w:val="639A4752"/>
    <w:rsid w:val="63BD558F"/>
    <w:rsid w:val="63CF256C"/>
    <w:rsid w:val="63CF276F"/>
    <w:rsid w:val="63D567C7"/>
    <w:rsid w:val="63EF4A2D"/>
    <w:rsid w:val="63F279DE"/>
    <w:rsid w:val="63F844A0"/>
    <w:rsid w:val="63FC093D"/>
    <w:rsid w:val="640257A0"/>
    <w:rsid w:val="64086206"/>
    <w:rsid w:val="640C526F"/>
    <w:rsid w:val="641D178B"/>
    <w:rsid w:val="6426218D"/>
    <w:rsid w:val="64273EFE"/>
    <w:rsid w:val="642B176B"/>
    <w:rsid w:val="644D4CA4"/>
    <w:rsid w:val="64710683"/>
    <w:rsid w:val="64852734"/>
    <w:rsid w:val="64987A19"/>
    <w:rsid w:val="649E7692"/>
    <w:rsid w:val="64A27ACE"/>
    <w:rsid w:val="64AC27F7"/>
    <w:rsid w:val="64AD4784"/>
    <w:rsid w:val="64AE53F7"/>
    <w:rsid w:val="64B1091C"/>
    <w:rsid w:val="64B97D5A"/>
    <w:rsid w:val="64BD18CD"/>
    <w:rsid w:val="64BE336A"/>
    <w:rsid w:val="64C61CB5"/>
    <w:rsid w:val="64CE1865"/>
    <w:rsid w:val="64CE1E95"/>
    <w:rsid w:val="64DD17D5"/>
    <w:rsid w:val="64DD253C"/>
    <w:rsid w:val="64E32C0D"/>
    <w:rsid w:val="64E34381"/>
    <w:rsid w:val="64EC7DBE"/>
    <w:rsid w:val="64F03F09"/>
    <w:rsid w:val="64F73B49"/>
    <w:rsid w:val="64FE5FDC"/>
    <w:rsid w:val="65127BC9"/>
    <w:rsid w:val="65226F5B"/>
    <w:rsid w:val="653415BC"/>
    <w:rsid w:val="65380875"/>
    <w:rsid w:val="65494717"/>
    <w:rsid w:val="65597459"/>
    <w:rsid w:val="656777B1"/>
    <w:rsid w:val="65744BBB"/>
    <w:rsid w:val="65745756"/>
    <w:rsid w:val="657573D6"/>
    <w:rsid w:val="6579572F"/>
    <w:rsid w:val="657D1B52"/>
    <w:rsid w:val="657F44B1"/>
    <w:rsid w:val="65856998"/>
    <w:rsid w:val="6598361E"/>
    <w:rsid w:val="65A05D6F"/>
    <w:rsid w:val="65A35E8E"/>
    <w:rsid w:val="65AA47C1"/>
    <w:rsid w:val="65BC65E7"/>
    <w:rsid w:val="65CC5645"/>
    <w:rsid w:val="65D11E9E"/>
    <w:rsid w:val="65D167B0"/>
    <w:rsid w:val="65DD6469"/>
    <w:rsid w:val="65E74C15"/>
    <w:rsid w:val="65E96EF5"/>
    <w:rsid w:val="65EB0A1F"/>
    <w:rsid w:val="65F13345"/>
    <w:rsid w:val="65F51309"/>
    <w:rsid w:val="65FB22AF"/>
    <w:rsid w:val="66060C04"/>
    <w:rsid w:val="660F0098"/>
    <w:rsid w:val="66236B0A"/>
    <w:rsid w:val="6626537D"/>
    <w:rsid w:val="66321A5D"/>
    <w:rsid w:val="665976DA"/>
    <w:rsid w:val="665978D6"/>
    <w:rsid w:val="66652D12"/>
    <w:rsid w:val="666F6D80"/>
    <w:rsid w:val="667245C3"/>
    <w:rsid w:val="667A103B"/>
    <w:rsid w:val="66853957"/>
    <w:rsid w:val="669B6A87"/>
    <w:rsid w:val="669E65F5"/>
    <w:rsid w:val="66A5202F"/>
    <w:rsid w:val="66A81B0A"/>
    <w:rsid w:val="66AE1E81"/>
    <w:rsid w:val="66B60E53"/>
    <w:rsid w:val="66DB7D5A"/>
    <w:rsid w:val="66E21BDB"/>
    <w:rsid w:val="66E42BA0"/>
    <w:rsid w:val="66E9646E"/>
    <w:rsid w:val="66E96BD0"/>
    <w:rsid w:val="66F42FFF"/>
    <w:rsid w:val="66F437F4"/>
    <w:rsid w:val="66F754AA"/>
    <w:rsid w:val="671169F6"/>
    <w:rsid w:val="67132309"/>
    <w:rsid w:val="671A71FC"/>
    <w:rsid w:val="672C28D6"/>
    <w:rsid w:val="6735169B"/>
    <w:rsid w:val="67414D32"/>
    <w:rsid w:val="67432E7D"/>
    <w:rsid w:val="674735A2"/>
    <w:rsid w:val="67601856"/>
    <w:rsid w:val="67630A4B"/>
    <w:rsid w:val="67631CA4"/>
    <w:rsid w:val="677129D0"/>
    <w:rsid w:val="677B7977"/>
    <w:rsid w:val="67862C1B"/>
    <w:rsid w:val="67A34B3C"/>
    <w:rsid w:val="67AD2A5C"/>
    <w:rsid w:val="67B41268"/>
    <w:rsid w:val="67B52DAC"/>
    <w:rsid w:val="67C10C5B"/>
    <w:rsid w:val="67C51289"/>
    <w:rsid w:val="67D30EB3"/>
    <w:rsid w:val="67E40DD3"/>
    <w:rsid w:val="67E4371F"/>
    <w:rsid w:val="67E87AD0"/>
    <w:rsid w:val="67F03D35"/>
    <w:rsid w:val="67F307F2"/>
    <w:rsid w:val="67F43B4F"/>
    <w:rsid w:val="67F66C43"/>
    <w:rsid w:val="68106CAE"/>
    <w:rsid w:val="68156360"/>
    <w:rsid w:val="681D2B64"/>
    <w:rsid w:val="681E4C98"/>
    <w:rsid w:val="683A01CF"/>
    <w:rsid w:val="6843548D"/>
    <w:rsid w:val="684D4EE7"/>
    <w:rsid w:val="685B6E87"/>
    <w:rsid w:val="685D0876"/>
    <w:rsid w:val="68600D58"/>
    <w:rsid w:val="686058A9"/>
    <w:rsid w:val="68624B41"/>
    <w:rsid w:val="68711D67"/>
    <w:rsid w:val="68794A24"/>
    <w:rsid w:val="687B51E8"/>
    <w:rsid w:val="687D3B3C"/>
    <w:rsid w:val="687E0414"/>
    <w:rsid w:val="688B3417"/>
    <w:rsid w:val="68911E74"/>
    <w:rsid w:val="68921DB9"/>
    <w:rsid w:val="68931F2B"/>
    <w:rsid w:val="689C4AF0"/>
    <w:rsid w:val="68A85E4C"/>
    <w:rsid w:val="68B1232C"/>
    <w:rsid w:val="68B254D2"/>
    <w:rsid w:val="68B37CC9"/>
    <w:rsid w:val="68BC13C0"/>
    <w:rsid w:val="68C201F7"/>
    <w:rsid w:val="68D92F51"/>
    <w:rsid w:val="68DE6DAC"/>
    <w:rsid w:val="68E21FF0"/>
    <w:rsid w:val="68E3351D"/>
    <w:rsid w:val="68EF151C"/>
    <w:rsid w:val="68F11E63"/>
    <w:rsid w:val="68F14C3B"/>
    <w:rsid w:val="68F410E4"/>
    <w:rsid w:val="68FC0D07"/>
    <w:rsid w:val="69055A5E"/>
    <w:rsid w:val="691232A6"/>
    <w:rsid w:val="691952D1"/>
    <w:rsid w:val="691F2828"/>
    <w:rsid w:val="692B5965"/>
    <w:rsid w:val="69336C77"/>
    <w:rsid w:val="69484FDB"/>
    <w:rsid w:val="69496826"/>
    <w:rsid w:val="694974FD"/>
    <w:rsid w:val="694A3591"/>
    <w:rsid w:val="69543034"/>
    <w:rsid w:val="69793B84"/>
    <w:rsid w:val="69885DC4"/>
    <w:rsid w:val="699F1AEF"/>
    <w:rsid w:val="69A17E0A"/>
    <w:rsid w:val="69BD2E65"/>
    <w:rsid w:val="69C3298E"/>
    <w:rsid w:val="69C42F0D"/>
    <w:rsid w:val="69CB6FE2"/>
    <w:rsid w:val="69CD637A"/>
    <w:rsid w:val="69D24000"/>
    <w:rsid w:val="69D90001"/>
    <w:rsid w:val="6A0227A8"/>
    <w:rsid w:val="6A1A6A24"/>
    <w:rsid w:val="6A2F0733"/>
    <w:rsid w:val="6A3177EF"/>
    <w:rsid w:val="6A3814F5"/>
    <w:rsid w:val="6A413A96"/>
    <w:rsid w:val="6A4A66F7"/>
    <w:rsid w:val="6A60151E"/>
    <w:rsid w:val="6A6205FB"/>
    <w:rsid w:val="6A6432E1"/>
    <w:rsid w:val="6A7154D2"/>
    <w:rsid w:val="6A796C16"/>
    <w:rsid w:val="6A7C6AAF"/>
    <w:rsid w:val="6A7D243E"/>
    <w:rsid w:val="6A8F588A"/>
    <w:rsid w:val="6A92753B"/>
    <w:rsid w:val="6A9E7A3D"/>
    <w:rsid w:val="6A9F256B"/>
    <w:rsid w:val="6AAD2DD6"/>
    <w:rsid w:val="6AB66BC9"/>
    <w:rsid w:val="6AC07C98"/>
    <w:rsid w:val="6ACA0A05"/>
    <w:rsid w:val="6ACB5B05"/>
    <w:rsid w:val="6AD93E55"/>
    <w:rsid w:val="6ADA17F5"/>
    <w:rsid w:val="6AE17CF5"/>
    <w:rsid w:val="6AE334F1"/>
    <w:rsid w:val="6AE71156"/>
    <w:rsid w:val="6AE83F12"/>
    <w:rsid w:val="6AE929BC"/>
    <w:rsid w:val="6AF168ED"/>
    <w:rsid w:val="6AFF369B"/>
    <w:rsid w:val="6B0B15E0"/>
    <w:rsid w:val="6B104474"/>
    <w:rsid w:val="6B25683C"/>
    <w:rsid w:val="6B2A079E"/>
    <w:rsid w:val="6B346CB9"/>
    <w:rsid w:val="6B367EB4"/>
    <w:rsid w:val="6B3B4729"/>
    <w:rsid w:val="6B461EDA"/>
    <w:rsid w:val="6B487507"/>
    <w:rsid w:val="6B601395"/>
    <w:rsid w:val="6B62315D"/>
    <w:rsid w:val="6B63088A"/>
    <w:rsid w:val="6B6F7816"/>
    <w:rsid w:val="6B702365"/>
    <w:rsid w:val="6B7E19CD"/>
    <w:rsid w:val="6B7E5CE7"/>
    <w:rsid w:val="6B801646"/>
    <w:rsid w:val="6B814D9E"/>
    <w:rsid w:val="6B827BEC"/>
    <w:rsid w:val="6B8B4A16"/>
    <w:rsid w:val="6B8E684F"/>
    <w:rsid w:val="6BA02A3F"/>
    <w:rsid w:val="6BA836A7"/>
    <w:rsid w:val="6BB676C4"/>
    <w:rsid w:val="6BBB3901"/>
    <w:rsid w:val="6BBB5FAB"/>
    <w:rsid w:val="6BC801EA"/>
    <w:rsid w:val="6BCC7E83"/>
    <w:rsid w:val="6BDF6CC4"/>
    <w:rsid w:val="6BF713A0"/>
    <w:rsid w:val="6C070B91"/>
    <w:rsid w:val="6C0B3EB2"/>
    <w:rsid w:val="6C1A0A77"/>
    <w:rsid w:val="6C1C4750"/>
    <w:rsid w:val="6C1F1E21"/>
    <w:rsid w:val="6C223FAC"/>
    <w:rsid w:val="6C2F5075"/>
    <w:rsid w:val="6C445118"/>
    <w:rsid w:val="6C46271A"/>
    <w:rsid w:val="6C474EF9"/>
    <w:rsid w:val="6C533564"/>
    <w:rsid w:val="6C573043"/>
    <w:rsid w:val="6C591A64"/>
    <w:rsid w:val="6C5F584C"/>
    <w:rsid w:val="6C6B6F68"/>
    <w:rsid w:val="6C6D497F"/>
    <w:rsid w:val="6C8658C3"/>
    <w:rsid w:val="6C8B3CB7"/>
    <w:rsid w:val="6C8F160B"/>
    <w:rsid w:val="6CA35367"/>
    <w:rsid w:val="6CAA5DF6"/>
    <w:rsid w:val="6CAD6199"/>
    <w:rsid w:val="6CAF7728"/>
    <w:rsid w:val="6CB07B43"/>
    <w:rsid w:val="6CBA2382"/>
    <w:rsid w:val="6CBA5185"/>
    <w:rsid w:val="6CBD2E6E"/>
    <w:rsid w:val="6CC16782"/>
    <w:rsid w:val="6CD1329B"/>
    <w:rsid w:val="6CDA5C14"/>
    <w:rsid w:val="6CE67B1F"/>
    <w:rsid w:val="6CEF622B"/>
    <w:rsid w:val="6D027DC8"/>
    <w:rsid w:val="6D08160C"/>
    <w:rsid w:val="6D25240D"/>
    <w:rsid w:val="6D2C09C3"/>
    <w:rsid w:val="6D2D540F"/>
    <w:rsid w:val="6D3035D1"/>
    <w:rsid w:val="6D351C89"/>
    <w:rsid w:val="6D43796C"/>
    <w:rsid w:val="6D4C2232"/>
    <w:rsid w:val="6D534A3D"/>
    <w:rsid w:val="6D594C53"/>
    <w:rsid w:val="6D5A2293"/>
    <w:rsid w:val="6D631B18"/>
    <w:rsid w:val="6D7323BF"/>
    <w:rsid w:val="6D7E54FF"/>
    <w:rsid w:val="6D8158D8"/>
    <w:rsid w:val="6D875787"/>
    <w:rsid w:val="6D8C1D7F"/>
    <w:rsid w:val="6DA619D6"/>
    <w:rsid w:val="6DAB6551"/>
    <w:rsid w:val="6DC1631B"/>
    <w:rsid w:val="6DD275E0"/>
    <w:rsid w:val="6DD9608C"/>
    <w:rsid w:val="6DE42EE4"/>
    <w:rsid w:val="6DE970EA"/>
    <w:rsid w:val="6DEF74ED"/>
    <w:rsid w:val="6DF32CA7"/>
    <w:rsid w:val="6DF5641E"/>
    <w:rsid w:val="6DF73A81"/>
    <w:rsid w:val="6DF826BE"/>
    <w:rsid w:val="6E015F3D"/>
    <w:rsid w:val="6E0C373D"/>
    <w:rsid w:val="6E1578A4"/>
    <w:rsid w:val="6E1E47A6"/>
    <w:rsid w:val="6E272FA3"/>
    <w:rsid w:val="6E3033A3"/>
    <w:rsid w:val="6E3130ED"/>
    <w:rsid w:val="6E3F386B"/>
    <w:rsid w:val="6E4530EE"/>
    <w:rsid w:val="6E47182B"/>
    <w:rsid w:val="6E4E3360"/>
    <w:rsid w:val="6E512CD3"/>
    <w:rsid w:val="6E633318"/>
    <w:rsid w:val="6E6416A4"/>
    <w:rsid w:val="6E6B34A3"/>
    <w:rsid w:val="6E6D1362"/>
    <w:rsid w:val="6E6E4D61"/>
    <w:rsid w:val="6E7C4644"/>
    <w:rsid w:val="6E8020D3"/>
    <w:rsid w:val="6E813D91"/>
    <w:rsid w:val="6E895C81"/>
    <w:rsid w:val="6E8F42D3"/>
    <w:rsid w:val="6E8F54B4"/>
    <w:rsid w:val="6E994449"/>
    <w:rsid w:val="6EA63EC8"/>
    <w:rsid w:val="6EBC1098"/>
    <w:rsid w:val="6EC4377A"/>
    <w:rsid w:val="6ED35665"/>
    <w:rsid w:val="6ED53D6E"/>
    <w:rsid w:val="6EE83F08"/>
    <w:rsid w:val="6EEC6A5A"/>
    <w:rsid w:val="6F08315C"/>
    <w:rsid w:val="6F0D3ED0"/>
    <w:rsid w:val="6F236464"/>
    <w:rsid w:val="6F2822B5"/>
    <w:rsid w:val="6F3874AA"/>
    <w:rsid w:val="6F4418DA"/>
    <w:rsid w:val="6F4709FD"/>
    <w:rsid w:val="6F4D6A39"/>
    <w:rsid w:val="6F571084"/>
    <w:rsid w:val="6F5B2A24"/>
    <w:rsid w:val="6F623646"/>
    <w:rsid w:val="6F6417C4"/>
    <w:rsid w:val="6F685621"/>
    <w:rsid w:val="6F6A457A"/>
    <w:rsid w:val="6F8B594A"/>
    <w:rsid w:val="6F8C5863"/>
    <w:rsid w:val="6F9E164D"/>
    <w:rsid w:val="6FAD572A"/>
    <w:rsid w:val="6FB52FCC"/>
    <w:rsid w:val="6FB652BB"/>
    <w:rsid w:val="6FB95BB9"/>
    <w:rsid w:val="6FE17FF0"/>
    <w:rsid w:val="6FE7439B"/>
    <w:rsid w:val="6FE969BF"/>
    <w:rsid w:val="6FED7AA7"/>
    <w:rsid w:val="6FF57A3D"/>
    <w:rsid w:val="70002411"/>
    <w:rsid w:val="700E342C"/>
    <w:rsid w:val="700F0F64"/>
    <w:rsid w:val="701B4455"/>
    <w:rsid w:val="70217031"/>
    <w:rsid w:val="70243A7D"/>
    <w:rsid w:val="70267986"/>
    <w:rsid w:val="70340C9E"/>
    <w:rsid w:val="70395B51"/>
    <w:rsid w:val="703D730B"/>
    <w:rsid w:val="70412BED"/>
    <w:rsid w:val="704B2437"/>
    <w:rsid w:val="7054140D"/>
    <w:rsid w:val="7065090D"/>
    <w:rsid w:val="7067248C"/>
    <w:rsid w:val="707324D0"/>
    <w:rsid w:val="7081436D"/>
    <w:rsid w:val="70830B30"/>
    <w:rsid w:val="70843EF3"/>
    <w:rsid w:val="70881259"/>
    <w:rsid w:val="708E3D85"/>
    <w:rsid w:val="708F0AD1"/>
    <w:rsid w:val="709D2496"/>
    <w:rsid w:val="709D4824"/>
    <w:rsid w:val="70A15B5A"/>
    <w:rsid w:val="70BC1F99"/>
    <w:rsid w:val="70C1525D"/>
    <w:rsid w:val="70CE1C35"/>
    <w:rsid w:val="70D23836"/>
    <w:rsid w:val="70DB7F45"/>
    <w:rsid w:val="70E45AD2"/>
    <w:rsid w:val="70F03B20"/>
    <w:rsid w:val="70F71FB3"/>
    <w:rsid w:val="711A0B9D"/>
    <w:rsid w:val="712317FC"/>
    <w:rsid w:val="7138122D"/>
    <w:rsid w:val="713E451B"/>
    <w:rsid w:val="71433036"/>
    <w:rsid w:val="7148570A"/>
    <w:rsid w:val="714E0188"/>
    <w:rsid w:val="714F1788"/>
    <w:rsid w:val="715F4B4E"/>
    <w:rsid w:val="716330C5"/>
    <w:rsid w:val="716D38A1"/>
    <w:rsid w:val="7184022A"/>
    <w:rsid w:val="718C698D"/>
    <w:rsid w:val="71924139"/>
    <w:rsid w:val="71A368B8"/>
    <w:rsid w:val="71B36606"/>
    <w:rsid w:val="71BC3FF7"/>
    <w:rsid w:val="71C04C20"/>
    <w:rsid w:val="71CA609A"/>
    <w:rsid w:val="71DC7E8D"/>
    <w:rsid w:val="71E12B57"/>
    <w:rsid w:val="71E566F8"/>
    <w:rsid w:val="71E87F09"/>
    <w:rsid w:val="71FB1615"/>
    <w:rsid w:val="71FD64F5"/>
    <w:rsid w:val="72052CA7"/>
    <w:rsid w:val="720D5082"/>
    <w:rsid w:val="72146C9B"/>
    <w:rsid w:val="721557B8"/>
    <w:rsid w:val="723C253D"/>
    <w:rsid w:val="723F4D5F"/>
    <w:rsid w:val="724E2614"/>
    <w:rsid w:val="724F355A"/>
    <w:rsid w:val="72617E43"/>
    <w:rsid w:val="726437F6"/>
    <w:rsid w:val="7264404D"/>
    <w:rsid w:val="726C2C48"/>
    <w:rsid w:val="726D3426"/>
    <w:rsid w:val="727236FB"/>
    <w:rsid w:val="72741343"/>
    <w:rsid w:val="72747DC5"/>
    <w:rsid w:val="727B544A"/>
    <w:rsid w:val="72872DB0"/>
    <w:rsid w:val="728B3BA1"/>
    <w:rsid w:val="729251C6"/>
    <w:rsid w:val="72A37174"/>
    <w:rsid w:val="72BB6E10"/>
    <w:rsid w:val="72C06107"/>
    <w:rsid w:val="72DA6732"/>
    <w:rsid w:val="72F42ADE"/>
    <w:rsid w:val="72F43367"/>
    <w:rsid w:val="730B577C"/>
    <w:rsid w:val="7315140A"/>
    <w:rsid w:val="731625FC"/>
    <w:rsid w:val="731F06ED"/>
    <w:rsid w:val="731F075B"/>
    <w:rsid w:val="73201B95"/>
    <w:rsid w:val="73406174"/>
    <w:rsid w:val="73423A7A"/>
    <w:rsid w:val="7348701D"/>
    <w:rsid w:val="734A28B7"/>
    <w:rsid w:val="7357105A"/>
    <w:rsid w:val="73727F0B"/>
    <w:rsid w:val="737A39F5"/>
    <w:rsid w:val="738B062C"/>
    <w:rsid w:val="73944605"/>
    <w:rsid w:val="73985622"/>
    <w:rsid w:val="739C4363"/>
    <w:rsid w:val="73A31545"/>
    <w:rsid w:val="73AC4A69"/>
    <w:rsid w:val="73AF6852"/>
    <w:rsid w:val="73B33721"/>
    <w:rsid w:val="73B53504"/>
    <w:rsid w:val="73CE2013"/>
    <w:rsid w:val="73D7393F"/>
    <w:rsid w:val="73DD0263"/>
    <w:rsid w:val="73DD75DF"/>
    <w:rsid w:val="73E85387"/>
    <w:rsid w:val="73EB05CF"/>
    <w:rsid w:val="73F37AD2"/>
    <w:rsid w:val="73F95B20"/>
    <w:rsid w:val="73FE1F9F"/>
    <w:rsid w:val="74165962"/>
    <w:rsid w:val="741915E0"/>
    <w:rsid w:val="741D0C94"/>
    <w:rsid w:val="74213D66"/>
    <w:rsid w:val="74250CD9"/>
    <w:rsid w:val="742F414E"/>
    <w:rsid w:val="7430191F"/>
    <w:rsid w:val="743F09E7"/>
    <w:rsid w:val="74410E24"/>
    <w:rsid w:val="74422B79"/>
    <w:rsid w:val="746834FA"/>
    <w:rsid w:val="74687CBF"/>
    <w:rsid w:val="746B0BAA"/>
    <w:rsid w:val="74742AF1"/>
    <w:rsid w:val="748528EB"/>
    <w:rsid w:val="74970208"/>
    <w:rsid w:val="74A215D5"/>
    <w:rsid w:val="74A9060F"/>
    <w:rsid w:val="74A92964"/>
    <w:rsid w:val="74AC57AA"/>
    <w:rsid w:val="74AC6B3A"/>
    <w:rsid w:val="74B17A6A"/>
    <w:rsid w:val="74B97DE3"/>
    <w:rsid w:val="74C035F2"/>
    <w:rsid w:val="74C41CC3"/>
    <w:rsid w:val="74CE5A34"/>
    <w:rsid w:val="74E93D82"/>
    <w:rsid w:val="74EE4AA7"/>
    <w:rsid w:val="74F454AB"/>
    <w:rsid w:val="75104791"/>
    <w:rsid w:val="751838CC"/>
    <w:rsid w:val="752C514D"/>
    <w:rsid w:val="75472A9A"/>
    <w:rsid w:val="754E6F5D"/>
    <w:rsid w:val="75534552"/>
    <w:rsid w:val="75554A77"/>
    <w:rsid w:val="75564379"/>
    <w:rsid w:val="755E4481"/>
    <w:rsid w:val="7564754F"/>
    <w:rsid w:val="75653F8F"/>
    <w:rsid w:val="75675AF9"/>
    <w:rsid w:val="757345ED"/>
    <w:rsid w:val="7585360D"/>
    <w:rsid w:val="75853C55"/>
    <w:rsid w:val="758A3D6D"/>
    <w:rsid w:val="75BF7F65"/>
    <w:rsid w:val="75CB3545"/>
    <w:rsid w:val="75D0668E"/>
    <w:rsid w:val="75D73404"/>
    <w:rsid w:val="75D91278"/>
    <w:rsid w:val="75D95DAA"/>
    <w:rsid w:val="75DD025A"/>
    <w:rsid w:val="75DE3386"/>
    <w:rsid w:val="75DE7589"/>
    <w:rsid w:val="75EB6AA1"/>
    <w:rsid w:val="75EF1DD9"/>
    <w:rsid w:val="75F5572D"/>
    <w:rsid w:val="76193DFA"/>
    <w:rsid w:val="761F501E"/>
    <w:rsid w:val="762404D4"/>
    <w:rsid w:val="762E07DC"/>
    <w:rsid w:val="7645433A"/>
    <w:rsid w:val="76520E7E"/>
    <w:rsid w:val="765D0AC2"/>
    <w:rsid w:val="76610E1E"/>
    <w:rsid w:val="766506E4"/>
    <w:rsid w:val="766F287A"/>
    <w:rsid w:val="76701021"/>
    <w:rsid w:val="767D3C03"/>
    <w:rsid w:val="76827062"/>
    <w:rsid w:val="768A53A8"/>
    <w:rsid w:val="768B24F9"/>
    <w:rsid w:val="76944CA4"/>
    <w:rsid w:val="7696634D"/>
    <w:rsid w:val="76985AE2"/>
    <w:rsid w:val="769907B6"/>
    <w:rsid w:val="769F7D98"/>
    <w:rsid w:val="76B175BC"/>
    <w:rsid w:val="76B6683F"/>
    <w:rsid w:val="76B97545"/>
    <w:rsid w:val="76C3433D"/>
    <w:rsid w:val="76C375E1"/>
    <w:rsid w:val="76C9651D"/>
    <w:rsid w:val="76D1711F"/>
    <w:rsid w:val="76D20CDE"/>
    <w:rsid w:val="76D731F7"/>
    <w:rsid w:val="76DA2E7B"/>
    <w:rsid w:val="76DE0552"/>
    <w:rsid w:val="76E039BC"/>
    <w:rsid w:val="76F019B6"/>
    <w:rsid w:val="77007465"/>
    <w:rsid w:val="77104FD8"/>
    <w:rsid w:val="77111E40"/>
    <w:rsid w:val="77206FD3"/>
    <w:rsid w:val="77253DF8"/>
    <w:rsid w:val="772C6A64"/>
    <w:rsid w:val="772D4B79"/>
    <w:rsid w:val="772E644B"/>
    <w:rsid w:val="772F6324"/>
    <w:rsid w:val="77495E85"/>
    <w:rsid w:val="775F1633"/>
    <w:rsid w:val="77647B3B"/>
    <w:rsid w:val="776C1D72"/>
    <w:rsid w:val="776C64FC"/>
    <w:rsid w:val="776D7803"/>
    <w:rsid w:val="776E6765"/>
    <w:rsid w:val="7777673E"/>
    <w:rsid w:val="777B754B"/>
    <w:rsid w:val="77871F6E"/>
    <w:rsid w:val="77963C6B"/>
    <w:rsid w:val="77991D23"/>
    <w:rsid w:val="77AC5563"/>
    <w:rsid w:val="77C74149"/>
    <w:rsid w:val="77CD3E6F"/>
    <w:rsid w:val="77DE7BD3"/>
    <w:rsid w:val="77E76D58"/>
    <w:rsid w:val="77F86763"/>
    <w:rsid w:val="78032F91"/>
    <w:rsid w:val="784976AB"/>
    <w:rsid w:val="784C764C"/>
    <w:rsid w:val="784D3788"/>
    <w:rsid w:val="787C1C3D"/>
    <w:rsid w:val="788C60D5"/>
    <w:rsid w:val="78922472"/>
    <w:rsid w:val="789575B1"/>
    <w:rsid w:val="78B66E08"/>
    <w:rsid w:val="78B91B66"/>
    <w:rsid w:val="78BB0D0F"/>
    <w:rsid w:val="78BD534B"/>
    <w:rsid w:val="78C626DF"/>
    <w:rsid w:val="78C90E4C"/>
    <w:rsid w:val="78E67510"/>
    <w:rsid w:val="78F17D83"/>
    <w:rsid w:val="78FC1C16"/>
    <w:rsid w:val="790D1906"/>
    <w:rsid w:val="791153EF"/>
    <w:rsid w:val="791B586C"/>
    <w:rsid w:val="792253EC"/>
    <w:rsid w:val="79295E21"/>
    <w:rsid w:val="7930365E"/>
    <w:rsid w:val="793E7BA2"/>
    <w:rsid w:val="793F2B12"/>
    <w:rsid w:val="794054AC"/>
    <w:rsid w:val="79411FC0"/>
    <w:rsid w:val="79416DAC"/>
    <w:rsid w:val="794351C7"/>
    <w:rsid w:val="7956297A"/>
    <w:rsid w:val="795E5A72"/>
    <w:rsid w:val="796E0486"/>
    <w:rsid w:val="797144A4"/>
    <w:rsid w:val="797F7531"/>
    <w:rsid w:val="7994264C"/>
    <w:rsid w:val="79984EFC"/>
    <w:rsid w:val="79A42F8A"/>
    <w:rsid w:val="79AE52D4"/>
    <w:rsid w:val="79BC4EA2"/>
    <w:rsid w:val="79C43E47"/>
    <w:rsid w:val="79C756FD"/>
    <w:rsid w:val="79CC3E3D"/>
    <w:rsid w:val="79CE3815"/>
    <w:rsid w:val="79D733D5"/>
    <w:rsid w:val="79D966BA"/>
    <w:rsid w:val="79E4735A"/>
    <w:rsid w:val="79E92D7D"/>
    <w:rsid w:val="79EA53F0"/>
    <w:rsid w:val="79EC36BB"/>
    <w:rsid w:val="79F82B71"/>
    <w:rsid w:val="79FB191F"/>
    <w:rsid w:val="7A0E424F"/>
    <w:rsid w:val="7A250A85"/>
    <w:rsid w:val="7A3958BB"/>
    <w:rsid w:val="7A4E712B"/>
    <w:rsid w:val="7A5A538E"/>
    <w:rsid w:val="7A5A5BA8"/>
    <w:rsid w:val="7A5C5BD6"/>
    <w:rsid w:val="7A61783D"/>
    <w:rsid w:val="7A66163F"/>
    <w:rsid w:val="7A7408C7"/>
    <w:rsid w:val="7A827ECC"/>
    <w:rsid w:val="7A942E72"/>
    <w:rsid w:val="7A9A49D8"/>
    <w:rsid w:val="7AA17C39"/>
    <w:rsid w:val="7AB317CB"/>
    <w:rsid w:val="7AF24089"/>
    <w:rsid w:val="7AF5322D"/>
    <w:rsid w:val="7AFF6EE7"/>
    <w:rsid w:val="7B121152"/>
    <w:rsid w:val="7B1E4E86"/>
    <w:rsid w:val="7B312413"/>
    <w:rsid w:val="7B347940"/>
    <w:rsid w:val="7B4A6C88"/>
    <w:rsid w:val="7B5353D8"/>
    <w:rsid w:val="7B6300D8"/>
    <w:rsid w:val="7B722E89"/>
    <w:rsid w:val="7B806ADF"/>
    <w:rsid w:val="7B8410DB"/>
    <w:rsid w:val="7B8657AD"/>
    <w:rsid w:val="7B89704B"/>
    <w:rsid w:val="7B8B2806"/>
    <w:rsid w:val="7B995D1E"/>
    <w:rsid w:val="7BA05FB3"/>
    <w:rsid w:val="7BA8292F"/>
    <w:rsid w:val="7BB6059A"/>
    <w:rsid w:val="7BCD0401"/>
    <w:rsid w:val="7BD66691"/>
    <w:rsid w:val="7BE11714"/>
    <w:rsid w:val="7BEF28D0"/>
    <w:rsid w:val="7BF344C5"/>
    <w:rsid w:val="7BF50744"/>
    <w:rsid w:val="7BFC00D7"/>
    <w:rsid w:val="7C001CD6"/>
    <w:rsid w:val="7C116FC2"/>
    <w:rsid w:val="7C1C704C"/>
    <w:rsid w:val="7C357219"/>
    <w:rsid w:val="7C3714E0"/>
    <w:rsid w:val="7C4C3564"/>
    <w:rsid w:val="7C4D6B6B"/>
    <w:rsid w:val="7C604061"/>
    <w:rsid w:val="7C64079E"/>
    <w:rsid w:val="7C6B6751"/>
    <w:rsid w:val="7C8D4118"/>
    <w:rsid w:val="7C91213C"/>
    <w:rsid w:val="7C99757F"/>
    <w:rsid w:val="7C9B25CE"/>
    <w:rsid w:val="7C9D2A38"/>
    <w:rsid w:val="7CAA3794"/>
    <w:rsid w:val="7CB029CD"/>
    <w:rsid w:val="7CB542E7"/>
    <w:rsid w:val="7CBC55FB"/>
    <w:rsid w:val="7CC71EEB"/>
    <w:rsid w:val="7CCE3D6A"/>
    <w:rsid w:val="7CD930BD"/>
    <w:rsid w:val="7CDD64B7"/>
    <w:rsid w:val="7CE15D25"/>
    <w:rsid w:val="7CED2A91"/>
    <w:rsid w:val="7CEF740C"/>
    <w:rsid w:val="7CF11C3E"/>
    <w:rsid w:val="7CF152E5"/>
    <w:rsid w:val="7D184A39"/>
    <w:rsid w:val="7D253442"/>
    <w:rsid w:val="7D2D7007"/>
    <w:rsid w:val="7D36464E"/>
    <w:rsid w:val="7D374D36"/>
    <w:rsid w:val="7D3A60A2"/>
    <w:rsid w:val="7D4615F6"/>
    <w:rsid w:val="7D4B0076"/>
    <w:rsid w:val="7D651BFD"/>
    <w:rsid w:val="7D733A32"/>
    <w:rsid w:val="7D7C3DCB"/>
    <w:rsid w:val="7D9B4E14"/>
    <w:rsid w:val="7D9F3E29"/>
    <w:rsid w:val="7D9F7BF1"/>
    <w:rsid w:val="7DA56094"/>
    <w:rsid w:val="7DA64894"/>
    <w:rsid w:val="7DA97C07"/>
    <w:rsid w:val="7DAB0D8C"/>
    <w:rsid w:val="7DAB2992"/>
    <w:rsid w:val="7DB27F48"/>
    <w:rsid w:val="7DBB1A86"/>
    <w:rsid w:val="7DC9191C"/>
    <w:rsid w:val="7DDA2D2B"/>
    <w:rsid w:val="7DE61F4E"/>
    <w:rsid w:val="7DE72B62"/>
    <w:rsid w:val="7DF67617"/>
    <w:rsid w:val="7DFD4AA0"/>
    <w:rsid w:val="7DFD74E0"/>
    <w:rsid w:val="7E0620B6"/>
    <w:rsid w:val="7E140500"/>
    <w:rsid w:val="7E313A4A"/>
    <w:rsid w:val="7E382007"/>
    <w:rsid w:val="7E393A63"/>
    <w:rsid w:val="7E3B120C"/>
    <w:rsid w:val="7E4070BC"/>
    <w:rsid w:val="7E417F15"/>
    <w:rsid w:val="7E45506D"/>
    <w:rsid w:val="7E4800B3"/>
    <w:rsid w:val="7E4A5D8B"/>
    <w:rsid w:val="7E560C13"/>
    <w:rsid w:val="7E64452C"/>
    <w:rsid w:val="7E644BF6"/>
    <w:rsid w:val="7E6572EE"/>
    <w:rsid w:val="7E712ECD"/>
    <w:rsid w:val="7E785DB5"/>
    <w:rsid w:val="7E7B375A"/>
    <w:rsid w:val="7E904A01"/>
    <w:rsid w:val="7E942AA5"/>
    <w:rsid w:val="7E9C052C"/>
    <w:rsid w:val="7E9F2E67"/>
    <w:rsid w:val="7EBA1B05"/>
    <w:rsid w:val="7EC24622"/>
    <w:rsid w:val="7ED37308"/>
    <w:rsid w:val="7EDB4998"/>
    <w:rsid w:val="7EDD0509"/>
    <w:rsid w:val="7EE177BF"/>
    <w:rsid w:val="7EFA526B"/>
    <w:rsid w:val="7EFC7159"/>
    <w:rsid w:val="7F0730DD"/>
    <w:rsid w:val="7F097E5D"/>
    <w:rsid w:val="7F0A04A3"/>
    <w:rsid w:val="7F0A5111"/>
    <w:rsid w:val="7F0D421A"/>
    <w:rsid w:val="7F146B45"/>
    <w:rsid w:val="7F1F73AD"/>
    <w:rsid w:val="7F3215D4"/>
    <w:rsid w:val="7F381330"/>
    <w:rsid w:val="7F5E765E"/>
    <w:rsid w:val="7F6C1280"/>
    <w:rsid w:val="7F7562BD"/>
    <w:rsid w:val="7F8A7D3D"/>
    <w:rsid w:val="7FA357DC"/>
    <w:rsid w:val="7FA8530F"/>
    <w:rsid w:val="7FAA3445"/>
    <w:rsid w:val="7FAB6B6F"/>
    <w:rsid w:val="7FAE7BCD"/>
    <w:rsid w:val="7FB71B57"/>
    <w:rsid w:val="7FBB3107"/>
    <w:rsid w:val="7FC11792"/>
    <w:rsid w:val="7FE073C7"/>
    <w:rsid w:val="7FF538B1"/>
    <w:rsid w:val="7FF761CD"/>
    <w:rsid w:val="8DFFE321"/>
    <w:rsid w:val="B4E76123"/>
    <w:rsid w:val="D39FEBEC"/>
    <w:rsid w:val="F7178F5D"/>
    <w:rsid w:val="F9F35E61"/>
    <w:rsid w:val="FFE746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254"/>
    <w:qFormat/>
    <w:uiPriority w:val="0"/>
    <w:pPr>
      <w:keepNext/>
      <w:snapToGrid w:val="0"/>
      <w:spacing w:line="360" w:lineRule="atLeast"/>
      <w:outlineLvl w:val="0"/>
    </w:pPr>
    <w:rPr>
      <w:rFonts w:ascii="宋体"/>
    </w:rPr>
  </w:style>
  <w:style w:type="paragraph" w:styleId="4">
    <w:name w:val="heading 2"/>
    <w:basedOn w:val="1"/>
    <w:next w:val="1"/>
    <w:link w:val="263"/>
    <w:qFormat/>
    <w:uiPriority w:val="0"/>
    <w:pPr>
      <w:keepNext/>
      <w:keepLines/>
      <w:spacing w:line="413" w:lineRule="auto"/>
      <w:outlineLvl w:val="1"/>
    </w:pPr>
    <w:rPr>
      <w:rFonts w:ascii="Arial" w:hAnsi="Arial" w:eastAsia="黑体"/>
      <w:b/>
      <w:sz w:val="32"/>
    </w:rPr>
  </w:style>
  <w:style w:type="paragraph" w:styleId="5">
    <w:name w:val="heading 3"/>
    <w:basedOn w:val="1"/>
    <w:next w:val="1"/>
    <w:link w:val="208"/>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next w:val="17"/>
    <w:qFormat/>
    <w:uiPriority w:val="0"/>
    <w:pPr>
      <w:adjustRightInd w:val="0"/>
      <w:snapToGrid w:val="0"/>
      <w:spacing w:line="360" w:lineRule="auto"/>
      <w:ind w:firstLine="420"/>
    </w:pPr>
    <w:rPr>
      <w:sz w:val="24"/>
    </w:rPr>
  </w:style>
  <w:style w:type="paragraph" w:styleId="17">
    <w:name w:val="Body Text Indent"/>
    <w:basedOn w:val="1"/>
    <w:next w:val="16"/>
    <w:link w:val="214"/>
    <w:qFormat/>
    <w:uiPriority w:val="0"/>
    <w:pPr>
      <w:spacing w:line="700" w:lineRule="exact"/>
      <w:ind w:left="960"/>
    </w:pPr>
    <w:rPr>
      <w:sz w:val="4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rPr>
      <w:rFonts w:ascii="Arial" w:hAnsi="Arial"/>
      <w:sz w:val="24"/>
    </w:rPr>
  </w:style>
  <w:style w:type="paragraph" w:styleId="21">
    <w:name w:val="annotation text"/>
    <w:basedOn w:val="1"/>
    <w:link w:val="226"/>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index 3"/>
    <w:basedOn w:val="1"/>
    <w:next w:val="1"/>
    <w:semiHidden/>
    <w:qFormat/>
    <w:uiPriority w:val="0"/>
    <w:pPr>
      <w:ind w:left="600" w:hanging="200"/>
    </w:pPr>
  </w:style>
  <w:style w:type="paragraph" w:styleId="33">
    <w:name w:val="Date"/>
    <w:basedOn w:val="1"/>
    <w:next w:val="1"/>
    <w:link w:val="228"/>
    <w:qFormat/>
    <w:uiPriority w:val="0"/>
  </w:style>
  <w:style w:type="paragraph" w:styleId="34">
    <w:name w:val="Body Text Indent 2"/>
    <w:basedOn w:val="1"/>
    <w:link w:val="221"/>
    <w:qFormat/>
    <w:uiPriority w:val="0"/>
    <w:pPr>
      <w:snapToGrid w:val="0"/>
      <w:spacing w:line="560" w:lineRule="atLeast"/>
      <w:ind w:firstLine="540"/>
    </w:pPr>
  </w:style>
  <w:style w:type="paragraph" w:styleId="35">
    <w:name w:val="Balloon Text"/>
    <w:basedOn w:val="1"/>
    <w:link w:val="261"/>
    <w:qFormat/>
    <w:uiPriority w:val="99"/>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link w:val="259"/>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23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rPr>
      <w:rFonts w:ascii="Times New Roman" w:hAnsi="Times New Roman"/>
      <w:sz w:val="21"/>
      <w:szCs w:val="21"/>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line="360" w:lineRule="auto"/>
      <w:ind w:left="840" w:leftChars="400"/>
    </w:pPr>
    <w:rPr>
      <w:sz w:val="24"/>
    </w:rPr>
  </w:style>
  <w:style w:type="paragraph" w:styleId="52">
    <w:name w:val="Normal (Web)"/>
    <w:basedOn w:val="1"/>
    <w:qFormat/>
    <w:uiPriority w:val="0"/>
    <w:pPr>
      <w:widowControl/>
      <w:spacing w:beforeAutospacing="1" w:afterAutospacing="1"/>
      <w:jc w:val="left"/>
    </w:pPr>
    <w:rPr>
      <w:rFonts w:ascii="宋体" w:hAnsi="宋体"/>
      <w:kern w:val="0"/>
      <w:sz w:val="24"/>
    </w:rPr>
  </w:style>
  <w:style w:type="paragraph" w:styleId="53">
    <w:name w:val="List Continue 3"/>
    <w:basedOn w:val="1"/>
    <w:qFormat/>
    <w:uiPriority w:val="0"/>
    <w:pPr>
      <w:adjustRightInd w:val="0"/>
      <w:snapToGrid w:val="0"/>
      <w:spacing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line="360" w:lineRule="auto"/>
      <w:jc w:val="center"/>
    </w:pPr>
    <w:rPr>
      <w:rFonts w:ascii="Arial" w:hAnsi="Arial"/>
      <w:b/>
      <w:smallCaps/>
      <w:kern w:val="28"/>
      <w:sz w:val="36"/>
      <w:lang w:eastAsia="en-US"/>
    </w:rPr>
  </w:style>
  <w:style w:type="paragraph" w:styleId="56">
    <w:name w:val="annotation subject"/>
    <w:basedOn w:val="21"/>
    <w:next w:val="21"/>
    <w:link w:val="225"/>
    <w:qFormat/>
    <w:uiPriority w:val="0"/>
    <w:pPr>
      <w:adjustRightInd/>
      <w:spacing w:line="240" w:lineRule="auto"/>
      <w:textAlignment w:val="auto"/>
    </w:pPr>
  </w:style>
  <w:style w:type="paragraph" w:styleId="57">
    <w:name w:val="Body Text First Indent"/>
    <w:basedOn w:val="2"/>
    <w:qFormat/>
    <w:uiPriority w:val="0"/>
    <w:pPr>
      <w:spacing w:line="360" w:lineRule="auto"/>
      <w:ind w:firstLine="420"/>
    </w:pPr>
    <w:rPr>
      <w:rFonts w:ascii="宋体" w:hAnsi="宋体"/>
      <w:sz w:val="24"/>
    </w:rPr>
  </w:style>
  <w:style w:type="paragraph" w:styleId="58">
    <w:name w:val="Body Text First Indent 2"/>
    <w:basedOn w:val="17"/>
    <w:link w:val="213"/>
    <w:qFormat/>
    <w:uiPriority w:val="0"/>
    <w:pPr>
      <w:spacing w:line="240" w:lineRule="auto"/>
      <w:ind w:left="420" w:leftChars="200" w:firstLine="420" w:firstLineChars="200"/>
    </w:pPr>
  </w:style>
  <w:style w:type="table" w:styleId="60">
    <w:name w:val="Table Grid"/>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无间隔1"/>
    <w:qFormat/>
    <w:uiPriority w:val="1"/>
    <w:pPr>
      <w:jc w:val="both"/>
    </w:pPr>
    <w:rPr>
      <w:rFonts w:ascii="Times New Roman" w:hAnsi="Times New Roman" w:eastAsia="Times New Roman" w:cs="Times New Roman"/>
      <w:lang w:val="en-US" w:eastAsia="zh-CN" w:bidi="ar-SA"/>
    </w:rPr>
  </w:style>
  <w:style w:type="paragraph" w:styleId="70">
    <w:name w:val="Quote"/>
    <w:basedOn w:val="1"/>
    <w:next w:val="1"/>
    <w:qFormat/>
    <w:uiPriority w:val="29"/>
    <w:pPr>
      <w:spacing w:beforeLines="50" w:afterLines="50" w:line="360" w:lineRule="auto"/>
    </w:pPr>
    <w:rPr>
      <w:i/>
      <w:iCs/>
      <w:color w:val="000000"/>
      <w:sz w:val="21"/>
      <w:szCs w:val="24"/>
      <w:lang w:val="zh-CN"/>
    </w:rPr>
  </w:style>
  <w:style w:type="paragraph" w:customStyle="1" w:styleId="7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2">
    <w:name w:val="Char2 Char Char Char Char Char Char"/>
    <w:basedOn w:val="1"/>
    <w:qFormat/>
    <w:uiPriority w:val="0"/>
    <w:rPr>
      <w:rFonts w:ascii="仿宋_GB2312"/>
      <w:b/>
      <w:sz w:val="30"/>
    </w:rPr>
  </w:style>
  <w:style w:type="paragraph" w:customStyle="1" w:styleId="73">
    <w:name w:val="样式1"/>
    <w:basedOn w:val="6"/>
    <w:qFormat/>
    <w:uiPriority w:val="0"/>
    <w:pPr>
      <w:tabs>
        <w:tab w:val="left" w:pos="720"/>
      </w:tabs>
      <w:spacing w:line="560" w:lineRule="atLeast"/>
      <w:ind w:left="420" w:hanging="420"/>
    </w:pPr>
  </w:style>
  <w:style w:type="paragraph" w:customStyle="1" w:styleId="74">
    <w:name w:val="表头样式"/>
    <w:basedOn w:val="1"/>
    <w:qFormat/>
    <w:uiPriority w:val="0"/>
    <w:pPr>
      <w:autoSpaceDE w:val="0"/>
      <w:autoSpaceDN w:val="0"/>
      <w:adjustRightInd w:val="0"/>
      <w:spacing w:line="360" w:lineRule="auto"/>
      <w:jc w:val="left"/>
    </w:pPr>
    <w:rPr>
      <w:b/>
      <w:kern w:val="0"/>
      <w:sz w:val="21"/>
    </w:rPr>
  </w:style>
  <w:style w:type="paragraph" w:customStyle="1" w:styleId="75">
    <w:name w:val="首行缩进"/>
    <w:basedOn w:val="1"/>
    <w:qFormat/>
    <w:uiPriority w:val="0"/>
    <w:pPr>
      <w:numPr>
        <w:ilvl w:val="0"/>
        <w:numId w:val="4"/>
      </w:numPr>
      <w:spacing w:line="360" w:lineRule="auto"/>
    </w:pPr>
    <w:rPr>
      <w:rFonts w:eastAsia="仿宋_GB2312"/>
    </w:rPr>
  </w:style>
  <w:style w:type="paragraph" w:customStyle="1" w:styleId="76">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7">
    <w:name w:val="关键词"/>
    <w:basedOn w:val="1"/>
    <w:next w:val="1"/>
    <w:qFormat/>
    <w:uiPriority w:val="0"/>
    <w:pPr>
      <w:spacing w:line="360" w:lineRule="auto"/>
    </w:pPr>
    <w:rPr>
      <w:rFonts w:eastAsia="黑体"/>
      <w:sz w:val="20"/>
    </w:rPr>
  </w:style>
  <w:style w:type="paragraph" w:customStyle="1" w:styleId="78">
    <w:name w:val="首行缩进 1"/>
    <w:basedOn w:val="1"/>
    <w:qFormat/>
    <w:uiPriority w:val="0"/>
    <w:pPr>
      <w:spacing w:line="360" w:lineRule="auto"/>
      <w:ind w:firstLine="200" w:firstLineChars="200"/>
    </w:pPr>
    <w:rPr>
      <w:sz w:val="24"/>
    </w:rPr>
  </w:style>
  <w:style w:type="paragraph" w:customStyle="1" w:styleId="79">
    <w:name w:val="Char1 Char Char Char"/>
    <w:basedOn w:val="1"/>
    <w:qFormat/>
    <w:uiPriority w:val="0"/>
    <w:rPr>
      <w:rFonts w:ascii="Tahoma" w:hAnsi="Tahoma"/>
      <w:sz w:val="24"/>
    </w:rPr>
  </w:style>
  <w:style w:type="paragraph" w:customStyle="1" w:styleId="80">
    <w:name w:val="样式 正文缩进正文（首行缩进两字）表正文正文非缩进特点标题4段1 + 首行缩进:  2 字符"/>
    <w:basedOn w:val="16"/>
    <w:qFormat/>
    <w:uiPriority w:val="0"/>
    <w:pPr>
      <w:ind w:firstLine="480" w:firstLineChars="200"/>
    </w:pPr>
  </w:style>
  <w:style w:type="paragraph" w:customStyle="1" w:styleId="81">
    <w:name w:val="Table Contents"/>
    <w:basedOn w:val="2"/>
    <w:qFormat/>
    <w:uiPriority w:val="0"/>
    <w:pPr>
      <w:suppressAutoHyphens/>
      <w:jc w:val="left"/>
    </w:pPr>
    <w:rPr>
      <w:rFonts w:ascii="Times New Roman" w:eastAsia="Times New Roman"/>
      <w:kern w:val="0"/>
      <w:sz w:val="24"/>
    </w:rPr>
  </w:style>
  <w:style w:type="paragraph" w:customStyle="1" w:styleId="82">
    <w:name w:val="正文字缩2字"/>
    <w:basedOn w:val="1"/>
    <w:qFormat/>
    <w:uiPriority w:val="0"/>
    <w:pPr>
      <w:spacing w:line="360" w:lineRule="auto"/>
      <w:ind w:left="200" w:leftChars="200" w:firstLine="200" w:firstLineChars="200"/>
    </w:pPr>
    <w:rPr>
      <w:sz w:val="24"/>
    </w:rPr>
  </w:style>
  <w:style w:type="paragraph" w:customStyle="1" w:styleId="8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84">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85">
    <w:name w:val="摘要"/>
    <w:basedOn w:val="1"/>
    <w:next w:val="4"/>
    <w:qFormat/>
    <w:uiPriority w:val="0"/>
    <w:pPr>
      <w:spacing w:line="360" w:lineRule="auto"/>
    </w:pPr>
    <w:rPr>
      <w:rFonts w:eastAsia="黑体"/>
      <w:sz w:val="20"/>
    </w:rPr>
  </w:style>
  <w:style w:type="paragraph" w:customStyle="1" w:styleId="86">
    <w:name w:val="图例"/>
    <w:basedOn w:val="1"/>
    <w:qFormat/>
    <w:uiPriority w:val="0"/>
    <w:pPr>
      <w:spacing w:line="360" w:lineRule="auto"/>
      <w:jc w:val="center"/>
    </w:pPr>
    <w:rPr>
      <w:rFonts w:eastAsia="仿宋_GB2312"/>
      <w:b/>
      <w:sz w:val="24"/>
    </w:rPr>
  </w:style>
  <w:style w:type="paragraph" w:customStyle="1" w:styleId="87">
    <w:name w:val="样式1xz"/>
    <w:basedOn w:val="1"/>
    <w:qFormat/>
    <w:uiPriority w:val="0"/>
    <w:pPr>
      <w:tabs>
        <w:tab w:val="left" w:pos="1050"/>
        <w:tab w:val="right" w:leader="dot" w:pos="8296"/>
      </w:tabs>
    </w:pPr>
    <w:rPr>
      <w:caps/>
      <w:spacing w:val="20"/>
      <w:sz w:val="24"/>
    </w:rPr>
  </w:style>
  <w:style w:type="paragraph" w:customStyle="1" w:styleId="88">
    <w:name w:val="Char Char Char Char Char"/>
    <w:basedOn w:val="1"/>
    <w:qFormat/>
    <w:uiPriority w:val="0"/>
    <w:pPr>
      <w:tabs>
        <w:tab w:val="left" w:pos="425"/>
      </w:tabs>
      <w:ind w:left="1620" w:hanging="360"/>
    </w:pPr>
    <w:rPr>
      <w:rFonts w:ascii="Tahoma" w:hAnsi="Tahoma"/>
      <w:sz w:val="24"/>
    </w:rPr>
  </w:style>
  <w:style w:type="paragraph" w:customStyle="1" w:styleId="89">
    <w:name w:val="Char"/>
    <w:basedOn w:val="1"/>
    <w:qFormat/>
    <w:uiPriority w:val="0"/>
    <w:pPr>
      <w:spacing w:line="240" w:lineRule="atLeast"/>
      <w:ind w:left="420" w:firstLine="420"/>
    </w:pPr>
    <w:rPr>
      <w:kern w:val="0"/>
      <w:sz w:val="21"/>
    </w:rPr>
  </w:style>
  <w:style w:type="paragraph" w:customStyle="1" w:styleId="90">
    <w:name w:val="Char Char1 Char"/>
    <w:basedOn w:val="1"/>
    <w:qFormat/>
    <w:uiPriority w:val="0"/>
    <w:rPr>
      <w:rFonts w:ascii="Tahoma" w:hAnsi="Tahoma"/>
      <w:sz w:val="24"/>
      <w:szCs w:val="24"/>
    </w:rPr>
  </w:style>
  <w:style w:type="paragraph" w:customStyle="1" w:styleId="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92">
    <w:name w:val="表格内文字"/>
    <w:basedOn w:val="30"/>
    <w:qFormat/>
    <w:uiPriority w:val="0"/>
    <w:pPr>
      <w:adjustRightInd w:val="0"/>
    </w:pPr>
    <w:rPr>
      <w:color w:val="000000"/>
      <w:lang w:val="en-GB"/>
    </w:rPr>
  </w:style>
  <w:style w:type="paragraph" w:customStyle="1" w:styleId="93">
    <w:name w:val="1.正文"/>
    <w:basedOn w:val="1"/>
    <w:qFormat/>
    <w:uiPriority w:val="0"/>
    <w:pPr>
      <w:spacing w:line="360" w:lineRule="auto"/>
      <w:ind w:left="540" w:leftChars="225" w:firstLine="540" w:firstLineChars="225"/>
    </w:pPr>
    <w:rPr>
      <w:sz w:val="24"/>
    </w:rPr>
  </w:style>
  <w:style w:type="paragraph" w:customStyle="1" w:styleId="94">
    <w:name w:val="正文文本缩进 21"/>
    <w:basedOn w:val="1"/>
    <w:qFormat/>
    <w:uiPriority w:val="0"/>
    <w:pPr>
      <w:adjustRightInd w:val="0"/>
      <w:ind w:firstLine="420"/>
      <w:textAlignment w:val="baseline"/>
    </w:pPr>
    <w:rPr>
      <w:sz w:val="24"/>
    </w:rPr>
  </w:style>
  <w:style w:type="paragraph" w:customStyle="1" w:styleId="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6">
    <w:name w:val="编号正文"/>
    <w:basedOn w:val="97"/>
    <w:qFormat/>
    <w:uiPriority w:val="0"/>
    <w:pPr>
      <w:snapToGrid/>
      <w:spacing w:line="360" w:lineRule="auto"/>
      <w:ind w:left="1407" w:hanging="1047"/>
      <w:jc w:val="left"/>
    </w:pPr>
    <w:rPr>
      <w:rFonts w:eastAsia="仿宋_GB2312"/>
    </w:rPr>
  </w:style>
  <w:style w:type="paragraph" w:customStyle="1" w:styleId="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98">
    <w:name w:val="文本框样式1"/>
    <w:basedOn w:val="1"/>
    <w:qFormat/>
    <w:uiPriority w:val="0"/>
    <w:pPr>
      <w:adjustRightInd w:val="0"/>
      <w:snapToGrid w:val="0"/>
      <w:spacing w:line="180" w:lineRule="exact"/>
      <w:jc w:val="center"/>
    </w:pPr>
    <w:rPr>
      <w:sz w:val="21"/>
    </w:rPr>
  </w:style>
  <w:style w:type="paragraph" w:customStyle="1" w:styleId="9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1">
    <w:name w:val="正文（首行不缩进）"/>
    <w:basedOn w:val="1"/>
    <w:qFormat/>
    <w:uiPriority w:val="0"/>
    <w:pPr>
      <w:autoSpaceDE w:val="0"/>
      <w:autoSpaceDN w:val="0"/>
      <w:adjustRightInd w:val="0"/>
      <w:spacing w:line="360" w:lineRule="auto"/>
      <w:jc w:val="left"/>
    </w:pPr>
    <w:rPr>
      <w:kern w:val="0"/>
      <w:sz w:val="21"/>
    </w:rPr>
  </w:style>
  <w:style w:type="paragraph" w:customStyle="1" w:styleId="10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4">
    <w:name w:val="附录3"/>
    <w:basedOn w:val="1"/>
    <w:next w:val="1"/>
    <w:qFormat/>
    <w:uiPriority w:val="0"/>
    <w:pPr>
      <w:tabs>
        <w:tab w:val="left" w:pos="851"/>
      </w:tabs>
      <w:ind w:left="425" w:hanging="425"/>
      <w:outlineLvl w:val="2"/>
    </w:pPr>
    <w:rPr>
      <w:rFonts w:eastAsia="黑体"/>
      <w:b/>
      <w:sz w:val="32"/>
    </w:rPr>
  </w:style>
  <w:style w:type="paragraph" w:customStyle="1" w:styleId="105">
    <w:name w:val="1"/>
    <w:basedOn w:val="1"/>
    <w:next w:val="30"/>
    <w:qFormat/>
    <w:uiPriority w:val="0"/>
    <w:rPr>
      <w:rFonts w:ascii="宋体" w:hAnsi="Courier New"/>
      <w:sz w:val="21"/>
    </w:rPr>
  </w:style>
  <w:style w:type="paragraph" w:customStyle="1" w:styleId="106">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7">
    <w:name w:val="段落正文"/>
    <w:basedOn w:val="1"/>
    <w:qFormat/>
    <w:uiPriority w:val="0"/>
    <w:pPr>
      <w:spacing w:beforeLines="50" w:line="360" w:lineRule="auto"/>
      <w:ind w:firstLine="200" w:firstLineChars="200"/>
    </w:pPr>
    <w:rPr>
      <w:spacing w:val="2"/>
      <w:sz w:val="24"/>
    </w:rPr>
  </w:style>
  <w:style w:type="paragraph" w:customStyle="1" w:styleId="10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09">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10">
    <w:name w:val="表格文本"/>
    <w:qFormat/>
    <w:uiPriority w:val="0"/>
    <w:pPr>
      <w:tabs>
        <w:tab w:val="decimal" w:pos="0"/>
      </w:tabs>
    </w:pPr>
    <w:rPr>
      <w:rFonts w:ascii="Arial" w:hAnsi="Arial" w:eastAsia="宋体" w:cs="Times New Roman"/>
      <w:sz w:val="21"/>
      <w:lang w:val="en-US" w:eastAsia="zh-CN" w:bidi="ar-SA"/>
    </w:rPr>
  </w:style>
  <w:style w:type="paragraph" w:customStyle="1" w:styleId="111">
    <w:name w:val="内容标题"/>
    <w:basedOn w:val="19"/>
    <w:qFormat/>
    <w:uiPriority w:val="0"/>
    <w:rPr>
      <w:rFonts w:ascii="Tahoma" w:hAnsi="Tahoma"/>
      <w:sz w:val="24"/>
    </w:rPr>
  </w:style>
  <w:style w:type="paragraph" w:customStyle="1" w:styleId="112">
    <w:name w:val="Char Char Char Char Char Char Char"/>
    <w:basedOn w:val="19"/>
    <w:qFormat/>
    <w:uiPriority w:val="0"/>
    <w:rPr>
      <w:rFonts w:ascii="宋体" w:hAnsi="Tahoma"/>
    </w:rPr>
  </w:style>
  <w:style w:type="paragraph" w:customStyle="1" w:styleId="113">
    <w:name w:val="Title - Revision"/>
    <w:basedOn w:val="55"/>
    <w:qFormat/>
    <w:uiPriority w:val="0"/>
  </w:style>
  <w:style w:type="paragraph" w:customStyle="1" w:styleId="114">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5">
    <w:name w:val="简单回函地址"/>
    <w:basedOn w:val="1"/>
    <w:qFormat/>
    <w:uiPriority w:val="0"/>
    <w:pPr>
      <w:adjustRightInd w:val="0"/>
      <w:snapToGrid w:val="0"/>
      <w:spacing w:line="360" w:lineRule="auto"/>
    </w:pPr>
    <w:rPr>
      <w:sz w:val="24"/>
    </w:rPr>
  </w:style>
  <w:style w:type="paragraph" w:customStyle="1" w:styleId="116">
    <w:name w:val="Table Text Char Char Char"/>
    <w:link w:val="220"/>
    <w:qFormat/>
    <w:uiPriority w:val="0"/>
    <w:pPr>
      <w:snapToGrid w:val="0"/>
      <w:spacing w:before="80" w:after="80"/>
    </w:pPr>
    <w:rPr>
      <w:rFonts w:ascii="Arial" w:hAnsi="Arial" w:eastAsia="宋体" w:cs="Times New Roman"/>
      <w:kern w:val="2"/>
      <w:sz w:val="18"/>
      <w:lang w:val="en-US" w:eastAsia="zh-CN" w:bidi="ar-SA"/>
    </w:rPr>
  </w:style>
  <w:style w:type="paragraph" w:customStyle="1" w:styleId="1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0">
    <w:name w:val="文本1"/>
    <w:basedOn w:val="1"/>
    <w:qFormat/>
    <w:uiPriority w:val="0"/>
    <w:pPr>
      <w:adjustRightInd w:val="0"/>
      <w:spacing w:line="312" w:lineRule="atLeast"/>
      <w:jc w:val="center"/>
      <w:textAlignment w:val="baseline"/>
    </w:pPr>
    <w:rPr>
      <w:kern w:val="0"/>
      <w:sz w:val="18"/>
    </w:rPr>
  </w:style>
  <w:style w:type="paragraph" w:customStyle="1" w:styleId="121">
    <w:name w:val="文字"/>
    <w:basedOn w:val="1"/>
    <w:link w:val="240"/>
    <w:qFormat/>
    <w:uiPriority w:val="0"/>
    <w:pPr>
      <w:tabs>
        <w:tab w:val="left" w:pos="8520"/>
      </w:tabs>
      <w:spacing w:line="312" w:lineRule="auto"/>
      <w:ind w:right="-210" w:firstLine="556"/>
    </w:pPr>
    <w:rPr>
      <w:rFonts w:ascii="宋体"/>
    </w:rPr>
  </w:style>
  <w:style w:type="paragraph" w:customStyle="1" w:styleId="122">
    <w:name w:val="样式2"/>
    <w:basedOn w:val="6"/>
    <w:qFormat/>
    <w:uiPriority w:val="0"/>
    <w:pPr>
      <w:numPr>
        <w:ilvl w:val="0"/>
        <w:numId w:val="7"/>
      </w:numPr>
      <w:spacing w:line="400" w:lineRule="exact"/>
      <w:jc w:val="center"/>
      <w:outlineLvl w:val="0"/>
    </w:pPr>
    <w:rPr>
      <w:b w:val="0"/>
      <w:sz w:val="44"/>
    </w:rPr>
  </w:style>
  <w:style w:type="paragraph" w:customStyle="1" w:styleId="123">
    <w:name w:val="Note"/>
    <w:basedOn w:val="1"/>
    <w:qFormat/>
    <w:uiPriority w:val="0"/>
    <w:pPr>
      <w:pBdr>
        <w:top w:val="single" w:color="auto" w:sz="12" w:space="3"/>
        <w:bottom w:val="single" w:color="auto" w:sz="12" w:space="3"/>
      </w:pBdr>
      <w:spacing w:line="360" w:lineRule="auto"/>
    </w:pPr>
    <w:rPr>
      <w:sz w:val="24"/>
    </w:rPr>
  </w:style>
  <w:style w:type="paragraph" w:customStyle="1" w:styleId="124">
    <w:name w:val="正文表格"/>
    <w:basedOn w:val="1"/>
    <w:qFormat/>
    <w:uiPriority w:val="0"/>
    <w:pPr>
      <w:adjustRightInd w:val="0"/>
    </w:pPr>
    <w:rPr>
      <w:sz w:val="24"/>
    </w:rPr>
  </w:style>
  <w:style w:type="paragraph" w:customStyle="1" w:styleId="125">
    <w:name w:val="IN Feature"/>
    <w:next w:val="10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Char1"/>
    <w:basedOn w:val="1"/>
    <w:qFormat/>
    <w:uiPriority w:val="0"/>
    <w:rPr>
      <w:sz w:val="21"/>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标题3——2"/>
    <w:basedOn w:val="5"/>
    <w:next w:val="57"/>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2">
    <w:name w:val="没有缩进（为图形使用）"/>
    <w:basedOn w:val="1"/>
    <w:qFormat/>
    <w:uiPriority w:val="0"/>
    <w:pPr>
      <w:spacing w:line="360" w:lineRule="auto"/>
    </w:pPr>
    <w:rPr>
      <w:sz w:val="24"/>
    </w:rPr>
  </w:style>
  <w:style w:type="paragraph" w:customStyle="1" w:styleId="133">
    <w:name w:val="Char Char Char"/>
    <w:basedOn w:val="1"/>
    <w:qFormat/>
    <w:uiPriority w:val="0"/>
    <w:rPr>
      <w:rFonts w:ascii="Tahoma" w:hAnsi="Tahoma"/>
      <w:sz w:val="24"/>
    </w:rPr>
  </w:style>
  <w:style w:type="paragraph" w:customStyle="1" w:styleId="134">
    <w:name w:val="表文字"/>
    <w:qFormat/>
    <w:uiPriority w:val="0"/>
    <w:rPr>
      <w:rFonts w:ascii="宋体" w:hAnsi="Calibri" w:eastAsia="宋体" w:cs="Times New Roman"/>
      <w:kern w:val="2"/>
      <w:lang w:val="en-US" w:eastAsia="zh-CN" w:bidi="ar-SA"/>
    </w:rPr>
  </w:style>
  <w:style w:type="paragraph" w:customStyle="1" w:styleId="135">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3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列表项目"/>
    <w:basedOn w:val="1"/>
    <w:qFormat/>
    <w:uiPriority w:val="0"/>
    <w:pPr>
      <w:tabs>
        <w:tab w:val="left" w:pos="420"/>
      </w:tabs>
      <w:spacing w:line="288" w:lineRule="auto"/>
      <w:ind w:left="840" w:leftChars="200" w:hanging="420" w:hangingChars="200"/>
    </w:pPr>
    <w:rPr>
      <w:sz w:val="21"/>
    </w:rPr>
  </w:style>
  <w:style w:type="paragraph" w:customStyle="1" w:styleId="140">
    <w:name w:val="二级列表"/>
    <w:basedOn w:val="107"/>
    <w:next w:val="107"/>
    <w:qFormat/>
    <w:uiPriority w:val="0"/>
    <w:pPr>
      <w:tabs>
        <w:tab w:val="left" w:pos="2120"/>
      </w:tabs>
      <w:ind w:firstLine="0" w:firstLineChars="0"/>
    </w:pPr>
    <w:rPr>
      <w:b/>
    </w:rPr>
  </w:style>
  <w:style w:type="paragraph" w:customStyle="1" w:styleId="141">
    <w:name w:val="Char Char14 Char Char"/>
    <w:basedOn w:val="1"/>
    <w:qFormat/>
    <w:uiPriority w:val="0"/>
    <w:rPr>
      <w:sz w:val="21"/>
      <w:szCs w:val="24"/>
    </w:rPr>
  </w:style>
  <w:style w:type="paragraph" w:customStyle="1" w:styleId="142">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43">
    <w:name w:val="Char2"/>
    <w:basedOn w:val="1"/>
    <w:qFormat/>
    <w:uiPriority w:val="0"/>
    <w:pPr>
      <w:spacing w:line="240" w:lineRule="atLeast"/>
      <w:ind w:left="420" w:firstLine="420"/>
    </w:pPr>
    <w:rPr>
      <w:kern w:val="0"/>
      <w:sz w:val="21"/>
    </w:rPr>
  </w:style>
  <w:style w:type="paragraph" w:customStyle="1" w:styleId="144">
    <w:name w:val="样式4"/>
    <w:basedOn w:val="6"/>
    <w:qFormat/>
    <w:uiPriority w:val="0"/>
    <w:pPr>
      <w:adjustRightInd w:val="0"/>
      <w:snapToGrid w:val="0"/>
    </w:p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7">
    <w:name w:val="af"/>
    <w:basedOn w:val="1"/>
    <w:qFormat/>
    <w:uiPriority w:val="0"/>
    <w:pPr>
      <w:widowControl/>
      <w:spacing w:line="300" w:lineRule="atLeast"/>
      <w:jc w:val="left"/>
    </w:pPr>
    <w:rPr>
      <w:rFonts w:ascii="宋体" w:hAnsi="宋体"/>
      <w:kern w:val="0"/>
      <w:sz w:val="18"/>
    </w:rPr>
  </w:style>
  <w:style w:type="paragraph" w:customStyle="1" w:styleId="14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50">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51">
    <w:name w:val="标准正文"/>
    <w:basedOn w:val="17"/>
    <w:qFormat/>
    <w:uiPriority w:val="0"/>
    <w:pPr>
      <w:spacing w:line="360" w:lineRule="auto"/>
      <w:ind w:left="0" w:firstLine="482"/>
    </w:pPr>
    <w:rPr>
      <w:rFonts w:ascii="Arial" w:hAnsi="Arial"/>
      <w:sz w:val="24"/>
    </w:rPr>
  </w:style>
  <w:style w:type="paragraph" w:customStyle="1" w:styleId="152">
    <w:name w:val="章标题"/>
    <w:next w:val="1"/>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53">
    <w:name w:val="二级条标题"/>
    <w:basedOn w:val="154"/>
    <w:next w:val="131"/>
    <w:qFormat/>
    <w:uiPriority w:val="0"/>
    <w:pPr>
      <w:ind w:left="840"/>
      <w:outlineLvl w:val="3"/>
    </w:pPr>
  </w:style>
  <w:style w:type="paragraph" w:customStyle="1" w:styleId="154">
    <w:name w:val="一级条标题"/>
    <w:basedOn w:val="152"/>
    <w:next w:val="131"/>
    <w:qFormat/>
    <w:uiPriority w:val="0"/>
    <w:pPr>
      <w:numPr>
        <w:numId w:val="0"/>
      </w:numPr>
      <w:spacing w:beforeLines="0" w:afterLines="0"/>
      <w:ind w:left="525"/>
      <w:outlineLvl w:val="2"/>
    </w:pPr>
    <w:rPr>
      <w:sz w:val="21"/>
    </w:rPr>
  </w:style>
  <w:style w:type="paragraph" w:customStyle="1" w:styleId="15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6">
    <w:name w:val="标题无"/>
    <w:basedOn w:val="1"/>
    <w:qFormat/>
    <w:uiPriority w:val="0"/>
    <w:pPr>
      <w:spacing w:line="360" w:lineRule="auto"/>
    </w:pPr>
    <w:rPr>
      <w:sz w:val="24"/>
    </w:rPr>
  </w:style>
  <w:style w:type="paragraph" w:customStyle="1" w:styleId="1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8">
    <w:name w:val="xl23"/>
    <w:basedOn w:val="1"/>
    <w:qFormat/>
    <w:uiPriority w:val="0"/>
    <w:pPr>
      <w:widowControl/>
      <w:spacing w:beforeAutospacing="1" w:afterAutospacing="1" w:line="360" w:lineRule="auto"/>
      <w:textAlignment w:val="top"/>
    </w:pPr>
    <w:rPr>
      <w:kern w:val="0"/>
      <w:sz w:val="24"/>
    </w:rPr>
  </w:style>
  <w:style w:type="paragraph" w:customStyle="1" w:styleId="159">
    <w:name w:val="正文文本 21"/>
    <w:basedOn w:val="1"/>
    <w:qFormat/>
    <w:uiPriority w:val="0"/>
    <w:pPr>
      <w:adjustRightInd w:val="0"/>
      <w:spacing w:line="360" w:lineRule="auto"/>
      <w:ind w:firstLine="480"/>
      <w:textAlignment w:val="baseline"/>
    </w:pPr>
    <w:rPr>
      <w:sz w:val="24"/>
    </w:rPr>
  </w:style>
  <w:style w:type="paragraph" w:customStyle="1" w:styleId="16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1 Char Char Char1"/>
    <w:basedOn w:val="1"/>
    <w:qFormat/>
    <w:uiPriority w:val="0"/>
    <w:rPr>
      <w:rFonts w:ascii="Tahoma" w:hAnsi="Tahoma"/>
      <w:sz w:val="30"/>
    </w:rPr>
  </w:style>
  <w:style w:type="paragraph" w:customStyle="1" w:styleId="163">
    <w:name w:val="Char Char Char Char Char Char Char1"/>
    <w:basedOn w:val="1"/>
    <w:qFormat/>
    <w:uiPriority w:val="0"/>
    <w:rPr>
      <w:rFonts w:ascii="Tahoma" w:hAnsi="Tahoma"/>
      <w:sz w:val="24"/>
    </w:rPr>
  </w:style>
  <w:style w:type="paragraph" w:customStyle="1" w:styleId="16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5">
    <w:name w:val="_Style 159"/>
    <w:qFormat/>
    <w:uiPriority w:val="0"/>
    <w:rPr>
      <w:rFonts w:ascii="Calibri" w:hAnsi="Calibri" w:eastAsia="宋体" w:cs="Times New Roman"/>
      <w:kern w:val="2"/>
      <w:sz w:val="21"/>
      <w:lang w:val="en-US" w:eastAsia="zh-CN" w:bidi="ar-SA"/>
    </w:rPr>
  </w:style>
  <w:style w:type="paragraph" w:customStyle="1" w:styleId="166">
    <w:name w:val="样式 宋体 五号 行距: 单倍行距"/>
    <w:basedOn w:val="1"/>
    <w:qFormat/>
    <w:uiPriority w:val="0"/>
    <w:pPr>
      <w:adjustRightInd w:val="0"/>
      <w:jc w:val="left"/>
    </w:pPr>
    <w:rPr>
      <w:rFonts w:ascii="宋体" w:hAnsi="宋体"/>
      <w:kern w:val="0"/>
      <w:sz w:val="21"/>
    </w:rPr>
  </w:style>
  <w:style w:type="paragraph" w:customStyle="1" w:styleId="167">
    <w:name w:val="Table Text"/>
    <w:link w:val="209"/>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9">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70">
    <w:name w:val="正文 + 三号"/>
    <w:basedOn w:val="1"/>
    <w:qFormat/>
    <w:uiPriority w:val="0"/>
    <w:rPr>
      <w:sz w:val="21"/>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表号"/>
    <w:basedOn w:val="1"/>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73">
    <w:name w:val="Title - Date"/>
    <w:basedOn w:val="55"/>
    <w:next w:val="1"/>
    <w:qFormat/>
    <w:uiPriority w:val="0"/>
    <w:rPr>
      <w:sz w:val="28"/>
    </w:rPr>
  </w:style>
  <w:style w:type="paragraph" w:customStyle="1" w:styleId="17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5">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7">
    <w:name w:val="正文4"/>
    <w:basedOn w:val="1"/>
    <w:qFormat/>
    <w:uiPriority w:val="0"/>
    <w:pPr>
      <w:tabs>
        <w:tab w:val="left" w:pos="1275"/>
      </w:tabs>
      <w:spacing w:line="360" w:lineRule="auto"/>
      <w:ind w:left="820" w:leftChars="400" w:hanging="705"/>
    </w:pPr>
    <w:rPr>
      <w:sz w:val="24"/>
    </w:rPr>
  </w:style>
  <w:style w:type="paragraph" w:customStyle="1" w:styleId="178">
    <w:name w:val="文章正文"/>
    <w:basedOn w:val="1"/>
    <w:qFormat/>
    <w:uiPriority w:val="0"/>
    <w:pPr>
      <w:ind w:firstLine="560" w:firstLineChars="200"/>
    </w:pPr>
    <w:rPr>
      <w:rFonts w:ascii="仿宋_GB2312" w:hAnsi="宋体" w:eastAsia="仿宋_GB2312"/>
      <w:color w:val="000000"/>
    </w:rPr>
  </w:style>
  <w:style w:type="paragraph" w:customStyle="1" w:styleId="17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80">
    <w:name w:val="默认段落字体 Para Char Char Char Char Char Char Char"/>
    <w:basedOn w:val="1"/>
    <w:qFormat/>
    <w:uiPriority w:val="0"/>
    <w:rPr>
      <w:rFonts w:ascii="Tahoma" w:hAnsi="Tahoma"/>
      <w:sz w:val="2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Style Heading 3h3Heading 3 - oldLevel 3 HeadH3level_3PIM 3se..."/>
    <w:basedOn w:val="5"/>
    <w:qFormat/>
    <w:uiPriority w:val="0"/>
    <w:pPr>
      <w:tabs>
        <w:tab w:val="left" w:pos="709"/>
        <w:tab w:val="left" w:pos="1620"/>
      </w:tabs>
      <w:ind w:left="1620" w:hanging="360"/>
    </w:pPr>
  </w:style>
  <w:style w:type="paragraph" w:customStyle="1" w:styleId="184">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5">
    <w:name w:val="正文1"/>
    <w:basedOn w:val="1"/>
    <w:qFormat/>
    <w:uiPriority w:val="0"/>
    <w:pPr>
      <w:spacing w:line="300" w:lineRule="auto"/>
      <w:ind w:firstLine="200" w:firstLineChars="200"/>
    </w:pPr>
    <w:rPr>
      <w:sz w:val="24"/>
    </w:rPr>
  </w:style>
  <w:style w:type="paragraph" w:customStyle="1" w:styleId="186">
    <w:name w:val="Char Char1"/>
    <w:basedOn w:val="1"/>
    <w:qFormat/>
    <w:uiPriority w:val="0"/>
    <w:pPr>
      <w:widowControl/>
      <w:spacing w:line="240" w:lineRule="exact"/>
      <w:jc w:val="left"/>
    </w:pPr>
    <w:rPr>
      <w:rFonts w:ascii="Verdana" w:hAnsi="Verdana"/>
      <w:kern w:val="0"/>
      <w:sz w:val="20"/>
      <w:lang w:eastAsia="en-US"/>
    </w:rPr>
  </w:style>
  <w:style w:type="paragraph" w:customStyle="1" w:styleId="18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8">
    <w:name w:val="00"/>
    <w:basedOn w:val="1"/>
    <w:qFormat/>
    <w:uiPriority w:val="0"/>
    <w:pPr>
      <w:autoSpaceDE w:val="0"/>
      <w:autoSpaceDN w:val="0"/>
      <w:adjustRightInd w:val="0"/>
      <w:jc w:val="left"/>
    </w:pPr>
    <w:rPr>
      <w:rFonts w:ascii="黑体" w:eastAsia="黑体"/>
      <w:b/>
      <w:kern w:val="0"/>
      <w:sz w:val="20"/>
    </w:rPr>
  </w:style>
  <w:style w:type="paragraph" w:customStyle="1" w:styleId="18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90">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1">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9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3">
    <w:name w:val="样式 行距: 1.5 倍行距1"/>
    <w:basedOn w:val="1"/>
    <w:qFormat/>
    <w:uiPriority w:val="0"/>
    <w:pPr>
      <w:snapToGrid w:val="0"/>
    </w:pPr>
    <w:rPr>
      <w:sz w:val="21"/>
    </w:rPr>
  </w:style>
  <w:style w:type="paragraph" w:customStyle="1" w:styleId="194">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95">
    <w:name w:val="图片文字"/>
    <w:basedOn w:val="1"/>
    <w:qFormat/>
    <w:uiPriority w:val="0"/>
    <w:pPr>
      <w:spacing w:line="240" w:lineRule="atLeast"/>
      <w:jc w:val="center"/>
    </w:pPr>
    <w:rPr>
      <w:sz w:val="21"/>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9">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00">
    <w:name w:val="Char Char 字元 字元 字元 Char Char Char Char"/>
    <w:basedOn w:val="1"/>
    <w:qFormat/>
    <w:uiPriority w:val="0"/>
    <w:pPr>
      <w:adjustRightInd w:val="0"/>
      <w:spacing w:line="360" w:lineRule="auto"/>
    </w:pPr>
    <w:rPr>
      <w:kern w:val="0"/>
      <w:sz w:val="24"/>
    </w:rPr>
  </w:style>
  <w:style w:type="paragraph" w:customStyle="1" w:styleId="20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2">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3">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5">
    <w:name w:val="style1"/>
    <w:basedOn w:val="1"/>
    <w:qFormat/>
    <w:uiPriority w:val="0"/>
    <w:pPr>
      <w:widowControl/>
      <w:spacing w:beforeAutospacing="1" w:afterAutospacing="1"/>
      <w:jc w:val="left"/>
    </w:pPr>
    <w:rPr>
      <w:rFonts w:ascii="宋体" w:hAnsi="宋体"/>
      <w:kern w:val="0"/>
      <w:sz w:val="21"/>
    </w:rPr>
  </w:style>
  <w:style w:type="character" w:customStyle="1" w:styleId="206">
    <w:name w:val="Char Char3"/>
    <w:qFormat/>
    <w:uiPriority w:val="0"/>
    <w:rPr>
      <w:rFonts w:eastAsia="宋体"/>
      <w:kern w:val="2"/>
      <w:sz w:val="18"/>
      <w:lang w:val="en-US" w:eastAsia="zh-CN"/>
    </w:rPr>
  </w:style>
  <w:style w:type="character" w:customStyle="1" w:styleId="207">
    <w:name w:val="title_emph1"/>
    <w:qFormat/>
    <w:uiPriority w:val="0"/>
    <w:rPr>
      <w:rFonts w:hint="default" w:ascii="Arial" w:hAnsi="Arial"/>
      <w:b/>
      <w:sz w:val="20"/>
    </w:rPr>
  </w:style>
  <w:style w:type="character" w:customStyle="1" w:styleId="208">
    <w:name w:val="标题 3 Char"/>
    <w:link w:val="5"/>
    <w:qFormat/>
    <w:uiPriority w:val="0"/>
    <w:rPr>
      <w:rFonts w:eastAsia="宋体"/>
      <w:b/>
      <w:kern w:val="2"/>
      <w:sz w:val="32"/>
      <w:lang w:val="en-US" w:eastAsia="zh-CN"/>
    </w:rPr>
  </w:style>
  <w:style w:type="character" w:customStyle="1" w:styleId="209">
    <w:name w:val="Table Text Char"/>
    <w:link w:val="167"/>
    <w:qFormat/>
    <w:uiPriority w:val="0"/>
    <w:rPr>
      <w:rFonts w:ascii="Arial" w:hAnsi="Arial"/>
      <w:kern w:val="2"/>
      <w:sz w:val="18"/>
      <w:lang w:val="en-US" w:eastAsia="zh-CN" w:bidi="ar-SA"/>
    </w:rPr>
  </w:style>
  <w:style w:type="character" w:customStyle="1" w:styleId="210">
    <w:name w:val="Char Char11"/>
    <w:qFormat/>
    <w:uiPriority w:val="0"/>
    <w:rPr>
      <w:rFonts w:ascii="宋体"/>
      <w:kern w:val="2"/>
      <w:sz w:val="28"/>
    </w:rPr>
  </w:style>
  <w:style w:type="character" w:customStyle="1" w:styleId="211">
    <w:name w:val="top-det1"/>
    <w:qFormat/>
    <w:uiPriority w:val="0"/>
    <w:rPr>
      <w:b/>
      <w:color w:val="000000"/>
    </w:rPr>
  </w:style>
  <w:style w:type="character" w:customStyle="1" w:styleId="212">
    <w:name w:val="font31"/>
    <w:basedOn w:val="61"/>
    <w:qFormat/>
    <w:uiPriority w:val="0"/>
    <w:rPr>
      <w:rFonts w:hint="default" w:ascii="Times New Roman" w:hAnsi="Times New Roman" w:cs="Times New Roman"/>
      <w:color w:val="000000"/>
      <w:sz w:val="20"/>
      <w:szCs w:val="20"/>
      <w:u w:val="none"/>
    </w:rPr>
  </w:style>
  <w:style w:type="character" w:customStyle="1" w:styleId="213">
    <w:name w:val="正文首行缩进 2 Char"/>
    <w:basedOn w:val="214"/>
    <w:link w:val="58"/>
    <w:qFormat/>
    <w:uiPriority w:val="0"/>
    <w:rPr>
      <w:kern w:val="2"/>
      <w:sz w:val="44"/>
    </w:rPr>
  </w:style>
  <w:style w:type="character" w:customStyle="1" w:styleId="214">
    <w:name w:val="正文文本缩进 Char"/>
    <w:link w:val="17"/>
    <w:qFormat/>
    <w:uiPriority w:val="0"/>
    <w:rPr>
      <w:kern w:val="2"/>
      <w:sz w:val="44"/>
    </w:rPr>
  </w:style>
  <w:style w:type="character" w:customStyle="1" w:styleId="215">
    <w:name w:val="Table Heading Char Char"/>
    <w:qFormat/>
    <w:uiPriority w:val="0"/>
    <w:rPr>
      <w:rFonts w:ascii="Arial" w:hAnsi="Arial" w:eastAsia="黑体"/>
      <w:kern w:val="2"/>
      <w:sz w:val="18"/>
      <w:lang w:val="en-US" w:eastAsia="zh-CN"/>
    </w:rPr>
  </w:style>
  <w:style w:type="character" w:customStyle="1" w:styleId="216">
    <w:name w:val="样式 宋体"/>
    <w:qFormat/>
    <w:uiPriority w:val="0"/>
    <w:rPr>
      <w:rFonts w:ascii="宋体" w:hAnsi="宋体" w:eastAsia="宋体"/>
      <w:sz w:val="28"/>
    </w:rPr>
  </w:style>
  <w:style w:type="character" w:customStyle="1" w:styleId="217">
    <w:name w:val="小 Char"/>
    <w:qFormat/>
    <w:uiPriority w:val="0"/>
    <w:rPr>
      <w:rFonts w:ascii="宋体" w:hAnsi="Courier New" w:eastAsia="宋体"/>
      <w:kern w:val="2"/>
      <w:sz w:val="21"/>
      <w:lang w:val="en-US" w:eastAsia="zh-CN" w:bidi="ar-SA"/>
    </w:rPr>
  </w:style>
  <w:style w:type="character" w:customStyle="1" w:styleId="218">
    <w:name w:val="Char Char6"/>
    <w:qFormat/>
    <w:uiPriority w:val="0"/>
    <w:rPr>
      <w:rFonts w:ascii="仿宋_GB2312" w:eastAsia="仿宋_GB2312"/>
      <w:kern w:val="2"/>
      <w:sz w:val="32"/>
    </w:rPr>
  </w:style>
  <w:style w:type="character" w:customStyle="1" w:styleId="219">
    <w:name w:val="标题 2 字符"/>
    <w:qFormat/>
    <w:uiPriority w:val="0"/>
    <w:rPr>
      <w:rFonts w:ascii="Arial" w:hAnsi="Arial" w:eastAsia="黑体"/>
      <w:b/>
      <w:kern w:val="2"/>
      <w:sz w:val="32"/>
    </w:rPr>
  </w:style>
  <w:style w:type="character" w:customStyle="1" w:styleId="220">
    <w:name w:val="Table Text Char Char Char Char"/>
    <w:link w:val="116"/>
    <w:qFormat/>
    <w:uiPriority w:val="0"/>
    <w:rPr>
      <w:rFonts w:ascii="Arial" w:hAnsi="Arial"/>
      <w:kern w:val="2"/>
      <w:sz w:val="18"/>
      <w:lang w:val="en-US" w:eastAsia="zh-CN" w:bidi="ar-SA"/>
    </w:rPr>
  </w:style>
  <w:style w:type="character" w:customStyle="1" w:styleId="221">
    <w:name w:val="正文文本缩进 2 Char"/>
    <w:link w:val="34"/>
    <w:qFormat/>
    <w:uiPriority w:val="0"/>
    <w:rPr>
      <w:kern w:val="2"/>
      <w:sz w:val="28"/>
    </w:rPr>
  </w:style>
  <w:style w:type="character" w:customStyle="1" w:styleId="222">
    <w:name w:val="Char Char7"/>
    <w:qFormat/>
    <w:uiPriority w:val="0"/>
    <w:rPr>
      <w:rFonts w:ascii="宋体" w:hAnsi="宋体" w:eastAsia="宋体"/>
      <w:kern w:val="2"/>
      <w:sz w:val="28"/>
    </w:rPr>
  </w:style>
  <w:style w:type="character" w:customStyle="1" w:styleId="223">
    <w:name w:val="font21"/>
    <w:basedOn w:val="61"/>
    <w:qFormat/>
    <w:uiPriority w:val="0"/>
    <w:rPr>
      <w:rFonts w:hint="eastAsia" w:ascii="宋体" w:hAnsi="宋体" w:eastAsia="宋体" w:cs="宋体"/>
      <w:color w:val="000000"/>
      <w:sz w:val="20"/>
      <w:szCs w:val="20"/>
      <w:u w:val="none"/>
    </w:rPr>
  </w:style>
  <w:style w:type="character" w:customStyle="1" w:styleId="224">
    <w:name w:val="Char Char5"/>
    <w:qFormat/>
    <w:uiPriority w:val="0"/>
    <w:rPr>
      <w:rFonts w:ascii="Arial" w:hAnsi="Arial" w:eastAsia="宋体"/>
      <w:b/>
      <w:smallCaps/>
      <w:kern w:val="28"/>
      <w:sz w:val="36"/>
      <w:lang w:val="en-US" w:eastAsia="en-US"/>
    </w:rPr>
  </w:style>
  <w:style w:type="character" w:customStyle="1" w:styleId="225">
    <w:name w:val="批注主题 Char"/>
    <w:basedOn w:val="226"/>
    <w:link w:val="56"/>
    <w:qFormat/>
    <w:uiPriority w:val="0"/>
    <w:rPr>
      <w:sz w:val="24"/>
    </w:rPr>
  </w:style>
  <w:style w:type="character" w:customStyle="1" w:styleId="226">
    <w:name w:val="批注文字 Char"/>
    <w:link w:val="21"/>
    <w:qFormat/>
    <w:uiPriority w:val="0"/>
    <w:rPr>
      <w:sz w:val="24"/>
    </w:rPr>
  </w:style>
  <w:style w:type="character" w:customStyle="1" w:styleId="227">
    <w:name w:val="未命名11"/>
    <w:qFormat/>
    <w:uiPriority w:val="0"/>
    <w:rPr>
      <w:color w:val="77FFFF"/>
      <w:sz w:val="24"/>
    </w:rPr>
  </w:style>
  <w:style w:type="character" w:customStyle="1" w:styleId="228">
    <w:name w:val="日期 Char"/>
    <w:link w:val="33"/>
    <w:qFormat/>
    <w:uiPriority w:val="0"/>
    <w:rPr>
      <w:kern w:val="2"/>
      <w:sz w:val="28"/>
    </w:rPr>
  </w:style>
  <w:style w:type="character" w:customStyle="1" w:styleId="229">
    <w:name w:val="正文 + 三号 Char"/>
    <w:qFormat/>
    <w:uiPriority w:val="0"/>
    <w:rPr>
      <w:rFonts w:eastAsia="宋体"/>
      <w:kern w:val="2"/>
      <w:sz w:val="21"/>
      <w:lang w:val="en-US" w:eastAsia="zh-CN"/>
    </w:rPr>
  </w:style>
  <w:style w:type="character" w:customStyle="1" w:styleId="230">
    <w:name w:val="Char Char2"/>
    <w:qFormat/>
    <w:uiPriority w:val="0"/>
    <w:rPr>
      <w:rFonts w:eastAsia="宋体"/>
      <w:kern w:val="2"/>
      <w:sz w:val="18"/>
      <w:lang w:val="en-US" w:eastAsia="zh-CN"/>
    </w:rPr>
  </w:style>
  <w:style w:type="character" w:customStyle="1" w:styleId="231">
    <w:name w:val="H2 Char"/>
    <w:qFormat/>
    <w:uiPriority w:val="0"/>
    <w:rPr>
      <w:rFonts w:ascii="Arial" w:hAnsi="Arial" w:eastAsia="宋体"/>
      <w:kern w:val="2"/>
      <w:sz w:val="28"/>
      <w:lang w:val="en-US" w:eastAsia="zh-CN"/>
    </w:rPr>
  </w:style>
  <w:style w:type="character" w:customStyle="1" w:styleId="232">
    <w:name w:val="font1"/>
    <w:qFormat/>
    <w:uiPriority w:val="0"/>
    <w:rPr>
      <w:color w:val="000000"/>
      <w:sz w:val="18"/>
    </w:rPr>
  </w:style>
  <w:style w:type="character" w:customStyle="1" w:styleId="233">
    <w:name w:val="v151"/>
    <w:qFormat/>
    <w:uiPriority w:val="0"/>
    <w:rPr>
      <w:sz w:val="18"/>
    </w:rPr>
  </w:style>
  <w:style w:type="character" w:customStyle="1" w:styleId="234">
    <w:name w:val="脚注文本 Char"/>
    <w:link w:val="41"/>
    <w:qFormat/>
    <w:uiPriority w:val="0"/>
    <w:rPr>
      <w:kern w:val="2"/>
      <w:sz w:val="18"/>
    </w:rPr>
  </w:style>
  <w:style w:type="character" w:customStyle="1" w:styleId="235">
    <w:name w:val="Char Char"/>
    <w:qFormat/>
    <w:uiPriority w:val="0"/>
    <w:rPr>
      <w:rFonts w:ascii="宋体" w:hAnsi="宋体" w:eastAsia="宋体"/>
      <w:kern w:val="2"/>
      <w:sz w:val="24"/>
      <w:lang w:val="en-US" w:eastAsia="zh-CN" w:bidi="ar-SA"/>
    </w:rPr>
  </w:style>
  <w:style w:type="character" w:customStyle="1" w:styleId="236">
    <w:name w:val="crowed11"/>
    <w:qFormat/>
    <w:uiPriority w:val="0"/>
    <w:rPr>
      <w:rFonts w:hint="default" w:ascii="_x000B__x000C_" w:hAnsi="_x000B__x000C_"/>
      <w:sz w:val="24"/>
    </w:rPr>
  </w:style>
  <w:style w:type="character" w:customStyle="1" w:styleId="237">
    <w:name w:val="标书正文:  0.74 厘米 Char1"/>
    <w:qFormat/>
    <w:uiPriority w:val="0"/>
    <w:rPr>
      <w:rFonts w:eastAsia="宋体"/>
      <w:kern w:val="2"/>
      <w:sz w:val="24"/>
      <w:lang w:val="en-US" w:eastAsia="zh-CN"/>
    </w:rPr>
  </w:style>
  <w:style w:type="character" w:customStyle="1" w:styleId="238">
    <w:name w:val="Table Text Char1 Char"/>
    <w:qFormat/>
    <w:uiPriority w:val="0"/>
    <w:rPr>
      <w:rFonts w:ascii="Arial" w:hAnsi="Arial"/>
      <w:kern w:val="2"/>
      <w:sz w:val="18"/>
      <w:lang w:val="en-US" w:eastAsia="zh-CN" w:bidi="ar-SA"/>
    </w:rPr>
  </w:style>
  <w:style w:type="character" w:customStyle="1" w:styleId="239">
    <w:name w:val="Char Char4"/>
    <w:qFormat/>
    <w:uiPriority w:val="0"/>
    <w:rPr>
      <w:rFonts w:eastAsia="宋体"/>
      <w:b/>
      <w:kern w:val="2"/>
      <w:sz w:val="21"/>
      <w:lang w:val="en-US" w:eastAsia="zh-CN"/>
    </w:rPr>
  </w:style>
  <w:style w:type="character" w:customStyle="1" w:styleId="240">
    <w:name w:val="文字 Char"/>
    <w:link w:val="121"/>
    <w:qFormat/>
    <w:uiPriority w:val="0"/>
    <w:rPr>
      <w:rFonts w:ascii="宋体"/>
      <w:kern w:val="2"/>
      <w:sz w:val="28"/>
    </w:rPr>
  </w:style>
  <w:style w:type="character" w:customStyle="1" w:styleId="241">
    <w:name w:val="content-white1"/>
    <w:qFormat/>
    <w:uiPriority w:val="0"/>
    <w:rPr>
      <w:rFonts w:ascii="_x000B__x000C_" w:hAnsi="_x000B__x000C_"/>
      <w:color w:val="auto"/>
      <w:sz w:val="18"/>
      <w:u w:val="none"/>
    </w:rPr>
  </w:style>
  <w:style w:type="paragraph" w:customStyle="1" w:styleId="242">
    <w:name w:val="列出段落1"/>
    <w:basedOn w:val="1"/>
    <w:link w:val="252"/>
    <w:unhideWhenUsed/>
    <w:qFormat/>
    <w:uiPriority w:val="34"/>
    <w:pPr>
      <w:ind w:firstLine="420" w:firstLineChars="200"/>
    </w:pPr>
  </w:style>
  <w:style w:type="paragraph" w:customStyle="1" w:styleId="243">
    <w:name w:val="Table Paragraph"/>
    <w:basedOn w:val="1"/>
    <w:qFormat/>
    <w:uiPriority w:val="1"/>
    <w:pPr>
      <w:jc w:val="left"/>
    </w:pPr>
    <w:rPr>
      <w:kern w:val="0"/>
      <w:sz w:val="22"/>
      <w:szCs w:val="22"/>
      <w:lang w:eastAsia="en-US"/>
    </w:rPr>
  </w:style>
  <w:style w:type="character" w:customStyle="1" w:styleId="244">
    <w:name w:val="font41"/>
    <w:basedOn w:val="61"/>
    <w:qFormat/>
    <w:uiPriority w:val="0"/>
    <w:rPr>
      <w:rFonts w:hint="eastAsia" w:ascii="宋体" w:hAnsi="宋体" w:eastAsia="宋体" w:cs="宋体"/>
      <w:b/>
      <w:color w:val="000000"/>
      <w:sz w:val="20"/>
      <w:szCs w:val="20"/>
      <w:u w:val="none"/>
    </w:rPr>
  </w:style>
  <w:style w:type="character" w:customStyle="1" w:styleId="245">
    <w:name w:val="font11"/>
    <w:basedOn w:val="61"/>
    <w:qFormat/>
    <w:uiPriority w:val="0"/>
    <w:rPr>
      <w:rFonts w:hint="eastAsia" w:ascii="宋体" w:hAnsi="宋体" w:eastAsia="宋体" w:cs="宋体"/>
      <w:color w:val="000000"/>
      <w:sz w:val="20"/>
      <w:szCs w:val="20"/>
      <w:u w:val="none"/>
    </w:rPr>
  </w:style>
  <w:style w:type="character" w:customStyle="1" w:styleId="246">
    <w:name w:val="font61"/>
    <w:basedOn w:val="61"/>
    <w:qFormat/>
    <w:uiPriority w:val="0"/>
    <w:rPr>
      <w:rFonts w:hint="default" w:ascii="Times New Roman" w:hAnsi="Times New Roman" w:cs="Times New Roman"/>
      <w:color w:val="000000"/>
      <w:sz w:val="20"/>
      <w:szCs w:val="20"/>
      <w:u w:val="none"/>
    </w:rPr>
  </w:style>
  <w:style w:type="character" w:customStyle="1" w:styleId="247">
    <w:name w:val="font81"/>
    <w:basedOn w:val="61"/>
    <w:qFormat/>
    <w:uiPriority w:val="0"/>
    <w:rPr>
      <w:rFonts w:hint="default" w:ascii="Times New Roman" w:hAnsi="Times New Roman" w:cs="Times New Roman"/>
      <w:b/>
      <w:color w:val="000000"/>
      <w:sz w:val="20"/>
      <w:szCs w:val="20"/>
      <w:u w:val="none"/>
    </w:rPr>
  </w:style>
  <w:style w:type="character" w:customStyle="1" w:styleId="248">
    <w:name w:val="font71"/>
    <w:basedOn w:val="61"/>
    <w:qFormat/>
    <w:uiPriority w:val="0"/>
    <w:rPr>
      <w:rFonts w:ascii="方正黑体简体" w:hAnsi="方正黑体简体" w:eastAsia="方正黑体简体" w:cs="方正黑体简体"/>
      <w:b/>
      <w:color w:val="000000"/>
      <w:sz w:val="20"/>
      <w:szCs w:val="20"/>
      <w:u w:val="none"/>
    </w:rPr>
  </w:style>
  <w:style w:type="paragraph" w:customStyle="1" w:styleId="249">
    <w:name w:val="修订1"/>
    <w:hidden/>
    <w:semiHidden/>
    <w:qFormat/>
    <w:uiPriority w:val="99"/>
    <w:rPr>
      <w:rFonts w:ascii="Calibri" w:hAnsi="Calibri" w:eastAsia="宋体" w:cs="Times New Roman"/>
      <w:kern w:val="2"/>
      <w:sz w:val="28"/>
      <w:lang w:val="en-US" w:eastAsia="zh-CN" w:bidi="ar-SA"/>
    </w:rPr>
  </w:style>
  <w:style w:type="paragraph" w:customStyle="1" w:styleId="250">
    <w:name w:val="修订2"/>
    <w:hidden/>
    <w:semiHidden/>
    <w:qFormat/>
    <w:uiPriority w:val="99"/>
    <w:rPr>
      <w:rFonts w:ascii="Calibri" w:hAnsi="Calibri" w:eastAsia="宋体" w:cs="Times New Roman"/>
      <w:kern w:val="2"/>
      <w:sz w:val="28"/>
      <w:lang w:val="en-US" w:eastAsia="zh-CN" w:bidi="ar-SA"/>
    </w:rPr>
  </w:style>
  <w:style w:type="paragraph" w:customStyle="1" w:styleId="251">
    <w:name w:val="样式 首行缩进:  0 字符"/>
    <w:basedOn w:val="1"/>
    <w:qFormat/>
    <w:uiPriority w:val="0"/>
    <w:pPr>
      <w:spacing w:line="360" w:lineRule="auto"/>
      <w:ind w:firstLine="200" w:firstLineChars="200"/>
    </w:pPr>
    <w:rPr>
      <w:rFonts w:ascii="Arial" w:hAnsi="Arial" w:cs="宋体"/>
      <w:snapToGrid w:val="0"/>
      <w:spacing w:val="10"/>
      <w:kern w:val="0"/>
      <w:sz w:val="24"/>
      <w:szCs w:val="24"/>
    </w:rPr>
  </w:style>
  <w:style w:type="character" w:customStyle="1" w:styleId="252">
    <w:name w:val="列出段落 Char"/>
    <w:link w:val="242"/>
    <w:qFormat/>
    <w:uiPriority w:val="34"/>
    <w:rPr>
      <w:rFonts w:ascii="Calibri" w:hAnsi="Calibri" w:eastAsia="宋体" w:cs="Times New Roman"/>
      <w:kern w:val="2"/>
      <w:sz w:val="28"/>
    </w:rPr>
  </w:style>
  <w:style w:type="table" w:customStyle="1" w:styleId="253">
    <w:name w:val="网格型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4">
    <w:name w:val="标题 1 Char"/>
    <w:link w:val="3"/>
    <w:qFormat/>
    <w:uiPriority w:val="0"/>
    <w:rPr>
      <w:rFonts w:ascii="宋体"/>
    </w:rPr>
  </w:style>
  <w:style w:type="paragraph" w:customStyle="1" w:styleId="255">
    <w:name w:val="表样式"/>
    <w:basedOn w:val="1"/>
    <w:qFormat/>
    <w:uiPriority w:val="0"/>
    <w:rPr>
      <w:rFonts w:ascii="Times New Roman" w:hAnsi="Times New Roman"/>
    </w:rPr>
  </w:style>
  <w:style w:type="paragraph" w:customStyle="1" w:styleId="256">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character" w:customStyle="1" w:styleId="257">
    <w:name w:val="font01"/>
    <w:basedOn w:val="61"/>
    <w:qFormat/>
    <w:uiPriority w:val="0"/>
    <w:rPr>
      <w:rFonts w:hint="eastAsia" w:ascii="方正仿宋_GBK" w:hAnsi="方正仿宋_GBK" w:eastAsia="方正仿宋_GBK" w:cs="方正仿宋_GBK"/>
      <w:color w:val="000000"/>
      <w:sz w:val="24"/>
      <w:szCs w:val="24"/>
      <w:u w:val="none"/>
    </w:rPr>
  </w:style>
  <w:style w:type="character" w:customStyle="1" w:styleId="258">
    <w:name w:val="NormalCharacter"/>
    <w:qFormat/>
    <w:uiPriority w:val="0"/>
  </w:style>
  <w:style w:type="character" w:customStyle="1" w:styleId="259">
    <w:name w:val="页眉 Char"/>
    <w:link w:val="37"/>
    <w:qFormat/>
    <w:uiPriority w:val="0"/>
    <w:rPr>
      <w:rFonts w:ascii="Calibri" w:hAnsi="Calibri"/>
      <w:kern w:val="2"/>
      <w:sz w:val="18"/>
    </w:rPr>
  </w:style>
  <w:style w:type="table" w:customStyle="1" w:styleId="26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261">
    <w:name w:val="批注框文本 Char"/>
    <w:link w:val="35"/>
    <w:qFormat/>
    <w:uiPriority w:val="99"/>
    <w:rPr>
      <w:rFonts w:ascii="Calibri" w:hAnsi="Calibri"/>
      <w:kern w:val="2"/>
      <w:sz w:val="18"/>
    </w:rPr>
  </w:style>
  <w:style w:type="paragraph" w:customStyle="1" w:styleId="262">
    <w:name w:val="正  文"/>
    <w:basedOn w:val="1"/>
    <w:qFormat/>
    <w:uiPriority w:val="0"/>
    <w:pPr>
      <w:spacing w:line="360" w:lineRule="auto"/>
      <w:ind w:firstLine="200" w:firstLineChars="200"/>
    </w:pPr>
    <w:rPr>
      <w:rFonts w:ascii="宋体"/>
      <w:sz w:val="24"/>
      <w:szCs w:val="24"/>
    </w:rPr>
  </w:style>
  <w:style w:type="character" w:customStyle="1" w:styleId="263">
    <w:name w:val="标题 2 Char"/>
    <w:link w:val="4"/>
    <w:qFormat/>
    <w:uiPriority w:val="0"/>
    <w:rPr>
      <w:rFonts w:ascii="Arial" w:hAnsi="Arial" w:eastAsia="黑体"/>
      <w:b/>
      <w:kern w:val="2"/>
      <w:sz w:val="32"/>
    </w:rPr>
  </w:style>
  <w:style w:type="paragraph" w:customStyle="1" w:styleId="264">
    <w:name w:val="WPSOffice手动目录 1"/>
    <w:qFormat/>
    <w:uiPriority w:val="0"/>
    <w:rPr>
      <w:rFonts w:ascii="Times New Roman" w:hAnsi="Times New Roman" w:eastAsia="宋体" w:cs="Times New Roman"/>
      <w:lang w:val="en-US" w:eastAsia="zh-CN" w:bidi="ar-SA"/>
    </w:rPr>
  </w:style>
  <w:style w:type="paragraph" w:customStyle="1" w:styleId="2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6">
    <w:name w:val="pf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7">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9">
    <w:name w:val="BodyText1I2"/>
    <w:basedOn w:val="270"/>
    <w:qFormat/>
    <w:uiPriority w:val="0"/>
    <w:pPr>
      <w:spacing w:after="120" w:line="240" w:lineRule="auto"/>
      <w:ind w:left="420" w:leftChars="200" w:firstLine="420" w:firstLineChars="200"/>
    </w:pPr>
  </w:style>
  <w:style w:type="paragraph" w:customStyle="1" w:styleId="270">
    <w:name w:val="BodyTextIndent"/>
    <w:basedOn w:val="1"/>
    <w:qFormat/>
    <w:uiPriority w:val="0"/>
    <w:pPr>
      <w:spacing w:line="700" w:lineRule="exact"/>
      <w:ind w:left="960"/>
      <w:textAlignment w:val="baseline"/>
    </w:pPr>
    <w:rPr>
      <w:sz w:val="44"/>
    </w:rPr>
  </w:style>
  <w:style w:type="paragraph" w:customStyle="1" w:styleId="271">
    <w:name w:val="标题一、"/>
    <w:basedOn w:val="1"/>
    <w:qFormat/>
    <w:uiPriority w:val="0"/>
    <w:pPr>
      <w:spacing w:before="312" w:beforeLines="100" w:after="312" w:afterLines="100" w:line="360" w:lineRule="auto"/>
      <w:jc w:val="center"/>
      <w:outlineLvl w:val="0"/>
    </w:pPr>
    <w:rPr>
      <w:rFonts w:ascii="黑体" w:eastAsia="黑体"/>
      <w:sz w:val="32"/>
      <w:szCs w:val="32"/>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w:unhideWhenUsed/>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44</Pages>
  <Words>3152</Words>
  <Characters>3397</Characters>
  <Lines>196</Lines>
  <Paragraphs>55</Paragraphs>
  <TotalTime>50</TotalTime>
  <ScaleCrop>false</ScaleCrop>
  <LinksUpToDate>false</LinksUpToDate>
  <CharactersWithSpaces>3498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2025-06-25T03:32:00Z</dcterms:created>
  <dc:creator>罗成</dc:creator>
  <cp:lastModifiedBy>LJ</cp:lastModifiedBy>
  <cp:lastPrinted>2019-03-05T07:20:00Z</cp:lastPrinted>
  <dcterms:modified xsi:type="dcterms:W3CDTF">2025-07-05T01:10:43Z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C349D6D0BF4A42B5BDA1EBF1EFD89409_13</vt:lpwstr>
  </property>
  <property fmtid="{D5CDD505-2E9C-101B-9397-08002B2CF9AE}" pid="4" name="KSOTemplateDocerSaveRecord">
    <vt:lpwstr>eyJoZGlkIjoiYmRhYjZmODE3MWRjYzc5YmI3MDQxNmFiOWViMWUzM2IiLCJ1c2VySWQiOiIxMjE4MzEzMjQyIn0=</vt:lpwstr>
  </property>
</Properties>
</file>