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82133">
      <w:pPr>
        <w:widowControl/>
        <w:spacing w:line="360" w:lineRule="auto"/>
        <w:jc w:val="center"/>
        <w:rPr>
          <w:rFonts w:hint="eastAsia" w:ascii="仿宋" w:hAnsi="仿宋" w:eastAsia="仿宋" w:cs="仿宋"/>
          <w:color w:val="auto"/>
          <w:sz w:val="96"/>
          <w:szCs w:val="96"/>
          <w:highlight w:val="none"/>
        </w:rPr>
      </w:pPr>
    </w:p>
    <w:p w14:paraId="119D2379">
      <w:pPr>
        <w:spacing w:line="360" w:lineRule="auto"/>
        <w:jc w:val="center"/>
        <w:rPr>
          <w:rFonts w:hint="eastAsia" w:ascii="仿宋" w:hAnsi="仿宋" w:eastAsia="仿宋" w:cs="仿宋"/>
          <w:b/>
          <w:bCs/>
          <w:color w:val="auto"/>
          <w:sz w:val="72"/>
          <w:szCs w:val="72"/>
          <w:highlight w:val="none"/>
        </w:rPr>
      </w:pPr>
      <w:bookmarkStart w:id="0" w:name="_Toc29402"/>
      <w:r>
        <w:rPr>
          <w:rFonts w:hint="eastAsia" w:ascii="仿宋" w:hAnsi="仿宋" w:eastAsia="仿宋" w:cs="仿宋"/>
          <w:b/>
          <w:bCs/>
          <w:color w:val="auto"/>
          <w:sz w:val="72"/>
          <w:szCs w:val="72"/>
          <w:highlight w:val="none"/>
        </w:rPr>
        <w:t>竞采文件</w:t>
      </w:r>
      <w:bookmarkEnd w:id="0"/>
    </w:p>
    <w:p w14:paraId="7E954263">
      <w:pPr>
        <w:pStyle w:val="12"/>
        <w:spacing w:line="360" w:lineRule="auto"/>
        <w:ind w:left="0" w:leftChars="0"/>
        <w:rPr>
          <w:rFonts w:hint="eastAsia" w:ascii="仿宋" w:hAnsi="仿宋" w:eastAsia="仿宋" w:cs="仿宋"/>
          <w:color w:val="auto"/>
          <w:sz w:val="32"/>
          <w:highlight w:val="none"/>
        </w:rPr>
      </w:pPr>
    </w:p>
    <w:p w14:paraId="2DDA7723">
      <w:pPr>
        <w:pStyle w:val="16"/>
        <w:spacing w:line="360" w:lineRule="auto"/>
        <w:rPr>
          <w:rFonts w:hint="eastAsia" w:ascii="仿宋" w:hAnsi="仿宋" w:eastAsia="仿宋" w:cs="仿宋"/>
          <w:color w:val="auto"/>
          <w:sz w:val="32"/>
          <w:highlight w:val="none"/>
        </w:rPr>
      </w:pPr>
    </w:p>
    <w:p w14:paraId="39209515">
      <w:pPr>
        <w:pStyle w:val="16"/>
        <w:spacing w:line="360" w:lineRule="auto"/>
        <w:rPr>
          <w:rFonts w:hint="eastAsia" w:ascii="仿宋" w:hAnsi="仿宋" w:eastAsia="仿宋" w:cs="仿宋"/>
          <w:color w:val="auto"/>
          <w:sz w:val="32"/>
          <w:highlight w:val="none"/>
        </w:rPr>
      </w:pPr>
    </w:p>
    <w:p w14:paraId="355301C0">
      <w:pPr>
        <w:pStyle w:val="12"/>
        <w:spacing w:line="360" w:lineRule="auto"/>
        <w:ind w:left="560"/>
        <w:jc w:val="center"/>
        <w:rPr>
          <w:rFonts w:hint="eastAsia" w:ascii="仿宋" w:hAnsi="仿宋" w:eastAsia="仿宋" w:cs="仿宋"/>
          <w:color w:val="auto"/>
          <w:sz w:val="32"/>
          <w:highlight w:val="none"/>
        </w:rPr>
      </w:pPr>
    </w:p>
    <w:p w14:paraId="237EFE01">
      <w:pPr>
        <w:pStyle w:val="12"/>
        <w:spacing w:line="360" w:lineRule="auto"/>
        <w:ind w:left="560"/>
        <w:rPr>
          <w:rFonts w:hint="eastAsia" w:ascii="仿宋" w:hAnsi="仿宋" w:eastAsia="仿宋" w:cs="仿宋"/>
          <w:color w:val="auto"/>
          <w:sz w:val="32"/>
          <w:highlight w:val="none"/>
        </w:rPr>
      </w:pPr>
    </w:p>
    <w:p w14:paraId="7BF1055B">
      <w:pPr>
        <w:widowControl/>
        <w:spacing w:line="360" w:lineRule="auto"/>
        <w:ind w:firstLine="1280" w:firstLineChars="400"/>
        <w:jc w:val="left"/>
        <w:rPr>
          <w:rFonts w:hint="eastAsia" w:ascii="仿宋" w:hAnsi="仿宋" w:eastAsia="仿宋" w:cs="仿宋"/>
          <w:color w:val="auto"/>
          <w:sz w:val="32"/>
          <w:szCs w:val="28"/>
          <w:highlight w:val="none"/>
        </w:rPr>
      </w:pPr>
      <w:r>
        <w:rPr>
          <w:rFonts w:hint="eastAsia" w:ascii="仿宋" w:hAnsi="仿宋" w:eastAsia="仿宋" w:cs="仿宋"/>
          <w:color w:val="auto"/>
          <w:sz w:val="32"/>
          <w:szCs w:val="28"/>
          <w:highlight w:val="none"/>
        </w:rPr>
        <w:t>项目名称：</w:t>
      </w:r>
      <w:r>
        <w:rPr>
          <w:rFonts w:hint="eastAsia" w:ascii="仿宋" w:hAnsi="仿宋" w:eastAsia="仿宋" w:cs="仿宋"/>
          <w:color w:val="auto"/>
          <w:sz w:val="32"/>
          <w:szCs w:val="28"/>
          <w:highlight w:val="none"/>
          <w:lang w:eastAsia="zh-CN"/>
        </w:rPr>
        <w:t>宁江小学公厕维修工程</w:t>
      </w:r>
    </w:p>
    <w:p w14:paraId="4164AEBB">
      <w:pPr>
        <w:widowControl/>
        <w:spacing w:line="360" w:lineRule="auto"/>
        <w:ind w:firstLine="1280" w:firstLineChars="400"/>
        <w:jc w:val="left"/>
        <w:rPr>
          <w:rFonts w:hint="eastAsia" w:ascii="仿宋" w:hAnsi="仿宋" w:eastAsia="仿宋" w:cs="仿宋"/>
          <w:color w:val="auto"/>
          <w:sz w:val="32"/>
          <w:szCs w:val="28"/>
          <w:highlight w:val="none"/>
        </w:rPr>
      </w:pPr>
    </w:p>
    <w:p w14:paraId="127D502E">
      <w:pPr>
        <w:widowControl/>
        <w:spacing w:line="360" w:lineRule="auto"/>
        <w:jc w:val="left"/>
        <w:rPr>
          <w:rFonts w:hint="eastAsia" w:ascii="仿宋" w:hAnsi="仿宋" w:eastAsia="仿宋" w:cs="仿宋"/>
          <w:color w:val="auto"/>
          <w:sz w:val="32"/>
          <w:szCs w:val="28"/>
          <w:highlight w:val="none"/>
        </w:rPr>
      </w:pPr>
    </w:p>
    <w:p w14:paraId="36CAB590">
      <w:pPr>
        <w:widowControl/>
        <w:spacing w:line="360" w:lineRule="auto"/>
        <w:ind w:firstLine="1280" w:firstLineChars="400"/>
        <w:jc w:val="left"/>
        <w:rPr>
          <w:rFonts w:hint="eastAsia" w:ascii="仿宋" w:hAnsi="仿宋" w:eastAsia="仿宋" w:cs="仿宋"/>
          <w:color w:val="auto"/>
          <w:sz w:val="32"/>
          <w:szCs w:val="28"/>
          <w:highlight w:val="none"/>
        </w:rPr>
      </w:pPr>
    </w:p>
    <w:p w14:paraId="60BE4F70">
      <w:pPr>
        <w:widowControl/>
        <w:spacing w:line="360" w:lineRule="auto"/>
        <w:ind w:firstLine="1280" w:firstLineChars="400"/>
        <w:jc w:val="left"/>
        <w:rPr>
          <w:rFonts w:hint="eastAsia" w:ascii="仿宋" w:hAnsi="仿宋" w:eastAsia="仿宋" w:cs="仿宋"/>
          <w:color w:val="auto"/>
          <w:sz w:val="32"/>
          <w:szCs w:val="28"/>
          <w:highlight w:val="none"/>
        </w:rPr>
      </w:pPr>
      <w:r>
        <w:rPr>
          <w:rFonts w:hint="eastAsia" w:ascii="仿宋" w:hAnsi="仿宋" w:eastAsia="仿宋" w:cs="仿宋"/>
          <w:color w:val="auto"/>
          <w:sz w:val="32"/>
          <w:szCs w:val="28"/>
          <w:highlight w:val="none"/>
        </w:rPr>
        <w:t>采 购 人：</w:t>
      </w:r>
      <w:r>
        <w:rPr>
          <w:rFonts w:hint="eastAsia" w:ascii="仿宋" w:hAnsi="仿宋" w:eastAsia="仿宋" w:cs="仿宋"/>
          <w:color w:val="auto"/>
          <w:sz w:val="32"/>
          <w:szCs w:val="28"/>
          <w:highlight w:val="none"/>
          <w:lang w:eastAsia="zh-CN"/>
        </w:rPr>
        <w:t>重庆市南川区水江镇宁江小学校</w:t>
      </w:r>
      <w:r>
        <w:rPr>
          <w:rFonts w:hint="eastAsia" w:ascii="仿宋" w:hAnsi="仿宋" w:eastAsia="仿宋" w:cs="仿宋"/>
          <w:color w:val="auto"/>
          <w:sz w:val="32"/>
          <w:szCs w:val="28"/>
          <w:highlight w:val="none"/>
        </w:rPr>
        <w:t xml:space="preserve">       </w:t>
      </w:r>
    </w:p>
    <w:p w14:paraId="731903FC">
      <w:pPr>
        <w:widowControl/>
        <w:spacing w:line="360" w:lineRule="auto"/>
        <w:ind w:firstLine="1280" w:firstLineChars="400"/>
        <w:jc w:val="left"/>
        <w:rPr>
          <w:rFonts w:hint="eastAsia" w:ascii="仿宋" w:hAnsi="仿宋" w:eastAsia="仿宋" w:cs="仿宋"/>
          <w:color w:val="auto"/>
          <w:sz w:val="32"/>
          <w:szCs w:val="28"/>
          <w:highlight w:val="none"/>
          <w:lang w:eastAsia="zh-CN"/>
        </w:rPr>
      </w:pPr>
      <w:r>
        <w:rPr>
          <w:rFonts w:hint="eastAsia" w:ascii="仿宋" w:hAnsi="仿宋" w:eastAsia="仿宋" w:cs="仿宋"/>
          <w:color w:val="auto"/>
          <w:sz w:val="32"/>
          <w:szCs w:val="28"/>
          <w:highlight w:val="none"/>
        </w:rPr>
        <w:t>代理机构：</w:t>
      </w:r>
      <w:r>
        <w:rPr>
          <w:rFonts w:hint="eastAsia" w:ascii="仿宋" w:hAnsi="仿宋" w:eastAsia="仿宋" w:cs="仿宋"/>
          <w:color w:val="auto"/>
          <w:sz w:val="32"/>
          <w:szCs w:val="28"/>
          <w:highlight w:val="none"/>
          <w:lang w:eastAsia="zh-CN"/>
        </w:rPr>
        <w:t>重庆海德思哲招标代理有限公司</w:t>
      </w:r>
    </w:p>
    <w:p w14:paraId="76817D57">
      <w:pPr>
        <w:spacing w:line="360" w:lineRule="auto"/>
        <w:ind w:firstLine="2880" w:firstLineChars="900"/>
        <w:rPr>
          <w:rFonts w:hint="eastAsia" w:ascii="仿宋" w:hAnsi="仿宋" w:eastAsia="仿宋" w:cs="仿宋"/>
          <w:color w:val="auto"/>
          <w:sz w:val="32"/>
          <w:szCs w:val="28"/>
          <w:highlight w:val="none"/>
        </w:rPr>
      </w:pPr>
    </w:p>
    <w:p w14:paraId="08AA8F78">
      <w:pPr>
        <w:spacing w:line="360" w:lineRule="auto"/>
        <w:ind w:firstLine="3520" w:firstLineChars="1100"/>
        <w:rPr>
          <w:rFonts w:hint="eastAsia" w:ascii="仿宋" w:hAnsi="仿宋" w:eastAsia="仿宋" w:cs="仿宋"/>
          <w:color w:val="auto"/>
          <w:sz w:val="32"/>
          <w:szCs w:val="28"/>
          <w:highlight w:val="none"/>
        </w:rPr>
      </w:pPr>
      <w:r>
        <w:rPr>
          <w:rFonts w:hint="eastAsia" w:ascii="仿宋" w:hAnsi="仿宋" w:eastAsia="仿宋" w:cs="仿宋"/>
          <w:color w:val="auto"/>
          <w:sz w:val="32"/>
          <w:szCs w:val="28"/>
          <w:highlight w:val="none"/>
        </w:rPr>
        <w:t>二○二五年</w:t>
      </w:r>
      <w:r>
        <w:rPr>
          <w:rFonts w:hint="eastAsia" w:ascii="仿宋" w:hAnsi="仿宋" w:eastAsia="仿宋" w:cs="仿宋"/>
          <w:color w:val="auto"/>
          <w:sz w:val="32"/>
          <w:szCs w:val="28"/>
          <w:highlight w:val="none"/>
          <w:lang w:val="en-US" w:eastAsia="zh-CN"/>
        </w:rPr>
        <w:t>十</w:t>
      </w:r>
      <w:r>
        <w:rPr>
          <w:rFonts w:hint="eastAsia" w:ascii="仿宋" w:hAnsi="仿宋" w:eastAsia="仿宋" w:cs="仿宋"/>
          <w:color w:val="auto"/>
          <w:sz w:val="32"/>
          <w:szCs w:val="28"/>
          <w:highlight w:val="none"/>
        </w:rPr>
        <w:t>月</w:t>
      </w:r>
    </w:p>
    <w:p w14:paraId="6123B0BD">
      <w:pP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14:paraId="48705BED">
      <w:pPr>
        <w:jc w:val="cente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目  录</w:t>
      </w:r>
    </w:p>
    <w:p w14:paraId="3B19130E">
      <w:pPr>
        <w:pStyle w:val="18"/>
        <w:tabs>
          <w:tab w:val="right" w:leader="hyphen" w:pos="9071"/>
        </w:tabs>
        <w:spacing w:line="420" w:lineRule="exact"/>
        <w:ind w:firstLine="440" w:firstLineChars="200"/>
        <w:rPr>
          <w:rFonts w:hint="eastAsia" w:ascii="仿宋" w:hAnsi="仿宋" w:eastAsia="仿宋" w:cs="仿宋"/>
          <w:color w:val="auto"/>
          <w:sz w:val="22"/>
          <w:szCs w:val="18"/>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TOC \o "1-2" \h \u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"_Toc22554"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第一篇 竞采邀请书</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_Toc22554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FE2FD92">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"_Toc7248"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一、项目内容</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_Toc7248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651AA72F">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"_Toc9423"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二、资格条件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_Toc9423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0303BA81">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"_Toc5086"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三、响应、评审有关说明</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_Toc5086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1ED6FE08">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"_Toc21821"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四、竞采有关规定</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_Toc21821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06FA5C83">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"_Toc11502"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五、联系方式</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_Toc11502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3</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65A143A9">
      <w:pPr>
        <w:pStyle w:val="18"/>
        <w:tabs>
          <w:tab w:val="right" w:leader="hyphen" w:pos="9071"/>
        </w:tabs>
        <w:spacing w:line="42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"_Toc15392"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第二篇 项目服务需求</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_Toc15392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1346B20">
      <w:pPr>
        <w:pStyle w:val="18"/>
        <w:tabs>
          <w:tab w:val="right" w:leader="hyphen" w:pos="9071"/>
        </w:tabs>
        <w:spacing w:line="42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"_Toc20140"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第三篇 项目商务需求</w:t>
      </w:r>
      <w:r>
        <w:rPr>
          <w:rFonts w:hint="eastAsia" w:ascii="仿宋" w:hAnsi="仿宋" w:eastAsia="仿宋" w:cs="仿宋"/>
          <w:b/>
          <w:bCs/>
          <w:color w:val="auto"/>
          <w:highlight w:val="none"/>
        </w:rPr>
        <w:tab/>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rPr>
        <w:fldChar w:fldCharType="end"/>
      </w:r>
    </w:p>
    <w:p w14:paraId="58113E7F">
      <w:pPr>
        <w:pStyle w:val="18"/>
        <w:tabs>
          <w:tab w:val="right" w:leader="hyphen" w:pos="9071"/>
        </w:tabs>
        <w:spacing w:line="420" w:lineRule="exact"/>
        <w:ind w:firstLine="480" w:firstLineChars="200"/>
        <w:rPr>
          <w:rFonts w:hint="eastAsia" w:ascii="仿宋" w:hAnsi="仿宋" w:eastAsia="仿宋" w:cs="仿宋"/>
          <w:color w:val="auto"/>
          <w:sz w:val="22"/>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"_Toc3533"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第四篇 资格审查及评审办法</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_Toc3533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18</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6887224E">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"_Toc1679"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一、资格审查及符合性审查</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_Toc1679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18</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3FD97822">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"_Toc27274"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二、评审方法</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_Toc27274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19</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73CFBC35">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"_Toc16835"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三、评审标准</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_Toc16835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20</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26C98285">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"_Toc10448"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四、无效响应条款</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_Toc10448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21</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4BC311A3">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"_Toc2799"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五、采购终止条款</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_Toc2799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22</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39AAE8F1">
      <w:pPr>
        <w:pStyle w:val="18"/>
        <w:tabs>
          <w:tab w:val="right" w:leader="hyphen" w:pos="9071"/>
        </w:tabs>
        <w:spacing w:line="420" w:lineRule="exact"/>
        <w:ind w:firstLine="480" w:firstLineChars="200"/>
        <w:rPr>
          <w:rFonts w:hint="eastAsia" w:ascii="仿宋" w:hAnsi="仿宋" w:eastAsia="仿宋" w:cs="仿宋"/>
          <w:color w:val="auto"/>
          <w:sz w:val="22"/>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"_Toc18030"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第五篇 供应商须知</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_Toc18030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23</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3DF59AA5">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"_Toc14153"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一、供应商</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_Toc14153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23</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09AE5248">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"_Toc24546"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二、采购文件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_Toc24546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23</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216E8F38">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"_Toc1290"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三、响应文件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_Toc1290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23</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267507FF">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"_Toc18279"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四、评审流程</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_Toc18279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25</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12D0075B">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"_Toc32450"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五、评审标准</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_Toc32450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25</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751DDAE5">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"_Toc24968"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六、确认成交供应商</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_Toc24968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25</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47923A2E">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"_Toc21027"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七、成交</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_Toc21027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26</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641BE240">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"_Toc23353"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八、采购代理服务费</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_Toc23353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26</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63B3E5FD">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"_Toc32308"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九、签订合同</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_Toc32308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26</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5ADA2483">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"_Toc11714"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十、项目验收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_Toc11714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26</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2522889A">
      <w:pPr>
        <w:pStyle w:val="18"/>
        <w:tabs>
          <w:tab w:val="right" w:leader="hyphen" w:pos="9071"/>
        </w:tabs>
        <w:spacing w:line="420" w:lineRule="exact"/>
        <w:ind w:firstLine="480" w:firstLineChars="200"/>
        <w:rPr>
          <w:rFonts w:hint="eastAsia" w:ascii="仿宋" w:hAnsi="仿宋" w:eastAsia="仿宋" w:cs="仿宋"/>
          <w:color w:val="auto"/>
          <w:sz w:val="22"/>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"_Toc7179"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第六篇 响应文件格式</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_Toc7179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27</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F2604F6">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"_Toc18180"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一、经济文件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_Toc18180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28</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3CDA1389">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"_Toc24200"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二、资格条件及其他</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_Toc24200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30</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34D75332">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"_Toc8415"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三、技术（质量）文件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_Toc8415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35</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4DF4B5DB">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"_Toc2208"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四、商务文件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_Toc2208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37</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59B83D79">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"_Toc10430"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五、其他与项目有关的资料</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_Toc10430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40</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6B2B8265">
      <w:pPr>
        <w:pStyle w:val="3"/>
        <w:spacing w:line="420" w:lineRule="exact"/>
        <w:ind w:firstLine="640"/>
        <w:rPr>
          <w:rFonts w:hint="eastAsia" w:ascii="仿宋" w:hAnsi="仿宋" w:eastAsia="仿宋" w:cs="仿宋"/>
          <w:color w:val="auto"/>
          <w:sz w:val="24"/>
          <w:szCs w:val="24"/>
          <w:highlight w:val="none"/>
        </w:rPr>
        <w:sectPr>
          <w:headerReference r:id="rId5" w:type="first"/>
          <w:headerReference r:id="rId3" w:type="default"/>
          <w:footerReference r:id="rId6" w:type="default"/>
          <w:headerReference r:id="rId4" w:type="even"/>
          <w:pgSz w:w="11907" w:h="16840"/>
          <w:pgMar w:top="1440" w:right="1080" w:bottom="1440" w:left="1080" w:header="850"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auto"/>
          <w:sz w:val="28"/>
          <w:szCs w:val="22"/>
          <w:highlight w:val="none"/>
        </w:rPr>
        <w:fldChar w:fldCharType="end"/>
      </w:r>
    </w:p>
    <w:p w14:paraId="25B0ACAE">
      <w:pPr>
        <w:pStyle w:val="3"/>
        <w:rPr>
          <w:rFonts w:hint="eastAsia" w:ascii="仿宋" w:hAnsi="仿宋" w:eastAsia="仿宋" w:cs="仿宋"/>
          <w:color w:val="auto"/>
          <w:highlight w:val="none"/>
        </w:rPr>
      </w:pPr>
      <w:bookmarkStart w:id="1" w:name="_Toc10681"/>
      <w:bookmarkStart w:id="2" w:name="_Toc22554"/>
      <w:r>
        <w:rPr>
          <w:rFonts w:hint="eastAsia" w:ascii="仿宋" w:hAnsi="仿宋" w:eastAsia="仿宋" w:cs="仿宋"/>
          <w:color w:val="auto"/>
          <w:highlight w:val="none"/>
        </w:rPr>
        <w:t>第一篇 竞采邀请书</w:t>
      </w:r>
      <w:bookmarkEnd w:id="1"/>
      <w:bookmarkEnd w:id="2"/>
    </w:p>
    <w:p w14:paraId="09659F31">
      <w:pPr>
        <w:pStyle w:val="4"/>
        <w:spacing w:beforeLines="0" w:line="480" w:lineRule="exact"/>
        <w:ind w:firstLine="562"/>
        <w:rPr>
          <w:rFonts w:hint="eastAsia" w:ascii="仿宋" w:hAnsi="仿宋" w:eastAsia="仿宋" w:cs="仿宋"/>
          <w:color w:val="auto"/>
          <w:highlight w:val="none"/>
        </w:rPr>
      </w:pPr>
      <w:bookmarkStart w:id="3" w:name="_Toc7248"/>
      <w:bookmarkStart w:id="4" w:name="_Toc28083"/>
      <w:r>
        <w:rPr>
          <w:rFonts w:hint="eastAsia" w:ascii="仿宋" w:hAnsi="仿宋" w:eastAsia="仿宋" w:cs="仿宋"/>
          <w:color w:val="auto"/>
          <w:highlight w:val="none"/>
        </w:rPr>
        <w:t>一、项目内容</w:t>
      </w:r>
      <w:bookmarkEnd w:id="3"/>
      <w:bookmarkEnd w:id="4"/>
    </w:p>
    <w:p w14:paraId="6AEBA423">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u w:val="single"/>
          <w:lang w:eastAsia="zh-CN"/>
        </w:rPr>
        <w:t>重庆海德思哲招标代理有限公司</w:t>
      </w:r>
      <w:r>
        <w:rPr>
          <w:rFonts w:hint="eastAsia" w:ascii="仿宋" w:hAnsi="仿宋" w:eastAsia="仿宋" w:cs="仿宋"/>
          <w:color w:val="auto"/>
          <w:szCs w:val="28"/>
          <w:highlight w:val="none"/>
        </w:rPr>
        <w:t>（以下简称：采购代理机构）接受</w:t>
      </w:r>
      <w:r>
        <w:rPr>
          <w:rFonts w:hint="eastAsia" w:ascii="仿宋" w:hAnsi="仿宋" w:eastAsia="仿宋" w:cs="仿宋"/>
          <w:color w:val="auto"/>
          <w:szCs w:val="28"/>
          <w:highlight w:val="none"/>
          <w:u w:val="single"/>
          <w:lang w:eastAsia="zh-CN"/>
        </w:rPr>
        <w:t>重庆市南川区水江镇宁江小学校</w:t>
      </w:r>
      <w:r>
        <w:rPr>
          <w:rFonts w:hint="eastAsia" w:ascii="仿宋" w:hAnsi="仿宋" w:eastAsia="仿宋" w:cs="仿宋"/>
          <w:color w:val="auto"/>
          <w:szCs w:val="28"/>
          <w:highlight w:val="none"/>
        </w:rPr>
        <w:t>（以下简称：采购人）的委托，对</w:t>
      </w:r>
      <w:r>
        <w:rPr>
          <w:rFonts w:hint="eastAsia" w:ascii="仿宋" w:hAnsi="仿宋" w:eastAsia="仿宋" w:cs="仿宋"/>
          <w:color w:val="auto"/>
          <w:szCs w:val="28"/>
          <w:highlight w:val="none"/>
          <w:u w:val="single"/>
          <w:lang w:eastAsia="zh-CN"/>
        </w:rPr>
        <w:t>宁江小学公厕维修工程</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进行网上竞采。欢迎有资格的供应商前来参与竞采。</w:t>
      </w:r>
    </w:p>
    <w:tbl>
      <w:tblPr>
        <w:tblStyle w:val="25"/>
        <w:tblpPr w:leftFromText="180" w:rightFromText="180" w:vertAnchor="text" w:horzAnchor="page" w:tblpX="1144" w:tblpY="42"/>
        <w:tblOverlap w:val="never"/>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9"/>
        <w:gridCol w:w="2168"/>
        <w:gridCol w:w="2772"/>
      </w:tblGrid>
      <w:tr w14:paraId="3ED2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339" w:type="dxa"/>
            <w:noWrap/>
            <w:vAlign w:val="center"/>
          </w:tcPr>
          <w:p w14:paraId="40CC00C8">
            <w:pPr>
              <w:widowControl/>
              <w:spacing w:line="480" w:lineRule="exact"/>
              <w:jc w:val="center"/>
              <w:rPr>
                <w:rFonts w:hint="eastAsia" w:ascii="仿宋" w:hAnsi="仿宋" w:eastAsia="仿宋" w:cs="仿宋"/>
                <w:b/>
                <w:bCs/>
                <w:color w:val="auto"/>
                <w:kern w:val="0"/>
                <w:szCs w:val="28"/>
                <w:highlight w:val="none"/>
              </w:rPr>
            </w:pPr>
            <w:r>
              <w:rPr>
                <w:rFonts w:hint="eastAsia" w:ascii="仿宋" w:hAnsi="仿宋" w:eastAsia="仿宋" w:cs="仿宋"/>
                <w:b/>
                <w:bCs/>
                <w:color w:val="auto"/>
                <w:kern w:val="0"/>
                <w:szCs w:val="28"/>
                <w:highlight w:val="none"/>
              </w:rPr>
              <w:t>项目名称</w:t>
            </w:r>
          </w:p>
        </w:tc>
        <w:tc>
          <w:tcPr>
            <w:tcW w:w="2168" w:type="dxa"/>
            <w:noWrap/>
            <w:vAlign w:val="center"/>
          </w:tcPr>
          <w:p w14:paraId="6C7BF38F">
            <w:pPr>
              <w:widowControl/>
              <w:spacing w:line="480" w:lineRule="exact"/>
              <w:jc w:val="center"/>
              <w:rPr>
                <w:rFonts w:hint="eastAsia" w:ascii="仿宋" w:hAnsi="仿宋" w:eastAsia="仿宋" w:cs="仿宋"/>
                <w:b/>
                <w:bCs/>
                <w:color w:val="auto"/>
                <w:kern w:val="0"/>
                <w:szCs w:val="28"/>
                <w:highlight w:val="none"/>
              </w:rPr>
            </w:pPr>
            <w:r>
              <w:rPr>
                <w:rFonts w:hint="eastAsia" w:ascii="仿宋" w:hAnsi="仿宋" w:eastAsia="仿宋" w:cs="仿宋"/>
                <w:b/>
                <w:bCs/>
                <w:color w:val="auto"/>
                <w:kern w:val="0"/>
                <w:szCs w:val="28"/>
                <w:highlight w:val="none"/>
              </w:rPr>
              <w:t>采购预算</w:t>
            </w:r>
          </w:p>
          <w:p w14:paraId="12F96ACA">
            <w:pPr>
              <w:widowControl/>
              <w:spacing w:line="480" w:lineRule="exact"/>
              <w:jc w:val="center"/>
              <w:rPr>
                <w:rFonts w:hint="eastAsia" w:ascii="仿宋" w:hAnsi="仿宋" w:eastAsia="仿宋" w:cs="仿宋"/>
                <w:b/>
                <w:bCs/>
                <w:color w:val="auto"/>
                <w:kern w:val="0"/>
                <w:szCs w:val="28"/>
                <w:highlight w:val="none"/>
              </w:rPr>
            </w:pPr>
            <w:r>
              <w:rPr>
                <w:rFonts w:hint="eastAsia" w:ascii="仿宋" w:hAnsi="仿宋" w:eastAsia="仿宋" w:cs="仿宋"/>
                <w:b/>
                <w:bCs/>
                <w:color w:val="auto"/>
                <w:kern w:val="0"/>
                <w:szCs w:val="28"/>
                <w:highlight w:val="none"/>
              </w:rPr>
              <w:t>（元）</w:t>
            </w:r>
          </w:p>
        </w:tc>
        <w:tc>
          <w:tcPr>
            <w:tcW w:w="2772" w:type="dxa"/>
            <w:noWrap/>
            <w:vAlign w:val="center"/>
          </w:tcPr>
          <w:p w14:paraId="0671064C">
            <w:pPr>
              <w:spacing w:line="480" w:lineRule="exact"/>
              <w:jc w:val="center"/>
              <w:rPr>
                <w:rFonts w:hint="eastAsia" w:ascii="仿宋" w:hAnsi="仿宋" w:eastAsia="仿宋" w:cs="仿宋"/>
                <w:b/>
                <w:bCs/>
                <w:color w:val="auto"/>
                <w:kern w:val="0"/>
                <w:szCs w:val="28"/>
                <w:highlight w:val="none"/>
                <w:lang w:val="en-US" w:eastAsia="zh-CN"/>
              </w:rPr>
            </w:pPr>
            <w:r>
              <w:rPr>
                <w:rFonts w:hint="eastAsia" w:ascii="仿宋" w:hAnsi="仿宋" w:eastAsia="仿宋" w:cs="仿宋"/>
                <w:b/>
                <w:bCs/>
                <w:color w:val="auto"/>
                <w:kern w:val="0"/>
                <w:szCs w:val="28"/>
                <w:highlight w:val="none"/>
                <w:lang w:val="en-US" w:eastAsia="zh-CN"/>
              </w:rPr>
              <w:t>资金来源</w:t>
            </w:r>
          </w:p>
        </w:tc>
      </w:tr>
      <w:tr w14:paraId="0057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339" w:type="dxa"/>
            <w:noWrap/>
            <w:vAlign w:val="center"/>
          </w:tcPr>
          <w:p w14:paraId="18AB0746">
            <w:pPr>
              <w:pStyle w:val="21"/>
              <w:shd w:val="clear" w:color="auto" w:fill="FFFFFF"/>
              <w:spacing w:before="0" w:beforeAutospacing="0" w:after="0" w:afterAutospacing="0" w:line="480" w:lineRule="exact"/>
              <w:jc w:val="center"/>
              <w:rPr>
                <w:rFonts w:hint="eastAsia" w:ascii="仿宋" w:hAnsi="仿宋" w:eastAsia="仿宋" w:cs="仿宋"/>
                <w:color w:val="auto"/>
                <w:sz w:val="28"/>
                <w:szCs w:val="28"/>
                <w:highlight w:val="none"/>
                <w:lang w:eastAsia="zh-CN"/>
              </w:rPr>
            </w:pPr>
            <w:bookmarkStart w:id="5" w:name="_Hlk344477914"/>
            <w:r>
              <w:rPr>
                <w:rFonts w:hint="eastAsia" w:ascii="仿宋" w:hAnsi="仿宋" w:eastAsia="仿宋" w:cs="仿宋"/>
                <w:color w:val="auto"/>
                <w:sz w:val="28"/>
                <w:szCs w:val="28"/>
                <w:highlight w:val="none"/>
                <w:lang w:eastAsia="zh-CN"/>
              </w:rPr>
              <w:t>宁江小学公厕维修工程</w:t>
            </w:r>
          </w:p>
        </w:tc>
        <w:tc>
          <w:tcPr>
            <w:tcW w:w="2168" w:type="dxa"/>
            <w:noWrap/>
            <w:vAlign w:val="center"/>
          </w:tcPr>
          <w:p w14:paraId="63953E97">
            <w:pPr>
              <w:widowControl/>
              <w:spacing w:line="480" w:lineRule="exact"/>
              <w:jc w:val="center"/>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229666.69</w:t>
            </w:r>
          </w:p>
        </w:tc>
        <w:tc>
          <w:tcPr>
            <w:tcW w:w="2772" w:type="dxa"/>
            <w:noWrap/>
            <w:vAlign w:val="center"/>
          </w:tcPr>
          <w:p w14:paraId="1AAB4AD9">
            <w:pPr>
              <w:widowControl/>
              <w:spacing w:line="480" w:lineRule="exact"/>
              <w:jc w:val="center"/>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财政资金</w:t>
            </w:r>
          </w:p>
        </w:tc>
      </w:tr>
      <w:bookmarkEnd w:id="5"/>
    </w:tbl>
    <w:p w14:paraId="179C1B3E">
      <w:pPr>
        <w:spacing w:beforeLines="0" w:line="480" w:lineRule="exact"/>
        <w:outlineLvl w:val="9"/>
        <w:rPr>
          <w:rFonts w:hint="eastAsia" w:ascii="仿宋" w:hAnsi="仿宋" w:eastAsia="仿宋" w:cs="仿宋"/>
          <w:color w:val="auto"/>
          <w:highlight w:val="none"/>
        </w:rPr>
      </w:pPr>
      <w:bookmarkStart w:id="6" w:name="_Toc22795"/>
      <w:bookmarkStart w:id="7" w:name="_Toc1477"/>
      <w:bookmarkStart w:id="8" w:name="_Toc14960"/>
      <w:bookmarkStart w:id="9" w:name="_Toc9423"/>
    </w:p>
    <w:p w14:paraId="2215FFF6">
      <w:pPr>
        <w:spacing w:beforeLines="0" w:line="480" w:lineRule="exact"/>
        <w:ind w:firstLine="562"/>
        <w:outlineLvl w:val="9"/>
        <w:rPr>
          <w:rFonts w:hint="eastAsia" w:ascii="仿宋" w:hAnsi="仿宋" w:eastAsia="仿宋" w:cs="仿宋"/>
          <w:color w:val="auto"/>
          <w:highlight w:val="none"/>
        </w:rPr>
      </w:pPr>
      <w:r>
        <w:rPr>
          <w:rFonts w:hint="eastAsia" w:ascii="仿宋" w:hAnsi="仿宋" w:eastAsia="仿宋" w:cs="仿宋"/>
          <w:color w:val="auto"/>
          <w:highlight w:val="none"/>
        </w:rPr>
        <w:t>二、资格条件</w:t>
      </w:r>
      <w:bookmarkEnd w:id="6"/>
      <w:bookmarkEnd w:id="7"/>
      <w:bookmarkEnd w:id="8"/>
      <w:bookmarkEnd w:id="9"/>
    </w:p>
    <w:p w14:paraId="3A63EF1F">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（一）满足《中华人民共和国政府采购法》第二十二条规定；</w:t>
      </w:r>
    </w:p>
    <w:p w14:paraId="64C301ED">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1.具有独立承担民事责任的能力；</w:t>
      </w:r>
    </w:p>
    <w:p w14:paraId="1D1A921A">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2.具有良好的商业信誉和健全的财务会计制度；</w:t>
      </w:r>
    </w:p>
    <w:p w14:paraId="384FFB5B">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3.具有履行合同所必需的设备和专业技术能力；</w:t>
      </w:r>
    </w:p>
    <w:p w14:paraId="2786FB40">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4.有依法缴纳税收和社会保障资金的良好记录；</w:t>
      </w:r>
    </w:p>
    <w:p w14:paraId="6415481C">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5.参加政府采购活动前三年内，在经营活动中没有重大违法记录；</w:t>
      </w:r>
    </w:p>
    <w:p w14:paraId="089A6E76">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6.法律、行政法规规定的其他条件。</w:t>
      </w:r>
    </w:p>
    <w:p w14:paraId="3E462841">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（二）本项目的特定资格要求；</w:t>
      </w:r>
    </w:p>
    <w:p w14:paraId="7BD1EE97">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无</w:t>
      </w:r>
    </w:p>
    <w:p w14:paraId="264006C8">
      <w:pPr>
        <w:pStyle w:val="4"/>
        <w:spacing w:beforeLines="0" w:line="480" w:lineRule="exact"/>
        <w:ind w:firstLine="562"/>
        <w:rPr>
          <w:rFonts w:hint="eastAsia" w:ascii="仿宋" w:hAnsi="仿宋" w:eastAsia="仿宋" w:cs="仿宋"/>
          <w:color w:val="auto"/>
          <w:highlight w:val="none"/>
        </w:rPr>
      </w:pPr>
      <w:bookmarkStart w:id="10" w:name="_Toc3005"/>
      <w:bookmarkStart w:id="11" w:name="_Toc5086"/>
      <w:r>
        <w:rPr>
          <w:rFonts w:hint="eastAsia" w:ascii="仿宋" w:hAnsi="仿宋" w:eastAsia="仿宋" w:cs="仿宋"/>
          <w:color w:val="auto"/>
          <w:highlight w:val="none"/>
        </w:rPr>
        <w:t>三、响应、评审有关说明</w:t>
      </w:r>
      <w:bookmarkEnd w:id="10"/>
      <w:bookmarkEnd w:id="11"/>
      <w:bookmarkStart w:id="12" w:name="_Toc22048"/>
    </w:p>
    <w:p w14:paraId="431DBCFF">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（一）供应商应通过</w:t>
      </w:r>
      <w:r>
        <w:rPr>
          <w:rFonts w:hint="eastAsia" w:ascii="仿宋" w:hAnsi="仿宋" w:eastAsia="仿宋" w:cs="仿宋"/>
          <w:color w:val="auto"/>
          <w:szCs w:val="28"/>
          <w:highlight w:val="none"/>
          <w:lang w:val="en-US" w:eastAsia="zh-CN"/>
        </w:rPr>
        <w:t>行采家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https://www.gec123.com/</w:t>
      </w:r>
      <w:r>
        <w:rPr>
          <w:rFonts w:hint="eastAsia" w:ascii="仿宋" w:hAnsi="仿宋" w:eastAsia="仿宋" w:cs="仿宋"/>
          <w:color w:val="auto"/>
          <w:szCs w:val="28"/>
          <w:highlight w:val="none"/>
        </w:rPr>
        <w:t>）登记加入“重庆市政府采购供应商库”。</w:t>
      </w:r>
    </w:p>
    <w:p w14:paraId="2CD8EBC4">
      <w:pPr>
        <w:snapToGrid w:val="0"/>
        <w:spacing w:line="480" w:lineRule="exact"/>
        <w:ind w:firstLine="560" w:firstLineChars="200"/>
        <w:rPr>
          <w:rFonts w:hint="eastAsia" w:ascii="仿宋" w:hAnsi="仿宋" w:eastAsia="仿宋" w:cs="仿宋"/>
          <w:color w:val="auto"/>
          <w:szCs w:val="21"/>
          <w:highlight w:val="none"/>
        </w:rPr>
      </w:pPr>
      <w:r>
        <w:rPr>
          <w:rFonts w:hint="eastAsia" w:ascii="仿宋" w:hAnsi="仿宋" w:eastAsia="仿宋" w:cs="仿宋"/>
          <w:color w:val="auto"/>
          <w:szCs w:val="28"/>
          <w:highlight w:val="none"/>
        </w:rPr>
        <w:t>（二）凡有意参加竞采的供应商，请在“</w:t>
      </w:r>
      <w:r>
        <w:rPr>
          <w:rFonts w:hint="eastAsia" w:ascii="仿宋" w:hAnsi="仿宋" w:eastAsia="仿宋" w:cs="仿宋"/>
          <w:color w:val="auto"/>
          <w:szCs w:val="28"/>
          <w:highlight w:val="none"/>
          <w:lang w:val="en-US" w:eastAsia="zh-CN"/>
        </w:rPr>
        <w:t>行采家</w:t>
      </w:r>
      <w:r>
        <w:rPr>
          <w:rFonts w:hint="eastAsia" w:ascii="仿宋" w:hAnsi="仿宋" w:eastAsia="仿宋" w:cs="仿宋"/>
          <w:color w:val="auto"/>
          <w:szCs w:val="28"/>
          <w:highlight w:val="none"/>
        </w:rPr>
        <w:t>”（https://www.gec123.com/）下载本项目采购文件以及补遗等评审前公布的所有项目资料，无论供应商下载与否，均视为已知晓所有竞采实质性要求内容。</w:t>
      </w:r>
    </w:p>
    <w:p w14:paraId="2954E8E7">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（三）报名及竞采文件发售期限</w:t>
      </w:r>
    </w:p>
    <w:p w14:paraId="758EFC8C">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1.报名期限：</w:t>
      </w:r>
      <w:r>
        <w:rPr>
          <w:rFonts w:hint="eastAsia" w:ascii="仿宋" w:hAnsi="仿宋" w:eastAsia="仿宋" w:cs="仿宋"/>
          <w:bCs/>
          <w:color w:val="auto"/>
          <w:highlight w:val="none"/>
          <w:lang w:val="en-US" w:eastAsia="zh-CN"/>
        </w:rPr>
        <w:t>以公告时间为准</w:t>
      </w:r>
      <w:r>
        <w:rPr>
          <w:rFonts w:hint="eastAsia" w:ascii="仿宋" w:hAnsi="仿宋" w:eastAsia="仿宋" w:cs="仿宋"/>
          <w:bCs/>
          <w:color w:val="auto"/>
          <w:highlight w:val="none"/>
        </w:rPr>
        <w:t>。</w:t>
      </w:r>
    </w:p>
    <w:p w14:paraId="43069F38">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（五）响应文件</w:t>
      </w:r>
    </w:p>
    <w:p w14:paraId="38C42B9C">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1.供应商应按本项目规定的报价时间</w:t>
      </w:r>
      <w:r>
        <w:rPr>
          <w:rFonts w:hint="eastAsia" w:ascii="仿宋" w:hAnsi="仿宋" w:eastAsia="仿宋" w:cs="仿宋"/>
          <w:color w:val="auto"/>
          <w:szCs w:val="28"/>
          <w:highlight w:val="none"/>
          <w:lang w:val="en-US" w:eastAsia="zh-CN"/>
        </w:rPr>
        <w:t>将报价文件上传至采购代理机构指定邮箱：335415776@qq.com</w:t>
      </w:r>
      <w:r>
        <w:rPr>
          <w:rFonts w:hint="eastAsia" w:ascii="仿宋" w:hAnsi="仿宋" w:eastAsia="仿宋" w:cs="仿宋"/>
          <w:color w:val="auto"/>
          <w:szCs w:val="28"/>
          <w:highlight w:val="none"/>
        </w:rPr>
        <w:t>，未在规定时间内报价的供应商将失去成交供应商资格。</w:t>
      </w:r>
    </w:p>
    <w:p w14:paraId="56ED3521">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color w:val="auto"/>
          <w:szCs w:val="28"/>
          <w:highlight w:val="none"/>
        </w:rPr>
        <w:t>2.供应商线上报价</w:t>
      </w:r>
      <w:r>
        <w:rPr>
          <w:rFonts w:hint="eastAsia" w:ascii="仿宋" w:hAnsi="仿宋" w:eastAsia="仿宋" w:cs="仿宋"/>
          <w:bCs/>
          <w:color w:val="auto"/>
          <w:highlight w:val="none"/>
        </w:rPr>
        <w:t>时上传加盖公章后的完整的响应文件电子档1份（建议以pdf格式），文件内容应清晰、无涂改。</w:t>
      </w:r>
    </w:p>
    <w:p w14:paraId="7A197FB0">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.供应商制作的响应文件，须按照要求制作，规定签字、盖章的地方必须按其规定签字、盖章，未按要求制作响应文件的进行无效响应处理。</w:t>
      </w:r>
    </w:p>
    <w:p w14:paraId="1F957ED0">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4</w:t>
      </w:r>
      <w:r>
        <w:rPr>
          <w:rFonts w:hint="eastAsia" w:ascii="仿宋" w:hAnsi="仿宋" w:eastAsia="仿宋" w:cs="仿宋"/>
          <w:bCs/>
          <w:color w:val="auto"/>
          <w:highlight w:val="none"/>
        </w:rPr>
        <w:t>.供应商提供的响应材料要求真实可靠，采购单位可对响应材料真实性进行核查，如有虚假，取消成交资格或者解除合同，并赔偿由此造成采购人的经济损失。</w:t>
      </w:r>
    </w:p>
    <w:p w14:paraId="5CF9D272">
      <w:pPr>
        <w:snapToGrid w:val="0"/>
        <w:spacing w:line="480" w:lineRule="exact"/>
        <w:ind w:firstLine="562" w:firstLineChars="200"/>
        <w:rPr>
          <w:rFonts w:hint="eastAsia" w:ascii="仿宋" w:hAnsi="仿宋" w:eastAsia="仿宋" w:cs="仿宋"/>
          <w:bCs/>
          <w:color w:val="auto"/>
          <w:highlight w:val="none"/>
        </w:rPr>
      </w:pPr>
      <w:r>
        <w:rPr>
          <w:rFonts w:hint="eastAsia" w:ascii="仿宋" w:hAnsi="仿宋" w:eastAsia="仿宋" w:cs="仿宋"/>
          <w:b/>
          <w:color w:val="auto"/>
          <w:highlight w:val="none"/>
        </w:rPr>
        <w:t>（六）线上报价时间：</w:t>
      </w:r>
      <w:r>
        <w:rPr>
          <w:rFonts w:hint="eastAsia" w:ascii="仿宋" w:hAnsi="仿宋" w:eastAsia="仿宋" w:cs="仿宋"/>
          <w:bCs/>
          <w:color w:val="auto"/>
          <w:highlight w:val="none"/>
          <w:lang w:val="en-US" w:eastAsia="zh-CN"/>
        </w:rPr>
        <w:t>以公告时间为准</w:t>
      </w:r>
      <w:r>
        <w:rPr>
          <w:rFonts w:hint="eastAsia" w:ascii="仿宋" w:hAnsi="仿宋" w:eastAsia="仿宋" w:cs="仿宋"/>
          <w:bCs/>
          <w:color w:val="auto"/>
          <w:highlight w:val="none"/>
        </w:rPr>
        <w:t>。</w:t>
      </w:r>
    </w:p>
    <w:p w14:paraId="00DB9184">
      <w:pPr>
        <w:pStyle w:val="4"/>
        <w:spacing w:beforeLines="0" w:line="480" w:lineRule="exact"/>
        <w:ind w:firstLine="562"/>
        <w:rPr>
          <w:rFonts w:hint="eastAsia" w:ascii="仿宋" w:hAnsi="仿宋" w:eastAsia="仿宋" w:cs="仿宋"/>
          <w:color w:val="auto"/>
          <w:highlight w:val="none"/>
        </w:rPr>
      </w:pPr>
      <w:bookmarkStart w:id="13" w:name="_Toc21821"/>
      <w:r>
        <w:rPr>
          <w:rFonts w:hint="eastAsia" w:ascii="仿宋" w:hAnsi="仿宋" w:eastAsia="仿宋" w:cs="仿宋"/>
          <w:color w:val="auto"/>
          <w:highlight w:val="none"/>
        </w:rPr>
        <w:t>四、竞采有关规定</w:t>
      </w:r>
      <w:bookmarkEnd w:id="13"/>
    </w:p>
    <w:p w14:paraId="52614AFE">
      <w:pPr>
        <w:snapToGrid w:val="0"/>
        <w:spacing w:line="480" w:lineRule="exact"/>
        <w:ind w:firstLine="560" w:firstLineChars="200"/>
        <w:rPr>
          <w:rFonts w:hint="eastAsia" w:ascii="仿宋" w:hAnsi="仿宋" w:eastAsia="仿宋" w:cs="仿宋"/>
          <w:bCs/>
          <w:color w:val="auto"/>
          <w:highlight w:val="none"/>
        </w:rPr>
      </w:pPr>
      <w:bookmarkStart w:id="14" w:name="_Toc16480"/>
      <w:r>
        <w:rPr>
          <w:rFonts w:hint="eastAsia" w:ascii="仿宋" w:hAnsi="仿宋" w:eastAsia="仿宋" w:cs="仿宋"/>
          <w:bCs/>
          <w:color w:val="auto"/>
          <w:highlight w:val="none"/>
        </w:rPr>
        <w:t>（一）单位负责人为同一人或者存在直接控股、管理关系的不同供应商，不得参加同一合同项目（包）下的政府采购活动。</w:t>
      </w:r>
    </w:p>
    <w:p w14:paraId="38D03EDF">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（二）为采购项目提供整体设计、规范编制或者项目管理、监理、检测等服务的供应商，不得再参加该采购项目的其他采购活动。</w:t>
      </w:r>
    </w:p>
    <w:p w14:paraId="667E9C83">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（三）本项目若有澄清文件一律在</w:t>
      </w:r>
      <w:r>
        <w:rPr>
          <w:rFonts w:hint="eastAsia" w:ascii="仿宋" w:hAnsi="仿宋" w:eastAsia="仿宋" w:cs="仿宋"/>
          <w:bCs/>
          <w:color w:val="auto"/>
          <w:highlight w:val="none"/>
          <w:lang w:eastAsia="zh-CN"/>
        </w:rPr>
        <w:t>行采家</w:t>
      </w:r>
      <w:r>
        <w:rPr>
          <w:rFonts w:hint="eastAsia" w:ascii="仿宋" w:hAnsi="仿宋" w:eastAsia="仿宋" w:cs="仿宋"/>
          <w:bCs/>
          <w:color w:val="auto"/>
          <w:highlight w:val="none"/>
        </w:rPr>
        <w:t>（</w:t>
      </w:r>
      <w:r>
        <w:rPr>
          <w:rFonts w:hint="eastAsia" w:ascii="仿宋" w:hAnsi="仿宋" w:eastAsia="仿宋" w:cs="仿宋"/>
          <w:color w:val="auto"/>
          <w:szCs w:val="28"/>
          <w:highlight w:val="none"/>
          <w:lang w:eastAsia="zh-CN"/>
        </w:rPr>
        <w:t>https://www.gec123.com/</w:t>
      </w:r>
      <w:r>
        <w:rPr>
          <w:rFonts w:hint="eastAsia" w:ascii="仿宋" w:hAnsi="仿宋" w:eastAsia="仿宋" w:cs="仿宋"/>
          <w:bCs/>
          <w:color w:val="auto"/>
          <w:highlight w:val="none"/>
        </w:rPr>
        <w:t>）上发布，请各供应商注意下载或到采购代理机构领取；无论供应商下载或领取与否，均视同供应商已知晓本项目澄清文件的内容。</w:t>
      </w:r>
    </w:p>
    <w:p w14:paraId="093DE9B6">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（四）超过响应截止时间递交的响应文件，恕不接收。</w:t>
      </w:r>
    </w:p>
    <w:p w14:paraId="6A67F8FD">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（五）竞采费用：无论竞采结果如何，供应商参与本项目竞采的所有费用均应由供应商自行承担。</w:t>
      </w:r>
    </w:p>
    <w:p w14:paraId="1DFB6FFA">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（六）本项目不接受联合体参与投标，否则按无效投标处理。</w:t>
      </w:r>
    </w:p>
    <w:p w14:paraId="37F01D28">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（七）本项目不接受合同分包，否则按无效响应处理。</w:t>
      </w:r>
    </w:p>
    <w:p w14:paraId="1386CCD9">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DFA0339">
      <w:pPr>
        <w:pStyle w:val="4"/>
        <w:spacing w:beforeLines="0" w:line="480" w:lineRule="exact"/>
        <w:ind w:firstLine="562"/>
        <w:rPr>
          <w:rFonts w:hint="eastAsia" w:ascii="仿宋" w:hAnsi="仿宋" w:eastAsia="仿宋" w:cs="仿宋"/>
          <w:color w:val="auto"/>
          <w:highlight w:val="none"/>
        </w:rPr>
      </w:pPr>
      <w:bookmarkStart w:id="15" w:name="_Toc11502"/>
      <w:r>
        <w:rPr>
          <w:rFonts w:hint="eastAsia" w:ascii="仿宋" w:hAnsi="仿宋" w:eastAsia="仿宋" w:cs="仿宋"/>
          <w:color w:val="auto"/>
          <w:highlight w:val="none"/>
        </w:rPr>
        <w:t>五、联系方式</w:t>
      </w:r>
      <w:bookmarkEnd w:id="14"/>
      <w:bookmarkEnd w:id="15"/>
    </w:p>
    <w:p w14:paraId="5090E0A4">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（一）采购人：</w:t>
      </w:r>
      <w:r>
        <w:rPr>
          <w:rFonts w:hint="eastAsia" w:ascii="仿宋" w:hAnsi="仿宋" w:eastAsia="仿宋" w:cs="仿宋"/>
          <w:bCs/>
          <w:color w:val="auto"/>
          <w:highlight w:val="none"/>
          <w:lang w:eastAsia="zh-CN"/>
        </w:rPr>
        <w:t>重庆市南川区水江镇宁江小学校</w:t>
      </w:r>
      <w:r>
        <w:rPr>
          <w:rFonts w:hint="eastAsia" w:ascii="仿宋" w:hAnsi="仿宋" w:eastAsia="仿宋" w:cs="仿宋"/>
          <w:bCs/>
          <w:color w:val="auto"/>
          <w:highlight w:val="none"/>
        </w:rPr>
        <w:t xml:space="preserve">              </w:t>
      </w:r>
    </w:p>
    <w:p w14:paraId="72D3EBC8">
      <w:pPr>
        <w:snapToGrid w:val="0"/>
        <w:spacing w:line="480" w:lineRule="exact"/>
        <w:ind w:firstLine="560" w:firstLineChars="200"/>
        <w:rPr>
          <w:rFonts w:hint="eastAsia" w:ascii="仿宋" w:hAnsi="仿宋" w:eastAsia="仿宋" w:cs="仿宋"/>
          <w:bCs/>
          <w:color w:val="auto"/>
          <w:highlight w:val="none"/>
          <w:lang w:eastAsia="zh-CN"/>
        </w:rPr>
      </w:pPr>
      <w:bookmarkStart w:id="326" w:name="_GoBack"/>
      <w:r>
        <w:rPr>
          <w:rFonts w:hint="eastAsia" w:ascii="仿宋" w:hAnsi="仿宋" w:eastAsia="仿宋" w:cs="仿宋"/>
          <w:bCs/>
          <w:color w:val="auto"/>
          <w:highlight w:val="none"/>
          <w:lang w:eastAsia="zh-CN"/>
        </w:rPr>
        <w:t>联系人：王主任</w:t>
      </w:r>
    </w:p>
    <w:p w14:paraId="169F5214">
      <w:pPr>
        <w:snapToGrid w:val="0"/>
        <w:spacing w:line="480" w:lineRule="exact"/>
        <w:ind w:firstLine="560" w:firstLineChars="200"/>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电  话：13996866254</w:t>
      </w:r>
    </w:p>
    <w:bookmarkEnd w:id="326"/>
    <w:p w14:paraId="4F3FD409">
      <w:pPr>
        <w:snapToGrid w:val="0"/>
        <w:spacing w:line="480" w:lineRule="exact"/>
        <w:ind w:firstLine="56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rPr>
        <w:t>地  址：</w:t>
      </w:r>
      <w:r>
        <w:rPr>
          <w:rFonts w:hint="eastAsia" w:ascii="仿宋" w:hAnsi="仿宋" w:eastAsia="仿宋" w:cs="仿宋"/>
          <w:bCs/>
          <w:color w:val="auto"/>
          <w:highlight w:val="none"/>
          <w:lang w:eastAsia="zh-CN"/>
        </w:rPr>
        <w:t>南川区水江镇兴盛居委1组</w:t>
      </w:r>
      <w:r>
        <w:rPr>
          <w:rFonts w:hint="eastAsia" w:ascii="仿宋" w:hAnsi="仿宋" w:eastAsia="仿宋" w:cs="仿宋"/>
          <w:bCs/>
          <w:color w:val="auto"/>
          <w:highlight w:val="none"/>
          <w:lang w:val="en-US" w:eastAsia="zh-CN"/>
        </w:rPr>
        <w:t xml:space="preserve"> </w:t>
      </w:r>
    </w:p>
    <w:p w14:paraId="30647FFA">
      <w:pPr>
        <w:snapToGrid w:val="0"/>
        <w:spacing w:line="480" w:lineRule="exact"/>
        <w:ind w:firstLine="560" w:firstLineChars="20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（二）代理机构：</w:t>
      </w:r>
      <w:r>
        <w:rPr>
          <w:rFonts w:hint="eastAsia" w:ascii="仿宋" w:hAnsi="仿宋" w:eastAsia="仿宋" w:cs="仿宋"/>
          <w:bCs/>
          <w:color w:val="auto"/>
          <w:highlight w:val="none"/>
          <w:lang w:eastAsia="zh-CN"/>
        </w:rPr>
        <w:t>重庆海德思哲招标代理有限公司</w:t>
      </w:r>
    </w:p>
    <w:p w14:paraId="335D0EC3">
      <w:pPr>
        <w:snapToGrid w:val="0"/>
        <w:spacing w:line="480" w:lineRule="exact"/>
        <w:ind w:firstLine="560" w:firstLineChars="200"/>
        <w:rPr>
          <w:rFonts w:hint="eastAsia" w:ascii="仿宋" w:hAnsi="仿宋" w:eastAsia="仿宋" w:cs="仿宋"/>
          <w:bCs/>
          <w:color w:val="auto"/>
          <w:highlight w:val="none"/>
        </w:rPr>
      </w:pPr>
      <w:bookmarkStart w:id="16" w:name="_Toc20127"/>
      <w:bookmarkStart w:id="17" w:name="_Toc22183"/>
      <w:r>
        <w:rPr>
          <w:rFonts w:hint="eastAsia" w:ascii="仿宋" w:hAnsi="仿宋" w:eastAsia="仿宋" w:cs="仿宋"/>
          <w:bCs/>
          <w:color w:val="auto"/>
          <w:highlight w:val="none"/>
        </w:rPr>
        <w:t>联系人：</w:t>
      </w:r>
      <w:r>
        <w:rPr>
          <w:rFonts w:hint="eastAsia" w:ascii="仿宋" w:hAnsi="仿宋" w:eastAsia="仿宋" w:cs="仿宋"/>
          <w:bCs/>
          <w:color w:val="auto"/>
          <w:highlight w:val="none"/>
          <w:lang w:val="en-US" w:eastAsia="zh-CN"/>
        </w:rPr>
        <w:t>刘</w:t>
      </w:r>
      <w:r>
        <w:rPr>
          <w:rFonts w:hint="eastAsia" w:ascii="仿宋" w:hAnsi="仿宋" w:eastAsia="仿宋" w:cs="仿宋"/>
          <w:bCs/>
          <w:color w:val="auto"/>
          <w:highlight w:val="none"/>
        </w:rPr>
        <w:t>老师</w:t>
      </w:r>
    </w:p>
    <w:p w14:paraId="76F211C3">
      <w:pPr>
        <w:snapToGrid w:val="0"/>
        <w:spacing w:line="480" w:lineRule="exact"/>
        <w:ind w:firstLine="56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rPr>
        <w:t>电  话：</w:t>
      </w:r>
      <w:r>
        <w:rPr>
          <w:rFonts w:hint="eastAsia" w:ascii="仿宋" w:hAnsi="仿宋" w:eastAsia="仿宋" w:cs="仿宋"/>
          <w:bCs/>
          <w:color w:val="auto"/>
          <w:highlight w:val="none"/>
          <w:lang w:val="en-US" w:eastAsia="zh-CN"/>
        </w:rPr>
        <w:t>15334547756</w:t>
      </w:r>
    </w:p>
    <w:p w14:paraId="44B5F596">
      <w:pPr>
        <w:snapToGrid w:val="0"/>
        <w:spacing w:line="480" w:lineRule="exact"/>
        <w:ind w:firstLine="56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rPr>
        <w:t>地  址：重庆市</w:t>
      </w:r>
      <w:r>
        <w:rPr>
          <w:rFonts w:hint="eastAsia" w:ascii="仿宋" w:hAnsi="仿宋" w:eastAsia="仿宋" w:cs="仿宋"/>
          <w:bCs/>
          <w:color w:val="auto"/>
          <w:highlight w:val="none"/>
          <w:lang w:val="en-US" w:eastAsia="zh-CN"/>
        </w:rPr>
        <w:t>渝北区广告产业园</w:t>
      </w:r>
    </w:p>
    <w:p w14:paraId="7C7C2C3C">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F29966F">
      <w:pPr>
        <w:pStyle w:val="3"/>
        <w:ind w:firstLine="643"/>
        <w:rPr>
          <w:rFonts w:hint="eastAsia" w:ascii="仿宋" w:hAnsi="仿宋" w:eastAsia="仿宋" w:cs="仿宋"/>
          <w:b/>
          <w:bCs/>
          <w:color w:val="auto"/>
          <w:highlight w:val="none"/>
          <w:lang w:val="en-US" w:eastAsia="zh-CN"/>
        </w:rPr>
      </w:pPr>
      <w:bookmarkStart w:id="18" w:name="_Toc15392"/>
      <w:r>
        <w:rPr>
          <w:rFonts w:hint="eastAsia" w:ascii="仿宋" w:hAnsi="仿宋" w:eastAsia="仿宋" w:cs="仿宋"/>
          <w:color w:val="auto"/>
          <w:highlight w:val="none"/>
        </w:rPr>
        <w:t xml:space="preserve">第二篇 </w:t>
      </w:r>
      <w:bookmarkEnd w:id="16"/>
      <w:bookmarkEnd w:id="17"/>
      <w:r>
        <w:rPr>
          <w:rFonts w:hint="eastAsia" w:ascii="仿宋" w:hAnsi="仿宋" w:eastAsia="仿宋" w:cs="仿宋"/>
          <w:color w:val="auto"/>
          <w:highlight w:val="none"/>
        </w:rPr>
        <w:t>项目服务需求</w:t>
      </w:r>
      <w:bookmarkEnd w:id="12"/>
      <w:bookmarkEnd w:id="18"/>
      <w:bookmarkStart w:id="19" w:name="_Toc8493"/>
      <w:bookmarkStart w:id="20" w:name="_Toc20140"/>
      <w:bookmarkStart w:id="21" w:name="_Toc1902"/>
      <w:bookmarkStart w:id="22" w:name="_Toc7873"/>
      <w:bookmarkStart w:id="23" w:name="_Toc14076"/>
    </w:p>
    <w:p w14:paraId="3B6A95B0">
      <w:pPr>
        <w:pStyle w:val="4"/>
        <w:bidi w:val="0"/>
        <w:rPr>
          <w:rFonts w:hint="eastAsia" w:ascii="仿宋" w:hAnsi="仿宋" w:eastAsia="仿宋" w:cs="仿宋"/>
          <w:highlight w:val="none"/>
        </w:rPr>
      </w:pPr>
      <w:r>
        <w:rPr>
          <w:rFonts w:hint="eastAsia" w:ascii="仿宋" w:hAnsi="仿宋" w:eastAsia="仿宋" w:cs="仿宋"/>
          <w:highlight w:val="none"/>
        </w:rPr>
        <w:t>一、招标项目一览表</w:t>
      </w:r>
    </w:p>
    <w:tbl>
      <w:tblPr>
        <w:tblStyle w:val="2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3544"/>
        <w:gridCol w:w="1418"/>
        <w:gridCol w:w="3299"/>
      </w:tblGrid>
      <w:tr w14:paraId="4564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17" w:type="dxa"/>
            <w:noWrap/>
            <w:vAlign w:val="center"/>
          </w:tcPr>
          <w:p w14:paraId="47EF912B">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544" w:type="dxa"/>
            <w:noWrap/>
            <w:vAlign w:val="center"/>
          </w:tcPr>
          <w:p w14:paraId="3A136C44">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设备名称</w:t>
            </w:r>
          </w:p>
        </w:tc>
        <w:tc>
          <w:tcPr>
            <w:tcW w:w="1418" w:type="dxa"/>
            <w:noWrap/>
            <w:vAlign w:val="center"/>
          </w:tcPr>
          <w:p w14:paraId="3A35CDC0">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数量/单位</w:t>
            </w:r>
          </w:p>
        </w:tc>
        <w:tc>
          <w:tcPr>
            <w:tcW w:w="3299" w:type="dxa"/>
            <w:noWrap/>
            <w:vAlign w:val="center"/>
          </w:tcPr>
          <w:p w14:paraId="226A3F76">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696D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17" w:type="dxa"/>
            <w:noWrap/>
            <w:vAlign w:val="center"/>
          </w:tcPr>
          <w:p w14:paraId="0480FA55">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544" w:type="dxa"/>
            <w:noWrap/>
            <w:vAlign w:val="center"/>
          </w:tcPr>
          <w:p w14:paraId="2AD32291">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宁江小学公厕维修工程</w:t>
            </w:r>
          </w:p>
        </w:tc>
        <w:tc>
          <w:tcPr>
            <w:tcW w:w="1418" w:type="dxa"/>
            <w:noWrap/>
            <w:vAlign w:val="center"/>
          </w:tcPr>
          <w:p w14:paraId="1C6F030D">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项</w:t>
            </w:r>
          </w:p>
        </w:tc>
        <w:tc>
          <w:tcPr>
            <w:tcW w:w="3299" w:type="dxa"/>
            <w:noWrap/>
            <w:vAlign w:val="center"/>
          </w:tcPr>
          <w:p w14:paraId="6E1F8764">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w:t>
            </w:r>
          </w:p>
        </w:tc>
      </w:tr>
    </w:tbl>
    <w:p w14:paraId="6495715B">
      <w:pPr>
        <w:pStyle w:val="4"/>
        <w:bidi w:val="0"/>
        <w:rPr>
          <w:rFonts w:hint="eastAsia" w:ascii="仿宋" w:hAnsi="仿宋" w:eastAsia="仿宋" w:cs="仿宋"/>
          <w:highlight w:val="none"/>
        </w:rPr>
      </w:pPr>
      <w:bookmarkStart w:id="24" w:name="_Toc7274"/>
      <w:bookmarkStart w:id="25" w:name="_Toc5238"/>
      <w:bookmarkStart w:id="26" w:name="_Toc4979"/>
      <w:r>
        <w:rPr>
          <w:rFonts w:hint="eastAsia" w:ascii="仿宋" w:hAnsi="仿宋" w:eastAsia="仿宋" w:cs="仿宋"/>
          <w:highlight w:val="none"/>
        </w:rPr>
        <w:t>二、</w:t>
      </w:r>
      <w:bookmarkEnd w:id="24"/>
      <w:r>
        <w:rPr>
          <w:rFonts w:hint="eastAsia" w:ascii="仿宋" w:hAnsi="仿宋" w:eastAsia="仿宋" w:cs="仿宋"/>
          <w:highlight w:val="none"/>
        </w:rPr>
        <w:t>项目主要内容及要求</w:t>
      </w:r>
      <w:bookmarkEnd w:id="25"/>
      <w:bookmarkEnd w:id="26"/>
    </w:p>
    <w:p w14:paraId="52300BE0">
      <w:pPr>
        <w:spacing w:line="440" w:lineRule="exact"/>
        <w:ind w:firstLine="560" w:firstLineChars="200"/>
        <w:rPr>
          <w:rFonts w:hint="eastAsia" w:ascii="仿宋" w:hAnsi="仿宋" w:eastAsia="仿宋" w:cs="仿宋"/>
          <w:b w:val="0"/>
          <w:bCs w:val="0"/>
          <w:color w:val="auto"/>
          <w:sz w:val="28"/>
          <w:szCs w:val="28"/>
          <w:highlight w:val="none"/>
        </w:rPr>
      </w:pPr>
      <w:bookmarkStart w:id="27" w:name="_Toc14793"/>
      <w:bookmarkStart w:id="28" w:name="_Toc28288"/>
      <w:bookmarkStart w:id="29" w:name="_Toc12387"/>
      <w:r>
        <w:rPr>
          <w:rFonts w:hint="eastAsia" w:ascii="仿宋" w:hAnsi="仿宋" w:eastAsia="仿宋" w:cs="仿宋"/>
          <w:b w:val="0"/>
          <w:bCs w:val="0"/>
          <w:color w:val="auto"/>
          <w:sz w:val="28"/>
          <w:szCs w:val="28"/>
          <w:highlight w:val="none"/>
        </w:rPr>
        <w:t>（一）施工要求</w:t>
      </w:r>
    </w:p>
    <w:p w14:paraId="4B04EFE6">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1.成交供应商完成施工相关手续的报备及审批，采购人予以配合。</w:t>
      </w:r>
    </w:p>
    <w:p w14:paraId="709BA5FB">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2.成交供应商应充分了解施工现场周边环境及设施设备情况，负责施工现场用电、用水等施工生产条件。</w:t>
      </w:r>
    </w:p>
    <w:p w14:paraId="0C1DEDC1">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本工程所需的主要材料（设备）应有完善的质量检测手段和质量保证体系，必须符合国家标准和行业标准。成交供应商选用的主要材料，应在采购前十个工作日将所采购材料设备的厂家、技术参数、品牌、质量等级等指标以书面形式通知采购人，采购人收到成交供应商的书面报告后十四日内予以确认，经采购人认质、封样后成交供应商方可采购进场。</w:t>
      </w:r>
    </w:p>
    <w:p w14:paraId="4CDF7B79">
      <w:pPr>
        <w:snapToGrid w:val="0"/>
        <w:spacing w:line="480" w:lineRule="exact"/>
        <w:ind w:firstLine="56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4</w:t>
      </w:r>
      <w:r>
        <w:rPr>
          <w:rFonts w:hint="eastAsia" w:ascii="仿宋" w:hAnsi="仿宋" w:eastAsia="仿宋" w:cs="仿宋"/>
          <w:bCs/>
          <w:color w:val="auto"/>
          <w:highlight w:val="none"/>
        </w:rPr>
        <w:t>.供应商在签订合同之前，须按照建设行政主管部门的要求配置项目管理班子，出具任命文件。任命文件应当明确施工项目部的职责、岗位设置、人员配备，并书面通知采购人。成交后不能满足该要求的，采购人有权拒绝签订合同，并上报主管部门，给采购人造成损失的，供应商依法承担违约赔偿责任</w:t>
      </w:r>
      <w:r>
        <w:rPr>
          <w:rFonts w:hint="eastAsia" w:ascii="仿宋" w:hAnsi="仿宋" w:eastAsia="仿宋" w:cs="仿宋"/>
          <w:bCs/>
          <w:color w:val="auto"/>
          <w:highlight w:val="none"/>
          <w:lang w:eastAsia="zh-CN"/>
        </w:rPr>
        <w:t>。</w:t>
      </w:r>
    </w:p>
    <w:p w14:paraId="3837207C">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5</w:t>
      </w:r>
      <w:r>
        <w:rPr>
          <w:rFonts w:hint="eastAsia" w:ascii="仿宋" w:hAnsi="仿宋" w:eastAsia="仿宋" w:cs="仿宋"/>
          <w:bCs/>
          <w:color w:val="auto"/>
          <w:highlight w:val="none"/>
        </w:rPr>
        <w:t>.</w:t>
      </w:r>
      <w:r>
        <w:rPr>
          <w:rFonts w:hint="eastAsia" w:ascii="仿宋" w:hAnsi="仿宋" w:eastAsia="仿宋" w:cs="仿宋"/>
          <w:bCs/>
          <w:color w:val="auto"/>
          <w:highlight w:val="none"/>
          <w:lang w:val="en-US" w:eastAsia="zh-CN"/>
        </w:rPr>
        <w:t>工程</w:t>
      </w:r>
      <w:r>
        <w:rPr>
          <w:rFonts w:hint="eastAsia" w:ascii="仿宋" w:hAnsi="仿宋" w:eastAsia="仿宋" w:cs="仿宋"/>
          <w:bCs/>
          <w:color w:val="auto"/>
          <w:highlight w:val="none"/>
        </w:rPr>
        <w:t>须符合强制性质量标准，符合国家和重庆市现行有关施工质量验收规范要求，并达到合格标准。</w:t>
      </w:r>
    </w:p>
    <w:p w14:paraId="3695DC0F">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（二）安全要求</w:t>
      </w:r>
    </w:p>
    <w:p w14:paraId="3F3CFC54">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成交供应商应遵守安全生产的有关管理规定，建立完善的安全管控体系，严格按照安全标准组织实施，采取必要的安全防护措施，消除隐患。应派遣有丰富经验和相应能力的工程师进行现场组织施工，并对施工操作不当或错误所导致的直接损失和间接损失承担全部赔偿责任。</w:t>
      </w:r>
    </w:p>
    <w:p w14:paraId="020FE2FE">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2.成交供应商应负责施工安全（包含但不仅限于施工现场及施工周边的施工人身安全、行人安全等），若发生一切安全事故和经济损失，责任由成交供应商全部承担，采购人不承担任何责任。</w:t>
      </w:r>
    </w:p>
    <w:p w14:paraId="4F3F66FD">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在施工过程中，成交供应商须做到安全施工、文明施工，并做好相应的施工安全公告及警戒标识，施工过程中发生的一切安全事故由成交供应商自行负责处理。成交供应商应当与其施工人员建立劳动关系，承担全部用人用工主体责任。</w:t>
      </w:r>
    </w:p>
    <w:bookmarkEnd w:id="27"/>
    <w:bookmarkEnd w:id="28"/>
    <w:bookmarkEnd w:id="29"/>
    <w:p w14:paraId="4B2F98D9">
      <w:pPr>
        <w:pStyle w:val="4"/>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三、项目工程量清单</w:t>
      </w:r>
    </w:p>
    <w:p w14:paraId="76E422A3">
      <w:pPr>
        <w:ind w:firstLine="420" w:firstLineChars="0"/>
        <w:jc w:val="left"/>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详见附件</w:t>
      </w:r>
    </w:p>
    <w:p w14:paraId="65D9AE1A">
      <w:pPr>
        <w:snapToGrid w:val="0"/>
        <w:spacing w:line="480" w:lineRule="exact"/>
        <w:ind w:firstLine="420" w:firstLineChars="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注：</w:t>
      </w:r>
    </w:p>
    <w:p w14:paraId="216CDD46">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采购人不组织现场踏勘，由各供应商在竞采开始前自行到现场进行踏勘了解实际情况，根据实际踏勘情况做服务方案。踏勘产生的费用和风险等均由供应商自行承担。</w:t>
      </w:r>
    </w:p>
    <w:p w14:paraId="3463FE17">
      <w:pPr>
        <w:snapToGrid w:val="0"/>
        <w:spacing w:line="480" w:lineRule="exact"/>
        <w:ind w:firstLine="560" w:firstLineChars="200"/>
        <w:rPr>
          <w:rFonts w:hint="eastAsia" w:ascii="仿宋" w:hAnsi="仿宋" w:eastAsia="仿宋" w:cs="仿宋"/>
          <w:highlight w:val="none"/>
          <w:lang w:val="en-US" w:eastAsia="zh-CN"/>
        </w:rPr>
      </w:pPr>
      <w:r>
        <w:rPr>
          <w:rFonts w:hint="eastAsia" w:ascii="仿宋" w:hAnsi="仿宋" w:eastAsia="仿宋" w:cs="仿宋"/>
          <w:bCs/>
          <w:color w:val="auto"/>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现场情况为借口而提出延长服务期限或</w:t>
      </w:r>
      <w:r>
        <w:rPr>
          <w:rFonts w:hint="eastAsia" w:ascii="仿宋" w:hAnsi="仿宋" w:eastAsia="仿宋" w:cs="仿宋"/>
          <w:bCs/>
          <w:color w:val="auto"/>
          <w:highlight w:val="none"/>
          <w:lang w:val="en-US" w:eastAsia="zh-CN"/>
        </w:rPr>
        <w:t>因工程量的增减</w:t>
      </w:r>
      <w:r>
        <w:rPr>
          <w:rFonts w:hint="eastAsia" w:ascii="仿宋" w:hAnsi="仿宋" w:eastAsia="仿宋" w:cs="仿宋"/>
          <w:bCs/>
          <w:color w:val="auto"/>
          <w:highlight w:val="none"/>
        </w:rPr>
        <w:t>提出额外赔偿</w:t>
      </w:r>
      <w:r>
        <w:rPr>
          <w:rFonts w:hint="eastAsia" w:ascii="仿宋" w:hAnsi="仿宋" w:eastAsia="仿宋" w:cs="仿宋"/>
          <w:bCs/>
          <w:color w:val="auto"/>
          <w:highlight w:val="none"/>
          <w:lang w:val="en-US" w:eastAsia="zh-CN"/>
        </w:rPr>
        <w:t>等</w:t>
      </w:r>
      <w:r>
        <w:rPr>
          <w:rFonts w:hint="eastAsia" w:ascii="仿宋" w:hAnsi="仿宋" w:eastAsia="仿宋" w:cs="仿宋"/>
          <w:bCs/>
          <w:color w:val="auto"/>
          <w:highlight w:val="none"/>
        </w:rPr>
        <w:t>要求。</w:t>
      </w:r>
    </w:p>
    <w:p w14:paraId="4F660E46">
      <w:pPr>
        <w:numPr>
          <w:ilvl w:val="0"/>
          <w:numId w:val="0"/>
        </w:numPr>
        <w:rPr>
          <w:rFonts w:hint="eastAsia" w:ascii="仿宋" w:hAnsi="仿宋" w:eastAsia="仿宋" w:cs="仿宋"/>
          <w:color w:val="auto"/>
          <w:highlight w:val="none"/>
          <w:lang w:val="en-US" w:eastAsia="zh-CN"/>
        </w:rPr>
      </w:pPr>
    </w:p>
    <w:p w14:paraId="45384D89">
      <w:pPr>
        <w:rPr>
          <w:rFonts w:hint="eastAsia" w:ascii="仿宋" w:hAnsi="仿宋" w:eastAsia="仿宋" w:cs="仿宋"/>
          <w:color w:val="auto"/>
          <w:highlight w:val="none"/>
        </w:rPr>
        <w:sectPr>
          <w:footerReference r:id="rId7" w:type="default"/>
          <w:pgSz w:w="11907" w:h="16840"/>
          <w:pgMar w:top="1440" w:right="1080" w:bottom="1440" w:left="1080" w:header="850"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仿宋" w:hAnsi="仿宋" w:eastAsia="仿宋" w:cs="仿宋"/>
          <w:color w:val="auto"/>
          <w:highlight w:val="none"/>
        </w:rPr>
        <w:br w:type="page"/>
      </w:r>
    </w:p>
    <w:p w14:paraId="6E4F65A1">
      <w:pPr>
        <w:pStyle w:val="3"/>
        <w:jc w:val="center"/>
        <w:rPr>
          <w:rFonts w:hint="eastAsia" w:ascii="仿宋" w:hAnsi="仿宋" w:eastAsia="仿宋" w:cs="仿宋"/>
          <w:color w:val="auto"/>
          <w:highlight w:val="none"/>
        </w:rPr>
      </w:pPr>
      <w:r>
        <w:rPr>
          <w:rFonts w:hint="eastAsia" w:ascii="仿宋" w:hAnsi="仿宋" w:eastAsia="仿宋" w:cs="仿宋"/>
          <w:color w:val="auto"/>
          <w:highlight w:val="none"/>
        </w:rPr>
        <w:t>第三篇 项目商务需求</w:t>
      </w:r>
      <w:bookmarkEnd w:id="19"/>
      <w:bookmarkEnd w:id="20"/>
      <w:bookmarkEnd w:id="21"/>
    </w:p>
    <w:bookmarkEnd w:id="22"/>
    <w:bookmarkEnd w:id="23"/>
    <w:p w14:paraId="2E8F724C">
      <w:pPr>
        <w:pStyle w:val="4"/>
        <w:bidi w:val="0"/>
        <w:rPr>
          <w:rFonts w:hint="eastAsia" w:ascii="仿宋" w:hAnsi="仿宋" w:eastAsia="仿宋" w:cs="仿宋"/>
          <w:highlight w:val="none"/>
        </w:rPr>
      </w:pPr>
      <w:bookmarkStart w:id="30" w:name="_Toc5522"/>
      <w:bookmarkStart w:id="31" w:name="_Toc267320049"/>
      <w:bookmarkStart w:id="32" w:name="_Toc4490"/>
      <w:bookmarkStart w:id="33" w:name="_Toc493506290"/>
      <w:bookmarkStart w:id="34" w:name="_Toc16875"/>
      <w:bookmarkStart w:id="35" w:name="_Toc42335566"/>
      <w:bookmarkStart w:id="36" w:name="_Toc267320050"/>
      <w:bookmarkStart w:id="37" w:name="_Toc10668"/>
      <w:r>
        <w:rPr>
          <w:rFonts w:hint="eastAsia" w:ascii="仿宋" w:hAnsi="仿宋" w:eastAsia="仿宋" w:cs="仿宋"/>
          <w:highlight w:val="none"/>
        </w:rPr>
        <w:t>一、服务期、服务地点及验收方式</w:t>
      </w:r>
      <w:bookmarkEnd w:id="30"/>
      <w:bookmarkEnd w:id="31"/>
      <w:bookmarkEnd w:id="32"/>
      <w:bookmarkEnd w:id="33"/>
      <w:bookmarkEnd w:id="34"/>
      <w:bookmarkEnd w:id="35"/>
    </w:p>
    <w:p w14:paraId="47DF6D77">
      <w:pPr>
        <w:snapToGrid w:val="0"/>
        <w:spacing w:line="480" w:lineRule="exact"/>
        <w:ind w:firstLine="54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（一）服务期</w:t>
      </w:r>
    </w:p>
    <w:p w14:paraId="7B2C2B4F">
      <w:pPr>
        <w:snapToGrid w:val="0"/>
        <w:spacing w:line="480" w:lineRule="exact"/>
        <w:ind w:firstLine="54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合同签订后25个日历日内施工完成并验收合格。</w:t>
      </w:r>
    </w:p>
    <w:p w14:paraId="7E263B77">
      <w:pPr>
        <w:snapToGrid w:val="0"/>
        <w:spacing w:line="480" w:lineRule="exact"/>
        <w:ind w:firstLine="54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（二）服务地点</w:t>
      </w:r>
    </w:p>
    <w:p w14:paraId="03D9DA67">
      <w:pPr>
        <w:snapToGrid w:val="0"/>
        <w:spacing w:line="480" w:lineRule="exact"/>
        <w:ind w:firstLine="540"/>
        <w:rPr>
          <w:rFonts w:hint="eastAsia" w:ascii="仿宋" w:hAnsi="仿宋" w:eastAsia="仿宋" w:cs="仿宋"/>
          <w:color w:val="auto"/>
          <w:szCs w:val="28"/>
          <w:highlight w:val="none"/>
        </w:rPr>
      </w:pPr>
      <w:r>
        <w:rPr>
          <w:rFonts w:hint="eastAsia" w:ascii="仿宋" w:hAnsi="仿宋" w:eastAsia="仿宋" w:cs="仿宋"/>
          <w:color w:val="auto"/>
          <w:szCs w:val="28"/>
          <w:highlight w:val="none"/>
        </w:rPr>
        <w:t>采购人指定地点。</w:t>
      </w:r>
    </w:p>
    <w:p w14:paraId="264C1F01">
      <w:pPr>
        <w:numPr>
          <w:ilvl w:val="0"/>
          <w:numId w:val="1"/>
        </w:numPr>
        <w:snapToGrid w:val="0"/>
        <w:spacing w:line="480" w:lineRule="exact"/>
        <w:ind w:firstLine="540"/>
        <w:rPr>
          <w:rFonts w:hint="eastAsia" w:ascii="仿宋" w:hAnsi="仿宋" w:eastAsia="仿宋" w:cs="仿宋"/>
          <w:color w:val="auto"/>
          <w:highlight w:val="none"/>
        </w:rPr>
      </w:pPr>
      <w:r>
        <w:rPr>
          <w:rFonts w:hint="eastAsia" w:ascii="仿宋" w:hAnsi="仿宋" w:eastAsia="仿宋" w:cs="仿宋"/>
          <w:color w:val="auto"/>
          <w:szCs w:val="28"/>
          <w:highlight w:val="none"/>
        </w:rPr>
        <w:t>验收方式</w:t>
      </w:r>
    </w:p>
    <w:p w14:paraId="34F15B38">
      <w:pPr>
        <w:snapToGrid w:val="0"/>
        <w:spacing w:line="480" w:lineRule="exact"/>
        <w:ind w:firstLine="560" w:firstLineChars="200"/>
        <w:rPr>
          <w:rFonts w:hint="eastAsia" w:ascii="仿宋" w:hAnsi="仿宋" w:eastAsia="仿宋" w:cs="仿宋"/>
          <w:color w:val="auto"/>
          <w:kern w:val="0"/>
          <w:szCs w:val="28"/>
          <w:highlight w:val="none"/>
        </w:rPr>
      </w:pPr>
      <w:bookmarkStart w:id="38" w:name="_Toc15633"/>
      <w:bookmarkStart w:id="39" w:name="_Toc588"/>
      <w:bookmarkStart w:id="40" w:name="_Toc22150"/>
      <w:r>
        <w:rPr>
          <w:rFonts w:hint="eastAsia" w:ascii="仿宋" w:hAnsi="仿宋" w:eastAsia="仿宋" w:cs="仿宋"/>
          <w:color w:val="auto"/>
          <w:kern w:val="0"/>
          <w:szCs w:val="28"/>
          <w:highlight w:val="none"/>
        </w:rPr>
        <w:t>1.质量要求达到国家、行业和重庆市有关施工质量验收规范、技术规范、技术标准、规程、文件等相关规定。</w:t>
      </w:r>
    </w:p>
    <w:p w14:paraId="27A91C68">
      <w:pPr>
        <w:snapToGrid w:val="0"/>
        <w:spacing w:line="480" w:lineRule="exact"/>
        <w:ind w:firstLine="560" w:firstLineChars="200"/>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2.安全要求达到国家现行施工安全规范标准。</w:t>
      </w:r>
    </w:p>
    <w:p w14:paraId="1CB76DE6">
      <w:pPr>
        <w:pStyle w:val="4"/>
        <w:bidi w:val="0"/>
        <w:rPr>
          <w:rFonts w:hint="eastAsia" w:ascii="仿宋" w:hAnsi="仿宋" w:eastAsia="仿宋" w:cs="仿宋"/>
          <w:highlight w:val="none"/>
        </w:rPr>
      </w:pPr>
      <w:r>
        <w:rPr>
          <w:rFonts w:hint="eastAsia" w:ascii="仿宋" w:hAnsi="仿宋" w:eastAsia="仿宋" w:cs="仿宋"/>
          <w:highlight w:val="none"/>
        </w:rPr>
        <w:t>二、报价要求</w:t>
      </w:r>
      <w:bookmarkEnd w:id="38"/>
      <w:bookmarkEnd w:id="39"/>
      <w:bookmarkEnd w:id="40"/>
    </w:p>
    <w:bookmarkEnd w:id="36"/>
    <w:p w14:paraId="3F3A5F53">
      <w:pPr>
        <w:snapToGrid w:val="0"/>
        <w:spacing w:line="480" w:lineRule="exact"/>
        <w:ind w:firstLine="560" w:firstLineChars="200"/>
        <w:rPr>
          <w:rFonts w:hint="eastAsia" w:ascii="仿宋" w:hAnsi="仿宋" w:eastAsia="仿宋" w:cs="仿宋"/>
          <w:color w:val="auto"/>
          <w:kern w:val="0"/>
          <w:szCs w:val="28"/>
          <w:highlight w:val="none"/>
          <w:lang w:val="en-US" w:eastAsia="zh-CN"/>
        </w:rPr>
      </w:pPr>
      <w:bookmarkStart w:id="41" w:name="_Toc28564"/>
      <w:bookmarkStart w:id="42" w:name="_Toc267320051"/>
      <w:bookmarkStart w:id="43" w:name="_Toc7592"/>
      <w:bookmarkStart w:id="44" w:name="_Toc8085"/>
      <w:r>
        <w:rPr>
          <w:rFonts w:hint="eastAsia" w:ascii="仿宋" w:hAnsi="仿宋" w:eastAsia="仿宋" w:cs="仿宋"/>
          <w:color w:val="auto"/>
          <w:kern w:val="0"/>
          <w:szCs w:val="28"/>
          <w:highlight w:val="none"/>
          <w:lang w:val="en-US" w:eastAsia="zh-CN"/>
        </w:rPr>
        <w:t>（一）本项目报价为人民币报价，报价包括但不限于：服务费、人工费及提供服务所需的设备或货物购买（制造）费、辅材费、交通费、食宿费、保险费、税费等完成本项目的所有费用。因供应商自身原因造成漏报、少报皆由其自行承担责任，采购人不再补偿。投标供应商应仔细核对采购人发布的工程量清单，如有漏项、缺项等与实际施工内容不符的情况，请投投标供应商在本项目投标截止时间前向采购代理机构提出修改，如超过截止时间，则投标供应商认可并同意本项目发布的工程量清单、项目资料全部内容，施工过程中若发现漏项、缺项等与实际施工内容不符的情况，成交供应商须按要求完成合同内的所有工作，采购人不因工程量清单的漏项、缺项等增加支付工程费用。</w:t>
      </w:r>
    </w:p>
    <w:p w14:paraId="0C01E2A2">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kern w:val="0"/>
          <w:szCs w:val="28"/>
          <w:highlight w:val="none"/>
          <w:lang w:val="en-US" w:eastAsia="zh-CN"/>
        </w:rPr>
        <w:t>（二）供应商须严格按照竞采文件的项目清单计价表逐项填报清单单价及总价，供应商的总报价及单项报价均不得超过采购人发布的相应最高限价，否则按废标处理。</w:t>
      </w:r>
    </w:p>
    <w:p w14:paraId="7DDCAD03">
      <w:pPr>
        <w:pStyle w:val="4"/>
        <w:bidi w:val="0"/>
        <w:rPr>
          <w:rFonts w:hint="eastAsia" w:ascii="仿宋" w:hAnsi="仿宋" w:eastAsia="仿宋" w:cs="仿宋"/>
          <w:highlight w:val="none"/>
        </w:rPr>
      </w:pPr>
      <w:r>
        <w:rPr>
          <w:rFonts w:hint="eastAsia" w:ascii="仿宋" w:hAnsi="仿宋" w:eastAsia="仿宋" w:cs="仿宋"/>
          <w:highlight w:val="none"/>
        </w:rPr>
        <w:t>三、付款方式</w:t>
      </w:r>
      <w:bookmarkEnd w:id="41"/>
      <w:bookmarkEnd w:id="42"/>
      <w:bookmarkEnd w:id="43"/>
      <w:bookmarkEnd w:id="44"/>
    </w:p>
    <w:p w14:paraId="3F181092">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成交供应商完成所有工作内容，通过验收并经审计后，同时提交采购合同、足额发票、验收记录等材料。采购人在收齐成交供应商提交的支付资料后支付结算审核金额。</w:t>
      </w:r>
    </w:p>
    <w:p w14:paraId="2B076278">
      <w:pPr>
        <w:pStyle w:val="4"/>
        <w:bidi w:val="0"/>
        <w:rPr>
          <w:rFonts w:hint="eastAsia" w:ascii="仿宋" w:hAnsi="仿宋" w:eastAsia="仿宋" w:cs="仿宋"/>
          <w:highlight w:val="none"/>
        </w:rPr>
      </w:pPr>
      <w:r>
        <w:rPr>
          <w:rFonts w:hint="eastAsia" w:ascii="仿宋" w:hAnsi="仿宋" w:eastAsia="仿宋" w:cs="仿宋"/>
          <w:highlight w:val="none"/>
          <w:lang w:val="en-US" w:eastAsia="zh-CN"/>
        </w:rPr>
        <w:t>四、</w:t>
      </w:r>
      <w:r>
        <w:rPr>
          <w:rFonts w:hint="eastAsia" w:ascii="仿宋" w:hAnsi="仿宋" w:eastAsia="仿宋" w:cs="仿宋"/>
          <w:highlight w:val="none"/>
        </w:rPr>
        <w:t>质量保证及售后服务</w:t>
      </w:r>
    </w:p>
    <w:p w14:paraId="25FDF466">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（一）质量保修期</w:t>
      </w:r>
    </w:p>
    <w:p w14:paraId="52F4362A">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质量保修期12个月，从本工程竣工验收合格之日起计算，按国家规定对所有项目进行质保。</w:t>
      </w:r>
    </w:p>
    <w:p w14:paraId="64646E6B">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（二）质量保修责任</w:t>
      </w:r>
    </w:p>
    <w:p w14:paraId="02B3C76A">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1.属于保修范围、内容的项目，成交供应商应当在接到保修通知之日起7天内派人保修。成交供应商不在约定期限内派人保修的，采购人可以委托他人修理。</w:t>
      </w:r>
    </w:p>
    <w:p w14:paraId="0AF70E5D">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2.发生紧急事故需抢修的，成交供应商在接到事故通知后，应当立即到达事故现场抢修。</w:t>
      </w:r>
    </w:p>
    <w:p w14:paraId="1364F9A9">
      <w:pPr>
        <w:snapToGrid w:val="0"/>
        <w:spacing w:line="480" w:lineRule="exact"/>
        <w:ind w:firstLine="56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Cs w:val="28"/>
          <w:highlight w:val="none"/>
          <w:lang w:val="en-US" w:eastAsia="zh-CN"/>
        </w:rPr>
        <w:t>3.质量保修完成后，由采购人组织验收。</w:t>
      </w:r>
    </w:p>
    <w:p w14:paraId="3D6570D8">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（三）保修费用</w:t>
      </w:r>
    </w:p>
    <w:p w14:paraId="7E23BE77">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保修费用由质量缺陷的责任方承担。</w:t>
      </w:r>
    </w:p>
    <w:p w14:paraId="473FC0A1">
      <w:pPr>
        <w:snapToGrid w:val="0"/>
        <w:spacing w:line="480" w:lineRule="exact"/>
        <w:ind w:firstLine="56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Cs w:val="28"/>
          <w:highlight w:val="none"/>
          <w:lang w:val="en-US" w:eastAsia="zh-CN"/>
        </w:rPr>
        <w:t>（四）双方约定的其他工程质量保修事项按国家相关法律和规定执行。</w:t>
      </w:r>
    </w:p>
    <w:p w14:paraId="75754B03">
      <w:pPr>
        <w:pStyle w:val="4"/>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五、知识产权</w:t>
      </w:r>
    </w:p>
    <w:p w14:paraId="5952CDF4">
      <w:pPr>
        <w:snapToGrid w:val="0"/>
        <w:spacing w:line="480" w:lineRule="exact"/>
        <w:ind w:firstLine="540"/>
        <w:rPr>
          <w:rFonts w:hint="eastAsia" w:ascii="仿宋" w:hAnsi="仿宋" w:eastAsia="仿宋" w:cs="仿宋"/>
          <w:color w:val="auto"/>
          <w:highlight w:val="none"/>
        </w:rPr>
      </w:pPr>
      <w:r>
        <w:rPr>
          <w:rFonts w:hint="eastAsia" w:ascii="仿宋" w:hAnsi="仿宋" w:eastAsia="仿宋" w:cs="仿宋"/>
          <w:color w:val="auto"/>
          <w:szCs w:val="28"/>
          <w:highlight w:val="none"/>
        </w:rPr>
        <w:t>采购人在中华人民共和国境内使用投标人提供的货物及服务时免受第三方提出的侵犯其专利权或其他知识产权的起诉。如果第三方提出侵权指控，中标人应承担由此而引起的一切法律责任和费用。</w:t>
      </w:r>
    </w:p>
    <w:p w14:paraId="39F176A1">
      <w:pPr>
        <w:pStyle w:val="4"/>
        <w:bidi w:val="0"/>
        <w:rPr>
          <w:rFonts w:hint="eastAsia" w:ascii="仿宋" w:hAnsi="仿宋" w:eastAsia="仿宋" w:cs="仿宋"/>
          <w:highlight w:val="none"/>
        </w:rPr>
      </w:pPr>
      <w:bookmarkStart w:id="45" w:name="_Toc9497"/>
      <w:bookmarkStart w:id="46" w:name="_Toc644"/>
      <w:bookmarkStart w:id="47" w:name="_Toc267320052"/>
      <w:bookmarkStart w:id="48" w:name="_Toc4238"/>
      <w:r>
        <w:rPr>
          <w:rFonts w:hint="eastAsia" w:ascii="仿宋" w:hAnsi="仿宋" w:eastAsia="仿宋" w:cs="仿宋"/>
          <w:highlight w:val="none"/>
          <w:lang w:val="en-US" w:eastAsia="zh-CN"/>
        </w:rPr>
        <w:t>六</w:t>
      </w:r>
      <w:r>
        <w:rPr>
          <w:rFonts w:hint="eastAsia" w:ascii="仿宋" w:hAnsi="仿宋" w:eastAsia="仿宋" w:cs="仿宋"/>
          <w:highlight w:val="none"/>
        </w:rPr>
        <w:t>、</w:t>
      </w:r>
      <w:bookmarkEnd w:id="45"/>
      <w:bookmarkEnd w:id="46"/>
      <w:bookmarkEnd w:id="47"/>
      <w:bookmarkEnd w:id="48"/>
      <w:r>
        <w:rPr>
          <w:rFonts w:hint="eastAsia" w:ascii="仿宋" w:hAnsi="仿宋" w:eastAsia="仿宋" w:cs="仿宋"/>
          <w:highlight w:val="none"/>
        </w:rPr>
        <w:t>培训</w:t>
      </w:r>
    </w:p>
    <w:p w14:paraId="00175AA0">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供应商对其提供产品的使用和操作应尽培训义务。供应商应提供对采购人的基本免费培训，使采购人使用人员能够正常操作。</w:t>
      </w:r>
    </w:p>
    <w:p w14:paraId="5108613F">
      <w:pPr>
        <w:pStyle w:val="4"/>
        <w:bidi w:val="0"/>
        <w:rPr>
          <w:rFonts w:hint="eastAsia" w:ascii="仿宋" w:hAnsi="仿宋" w:eastAsia="仿宋" w:cs="仿宋"/>
          <w:highlight w:val="none"/>
        </w:rPr>
      </w:pPr>
      <w:bookmarkStart w:id="49" w:name="_Toc1767"/>
      <w:bookmarkStart w:id="50" w:name="_Toc31949"/>
      <w:bookmarkStart w:id="51" w:name="_Toc28354"/>
      <w:r>
        <w:rPr>
          <w:rFonts w:hint="eastAsia" w:ascii="仿宋" w:hAnsi="仿宋" w:eastAsia="仿宋" w:cs="仿宋"/>
          <w:highlight w:val="none"/>
          <w:lang w:val="en-US" w:eastAsia="zh-CN"/>
        </w:rPr>
        <w:t>七</w:t>
      </w:r>
      <w:r>
        <w:rPr>
          <w:rFonts w:hint="eastAsia" w:ascii="仿宋" w:hAnsi="仿宋" w:eastAsia="仿宋" w:cs="仿宋"/>
          <w:highlight w:val="none"/>
        </w:rPr>
        <w:t>、其他</w:t>
      </w:r>
      <w:bookmarkEnd w:id="49"/>
      <w:bookmarkEnd w:id="50"/>
      <w:bookmarkEnd w:id="51"/>
    </w:p>
    <w:p w14:paraId="53F7BB6E">
      <w:pPr>
        <w:spacing w:line="480" w:lineRule="exact"/>
        <w:ind w:firstLine="560" w:firstLineChars="200"/>
        <w:rPr>
          <w:rFonts w:hint="eastAsia" w:ascii="仿宋" w:hAnsi="仿宋" w:eastAsia="仿宋" w:cs="仿宋"/>
          <w:color w:val="auto"/>
          <w:szCs w:val="28"/>
          <w:highlight w:val="none"/>
        </w:rPr>
        <w:sectPr>
          <w:pgSz w:w="11907" w:h="16840"/>
          <w:pgMar w:top="1440" w:right="1080" w:bottom="1440" w:left="1080" w:header="850"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color w:val="auto"/>
          <w:szCs w:val="28"/>
          <w:highlight w:val="none"/>
        </w:rPr>
        <w:t>（一）其他未尽事宜由供需双方在采购合同中详细约定。</w:t>
      </w:r>
    </w:p>
    <w:p w14:paraId="563482DE">
      <w:pPr>
        <w:spacing w:line="360" w:lineRule="auto"/>
        <w:rPr>
          <w:rFonts w:hint="eastAsia" w:ascii="仿宋" w:hAnsi="仿宋" w:eastAsia="仿宋" w:cs="仿宋"/>
          <w:color w:val="auto"/>
          <w:szCs w:val="28"/>
          <w:highlight w:val="none"/>
        </w:rPr>
      </w:pPr>
    </w:p>
    <w:p w14:paraId="4DE01DC7">
      <w:pPr>
        <w:pStyle w:val="3"/>
        <w:rPr>
          <w:rFonts w:hint="eastAsia" w:ascii="仿宋" w:hAnsi="仿宋" w:eastAsia="仿宋" w:cs="仿宋"/>
          <w:color w:val="auto"/>
          <w:highlight w:val="none"/>
        </w:rPr>
      </w:pPr>
      <w:bookmarkStart w:id="52" w:name="_Toc2487"/>
      <w:bookmarkStart w:id="53" w:name="_Toc75793517"/>
      <w:bookmarkStart w:id="54" w:name="_Toc11875"/>
      <w:bookmarkStart w:id="55" w:name="_Toc24966"/>
      <w:bookmarkStart w:id="56" w:name="_Toc30067"/>
      <w:bookmarkStart w:id="57" w:name="_Toc8133"/>
      <w:bookmarkStart w:id="58" w:name="_Toc2672"/>
      <w:bookmarkStart w:id="59" w:name="_Toc2406"/>
      <w:bookmarkStart w:id="60" w:name="_Toc22763"/>
      <w:bookmarkStart w:id="61" w:name="_Toc23663"/>
      <w:bookmarkStart w:id="62" w:name="_Toc106030393"/>
      <w:bookmarkStart w:id="63" w:name="_Toc3533"/>
      <w:bookmarkStart w:id="64" w:name="_Toc3339"/>
      <w:bookmarkStart w:id="65" w:name="_Toc15693"/>
      <w:bookmarkStart w:id="66" w:name="_Toc25911"/>
      <w:bookmarkStart w:id="67" w:name="_Toc25165"/>
      <w:bookmarkStart w:id="68" w:name="_Toc23377"/>
      <w:bookmarkStart w:id="69" w:name="_Toc25903"/>
      <w:r>
        <w:rPr>
          <w:rFonts w:hint="eastAsia" w:ascii="仿宋" w:hAnsi="仿宋" w:eastAsia="仿宋" w:cs="仿宋"/>
          <w:color w:val="auto"/>
          <w:highlight w:val="none"/>
        </w:rPr>
        <w:t>第四篇 资格审查及评审办法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DAC88AE">
      <w:pPr>
        <w:pStyle w:val="4"/>
        <w:spacing w:beforeLines="0" w:line="480" w:lineRule="exact"/>
        <w:ind w:firstLine="562"/>
        <w:rPr>
          <w:rFonts w:hint="eastAsia" w:ascii="仿宋" w:hAnsi="仿宋" w:eastAsia="仿宋" w:cs="仿宋"/>
          <w:color w:val="auto"/>
          <w:highlight w:val="none"/>
        </w:rPr>
      </w:pPr>
      <w:bookmarkStart w:id="70" w:name="_Toc26309"/>
      <w:bookmarkStart w:id="71" w:name="_Toc29755"/>
      <w:bookmarkStart w:id="72" w:name="_Toc27081"/>
      <w:bookmarkStart w:id="73" w:name="_Toc14564"/>
      <w:bookmarkStart w:id="74" w:name="_Toc20541"/>
      <w:bookmarkStart w:id="75" w:name="_Toc21859"/>
      <w:bookmarkStart w:id="76" w:name="_Toc23973"/>
      <w:bookmarkStart w:id="77" w:name="_Toc8983"/>
      <w:bookmarkStart w:id="78" w:name="_Toc25971"/>
      <w:bookmarkStart w:id="79" w:name="_Toc28903"/>
      <w:bookmarkStart w:id="80" w:name="_Toc4071"/>
      <w:bookmarkStart w:id="81" w:name="_Toc75793518"/>
      <w:bookmarkStart w:id="82" w:name="_Toc12641"/>
      <w:bookmarkStart w:id="83" w:name="_Toc28360"/>
      <w:bookmarkStart w:id="84" w:name="_Toc1497"/>
      <w:bookmarkStart w:id="85" w:name="_Toc15440"/>
      <w:bookmarkStart w:id="86" w:name="_Toc1679"/>
      <w:bookmarkStart w:id="87" w:name="_Toc106030394"/>
      <w:r>
        <w:rPr>
          <w:rFonts w:hint="eastAsia" w:ascii="仿宋" w:hAnsi="仿宋" w:eastAsia="仿宋" w:cs="仿宋"/>
          <w:color w:val="auto"/>
          <w:highlight w:val="none"/>
        </w:rPr>
        <w:t>一、资格审查</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仿宋" w:hAnsi="仿宋" w:eastAsia="仿宋" w:cs="仿宋"/>
          <w:color w:val="auto"/>
          <w:highlight w:val="none"/>
        </w:rPr>
        <w:t>及符合性审查</w:t>
      </w:r>
      <w:bookmarkEnd w:id="85"/>
      <w:bookmarkEnd w:id="86"/>
      <w:bookmarkEnd w:id="87"/>
    </w:p>
    <w:p w14:paraId="4B1AB59A">
      <w:pPr>
        <w:snapToGrid w:val="0"/>
        <w:spacing w:line="480" w:lineRule="exact"/>
        <w:ind w:firstLine="560" w:firstLineChars="200"/>
        <w:rPr>
          <w:rFonts w:hint="eastAsia" w:ascii="仿宋" w:hAnsi="仿宋" w:eastAsia="仿宋" w:cs="仿宋"/>
          <w:bCs/>
          <w:color w:val="auto"/>
          <w:szCs w:val="28"/>
          <w:highlight w:val="none"/>
        </w:rPr>
      </w:pPr>
      <w:r>
        <w:rPr>
          <w:rFonts w:hint="eastAsia" w:ascii="仿宋" w:hAnsi="仿宋" w:eastAsia="仿宋" w:cs="仿宋"/>
          <w:bCs/>
          <w:color w:val="auto"/>
          <w:szCs w:val="28"/>
          <w:highlight w:val="none"/>
        </w:rPr>
        <w:t>若未通过资格审查及符合性审查的响应文件，不进入评审环节。</w:t>
      </w:r>
    </w:p>
    <w:p w14:paraId="1051A6EB">
      <w:pPr>
        <w:snapToGrid w:val="0"/>
        <w:spacing w:line="480" w:lineRule="exact"/>
        <w:ind w:firstLine="562" w:firstLineChars="20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（一）资格审查</w:t>
      </w:r>
    </w:p>
    <w:p w14:paraId="3F949372">
      <w:pPr>
        <w:snapToGrid w:val="0"/>
        <w:spacing w:line="480" w:lineRule="exact"/>
        <w:ind w:firstLine="560" w:firstLineChars="200"/>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参照政府采购相关法律法规规定，本项目由竞采小组对响应文件中的资格证明文件进行审查。资格审查资料表如下：</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43E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E03AF1E">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827" w:type="dxa"/>
            <w:gridSpan w:val="2"/>
            <w:vAlign w:val="center"/>
          </w:tcPr>
          <w:p w14:paraId="71A05E41">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984" w:type="dxa"/>
            <w:vAlign w:val="center"/>
          </w:tcPr>
          <w:p w14:paraId="3F3B1CDD">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2A5A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81FC1E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709" w:type="dxa"/>
            <w:vMerge w:val="restart"/>
            <w:vAlign w:val="center"/>
          </w:tcPr>
          <w:p w14:paraId="058E8D6A">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《中华人民共和国政府采购法》第二十二条规定</w:t>
            </w:r>
          </w:p>
        </w:tc>
        <w:tc>
          <w:tcPr>
            <w:tcW w:w="3118" w:type="dxa"/>
            <w:vAlign w:val="center"/>
          </w:tcPr>
          <w:p w14:paraId="29A5B662">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984" w:type="dxa"/>
            <w:vAlign w:val="center"/>
          </w:tcPr>
          <w:p w14:paraId="755ADB8D">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1.供应商法人营业执照（副本）或个体工商户营业执照（提供复印件）。 </w:t>
            </w:r>
          </w:p>
          <w:p w14:paraId="532A6A51">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2.供应商法定代表人身份证明和法定代表人授权代表委托书。</w:t>
            </w:r>
          </w:p>
        </w:tc>
      </w:tr>
      <w:tr w14:paraId="4689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DB5AB8E">
            <w:pPr>
              <w:spacing w:line="400" w:lineRule="exact"/>
              <w:jc w:val="center"/>
              <w:rPr>
                <w:rFonts w:hint="eastAsia" w:ascii="仿宋" w:hAnsi="仿宋" w:eastAsia="仿宋" w:cs="仿宋"/>
                <w:color w:val="auto"/>
                <w:sz w:val="24"/>
                <w:szCs w:val="24"/>
                <w:highlight w:val="none"/>
              </w:rPr>
            </w:pPr>
          </w:p>
        </w:tc>
        <w:tc>
          <w:tcPr>
            <w:tcW w:w="709" w:type="dxa"/>
            <w:vMerge w:val="continue"/>
            <w:vAlign w:val="center"/>
          </w:tcPr>
          <w:p w14:paraId="17C0D715">
            <w:pPr>
              <w:spacing w:line="400" w:lineRule="exact"/>
              <w:rPr>
                <w:rFonts w:hint="eastAsia" w:ascii="仿宋" w:hAnsi="仿宋" w:eastAsia="仿宋" w:cs="仿宋"/>
                <w:color w:val="auto"/>
                <w:sz w:val="24"/>
                <w:szCs w:val="24"/>
                <w:highlight w:val="none"/>
                <w:lang w:val="zh-CN"/>
              </w:rPr>
            </w:pPr>
          </w:p>
        </w:tc>
        <w:tc>
          <w:tcPr>
            <w:tcW w:w="3118" w:type="dxa"/>
            <w:vAlign w:val="center"/>
          </w:tcPr>
          <w:p w14:paraId="4DAB8DBC">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984" w:type="dxa"/>
            <w:vMerge w:val="restart"/>
            <w:vAlign w:val="center"/>
          </w:tcPr>
          <w:p w14:paraId="0739E5A9">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供应商提供“基本资格条件承诺函”（格式详见第六篇）</w:t>
            </w:r>
          </w:p>
          <w:p w14:paraId="6E4CB730">
            <w:pPr>
              <w:spacing w:line="400" w:lineRule="exact"/>
              <w:rPr>
                <w:rFonts w:hint="eastAsia" w:ascii="仿宋" w:hAnsi="仿宋" w:eastAsia="仿宋" w:cs="仿宋"/>
                <w:b/>
                <w:color w:val="auto"/>
                <w:sz w:val="24"/>
                <w:szCs w:val="24"/>
                <w:highlight w:val="none"/>
              </w:rPr>
            </w:pPr>
          </w:p>
        </w:tc>
      </w:tr>
      <w:tr w14:paraId="7140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EBFF855">
            <w:pPr>
              <w:spacing w:line="400" w:lineRule="exact"/>
              <w:jc w:val="center"/>
              <w:rPr>
                <w:rFonts w:hint="eastAsia" w:ascii="仿宋" w:hAnsi="仿宋" w:eastAsia="仿宋" w:cs="仿宋"/>
                <w:color w:val="auto"/>
                <w:sz w:val="24"/>
                <w:szCs w:val="24"/>
                <w:highlight w:val="none"/>
              </w:rPr>
            </w:pPr>
          </w:p>
        </w:tc>
        <w:tc>
          <w:tcPr>
            <w:tcW w:w="709" w:type="dxa"/>
            <w:vMerge w:val="continue"/>
            <w:vAlign w:val="center"/>
          </w:tcPr>
          <w:p w14:paraId="63949705">
            <w:pPr>
              <w:spacing w:line="400" w:lineRule="exact"/>
              <w:rPr>
                <w:rFonts w:hint="eastAsia" w:ascii="仿宋" w:hAnsi="仿宋" w:eastAsia="仿宋" w:cs="仿宋"/>
                <w:color w:val="auto"/>
                <w:sz w:val="24"/>
                <w:szCs w:val="24"/>
                <w:highlight w:val="none"/>
                <w:lang w:val="zh-CN"/>
              </w:rPr>
            </w:pPr>
          </w:p>
        </w:tc>
        <w:tc>
          <w:tcPr>
            <w:tcW w:w="3118" w:type="dxa"/>
            <w:vAlign w:val="center"/>
          </w:tcPr>
          <w:p w14:paraId="19A21EB4">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984" w:type="dxa"/>
            <w:vMerge w:val="continue"/>
            <w:vAlign w:val="center"/>
          </w:tcPr>
          <w:p w14:paraId="7855D43C">
            <w:pPr>
              <w:spacing w:line="400" w:lineRule="exact"/>
              <w:rPr>
                <w:rFonts w:hint="eastAsia" w:ascii="仿宋" w:hAnsi="仿宋" w:eastAsia="仿宋" w:cs="仿宋"/>
                <w:color w:val="auto"/>
                <w:sz w:val="24"/>
                <w:szCs w:val="24"/>
                <w:highlight w:val="none"/>
              </w:rPr>
            </w:pPr>
          </w:p>
        </w:tc>
      </w:tr>
      <w:tr w14:paraId="729E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6CB3DF7">
            <w:pPr>
              <w:spacing w:line="400" w:lineRule="exact"/>
              <w:jc w:val="center"/>
              <w:rPr>
                <w:rFonts w:hint="eastAsia" w:ascii="仿宋" w:hAnsi="仿宋" w:eastAsia="仿宋" w:cs="仿宋"/>
                <w:color w:val="auto"/>
                <w:sz w:val="24"/>
                <w:szCs w:val="24"/>
                <w:highlight w:val="none"/>
              </w:rPr>
            </w:pPr>
          </w:p>
        </w:tc>
        <w:tc>
          <w:tcPr>
            <w:tcW w:w="709" w:type="dxa"/>
            <w:vMerge w:val="continue"/>
            <w:vAlign w:val="center"/>
          </w:tcPr>
          <w:p w14:paraId="7667079C">
            <w:pPr>
              <w:spacing w:line="400" w:lineRule="exact"/>
              <w:rPr>
                <w:rFonts w:hint="eastAsia" w:ascii="仿宋" w:hAnsi="仿宋" w:eastAsia="仿宋" w:cs="仿宋"/>
                <w:color w:val="auto"/>
                <w:sz w:val="24"/>
                <w:szCs w:val="24"/>
                <w:highlight w:val="none"/>
                <w:lang w:val="zh-CN"/>
              </w:rPr>
            </w:pPr>
          </w:p>
        </w:tc>
        <w:tc>
          <w:tcPr>
            <w:tcW w:w="3118" w:type="dxa"/>
            <w:vAlign w:val="center"/>
          </w:tcPr>
          <w:p w14:paraId="3876F859">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984" w:type="dxa"/>
            <w:vMerge w:val="continue"/>
            <w:vAlign w:val="center"/>
          </w:tcPr>
          <w:p w14:paraId="549C41C9">
            <w:pPr>
              <w:spacing w:line="400" w:lineRule="exact"/>
              <w:rPr>
                <w:rFonts w:hint="eastAsia" w:ascii="仿宋" w:hAnsi="仿宋" w:eastAsia="仿宋" w:cs="仿宋"/>
                <w:color w:val="auto"/>
                <w:sz w:val="24"/>
                <w:szCs w:val="24"/>
                <w:highlight w:val="none"/>
              </w:rPr>
            </w:pPr>
          </w:p>
        </w:tc>
      </w:tr>
      <w:tr w14:paraId="1920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EFAB649">
            <w:pPr>
              <w:spacing w:line="400" w:lineRule="exact"/>
              <w:jc w:val="center"/>
              <w:rPr>
                <w:rFonts w:hint="eastAsia" w:ascii="仿宋" w:hAnsi="仿宋" w:eastAsia="仿宋" w:cs="仿宋"/>
                <w:color w:val="auto"/>
                <w:sz w:val="24"/>
                <w:szCs w:val="24"/>
                <w:highlight w:val="none"/>
              </w:rPr>
            </w:pPr>
          </w:p>
        </w:tc>
        <w:tc>
          <w:tcPr>
            <w:tcW w:w="709" w:type="dxa"/>
            <w:vMerge w:val="continue"/>
            <w:vAlign w:val="center"/>
          </w:tcPr>
          <w:p w14:paraId="49DF64EB">
            <w:pPr>
              <w:spacing w:line="400" w:lineRule="exact"/>
              <w:rPr>
                <w:rFonts w:hint="eastAsia" w:ascii="仿宋" w:hAnsi="仿宋" w:eastAsia="仿宋" w:cs="仿宋"/>
                <w:color w:val="auto"/>
                <w:sz w:val="24"/>
                <w:szCs w:val="24"/>
                <w:highlight w:val="none"/>
                <w:lang w:val="zh-CN"/>
              </w:rPr>
            </w:pPr>
          </w:p>
        </w:tc>
        <w:tc>
          <w:tcPr>
            <w:tcW w:w="3118" w:type="dxa"/>
            <w:vAlign w:val="center"/>
          </w:tcPr>
          <w:p w14:paraId="557D61EC">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EQ \o\ac(</w:instrText>
            </w:r>
            <w:r>
              <w:rPr>
                <w:rFonts w:hint="eastAsia" w:ascii="仿宋" w:hAnsi="仿宋" w:eastAsia="仿宋" w:cs="仿宋"/>
                <w:color w:val="auto"/>
                <w:position w:val="-4"/>
                <w:sz w:val="31"/>
                <w:szCs w:val="21"/>
                <w:highlight w:val="none"/>
              </w:rPr>
              <w:instrText xml:space="preserve">○</w:instrText>
            </w:r>
            <w:r>
              <w:rPr>
                <w:rFonts w:hint="eastAsia" w:ascii="仿宋" w:hAnsi="仿宋" w:eastAsia="仿宋" w:cs="仿宋"/>
                <w:color w:val="auto"/>
                <w:sz w:val="21"/>
                <w:szCs w:val="21"/>
                <w:highlight w:val="none"/>
              </w:rPr>
              <w:instrText xml:space="preserve">,1)</w:instrTex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4"/>
                <w:szCs w:val="24"/>
                <w:highlight w:val="none"/>
              </w:rPr>
              <w:t>）</w:t>
            </w:r>
          </w:p>
        </w:tc>
        <w:tc>
          <w:tcPr>
            <w:tcW w:w="4984" w:type="dxa"/>
            <w:vMerge w:val="continue"/>
            <w:vAlign w:val="center"/>
          </w:tcPr>
          <w:p w14:paraId="60BD42FB">
            <w:pPr>
              <w:spacing w:line="400" w:lineRule="exact"/>
              <w:rPr>
                <w:rFonts w:hint="eastAsia" w:ascii="仿宋" w:hAnsi="仿宋" w:eastAsia="仿宋" w:cs="仿宋"/>
                <w:b/>
                <w:color w:val="auto"/>
                <w:sz w:val="24"/>
                <w:szCs w:val="24"/>
                <w:highlight w:val="none"/>
              </w:rPr>
            </w:pPr>
          </w:p>
        </w:tc>
      </w:tr>
      <w:tr w14:paraId="5841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9DD98EB">
            <w:pPr>
              <w:spacing w:line="400" w:lineRule="exact"/>
              <w:jc w:val="center"/>
              <w:rPr>
                <w:rFonts w:hint="eastAsia" w:ascii="仿宋" w:hAnsi="仿宋" w:eastAsia="仿宋" w:cs="仿宋"/>
                <w:color w:val="auto"/>
                <w:sz w:val="24"/>
                <w:szCs w:val="24"/>
                <w:highlight w:val="none"/>
              </w:rPr>
            </w:pPr>
          </w:p>
        </w:tc>
        <w:tc>
          <w:tcPr>
            <w:tcW w:w="709" w:type="dxa"/>
            <w:vMerge w:val="continue"/>
            <w:vAlign w:val="center"/>
          </w:tcPr>
          <w:p w14:paraId="05BF42AB">
            <w:pPr>
              <w:spacing w:line="400" w:lineRule="exact"/>
              <w:rPr>
                <w:rFonts w:hint="eastAsia" w:ascii="仿宋" w:hAnsi="仿宋" w:eastAsia="仿宋" w:cs="仿宋"/>
                <w:color w:val="auto"/>
                <w:sz w:val="24"/>
                <w:szCs w:val="24"/>
                <w:highlight w:val="none"/>
              </w:rPr>
            </w:pPr>
          </w:p>
        </w:tc>
        <w:tc>
          <w:tcPr>
            <w:tcW w:w="3118" w:type="dxa"/>
            <w:vAlign w:val="center"/>
          </w:tcPr>
          <w:p w14:paraId="47448F75">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984" w:type="dxa"/>
            <w:vAlign w:val="center"/>
          </w:tcPr>
          <w:p w14:paraId="284C8C18">
            <w:pPr>
              <w:spacing w:line="400" w:lineRule="exact"/>
              <w:rPr>
                <w:rFonts w:hint="eastAsia" w:ascii="仿宋" w:hAnsi="仿宋" w:eastAsia="仿宋" w:cs="仿宋"/>
                <w:color w:val="auto"/>
                <w:sz w:val="24"/>
                <w:szCs w:val="24"/>
                <w:highlight w:val="none"/>
              </w:rPr>
            </w:pPr>
          </w:p>
        </w:tc>
      </w:tr>
      <w:tr w14:paraId="49D9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746322D">
            <w:pPr>
              <w:spacing w:line="400" w:lineRule="exact"/>
              <w:jc w:val="center"/>
              <w:rPr>
                <w:rFonts w:hint="eastAsia" w:ascii="仿宋" w:hAnsi="仿宋" w:eastAsia="仿宋" w:cs="仿宋"/>
                <w:color w:val="auto"/>
                <w:sz w:val="24"/>
                <w:szCs w:val="24"/>
                <w:highlight w:val="none"/>
              </w:rPr>
            </w:pPr>
          </w:p>
        </w:tc>
        <w:tc>
          <w:tcPr>
            <w:tcW w:w="709" w:type="dxa"/>
            <w:vMerge w:val="continue"/>
            <w:vAlign w:val="center"/>
          </w:tcPr>
          <w:p w14:paraId="4A1B82E5">
            <w:pPr>
              <w:spacing w:line="400" w:lineRule="exact"/>
              <w:rPr>
                <w:rFonts w:hint="eastAsia" w:ascii="仿宋" w:hAnsi="仿宋" w:eastAsia="仿宋" w:cs="仿宋"/>
                <w:color w:val="auto"/>
                <w:sz w:val="24"/>
                <w:szCs w:val="24"/>
                <w:highlight w:val="none"/>
              </w:rPr>
            </w:pPr>
          </w:p>
        </w:tc>
        <w:tc>
          <w:tcPr>
            <w:tcW w:w="3118" w:type="dxa"/>
            <w:vAlign w:val="center"/>
          </w:tcPr>
          <w:p w14:paraId="7D93759A">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7.本项目的特定资格要求</w:t>
            </w:r>
          </w:p>
        </w:tc>
        <w:tc>
          <w:tcPr>
            <w:tcW w:w="4984" w:type="dxa"/>
            <w:vAlign w:val="center"/>
          </w:tcPr>
          <w:p w14:paraId="55A92C56">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按“第一篇二、资格条件（二）本项目的特定资格要求”的要求提交（如果有）。</w:t>
            </w:r>
          </w:p>
        </w:tc>
      </w:tr>
    </w:tbl>
    <w:p w14:paraId="0A059922">
      <w:pPr>
        <w:snapToGrid w:val="0"/>
        <w:spacing w:line="480" w:lineRule="exact"/>
        <w:ind w:firstLine="560" w:firstLineChars="200"/>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注：</w:t>
      </w:r>
    </w:p>
    <w:p w14:paraId="285899BE">
      <w:pPr>
        <w:snapToGrid w:val="0"/>
        <w:spacing w:line="480" w:lineRule="exact"/>
        <w:ind w:firstLine="420" w:firstLineChars="200"/>
        <w:rPr>
          <w:rFonts w:hint="eastAsia" w:ascii="仿宋" w:hAnsi="仿宋" w:eastAsia="仿宋" w:cs="仿宋"/>
          <w:color w:val="auto"/>
          <w:kern w:val="0"/>
          <w:szCs w:val="28"/>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EQ \o\ac(</w:instrText>
      </w:r>
      <w:r>
        <w:rPr>
          <w:rFonts w:hint="eastAsia" w:ascii="仿宋" w:hAnsi="仿宋" w:eastAsia="仿宋" w:cs="仿宋"/>
          <w:color w:val="auto"/>
          <w:position w:val="-4"/>
          <w:sz w:val="31"/>
          <w:szCs w:val="21"/>
          <w:highlight w:val="none"/>
        </w:rPr>
        <w:instrText xml:space="preserve">○</w:instrText>
      </w:r>
      <w:r>
        <w:rPr>
          <w:rFonts w:hint="eastAsia" w:ascii="仿宋" w:hAnsi="仿宋" w:eastAsia="仿宋" w:cs="仿宋"/>
          <w:color w:val="auto"/>
          <w:sz w:val="21"/>
          <w:szCs w:val="21"/>
          <w:highlight w:val="none"/>
        </w:rPr>
        <w:instrText xml:space="preserve">,1)</w:instrText>
      </w:r>
      <w:r>
        <w:rPr>
          <w:rFonts w:hint="eastAsia" w:ascii="仿宋" w:hAnsi="仿宋" w:eastAsia="仿宋" w:cs="仿宋"/>
          <w:color w:val="auto"/>
          <w:sz w:val="21"/>
          <w:szCs w:val="21"/>
          <w:highlight w:val="none"/>
        </w:rPr>
        <w:fldChar w:fldCharType="end"/>
      </w:r>
      <w:r>
        <w:rPr>
          <w:rFonts w:hint="eastAsia" w:ascii="仿宋" w:hAnsi="仿宋" w:eastAsia="仿宋" w:cs="仿宋"/>
          <w:color w:val="auto"/>
          <w:kern w:val="0"/>
          <w:szCs w:val="28"/>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竞采截止日期前通过 “信用中国”网站（www.creditchina.gov.cn）、"中国政府采购网"（www.ccgp.gov.cn）等渠道查询信用记录。</w:t>
      </w:r>
    </w:p>
    <w:p w14:paraId="5EF9D6DF">
      <w:pPr>
        <w:snapToGrid w:val="0"/>
        <w:spacing w:line="480" w:lineRule="exact"/>
        <w:ind w:firstLine="562" w:firstLineChars="20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（二）符合性审查</w:t>
      </w:r>
    </w:p>
    <w:p w14:paraId="1EC79199">
      <w:pPr>
        <w:snapToGrid w:val="0"/>
        <w:spacing w:line="480" w:lineRule="exact"/>
        <w:ind w:firstLine="560" w:firstLineChars="200"/>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竞采小组应当对符合资格的供应商的响应文件进行符合性审查，以确定其是否满足采购文件的实质性要求。符合性审查资料表如下：</w:t>
      </w:r>
    </w:p>
    <w:tbl>
      <w:tblPr>
        <w:tblStyle w:val="2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428"/>
        <w:gridCol w:w="1702"/>
        <w:gridCol w:w="5691"/>
      </w:tblGrid>
      <w:tr w14:paraId="4BED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9" w:type="dxa"/>
            <w:vAlign w:val="center"/>
          </w:tcPr>
          <w:p w14:paraId="6D945BD9">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130" w:type="dxa"/>
            <w:gridSpan w:val="2"/>
            <w:vAlign w:val="center"/>
          </w:tcPr>
          <w:p w14:paraId="60F7FC95">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691" w:type="dxa"/>
            <w:vAlign w:val="center"/>
          </w:tcPr>
          <w:p w14:paraId="5A06A9B2">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7F18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09" w:type="dxa"/>
            <w:vMerge w:val="restart"/>
            <w:vAlign w:val="center"/>
          </w:tcPr>
          <w:p w14:paraId="70EBD55F">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428" w:type="dxa"/>
            <w:vMerge w:val="restart"/>
            <w:vAlign w:val="center"/>
          </w:tcPr>
          <w:p w14:paraId="0273AE7E">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702" w:type="dxa"/>
            <w:vAlign w:val="center"/>
          </w:tcPr>
          <w:p w14:paraId="4FE64536">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相应文件签署或盖章</w:t>
            </w:r>
          </w:p>
        </w:tc>
        <w:tc>
          <w:tcPr>
            <w:tcW w:w="5691" w:type="dxa"/>
            <w:vAlign w:val="center"/>
          </w:tcPr>
          <w:p w14:paraId="5E26E30E">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响应文件上法定代表人（或其授权代表）或自然人（供应商为自然人）的签署或盖章齐全。</w:t>
            </w:r>
          </w:p>
        </w:tc>
      </w:tr>
      <w:tr w14:paraId="48AE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09" w:type="dxa"/>
            <w:vMerge w:val="continue"/>
            <w:vAlign w:val="center"/>
          </w:tcPr>
          <w:p w14:paraId="18C3AB1C">
            <w:pPr>
              <w:spacing w:line="400" w:lineRule="exact"/>
              <w:jc w:val="center"/>
              <w:rPr>
                <w:rFonts w:hint="eastAsia" w:ascii="仿宋" w:hAnsi="仿宋" w:eastAsia="仿宋" w:cs="仿宋"/>
                <w:color w:val="auto"/>
                <w:kern w:val="0"/>
                <w:sz w:val="24"/>
                <w:szCs w:val="24"/>
                <w:highlight w:val="none"/>
              </w:rPr>
            </w:pPr>
          </w:p>
        </w:tc>
        <w:tc>
          <w:tcPr>
            <w:tcW w:w="1428" w:type="dxa"/>
            <w:vMerge w:val="continue"/>
            <w:vAlign w:val="center"/>
          </w:tcPr>
          <w:p w14:paraId="62DDAFBA">
            <w:pPr>
              <w:spacing w:line="400" w:lineRule="exact"/>
              <w:rPr>
                <w:rFonts w:hint="eastAsia" w:ascii="仿宋" w:hAnsi="仿宋" w:eastAsia="仿宋" w:cs="仿宋"/>
                <w:color w:val="auto"/>
                <w:kern w:val="0"/>
                <w:sz w:val="24"/>
                <w:szCs w:val="24"/>
                <w:highlight w:val="none"/>
              </w:rPr>
            </w:pPr>
          </w:p>
        </w:tc>
        <w:tc>
          <w:tcPr>
            <w:tcW w:w="1702" w:type="dxa"/>
            <w:vAlign w:val="center"/>
          </w:tcPr>
          <w:p w14:paraId="6B13AD4A">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691" w:type="dxa"/>
            <w:vAlign w:val="center"/>
          </w:tcPr>
          <w:p w14:paraId="72F49517">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283D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09" w:type="dxa"/>
            <w:vMerge w:val="continue"/>
            <w:vAlign w:val="center"/>
          </w:tcPr>
          <w:p w14:paraId="65A85ADB">
            <w:pPr>
              <w:spacing w:line="400" w:lineRule="exact"/>
              <w:jc w:val="center"/>
              <w:rPr>
                <w:rFonts w:hint="eastAsia" w:ascii="仿宋" w:hAnsi="仿宋" w:eastAsia="仿宋" w:cs="仿宋"/>
                <w:color w:val="auto"/>
                <w:kern w:val="0"/>
                <w:sz w:val="24"/>
                <w:szCs w:val="24"/>
                <w:highlight w:val="none"/>
              </w:rPr>
            </w:pPr>
          </w:p>
        </w:tc>
        <w:tc>
          <w:tcPr>
            <w:tcW w:w="1428" w:type="dxa"/>
            <w:vMerge w:val="continue"/>
            <w:vAlign w:val="center"/>
          </w:tcPr>
          <w:p w14:paraId="72F626F8">
            <w:pPr>
              <w:spacing w:line="400" w:lineRule="exact"/>
              <w:rPr>
                <w:rFonts w:hint="eastAsia" w:ascii="仿宋" w:hAnsi="仿宋" w:eastAsia="仿宋" w:cs="仿宋"/>
                <w:color w:val="auto"/>
                <w:kern w:val="0"/>
                <w:sz w:val="24"/>
                <w:szCs w:val="24"/>
                <w:highlight w:val="none"/>
              </w:rPr>
            </w:pPr>
          </w:p>
        </w:tc>
        <w:tc>
          <w:tcPr>
            <w:tcW w:w="1702" w:type="dxa"/>
            <w:vAlign w:val="center"/>
          </w:tcPr>
          <w:p w14:paraId="68C10F78">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691" w:type="dxa"/>
            <w:vAlign w:val="center"/>
          </w:tcPr>
          <w:p w14:paraId="58C9DFC1">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只能在预算金额和限价内报价，</w:t>
            </w:r>
            <w:r>
              <w:rPr>
                <w:rFonts w:hint="eastAsia" w:ascii="仿宋" w:hAnsi="仿宋" w:eastAsia="仿宋" w:cs="仿宋"/>
                <w:color w:val="auto"/>
                <w:sz w:val="24"/>
                <w:szCs w:val="24"/>
                <w:highlight w:val="none"/>
              </w:rPr>
              <w:t>只能有一个有效报价，不得提交选择性报价。</w:t>
            </w:r>
          </w:p>
        </w:tc>
      </w:tr>
      <w:tr w14:paraId="5250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09" w:type="dxa"/>
            <w:vAlign w:val="center"/>
          </w:tcPr>
          <w:p w14:paraId="2BA736DC">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428" w:type="dxa"/>
            <w:vAlign w:val="center"/>
          </w:tcPr>
          <w:p w14:paraId="5F0C26B7">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702" w:type="dxa"/>
            <w:vAlign w:val="center"/>
          </w:tcPr>
          <w:p w14:paraId="5E701343">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响应文件份数</w:t>
            </w:r>
          </w:p>
        </w:tc>
        <w:tc>
          <w:tcPr>
            <w:tcW w:w="5691" w:type="dxa"/>
            <w:vAlign w:val="center"/>
          </w:tcPr>
          <w:p w14:paraId="7843E1A3">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响应文件符合采购文件要求。</w:t>
            </w:r>
          </w:p>
        </w:tc>
      </w:tr>
      <w:tr w14:paraId="1A54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9" w:type="dxa"/>
            <w:vAlign w:val="center"/>
          </w:tcPr>
          <w:p w14:paraId="07DEB044">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428" w:type="dxa"/>
            <w:vAlign w:val="center"/>
          </w:tcPr>
          <w:p w14:paraId="6FBCB195">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技术部分</w:t>
            </w:r>
          </w:p>
        </w:tc>
        <w:tc>
          <w:tcPr>
            <w:tcW w:w="1702" w:type="dxa"/>
            <w:vAlign w:val="center"/>
          </w:tcPr>
          <w:p w14:paraId="12A907D3">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691" w:type="dxa"/>
            <w:vAlign w:val="center"/>
          </w:tcPr>
          <w:p w14:paraId="4F29D4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本采购文件第二篇</w:t>
            </w:r>
            <w:r>
              <w:rPr>
                <w:rFonts w:hint="eastAsia" w:ascii="仿宋" w:hAnsi="仿宋" w:eastAsia="仿宋" w:cs="仿宋"/>
                <w:color w:val="auto"/>
                <w:kern w:val="0"/>
                <w:sz w:val="24"/>
                <w:szCs w:val="24"/>
                <w:highlight w:val="none"/>
                <w:lang w:val="en-US" w:eastAsia="zh-CN"/>
              </w:rPr>
              <w:t>项目服务需求内容</w:t>
            </w:r>
            <w:r>
              <w:rPr>
                <w:rFonts w:hint="eastAsia" w:ascii="仿宋" w:hAnsi="仿宋" w:eastAsia="仿宋" w:cs="仿宋"/>
                <w:color w:val="auto"/>
                <w:kern w:val="0"/>
                <w:sz w:val="24"/>
                <w:szCs w:val="24"/>
                <w:highlight w:val="none"/>
              </w:rPr>
              <w:t>。</w:t>
            </w:r>
          </w:p>
        </w:tc>
      </w:tr>
      <w:tr w14:paraId="1119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09" w:type="dxa"/>
            <w:vAlign w:val="center"/>
          </w:tcPr>
          <w:p w14:paraId="21ED15CF">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1428" w:type="dxa"/>
            <w:vAlign w:val="center"/>
          </w:tcPr>
          <w:p w14:paraId="7553D6F8">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商务部分</w:t>
            </w:r>
          </w:p>
        </w:tc>
        <w:tc>
          <w:tcPr>
            <w:tcW w:w="1702" w:type="dxa"/>
            <w:vAlign w:val="center"/>
          </w:tcPr>
          <w:p w14:paraId="53A3FFC0">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691" w:type="dxa"/>
            <w:vAlign w:val="center"/>
          </w:tcPr>
          <w:p w14:paraId="679AF6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本采购文件第三篇</w:t>
            </w:r>
            <w:r>
              <w:rPr>
                <w:rFonts w:hint="eastAsia" w:ascii="仿宋" w:hAnsi="仿宋" w:eastAsia="仿宋" w:cs="仿宋"/>
                <w:color w:val="auto"/>
                <w:kern w:val="0"/>
                <w:sz w:val="24"/>
                <w:szCs w:val="24"/>
                <w:highlight w:val="none"/>
                <w:lang w:val="en-US" w:eastAsia="zh-CN"/>
              </w:rPr>
              <w:t>项目商务需求</w:t>
            </w:r>
            <w:r>
              <w:rPr>
                <w:rFonts w:hint="eastAsia" w:ascii="仿宋" w:hAnsi="仿宋" w:eastAsia="仿宋" w:cs="仿宋"/>
                <w:color w:val="auto"/>
                <w:kern w:val="0"/>
                <w:sz w:val="24"/>
                <w:szCs w:val="24"/>
                <w:highlight w:val="none"/>
              </w:rPr>
              <w:t>内容。</w:t>
            </w:r>
          </w:p>
        </w:tc>
      </w:tr>
      <w:tr w14:paraId="3C4B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09" w:type="dxa"/>
            <w:vAlign w:val="center"/>
          </w:tcPr>
          <w:p w14:paraId="601CB854">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428" w:type="dxa"/>
            <w:vAlign w:val="center"/>
          </w:tcPr>
          <w:p w14:paraId="1047EA6E">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竞采有效期</w:t>
            </w:r>
          </w:p>
        </w:tc>
        <w:tc>
          <w:tcPr>
            <w:tcW w:w="1702" w:type="dxa"/>
            <w:vAlign w:val="center"/>
          </w:tcPr>
          <w:p w14:paraId="26037906">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691" w:type="dxa"/>
            <w:vAlign w:val="center"/>
          </w:tcPr>
          <w:p w14:paraId="56EF9419">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竞采有效期为竞采截止时间起90天。</w:t>
            </w:r>
          </w:p>
        </w:tc>
      </w:tr>
    </w:tbl>
    <w:p w14:paraId="7CF4133C">
      <w:pPr>
        <w:pStyle w:val="4"/>
        <w:spacing w:beforeLines="0" w:line="480" w:lineRule="exact"/>
        <w:ind w:firstLine="562"/>
        <w:rPr>
          <w:rFonts w:hint="eastAsia" w:ascii="仿宋" w:hAnsi="仿宋" w:eastAsia="仿宋" w:cs="仿宋"/>
          <w:color w:val="auto"/>
          <w:highlight w:val="none"/>
        </w:rPr>
      </w:pPr>
      <w:bookmarkStart w:id="88" w:name="_Toc5620"/>
      <w:bookmarkStart w:id="89" w:name="_Toc26796"/>
      <w:bookmarkStart w:id="90" w:name="_Toc20171"/>
      <w:bookmarkStart w:id="91" w:name="_Toc30011"/>
      <w:bookmarkStart w:id="92" w:name="_Toc106030395"/>
      <w:bookmarkStart w:id="93" w:name="_Toc29140"/>
      <w:bookmarkStart w:id="94" w:name="_Toc75793519"/>
      <w:bookmarkStart w:id="95" w:name="_Toc27274"/>
      <w:bookmarkStart w:id="96" w:name="_Toc30717"/>
      <w:bookmarkStart w:id="97" w:name="_Toc14824"/>
      <w:bookmarkStart w:id="98" w:name="_Toc27633"/>
      <w:bookmarkStart w:id="99" w:name="_Toc25341"/>
      <w:bookmarkStart w:id="100" w:name="_Toc31997"/>
      <w:bookmarkStart w:id="101" w:name="_Toc28549"/>
      <w:bookmarkStart w:id="102" w:name="_Toc21650"/>
      <w:bookmarkStart w:id="103" w:name="_Toc27015"/>
      <w:bookmarkStart w:id="104" w:name="_Toc28526"/>
      <w:bookmarkStart w:id="105" w:name="_Toc9094"/>
      <w:r>
        <w:rPr>
          <w:rFonts w:hint="eastAsia" w:ascii="仿宋" w:hAnsi="仿宋" w:eastAsia="仿宋" w:cs="仿宋"/>
          <w:color w:val="auto"/>
          <w:highlight w:val="none"/>
        </w:rPr>
        <w:t>二、评审方法</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BAF8D07">
      <w:pPr>
        <w:snapToGrid w:val="0"/>
        <w:spacing w:line="480" w:lineRule="exact"/>
        <w:ind w:firstLine="560" w:firstLineChars="200"/>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本项目采用综合评分法进行评审。</w:t>
      </w:r>
    </w:p>
    <w:p w14:paraId="43058051">
      <w:pPr>
        <w:snapToGrid w:val="0"/>
        <w:spacing w:line="480" w:lineRule="exact"/>
        <w:ind w:firstLine="560" w:firstLineChars="200"/>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综合评分法，是指响应文件满足采购文件全部实质性要求且按照评审因素的量化指标评审得分最高的供应商为成交候选人的评审方法。供应商总得分为价格、技术、商务等评定因素分别按照相应权重值计算分项得分后相加，满分为100分。</w:t>
      </w:r>
    </w:p>
    <w:p w14:paraId="77B36478">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澄清有关问题。对响应文件中含义不明确、同类问题表述不一致或者有明显文字和计算错误的内容，竞采小组可以书面形式（应当由竞采小组成员签字）要求供应商作出必要的澄清、说明或者纠正。供应商的澄清、说明或者补正应当采用书面形式，由其法定代表人（或其授权代表）或自然人（供应商为自然人）签字，其澄清的内容不得超出响应文件的范围或者改变响应文件的实质性内容。</w:t>
      </w:r>
    </w:p>
    <w:p w14:paraId="66B1C952">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评审：</w:t>
      </w:r>
    </w:p>
    <w:p w14:paraId="537CCA33">
      <w:pPr>
        <w:snapToGrid w:val="0"/>
        <w:spacing w:line="480" w:lineRule="exact"/>
        <w:ind w:firstLine="562" w:firstLineChars="200"/>
        <w:rPr>
          <w:rFonts w:hint="eastAsia" w:ascii="仿宋" w:hAnsi="仿宋" w:eastAsia="仿宋" w:cs="仿宋"/>
          <w:color w:val="auto"/>
          <w:szCs w:val="28"/>
          <w:highlight w:val="none"/>
        </w:rPr>
      </w:pPr>
      <w:r>
        <w:rPr>
          <w:rFonts w:hint="eastAsia" w:ascii="仿宋" w:hAnsi="仿宋" w:eastAsia="仿宋" w:cs="仿宋"/>
          <w:b/>
          <w:bCs/>
          <w:color w:val="auto"/>
          <w:szCs w:val="28"/>
          <w:highlight w:val="none"/>
        </w:rPr>
        <w:t>（一）比较与评价</w:t>
      </w:r>
      <w:r>
        <w:rPr>
          <w:rFonts w:hint="eastAsia" w:ascii="仿宋" w:hAnsi="仿宋" w:eastAsia="仿宋" w:cs="仿宋"/>
          <w:color w:val="auto"/>
          <w:szCs w:val="28"/>
          <w:highlight w:val="none"/>
        </w:rPr>
        <w:t>。按照采购文件中规定的评审方法和标准，对资格审查和符合性审查合格的响应文件进行商务和技术评估。</w:t>
      </w:r>
    </w:p>
    <w:p w14:paraId="2FD7AF79">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竞采小组各成员独立对每个有效供应商（通过资格审查、符合性审查的供应商）的响应文件进行评价、打分，然后由竞采小组对各成员打分情况进行核查及复核，个别成员对同一供应商同一评分项的打分偏离较大的，应对供应商的响应文件进行再次核对，确属打分有误的，应及时进行修正。</w:t>
      </w:r>
    </w:p>
    <w:p w14:paraId="247DD241">
      <w:pPr>
        <w:snapToGrid w:val="0"/>
        <w:spacing w:line="48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复核后，竞采小组汇总每个供应商每项评分因素的得分。</w:t>
      </w:r>
    </w:p>
    <w:p w14:paraId="6F620B07">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（二）推荐成交候选人名单。</w:t>
      </w:r>
    </w:p>
    <w:p w14:paraId="42ED50F7">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按评审后得分由高到低的排列顺序推荐综合得分排名</w:t>
      </w:r>
      <w:r>
        <w:rPr>
          <w:rFonts w:hint="eastAsia" w:ascii="仿宋" w:hAnsi="仿宋" w:eastAsia="仿宋" w:cs="仿宋"/>
          <w:bCs/>
          <w:color w:val="auto"/>
          <w:highlight w:val="none"/>
        </w:rPr>
        <w:t>前三</w:t>
      </w:r>
      <w:r>
        <w:rPr>
          <w:rFonts w:hint="eastAsia" w:ascii="仿宋" w:hAnsi="仿宋" w:eastAsia="仿宋" w:cs="仿宋"/>
          <w:color w:val="auto"/>
          <w:szCs w:val="28"/>
          <w:highlight w:val="none"/>
        </w:rPr>
        <w:t>的供应商为本项目或分包成交候选人，排名第一的为第一成交候选人。得分相同的，按竞采报价由低到高顺序排列，得分且竞采报价相同的并列，但技术部分得分为0分的供应商失去成交候选人资格。</w:t>
      </w:r>
    </w:p>
    <w:p w14:paraId="2B732921">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成交供应商放弃成交，或者在采购文件规定的时间内不提交履约保证金或不签订采购合同的，采购人将依序确定第二成交候选人为成交供应商或重新组织采购。</w:t>
      </w:r>
    </w:p>
    <w:p w14:paraId="450246BC">
      <w:pPr>
        <w:pStyle w:val="4"/>
        <w:spacing w:beforeLines="0" w:line="480" w:lineRule="exact"/>
        <w:ind w:firstLine="562"/>
        <w:rPr>
          <w:rFonts w:hint="eastAsia" w:ascii="仿宋" w:hAnsi="仿宋" w:eastAsia="仿宋" w:cs="仿宋"/>
          <w:color w:val="auto"/>
          <w:highlight w:val="none"/>
        </w:rPr>
      </w:pPr>
      <w:bookmarkStart w:id="106" w:name="_Toc20875"/>
      <w:bookmarkStart w:id="107" w:name="_Toc16835"/>
      <w:bookmarkStart w:id="108" w:name="_Toc17116"/>
      <w:bookmarkStart w:id="109" w:name="_Toc7999"/>
      <w:bookmarkStart w:id="110" w:name="_Toc106030396"/>
      <w:bookmarkStart w:id="111" w:name="_Toc20699"/>
      <w:bookmarkStart w:id="112" w:name="_Toc4511"/>
      <w:bookmarkStart w:id="113" w:name="_Toc22772"/>
      <w:bookmarkStart w:id="114" w:name="_Toc17311"/>
      <w:bookmarkStart w:id="115" w:name="_Toc15716"/>
      <w:bookmarkStart w:id="116" w:name="_Toc20800"/>
      <w:bookmarkStart w:id="117" w:name="_Toc267320057"/>
      <w:bookmarkStart w:id="118" w:name="_Toc19924"/>
      <w:bookmarkStart w:id="119" w:name="_Toc6342"/>
      <w:bookmarkStart w:id="120" w:name="_Toc20354"/>
      <w:bookmarkStart w:id="121" w:name="_Toc5799"/>
      <w:bookmarkStart w:id="122" w:name="_Toc25814"/>
      <w:bookmarkStart w:id="123" w:name="_Toc75793520"/>
      <w:bookmarkStart w:id="124" w:name="_Toc1055"/>
      <w:r>
        <w:rPr>
          <w:rFonts w:hint="eastAsia" w:ascii="仿宋" w:hAnsi="仿宋" w:eastAsia="仿宋" w:cs="仿宋"/>
          <w:color w:val="auto"/>
          <w:highlight w:val="none"/>
        </w:rPr>
        <w:t>三、评审标准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8950DB">
      <w:pPr>
        <w:snapToGrid w:val="0"/>
        <w:spacing w:line="480" w:lineRule="exact"/>
        <w:ind w:firstLine="562" w:firstLineChars="200"/>
        <w:rPr>
          <w:rFonts w:hint="eastAsia" w:ascii="仿宋" w:hAnsi="仿宋" w:eastAsia="仿宋" w:cs="仿宋"/>
          <w:color w:val="auto"/>
          <w:szCs w:val="28"/>
          <w:highlight w:val="none"/>
        </w:rPr>
      </w:pPr>
      <w:r>
        <w:rPr>
          <w:rFonts w:hint="eastAsia" w:ascii="仿宋" w:hAnsi="仿宋" w:eastAsia="仿宋" w:cs="仿宋"/>
          <w:b/>
          <w:bCs/>
          <w:color w:val="auto"/>
          <w:szCs w:val="28"/>
          <w:highlight w:val="none"/>
        </w:rPr>
        <w:t>（一）评审因素</w:t>
      </w:r>
    </w:p>
    <w:tbl>
      <w:tblPr>
        <w:tblStyle w:val="26"/>
        <w:tblW w:w="10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207"/>
        <w:gridCol w:w="855"/>
        <w:gridCol w:w="6171"/>
        <w:gridCol w:w="1493"/>
      </w:tblGrid>
      <w:tr w14:paraId="3794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69E612A5">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207" w:type="dxa"/>
            <w:vAlign w:val="center"/>
          </w:tcPr>
          <w:p w14:paraId="1A793C81">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评分因素</w:t>
            </w:r>
          </w:p>
          <w:p w14:paraId="52DDFBB7">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及权重</w:t>
            </w:r>
          </w:p>
        </w:tc>
        <w:tc>
          <w:tcPr>
            <w:tcW w:w="855" w:type="dxa"/>
            <w:vAlign w:val="center"/>
          </w:tcPr>
          <w:p w14:paraId="34FF81FB">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171" w:type="dxa"/>
            <w:vAlign w:val="center"/>
          </w:tcPr>
          <w:p w14:paraId="40624B72">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1493" w:type="dxa"/>
            <w:vAlign w:val="center"/>
          </w:tcPr>
          <w:p w14:paraId="3BFD76C6">
            <w:pPr>
              <w:pStyle w:val="46"/>
              <w:spacing w:before="0" w:after="0" w:line="24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说明</w:t>
            </w:r>
          </w:p>
        </w:tc>
      </w:tr>
      <w:tr w14:paraId="2220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7704051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07" w:type="dxa"/>
            <w:vAlign w:val="center"/>
          </w:tcPr>
          <w:p w14:paraId="01DEB15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竞采报价（30%）</w:t>
            </w:r>
          </w:p>
        </w:tc>
        <w:tc>
          <w:tcPr>
            <w:tcW w:w="855" w:type="dxa"/>
            <w:vAlign w:val="center"/>
          </w:tcPr>
          <w:p w14:paraId="4CC9C6C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6171" w:type="dxa"/>
            <w:vAlign w:val="center"/>
          </w:tcPr>
          <w:p w14:paraId="1C062DA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有效的竞采报价中最低价为评审基准价，其价格分为满分。其他供应商的价格分别统一按照下列公式计算：</w:t>
            </w:r>
          </w:p>
          <w:p w14:paraId="4459FD8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竞采报价得分＝（评审基准价/竞采报价）×价格权重×100。（按四舍五入法保留两位小数）</w:t>
            </w:r>
          </w:p>
        </w:tc>
        <w:tc>
          <w:tcPr>
            <w:tcW w:w="1493" w:type="dxa"/>
            <w:vAlign w:val="center"/>
          </w:tcPr>
          <w:p w14:paraId="41FC819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超过采购预算的报价为无效响应</w:t>
            </w:r>
          </w:p>
        </w:tc>
      </w:tr>
      <w:tr w14:paraId="7A65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Merge w:val="restart"/>
            <w:vAlign w:val="center"/>
          </w:tcPr>
          <w:p w14:paraId="73FCA4A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07" w:type="dxa"/>
            <w:vMerge w:val="restart"/>
            <w:vAlign w:val="center"/>
          </w:tcPr>
          <w:p w14:paraId="507D6DE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w:t>
            </w:r>
          </w:p>
        </w:tc>
        <w:tc>
          <w:tcPr>
            <w:tcW w:w="855" w:type="dxa"/>
            <w:vAlign w:val="center"/>
          </w:tcPr>
          <w:p w14:paraId="289CFD2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6171" w:type="dxa"/>
            <w:vAlign w:val="center"/>
          </w:tcPr>
          <w:p w14:paraId="676566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auto"/>
                <w:sz w:val="22"/>
                <w:szCs w:val="18"/>
                <w:highlight w:val="none"/>
                <w:lang w:val="en-US" w:eastAsia="zh-CN"/>
              </w:rPr>
            </w:pPr>
            <w:r>
              <w:rPr>
                <w:rFonts w:hint="eastAsia" w:ascii="仿宋" w:hAnsi="仿宋" w:eastAsia="仿宋" w:cs="仿宋"/>
                <w:b/>
                <w:bCs/>
                <w:color w:val="auto"/>
                <w:sz w:val="22"/>
                <w:szCs w:val="18"/>
                <w:highlight w:val="none"/>
                <w:lang w:val="en-US" w:eastAsia="zh-CN"/>
              </w:rPr>
              <w:t>1、服务实施预案（20分）</w:t>
            </w:r>
          </w:p>
          <w:p w14:paraId="2EE57A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供应商提供针对本项目的服务实施预案，包含但不限于进度计划安排、</w:t>
            </w:r>
            <w:r>
              <w:rPr>
                <w:rFonts w:hint="eastAsia" w:ascii="仿宋" w:hAnsi="仿宋" w:eastAsia="仿宋" w:cs="仿宋"/>
                <w:color w:val="auto"/>
                <w:sz w:val="22"/>
                <w:szCs w:val="18"/>
                <w:highlight w:val="none"/>
              </w:rPr>
              <w:t>人员设备配置、</w:t>
            </w:r>
            <w:r>
              <w:rPr>
                <w:rFonts w:hint="eastAsia" w:ascii="仿宋" w:hAnsi="仿宋" w:eastAsia="仿宋" w:cs="仿宋"/>
                <w:color w:val="auto"/>
                <w:sz w:val="22"/>
                <w:szCs w:val="18"/>
                <w:highlight w:val="none"/>
                <w:lang w:val="en-US" w:eastAsia="zh-CN"/>
              </w:rPr>
              <w:t>作业实施</w:t>
            </w:r>
            <w:r>
              <w:rPr>
                <w:rFonts w:hint="eastAsia" w:ascii="仿宋" w:hAnsi="仿宋" w:eastAsia="仿宋" w:cs="仿宋"/>
                <w:color w:val="auto"/>
                <w:sz w:val="22"/>
                <w:szCs w:val="18"/>
                <w:highlight w:val="none"/>
              </w:rPr>
              <w:t>预案</w:t>
            </w:r>
            <w:r>
              <w:rPr>
                <w:rFonts w:hint="eastAsia" w:ascii="仿宋" w:hAnsi="仿宋" w:eastAsia="仿宋" w:cs="仿宋"/>
                <w:color w:val="auto"/>
                <w:sz w:val="22"/>
                <w:szCs w:val="18"/>
                <w:highlight w:val="none"/>
                <w:lang w:val="en-US" w:eastAsia="zh-CN"/>
              </w:rPr>
              <w:t>等。</w:t>
            </w:r>
          </w:p>
          <w:p w14:paraId="3D6211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方案内容不存在瑕疵，得20分，</w:t>
            </w:r>
          </w:p>
          <w:p w14:paraId="4C60C6B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方案内容存在1处瑕疵，得16分，</w:t>
            </w:r>
          </w:p>
          <w:p w14:paraId="26649D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方案内容存在2处瑕疵，得12分，</w:t>
            </w:r>
          </w:p>
          <w:p w14:paraId="6A32E8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方案内容存在3处瑕疵，得8分，</w:t>
            </w:r>
          </w:p>
          <w:p w14:paraId="77FFAAA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2"/>
                <w:szCs w:val="18"/>
                <w:highlight w:val="none"/>
                <w:lang w:val="en-US" w:eastAsia="zh-CN"/>
              </w:rPr>
              <w:t>方案内容存在4处瑕疵，得4分，</w:t>
            </w:r>
          </w:p>
          <w:p w14:paraId="683F08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2"/>
                <w:szCs w:val="18"/>
                <w:highlight w:val="none"/>
                <w:lang w:val="en-US" w:eastAsia="zh-CN"/>
              </w:rPr>
              <w:t>方案内容存在5处及以上瑕疵或未提供方案得0分。。</w:t>
            </w:r>
          </w:p>
        </w:tc>
        <w:tc>
          <w:tcPr>
            <w:tcW w:w="1493" w:type="dxa"/>
            <w:vMerge w:val="restart"/>
            <w:shd w:val="clear" w:color="auto" w:fill="auto"/>
            <w:vAlign w:val="center"/>
          </w:tcPr>
          <w:p w14:paraId="68D3EF12">
            <w:pPr>
              <w:rPr>
                <w:rFonts w:hint="eastAsia" w:ascii="仿宋" w:hAnsi="仿宋" w:eastAsia="仿宋" w:cs="仿宋"/>
                <w:color w:val="auto"/>
                <w:sz w:val="24"/>
                <w:szCs w:val="24"/>
                <w:highlight w:val="none"/>
              </w:rPr>
            </w:pPr>
          </w:p>
          <w:p w14:paraId="0CA8EE3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供应商提供书面方案（格式自拟）。竞采小组各成员横向对比有效供应商的方案情况进行评比打分。</w:t>
            </w:r>
          </w:p>
          <w:p w14:paraId="6E8B7D3B">
            <w:pPr>
              <w:rPr>
                <w:rFonts w:hint="eastAsia" w:ascii="仿宋" w:hAnsi="仿宋" w:eastAsia="仿宋" w:cs="仿宋"/>
                <w:color w:val="auto"/>
                <w:sz w:val="24"/>
                <w:szCs w:val="24"/>
                <w:highlight w:val="none"/>
              </w:rPr>
            </w:pPr>
          </w:p>
        </w:tc>
      </w:tr>
      <w:tr w14:paraId="5232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Merge w:val="continue"/>
            <w:vAlign w:val="center"/>
          </w:tcPr>
          <w:p w14:paraId="0CA39255">
            <w:pPr>
              <w:jc w:val="center"/>
              <w:rPr>
                <w:rFonts w:hint="eastAsia" w:ascii="仿宋" w:hAnsi="仿宋" w:eastAsia="仿宋" w:cs="仿宋"/>
                <w:color w:val="auto"/>
                <w:sz w:val="24"/>
                <w:szCs w:val="24"/>
                <w:highlight w:val="none"/>
              </w:rPr>
            </w:pPr>
          </w:p>
        </w:tc>
        <w:tc>
          <w:tcPr>
            <w:tcW w:w="1207" w:type="dxa"/>
            <w:vMerge w:val="continue"/>
            <w:vAlign w:val="center"/>
          </w:tcPr>
          <w:p w14:paraId="1BA7D7DD">
            <w:pPr>
              <w:jc w:val="center"/>
              <w:rPr>
                <w:rFonts w:hint="eastAsia" w:ascii="仿宋" w:hAnsi="仿宋" w:eastAsia="仿宋" w:cs="仿宋"/>
                <w:color w:val="auto"/>
                <w:sz w:val="24"/>
                <w:szCs w:val="24"/>
                <w:highlight w:val="none"/>
              </w:rPr>
            </w:pPr>
          </w:p>
        </w:tc>
        <w:tc>
          <w:tcPr>
            <w:tcW w:w="855" w:type="dxa"/>
            <w:vAlign w:val="center"/>
          </w:tcPr>
          <w:p w14:paraId="68697A3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6171" w:type="dxa"/>
            <w:vAlign w:val="center"/>
          </w:tcPr>
          <w:p w14:paraId="46938C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auto"/>
                <w:sz w:val="22"/>
                <w:szCs w:val="18"/>
                <w:highlight w:val="none"/>
                <w:lang w:val="en-US" w:eastAsia="zh-CN"/>
              </w:rPr>
            </w:pPr>
            <w:r>
              <w:rPr>
                <w:rFonts w:hint="eastAsia" w:ascii="仿宋" w:hAnsi="仿宋" w:eastAsia="仿宋" w:cs="仿宋"/>
                <w:b/>
                <w:bCs/>
                <w:color w:val="auto"/>
                <w:sz w:val="22"/>
                <w:szCs w:val="18"/>
                <w:highlight w:val="none"/>
                <w:lang w:val="en-US" w:eastAsia="zh-CN"/>
              </w:rPr>
              <w:t>2、文明施工方案（15分）</w:t>
            </w:r>
          </w:p>
          <w:p w14:paraId="745A97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供应商提供针对本项目的文明施工方案，包括但不限于文明施工措施</w:t>
            </w:r>
            <w:r>
              <w:rPr>
                <w:rFonts w:hint="eastAsia" w:ascii="仿宋" w:hAnsi="仿宋" w:eastAsia="仿宋" w:cs="仿宋"/>
                <w:color w:val="auto"/>
                <w:sz w:val="22"/>
                <w:szCs w:val="18"/>
                <w:highlight w:val="none"/>
                <w:lang w:eastAsia="zh-CN"/>
              </w:rPr>
              <w:t>、</w:t>
            </w:r>
            <w:r>
              <w:rPr>
                <w:rFonts w:hint="eastAsia" w:ascii="仿宋" w:hAnsi="仿宋" w:eastAsia="仿宋" w:cs="仿宋"/>
                <w:color w:val="auto"/>
                <w:sz w:val="22"/>
                <w:szCs w:val="18"/>
                <w:highlight w:val="none"/>
                <w:lang w:val="en-US" w:eastAsia="zh-CN"/>
              </w:rPr>
              <w:t>现场安全管理</w:t>
            </w:r>
            <w:r>
              <w:rPr>
                <w:rFonts w:hint="eastAsia" w:ascii="仿宋" w:hAnsi="仿宋" w:eastAsia="仿宋" w:cs="仿宋"/>
                <w:color w:val="auto"/>
                <w:sz w:val="22"/>
                <w:szCs w:val="18"/>
                <w:highlight w:val="none"/>
                <w:lang w:eastAsia="zh-CN"/>
              </w:rPr>
              <w:t>、</w:t>
            </w:r>
            <w:r>
              <w:rPr>
                <w:rFonts w:hint="eastAsia" w:ascii="仿宋" w:hAnsi="仿宋" w:eastAsia="仿宋" w:cs="仿宋"/>
                <w:color w:val="auto"/>
                <w:sz w:val="22"/>
                <w:szCs w:val="18"/>
                <w:highlight w:val="none"/>
                <w:lang w:val="en-US" w:eastAsia="zh-CN"/>
              </w:rPr>
              <w:t>应急保障方案等。</w:t>
            </w:r>
          </w:p>
          <w:p w14:paraId="664BED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方案内容不存在瑕疵，得15分，</w:t>
            </w:r>
          </w:p>
          <w:p w14:paraId="66A2B3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方案内容存在1处瑕疵，得12分，</w:t>
            </w:r>
          </w:p>
          <w:p w14:paraId="341B0E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方案内容存在2处瑕疵，得9分，</w:t>
            </w:r>
          </w:p>
          <w:p w14:paraId="17285F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方案内容存在3处瑕疵，得6分，</w:t>
            </w:r>
          </w:p>
          <w:p w14:paraId="5D4481E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2"/>
                <w:szCs w:val="18"/>
                <w:highlight w:val="none"/>
                <w:lang w:val="en-US" w:eastAsia="zh-CN"/>
              </w:rPr>
              <w:t>方案内容存在4处瑕疵，得3分，</w:t>
            </w:r>
          </w:p>
          <w:p w14:paraId="5F37CA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highlight w:val="none"/>
              </w:rPr>
            </w:pPr>
            <w:r>
              <w:rPr>
                <w:rFonts w:hint="eastAsia" w:ascii="仿宋" w:hAnsi="仿宋" w:eastAsia="仿宋" w:cs="仿宋"/>
                <w:color w:val="auto"/>
                <w:sz w:val="22"/>
                <w:szCs w:val="18"/>
                <w:highlight w:val="none"/>
                <w:lang w:val="en-US" w:eastAsia="zh-CN"/>
              </w:rPr>
              <w:t>方案内容存在5处及以上瑕疵或未提供方案得0分。</w:t>
            </w:r>
          </w:p>
        </w:tc>
        <w:tc>
          <w:tcPr>
            <w:tcW w:w="1493" w:type="dxa"/>
            <w:vMerge w:val="continue"/>
            <w:vAlign w:val="center"/>
          </w:tcPr>
          <w:p w14:paraId="09ADB8D8">
            <w:pPr>
              <w:rPr>
                <w:rFonts w:hint="eastAsia" w:ascii="仿宋" w:hAnsi="仿宋" w:eastAsia="仿宋" w:cs="仿宋"/>
                <w:color w:val="auto"/>
                <w:sz w:val="24"/>
                <w:szCs w:val="24"/>
                <w:highlight w:val="none"/>
              </w:rPr>
            </w:pPr>
          </w:p>
        </w:tc>
      </w:tr>
      <w:tr w14:paraId="0771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Merge w:val="continue"/>
            <w:vAlign w:val="center"/>
          </w:tcPr>
          <w:p w14:paraId="49D06B38">
            <w:pPr>
              <w:jc w:val="center"/>
              <w:rPr>
                <w:rFonts w:hint="eastAsia" w:ascii="仿宋" w:hAnsi="仿宋" w:eastAsia="仿宋" w:cs="仿宋"/>
                <w:color w:val="auto"/>
                <w:sz w:val="24"/>
                <w:szCs w:val="24"/>
                <w:highlight w:val="none"/>
              </w:rPr>
            </w:pPr>
          </w:p>
        </w:tc>
        <w:tc>
          <w:tcPr>
            <w:tcW w:w="1207" w:type="dxa"/>
            <w:vMerge w:val="continue"/>
            <w:vAlign w:val="center"/>
          </w:tcPr>
          <w:p w14:paraId="1BD0F370">
            <w:pPr>
              <w:jc w:val="center"/>
              <w:rPr>
                <w:rFonts w:hint="eastAsia" w:ascii="仿宋" w:hAnsi="仿宋" w:eastAsia="仿宋" w:cs="仿宋"/>
                <w:color w:val="auto"/>
                <w:sz w:val="24"/>
                <w:szCs w:val="24"/>
                <w:highlight w:val="none"/>
              </w:rPr>
            </w:pPr>
          </w:p>
        </w:tc>
        <w:tc>
          <w:tcPr>
            <w:tcW w:w="855" w:type="dxa"/>
            <w:vAlign w:val="center"/>
          </w:tcPr>
          <w:p w14:paraId="275FD4A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6171" w:type="dxa"/>
            <w:vAlign w:val="center"/>
          </w:tcPr>
          <w:p w14:paraId="7FB31D0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auto"/>
                <w:sz w:val="22"/>
                <w:szCs w:val="18"/>
                <w:highlight w:val="none"/>
                <w:lang w:val="en-US" w:eastAsia="zh-CN"/>
              </w:rPr>
            </w:pPr>
            <w:r>
              <w:rPr>
                <w:rFonts w:hint="eastAsia" w:ascii="仿宋" w:hAnsi="仿宋" w:eastAsia="仿宋" w:cs="仿宋"/>
                <w:b/>
                <w:bCs/>
                <w:color w:val="auto"/>
                <w:sz w:val="22"/>
                <w:szCs w:val="18"/>
                <w:highlight w:val="none"/>
                <w:lang w:val="en-US" w:eastAsia="zh-CN"/>
              </w:rPr>
              <w:t>3、售后服务方案（15分）</w:t>
            </w:r>
          </w:p>
          <w:p w14:paraId="2F76AC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供应商提供针对本项目的售后服务方案，包括但不限于质量保障期限、售后服务范围</w:t>
            </w:r>
            <w:r>
              <w:rPr>
                <w:rFonts w:hint="eastAsia" w:ascii="仿宋" w:hAnsi="仿宋" w:eastAsia="仿宋" w:cs="仿宋"/>
                <w:color w:val="auto"/>
                <w:sz w:val="22"/>
                <w:szCs w:val="18"/>
                <w:highlight w:val="none"/>
                <w:lang w:eastAsia="zh-CN"/>
              </w:rPr>
              <w:t>、</w:t>
            </w:r>
            <w:r>
              <w:rPr>
                <w:rFonts w:hint="eastAsia" w:ascii="仿宋" w:hAnsi="仿宋" w:eastAsia="仿宋" w:cs="仿宋"/>
                <w:color w:val="auto"/>
                <w:sz w:val="22"/>
                <w:szCs w:val="18"/>
                <w:highlight w:val="none"/>
                <w:lang w:val="en-US" w:eastAsia="zh-CN"/>
              </w:rPr>
              <w:t>响应服务时效等。</w:t>
            </w:r>
          </w:p>
          <w:p w14:paraId="40F75F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方案内容不存在瑕疵，得15分，</w:t>
            </w:r>
          </w:p>
          <w:p w14:paraId="3D972C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方案内容存在1处瑕疵，得12分，</w:t>
            </w:r>
          </w:p>
          <w:p w14:paraId="23B73FC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方案内容存在2处瑕疵，得9分，</w:t>
            </w:r>
          </w:p>
          <w:p w14:paraId="437E1A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方案内容存在3处瑕疵，得6分，</w:t>
            </w:r>
          </w:p>
          <w:p w14:paraId="281C3E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2"/>
                <w:szCs w:val="18"/>
                <w:highlight w:val="none"/>
                <w:lang w:val="en-US" w:eastAsia="zh-CN"/>
              </w:rPr>
              <w:t>方案内容存在4处瑕疵，得3分，</w:t>
            </w:r>
          </w:p>
          <w:p w14:paraId="3E23D8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highlight w:val="none"/>
              </w:rPr>
            </w:pPr>
            <w:r>
              <w:rPr>
                <w:rFonts w:hint="eastAsia" w:ascii="仿宋" w:hAnsi="仿宋" w:eastAsia="仿宋" w:cs="仿宋"/>
                <w:color w:val="auto"/>
                <w:sz w:val="22"/>
                <w:szCs w:val="18"/>
                <w:highlight w:val="none"/>
                <w:lang w:val="en-US" w:eastAsia="zh-CN"/>
              </w:rPr>
              <w:t>方案内容存在5处及以上瑕疵或未提供方案得0分。</w:t>
            </w:r>
          </w:p>
        </w:tc>
        <w:tc>
          <w:tcPr>
            <w:tcW w:w="1493" w:type="dxa"/>
            <w:vMerge w:val="continue"/>
            <w:vAlign w:val="center"/>
          </w:tcPr>
          <w:p w14:paraId="63B638A2">
            <w:pPr>
              <w:rPr>
                <w:rFonts w:hint="eastAsia" w:ascii="仿宋" w:hAnsi="仿宋" w:eastAsia="仿宋" w:cs="仿宋"/>
                <w:color w:val="auto"/>
                <w:sz w:val="24"/>
                <w:szCs w:val="24"/>
                <w:highlight w:val="none"/>
              </w:rPr>
            </w:pPr>
          </w:p>
        </w:tc>
      </w:tr>
      <w:tr w14:paraId="0436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1E042681">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07" w:type="dxa"/>
            <w:vAlign w:val="center"/>
          </w:tcPr>
          <w:p w14:paraId="5DFBBDB8">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商务部分（20%）</w:t>
            </w:r>
          </w:p>
        </w:tc>
        <w:tc>
          <w:tcPr>
            <w:tcW w:w="855" w:type="dxa"/>
            <w:vAlign w:val="center"/>
          </w:tcPr>
          <w:p w14:paraId="69D15C7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20分</w:t>
            </w:r>
          </w:p>
        </w:tc>
        <w:tc>
          <w:tcPr>
            <w:tcW w:w="6171" w:type="dxa"/>
            <w:vAlign w:val="center"/>
          </w:tcPr>
          <w:p w14:paraId="197607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auto"/>
                <w:sz w:val="22"/>
                <w:szCs w:val="18"/>
                <w:highlight w:val="none"/>
                <w:lang w:val="en-US" w:eastAsia="zh-CN"/>
              </w:rPr>
            </w:pPr>
            <w:r>
              <w:rPr>
                <w:rFonts w:hint="eastAsia" w:ascii="仿宋" w:hAnsi="仿宋" w:eastAsia="仿宋" w:cs="仿宋"/>
                <w:b/>
                <w:bCs/>
                <w:color w:val="auto"/>
                <w:sz w:val="22"/>
                <w:szCs w:val="18"/>
                <w:highlight w:val="none"/>
                <w:lang w:val="en-US" w:eastAsia="zh-CN"/>
              </w:rPr>
              <w:t>1、质保承诺（20分）</w:t>
            </w:r>
          </w:p>
          <w:p w14:paraId="5B0291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供应商可承诺质量保修期在满足项目要求的基础上，每承诺额外提供1年免费质量保修期，得10分，最高得20分。提供承诺函（格式自拟）并加盖供应商公章，未提供或者不符合的不得分。</w:t>
            </w:r>
          </w:p>
        </w:tc>
        <w:tc>
          <w:tcPr>
            <w:tcW w:w="1493" w:type="dxa"/>
            <w:vAlign w:val="center"/>
          </w:tcPr>
          <w:p w14:paraId="5E3B5A4F">
            <w:pPr>
              <w:rPr>
                <w:rFonts w:hint="eastAsia" w:ascii="仿宋" w:hAnsi="仿宋" w:eastAsia="仿宋" w:cs="仿宋"/>
                <w:color w:val="auto"/>
                <w:sz w:val="24"/>
                <w:szCs w:val="24"/>
                <w:highlight w:val="none"/>
              </w:rPr>
            </w:pPr>
            <w:r>
              <w:rPr>
                <w:rFonts w:hint="eastAsia" w:ascii="仿宋" w:hAnsi="仿宋" w:eastAsia="仿宋" w:cs="仿宋"/>
                <w:color w:val="000000"/>
                <w:sz w:val="21"/>
                <w:szCs w:val="21"/>
                <w:highlight w:val="none"/>
                <w:lang w:val="en-US" w:eastAsia="zh-CN"/>
              </w:rPr>
              <w:t>提供证明材料</w:t>
            </w:r>
            <w:r>
              <w:rPr>
                <w:rFonts w:hint="eastAsia" w:ascii="仿宋" w:hAnsi="仿宋" w:eastAsia="仿宋" w:cs="仿宋"/>
                <w:color w:val="000000"/>
                <w:sz w:val="21"/>
                <w:szCs w:val="21"/>
                <w:highlight w:val="none"/>
              </w:rPr>
              <w:t>并</w:t>
            </w:r>
            <w:r>
              <w:rPr>
                <w:rFonts w:hint="eastAsia" w:ascii="仿宋" w:hAnsi="仿宋" w:eastAsia="仿宋" w:cs="仿宋"/>
                <w:color w:val="000000"/>
                <w:sz w:val="21"/>
                <w:szCs w:val="21"/>
                <w:highlight w:val="none"/>
                <w:lang w:val="en-US" w:eastAsia="zh-CN"/>
              </w:rPr>
              <w:t>加盖供应商公章，</w:t>
            </w:r>
            <w:r>
              <w:rPr>
                <w:rFonts w:hint="eastAsia" w:ascii="仿宋" w:hAnsi="仿宋" w:eastAsia="仿宋" w:cs="仿宋"/>
                <w:color w:val="000000"/>
                <w:sz w:val="21"/>
                <w:szCs w:val="21"/>
                <w:highlight w:val="none"/>
              </w:rPr>
              <w:t>未提供或不符合要求的不得分</w:t>
            </w:r>
            <w:r>
              <w:rPr>
                <w:rFonts w:hint="eastAsia" w:ascii="仿宋" w:hAnsi="仿宋" w:eastAsia="仿宋" w:cs="仿宋"/>
                <w:color w:val="000000"/>
                <w:sz w:val="21"/>
                <w:szCs w:val="21"/>
                <w:highlight w:val="none"/>
                <w:lang w:val="en-US" w:eastAsia="zh-CN"/>
              </w:rPr>
              <w:t>。</w:t>
            </w:r>
          </w:p>
        </w:tc>
      </w:tr>
    </w:tbl>
    <w:p w14:paraId="53A1324F">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7213838E">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1、上表评审因素内容中所称的“瑕疵”指出现下列任一情形：</w:t>
      </w:r>
    </w:p>
    <w:p w14:paraId="29C8322E">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（1）方案内容缺项、内容表述不完整；</w:t>
      </w:r>
    </w:p>
    <w:p w14:paraId="40F23733">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（2）缺少针对性描述分析或缺少关键分析点；</w:t>
      </w:r>
    </w:p>
    <w:p w14:paraId="5E4F9395">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（3）表述前后矛盾、无连贯性；</w:t>
      </w:r>
    </w:p>
    <w:p w14:paraId="220F6EF4">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（4）内容存在逻辑漏洞、常识错误、科学原理错误；</w:t>
      </w:r>
    </w:p>
    <w:p w14:paraId="11E814EB">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（5）预案并不适用本项目特性或非专门针对本项目制定；</w:t>
      </w:r>
    </w:p>
    <w:p w14:paraId="374CFA70">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（6）提出的措施举措不利于本项目目标的实现；</w:t>
      </w:r>
    </w:p>
    <w:p w14:paraId="1A5FB2AA">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（7）现有条件下不可能实现的情形。</w:t>
      </w:r>
    </w:p>
    <w:p w14:paraId="30421657">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竞采小组认为供应商的报价明显低于其他通过符合性审查的供应商的报价，有可能影响服务质量或者不能诚信履约的，应当要求其在评审现场合理的时间内提供书面说明，必要时提交相关证明材料；供应商不能证明其报价合理性的，竞采小组应当将其作为无效响应处理。</w:t>
      </w:r>
    </w:p>
    <w:p w14:paraId="36E1556B">
      <w:pPr>
        <w:pStyle w:val="4"/>
        <w:spacing w:beforeLines="0" w:line="480" w:lineRule="exact"/>
        <w:ind w:firstLine="562"/>
        <w:rPr>
          <w:rFonts w:hint="eastAsia" w:ascii="仿宋" w:hAnsi="仿宋" w:eastAsia="仿宋" w:cs="仿宋"/>
          <w:color w:val="auto"/>
          <w:highlight w:val="none"/>
        </w:rPr>
      </w:pPr>
      <w:bookmarkStart w:id="125" w:name="_Toc75793521"/>
      <w:bookmarkStart w:id="126" w:name="_Toc22167"/>
      <w:bookmarkStart w:id="127" w:name="_Toc18716"/>
      <w:bookmarkStart w:id="128" w:name="_Toc27926"/>
      <w:bookmarkStart w:id="129" w:name="_Toc26747"/>
      <w:bookmarkStart w:id="130" w:name="_Toc20423"/>
      <w:bookmarkStart w:id="131" w:name="_Toc15200"/>
      <w:bookmarkStart w:id="132" w:name="_Toc30659"/>
      <w:bookmarkStart w:id="133" w:name="_Toc10448"/>
      <w:bookmarkStart w:id="134" w:name="_Toc29586"/>
      <w:bookmarkStart w:id="135" w:name="_Toc13232"/>
      <w:bookmarkStart w:id="136" w:name="_Toc5010"/>
      <w:bookmarkStart w:id="137" w:name="_Toc10923"/>
      <w:bookmarkStart w:id="138" w:name="_Toc17065"/>
      <w:bookmarkStart w:id="139" w:name="_Toc4045"/>
      <w:bookmarkStart w:id="140" w:name="_Toc106030397"/>
      <w:bookmarkStart w:id="141" w:name="_Toc13045"/>
      <w:bookmarkStart w:id="142" w:name="_Toc12283"/>
      <w:r>
        <w:rPr>
          <w:rFonts w:hint="eastAsia" w:ascii="仿宋" w:hAnsi="仿宋" w:eastAsia="仿宋" w:cs="仿宋"/>
          <w:color w:val="auto"/>
          <w:highlight w:val="none"/>
        </w:rPr>
        <w:t>四、无效响应条款</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54A5C72">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供应商或其响应文件出现下列情况之一者，应为无效响应：</w:t>
      </w:r>
    </w:p>
    <w:p w14:paraId="572F7EEB">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（一）供应商不符合规定的资格条件的；</w:t>
      </w:r>
    </w:p>
    <w:p w14:paraId="10108BCB">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（二）供应商的法定代表人（或其授权代表）或自然人未参加竞采；</w:t>
      </w:r>
    </w:p>
    <w:p w14:paraId="020247FE">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（三）供应商所提交的响应文件不按“第六篇响应文件格式”要求签署或盖章；</w:t>
      </w:r>
    </w:p>
    <w:p w14:paraId="03C2FE17">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（四）供应商的响应报价超过采购预算或最高限价的；</w:t>
      </w:r>
    </w:p>
    <w:p w14:paraId="2A85E82D">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（五）法定代表人为同一个人的两个及两个以上法人，母公司、全资子公司及其控股公司，在同一批次采购中同时参与竞采；</w:t>
      </w:r>
    </w:p>
    <w:p w14:paraId="392C6885">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（六）单位负责人为同一人或者存在直接控股、管理关系的不同供应商，参加同一合同项下的政府采购活动的；</w:t>
      </w:r>
    </w:p>
    <w:p w14:paraId="73522E8B">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（七）为采购项目提供整体设计、规范编制或者项目管理、监理、检测等服务的供应商，再参加该采购项目的其他采购活动；</w:t>
      </w:r>
    </w:p>
    <w:p w14:paraId="786787C9">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（八）供应商竞采有效期不满足采购文件要求的；</w:t>
      </w:r>
    </w:p>
    <w:p w14:paraId="07CE0761">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（九）供应商响应文件内容有与国家现行法律法规相违背的内容，或附有采购人无法接受的条件；</w:t>
      </w:r>
    </w:p>
    <w:p w14:paraId="6504C269">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（十）法律法规和竞采文件规定的其他无效情形。</w:t>
      </w:r>
    </w:p>
    <w:p w14:paraId="5BCC1A88">
      <w:pPr>
        <w:pStyle w:val="4"/>
        <w:spacing w:beforeLines="0" w:line="480" w:lineRule="exact"/>
        <w:ind w:firstLine="562"/>
        <w:rPr>
          <w:rFonts w:hint="eastAsia" w:ascii="仿宋" w:hAnsi="仿宋" w:eastAsia="仿宋" w:cs="仿宋"/>
          <w:color w:val="auto"/>
          <w:highlight w:val="none"/>
        </w:rPr>
      </w:pPr>
      <w:bookmarkStart w:id="143" w:name="_Toc21946"/>
      <w:bookmarkStart w:id="144" w:name="_Toc4422"/>
      <w:bookmarkStart w:id="145" w:name="_Toc23533"/>
      <w:bookmarkStart w:id="146" w:name="_Toc6956"/>
      <w:bookmarkStart w:id="147" w:name="_Toc27133"/>
      <w:bookmarkStart w:id="148" w:name="_Toc20005"/>
      <w:bookmarkStart w:id="149" w:name="_Toc7802"/>
      <w:bookmarkStart w:id="150" w:name="_Toc25960"/>
      <w:bookmarkStart w:id="151" w:name="_Toc75793522"/>
      <w:bookmarkStart w:id="152" w:name="_Toc6204"/>
      <w:bookmarkStart w:id="153" w:name="_Toc25549"/>
      <w:bookmarkStart w:id="154" w:name="_Toc30605"/>
      <w:bookmarkStart w:id="155" w:name="_Toc11293"/>
      <w:bookmarkStart w:id="156" w:name="_Toc106030398"/>
      <w:bookmarkStart w:id="157" w:name="_Toc2799"/>
      <w:bookmarkStart w:id="158" w:name="_Toc14355"/>
      <w:bookmarkStart w:id="159" w:name="_Toc27180"/>
      <w:bookmarkStart w:id="160" w:name="_Toc6719"/>
      <w:r>
        <w:rPr>
          <w:rFonts w:hint="eastAsia" w:ascii="仿宋" w:hAnsi="仿宋" w:eastAsia="仿宋" w:cs="仿宋"/>
          <w:color w:val="auto"/>
          <w:highlight w:val="none"/>
        </w:rPr>
        <w:t>五、采购终止条款</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5368CCBE">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在采购中，出现下列情形之一的，应予采购终止：</w:t>
      </w:r>
    </w:p>
    <w:p w14:paraId="783A15E2">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（一）符合专业条件的供应商或者对采购文件做实质响应的供应商不足三家的；</w:t>
      </w:r>
    </w:p>
    <w:p w14:paraId="1792671E">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（二）供应商的报价均超过了采购预算，采购人不能支付的；</w:t>
      </w:r>
    </w:p>
    <w:p w14:paraId="77C0DD9A">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（三）出现影响采购公正的违法、违规行为的；</w:t>
      </w:r>
    </w:p>
    <w:p w14:paraId="41553289">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（四）因重大变故，采购任务取消的。</w:t>
      </w:r>
    </w:p>
    <w:p w14:paraId="4BAB8262">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采购终止后，除采购任务取消情形外，应当重新组织采购。</w:t>
      </w:r>
    </w:p>
    <w:bookmarkEnd w:id="37"/>
    <w:p w14:paraId="1B3582B6">
      <w:pPr>
        <w:pStyle w:val="3"/>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161" w:name="_Toc32211"/>
      <w:bookmarkStart w:id="162" w:name="_Toc5106"/>
      <w:bookmarkStart w:id="163" w:name="_Toc29546"/>
      <w:bookmarkStart w:id="164" w:name="_Toc19831"/>
      <w:bookmarkStart w:id="165" w:name="_Toc25962"/>
      <w:bookmarkStart w:id="166" w:name="_Toc18030"/>
      <w:bookmarkStart w:id="167" w:name="_Toc12533"/>
      <w:bookmarkStart w:id="168" w:name="_Toc22201"/>
      <w:bookmarkStart w:id="169" w:name="_Toc21720"/>
      <w:bookmarkStart w:id="170" w:name="_Toc25755"/>
      <w:bookmarkStart w:id="171" w:name="_Toc106030399"/>
      <w:bookmarkStart w:id="172" w:name="_Toc21000"/>
      <w:bookmarkStart w:id="173" w:name="_Toc75793523"/>
      <w:bookmarkStart w:id="174" w:name="_Toc4735"/>
      <w:bookmarkStart w:id="175" w:name="_Toc18502"/>
      <w:bookmarkStart w:id="176" w:name="_Toc1982"/>
      <w:bookmarkStart w:id="177" w:name="_Toc22256"/>
      <w:bookmarkStart w:id="178" w:name="_Toc13159"/>
      <w:bookmarkStart w:id="179" w:name="_Toc20379"/>
      <w:bookmarkStart w:id="180" w:name="_Toc21360"/>
      <w:r>
        <w:rPr>
          <w:rFonts w:hint="eastAsia" w:ascii="仿宋" w:hAnsi="仿宋" w:eastAsia="仿宋" w:cs="仿宋"/>
          <w:color w:val="auto"/>
          <w:highlight w:val="none"/>
        </w:rPr>
        <w:t>第五篇 供应商须知</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B45A965">
      <w:pPr>
        <w:pStyle w:val="4"/>
        <w:spacing w:beforeLines="0" w:line="480" w:lineRule="exact"/>
        <w:ind w:firstLine="562"/>
        <w:rPr>
          <w:rFonts w:hint="eastAsia" w:ascii="仿宋" w:hAnsi="仿宋" w:eastAsia="仿宋" w:cs="仿宋"/>
          <w:color w:val="auto"/>
          <w:highlight w:val="none"/>
        </w:rPr>
      </w:pPr>
      <w:bookmarkStart w:id="181" w:name="_Toc14153"/>
      <w:r>
        <w:rPr>
          <w:rFonts w:hint="eastAsia" w:ascii="仿宋" w:hAnsi="仿宋" w:eastAsia="仿宋" w:cs="仿宋"/>
          <w:color w:val="auto"/>
          <w:highlight w:val="none"/>
        </w:rPr>
        <w:t>一、供应商</w:t>
      </w:r>
      <w:bookmarkEnd w:id="181"/>
    </w:p>
    <w:p w14:paraId="760B5249">
      <w:pPr>
        <w:snapToGrid w:val="0"/>
        <w:spacing w:line="480" w:lineRule="exact"/>
        <w:ind w:firstLine="562" w:firstLineChars="200"/>
        <w:rPr>
          <w:rFonts w:hint="eastAsia" w:ascii="仿宋" w:hAnsi="仿宋" w:eastAsia="仿宋" w:cs="仿宋"/>
          <w:color w:val="auto"/>
          <w:szCs w:val="28"/>
          <w:highlight w:val="none"/>
        </w:rPr>
      </w:pPr>
      <w:r>
        <w:rPr>
          <w:rFonts w:hint="eastAsia" w:ascii="仿宋" w:hAnsi="仿宋" w:eastAsia="仿宋" w:cs="仿宋"/>
          <w:b/>
          <w:bCs/>
          <w:color w:val="auto"/>
          <w:szCs w:val="28"/>
          <w:highlight w:val="none"/>
        </w:rPr>
        <w:t>（一）供应商</w:t>
      </w:r>
    </w:p>
    <w:p w14:paraId="6114B43D">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供应商是指响应竞采、参加竞采竞争的法人、其他组织或者自然人。</w:t>
      </w:r>
    </w:p>
    <w:p w14:paraId="1121C80F">
      <w:pPr>
        <w:snapToGrid w:val="0"/>
        <w:spacing w:line="480" w:lineRule="exact"/>
        <w:ind w:firstLine="562" w:firstLineChars="200"/>
        <w:rPr>
          <w:rFonts w:hint="eastAsia" w:ascii="仿宋" w:hAnsi="仿宋" w:eastAsia="仿宋" w:cs="仿宋"/>
          <w:color w:val="auto"/>
          <w:szCs w:val="28"/>
          <w:highlight w:val="none"/>
        </w:rPr>
      </w:pPr>
      <w:r>
        <w:rPr>
          <w:rFonts w:hint="eastAsia" w:ascii="仿宋" w:hAnsi="仿宋" w:eastAsia="仿宋" w:cs="仿宋"/>
          <w:b/>
          <w:bCs/>
          <w:color w:val="auto"/>
          <w:szCs w:val="28"/>
          <w:highlight w:val="none"/>
        </w:rPr>
        <w:t>（二）合格供应商条件</w:t>
      </w:r>
    </w:p>
    <w:p w14:paraId="384B40CA">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合格供应商应完全符合采购文件第一篇中规定的供应商资格条件，并对采购文件作出实质性响应。</w:t>
      </w:r>
    </w:p>
    <w:p w14:paraId="4E2B4FC6">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（三）供应商的风险</w:t>
      </w:r>
    </w:p>
    <w:p w14:paraId="1FF01ECE">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供应商没有按照采购文件要求提供全部资料，或者供应商没有对采购文件在各方面作出实质性响应，可能导致响应被拒绝或评定为无效响应。</w:t>
      </w:r>
    </w:p>
    <w:p w14:paraId="2DF6B02F">
      <w:pPr>
        <w:snapToGrid w:val="0"/>
        <w:spacing w:line="480" w:lineRule="exact"/>
        <w:ind w:firstLine="562" w:firstLineChars="200"/>
        <w:rPr>
          <w:rFonts w:hint="eastAsia" w:ascii="仿宋" w:hAnsi="仿宋" w:eastAsia="仿宋" w:cs="仿宋"/>
          <w:color w:val="auto"/>
          <w:szCs w:val="28"/>
          <w:highlight w:val="none"/>
        </w:rPr>
      </w:pPr>
      <w:r>
        <w:rPr>
          <w:rFonts w:hint="eastAsia" w:ascii="仿宋" w:hAnsi="仿宋" w:eastAsia="仿宋" w:cs="仿宋"/>
          <w:b/>
          <w:bCs/>
          <w:color w:val="auto"/>
          <w:szCs w:val="28"/>
          <w:highlight w:val="none"/>
        </w:rPr>
        <w:t>（四）法律责任</w:t>
      </w:r>
    </w:p>
    <w:p w14:paraId="5D668B31">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供应商违反《中华人民共和国政府采购法》《中华人民共和国政府采购法实施条例》等相关规定，将按规定追究供应商法律责任。</w:t>
      </w:r>
    </w:p>
    <w:p w14:paraId="2EAADD86">
      <w:pPr>
        <w:pStyle w:val="4"/>
        <w:spacing w:beforeLines="0" w:line="480" w:lineRule="exact"/>
        <w:ind w:firstLine="562"/>
        <w:rPr>
          <w:rFonts w:hint="eastAsia" w:ascii="仿宋" w:hAnsi="仿宋" w:eastAsia="仿宋" w:cs="仿宋"/>
          <w:color w:val="auto"/>
          <w:highlight w:val="none"/>
        </w:rPr>
      </w:pPr>
      <w:bookmarkStart w:id="182" w:name="_Toc24546"/>
      <w:r>
        <w:rPr>
          <w:rFonts w:hint="eastAsia" w:ascii="仿宋" w:hAnsi="仿宋" w:eastAsia="仿宋" w:cs="仿宋"/>
          <w:color w:val="auto"/>
          <w:highlight w:val="none"/>
        </w:rPr>
        <w:t>二、采购文件</w:t>
      </w:r>
      <w:bookmarkEnd w:id="182"/>
    </w:p>
    <w:p w14:paraId="31986B87">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采购文件是供应商编制响应文件的依据，是竞采小组评判依据和标准。采购文件也是采购人与成交供应商签订合同的基础。</w:t>
      </w:r>
    </w:p>
    <w:p w14:paraId="5C791ADC">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（一）采购文件由竞采邀请书、项目技术（质量）需求、项目商务需求、资格审查及评审办法、供应商须知、响应文件格式等六部分组成。</w:t>
      </w:r>
    </w:p>
    <w:p w14:paraId="3EBB2F56">
      <w:pPr>
        <w:snapToGrid w:val="0"/>
        <w:spacing w:line="480" w:lineRule="exact"/>
        <w:ind w:firstLine="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（二）采购代理机构对采购文件所做的一切有效的书面通知、修改及补充，都是采购文件不可分割的部分。</w:t>
      </w:r>
    </w:p>
    <w:p w14:paraId="14888DC2">
      <w:pPr>
        <w:snapToGrid w:val="0"/>
        <w:spacing w:line="480" w:lineRule="exact"/>
        <w:ind w:firstLine="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（三）本项目的采购文件、澄清文件（如果有）一律在</w:t>
      </w:r>
      <w:r>
        <w:rPr>
          <w:rFonts w:hint="eastAsia" w:ascii="仿宋" w:hAnsi="仿宋" w:eastAsia="仿宋" w:cs="仿宋"/>
          <w:color w:val="auto"/>
          <w:szCs w:val="28"/>
          <w:highlight w:val="none"/>
          <w:lang w:eastAsia="zh-CN"/>
        </w:rPr>
        <w:t>行采家</w:t>
      </w:r>
      <w:r>
        <w:rPr>
          <w:rFonts w:hint="eastAsia" w:ascii="仿宋" w:hAnsi="仿宋" w:eastAsia="仿宋" w:cs="仿宋"/>
          <w:color w:val="auto"/>
          <w:szCs w:val="28"/>
          <w:highlight w:val="none"/>
        </w:rPr>
        <w:t>（https://www.gec123.com/）上发布，请各供应商注意下载或到采购代理机构处领取；无论供应商下载或领取与否，均视同供应商已知晓本项目采购文件、澄清文件的内容。</w:t>
      </w:r>
    </w:p>
    <w:p w14:paraId="082D4F7B">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（四）采购代理机构对已发出的采购文件需要进行澄清或修改的，应以书面形式或公告形式通知所有采购文件收受人。该澄清或者修改的内容为采购文件的组成部分。</w:t>
      </w:r>
    </w:p>
    <w:p w14:paraId="2E501979">
      <w:pPr>
        <w:pStyle w:val="4"/>
        <w:spacing w:beforeLines="0" w:line="480" w:lineRule="exact"/>
        <w:ind w:firstLine="562"/>
        <w:rPr>
          <w:rFonts w:hint="eastAsia" w:ascii="仿宋" w:hAnsi="仿宋" w:eastAsia="仿宋" w:cs="仿宋"/>
          <w:color w:val="auto"/>
          <w:highlight w:val="none"/>
        </w:rPr>
      </w:pPr>
      <w:bookmarkStart w:id="183" w:name="_Toc1290"/>
      <w:r>
        <w:rPr>
          <w:rFonts w:hint="eastAsia" w:ascii="仿宋" w:hAnsi="仿宋" w:eastAsia="仿宋" w:cs="仿宋"/>
          <w:color w:val="auto"/>
          <w:highlight w:val="none"/>
        </w:rPr>
        <w:t>三、响应文件</w:t>
      </w:r>
      <w:bookmarkEnd w:id="183"/>
    </w:p>
    <w:p w14:paraId="297FAFA2">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供应商应当按照采购文件的要求编制响应文件，并对采购文件提出的要求和条件作出实质性响应。</w:t>
      </w:r>
    </w:p>
    <w:p w14:paraId="608A3D77">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（一）响应文件组成</w:t>
      </w:r>
    </w:p>
    <w:p w14:paraId="11A96FC4">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响应文件由第六篇“响应文件格式”规定的部分和供应商所作的一切有效补充、修改和承诺等文件组成，供应商应按照第六篇“响应文件格式”规定的目录顺序组织编写和装订，否则有可能影响评委对响应文件的评审。</w:t>
      </w:r>
    </w:p>
    <w:p w14:paraId="5B37EE4E">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（二）竞采有效期</w:t>
      </w:r>
    </w:p>
    <w:p w14:paraId="2D3CA93E">
      <w:pPr>
        <w:snapToGrid w:val="0"/>
        <w:spacing w:line="480" w:lineRule="exact"/>
        <w:ind w:firstLine="560" w:firstLineChars="200"/>
        <w:rPr>
          <w:rFonts w:hint="eastAsia" w:ascii="仿宋" w:hAnsi="仿宋" w:eastAsia="仿宋" w:cs="仿宋"/>
          <w:color w:val="auto"/>
          <w:highlight w:val="none"/>
        </w:rPr>
      </w:pPr>
      <w:r>
        <w:rPr>
          <w:rFonts w:hint="eastAsia" w:ascii="仿宋" w:hAnsi="仿宋" w:eastAsia="仿宋" w:cs="仿宋"/>
          <w:color w:val="auto"/>
          <w:szCs w:val="28"/>
          <w:highlight w:val="none"/>
        </w:rPr>
        <w:t>竞采有效期为竞采截止时间起90天。</w:t>
      </w:r>
    </w:p>
    <w:p w14:paraId="1A2029D2">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（三）响应文件的份数和签署</w:t>
      </w:r>
    </w:p>
    <w:p w14:paraId="68EEA73D">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bCs/>
          <w:color w:val="auto"/>
          <w:highlight w:val="none"/>
        </w:rPr>
        <w:t>1.响应文件</w:t>
      </w:r>
      <w:r>
        <w:rPr>
          <w:rFonts w:hint="eastAsia" w:ascii="仿宋" w:hAnsi="仿宋" w:eastAsia="仿宋" w:cs="仿宋"/>
          <w:bCs/>
          <w:color w:val="auto"/>
          <w:highlight w:val="none"/>
          <w:lang w:val="en-US" w:eastAsia="zh-CN"/>
        </w:rPr>
        <w:t>电子文档一份</w:t>
      </w:r>
      <w:r>
        <w:rPr>
          <w:rFonts w:hint="eastAsia" w:ascii="仿宋" w:hAnsi="仿宋" w:eastAsia="仿宋" w:cs="仿宋"/>
          <w:bCs/>
          <w:color w:val="auto"/>
          <w:highlight w:val="none"/>
        </w:rPr>
        <w:t>。</w:t>
      </w:r>
    </w:p>
    <w:p w14:paraId="0E1CCAB3">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2.在响应文件中，采购文件第六篇响应文件格式中规定签署、盖章的地方必须按其规定签署、盖章。</w:t>
      </w:r>
    </w:p>
    <w:p w14:paraId="1926D11D">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3.若供应商对响应文件的错处做必要修改，则应在修改处加盖供应商公章或由法定代表人（或其授权代表）或自然人（供应商为自然人）签署确认。</w:t>
      </w:r>
    </w:p>
    <w:p w14:paraId="342B341F">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4.电报、电话、传真形式的响应文件概不接受。</w:t>
      </w:r>
    </w:p>
    <w:p w14:paraId="426A168F">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（四）竞采报价</w:t>
      </w:r>
    </w:p>
    <w:p w14:paraId="1D9D8AD6">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1.供应商应严格按照“响应文件格式”中“报价一览表”的格式填写报价。</w:t>
      </w:r>
    </w:p>
    <w:p w14:paraId="1DE1F8E4">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2.供应商的报价为一次性报价，即在竞采有效期内竞采价格固定不变。</w:t>
      </w:r>
    </w:p>
    <w:p w14:paraId="5586A4E4">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3.本项目只接受一个竞采报价，有选择的或有条件的报价将不予接受。</w:t>
      </w:r>
    </w:p>
    <w:p w14:paraId="1ED8192E">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（五）修正错误</w:t>
      </w:r>
    </w:p>
    <w:p w14:paraId="4699B04B">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若响应文件出现计算或表达上的错误，修正错误的原则如下：</w:t>
      </w:r>
    </w:p>
    <w:p w14:paraId="72F92985">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1.响应文件中报价一览表（报价表）内容与响应文件中相应内容不一致的，以报价一览表（报价表）为准；</w:t>
      </w:r>
    </w:p>
    <w:p w14:paraId="1E68F414">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2.大写金额和小写金额不一致的，以大写金额为准；</w:t>
      </w:r>
    </w:p>
    <w:p w14:paraId="61F65741">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3.单价金额小数点或者百分比有明显错位的，以报价一览表的总价为准，并修改单价；</w:t>
      </w:r>
    </w:p>
    <w:p w14:paraId="2426B145">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4.总价金额与按单价汇总金额不一致的，以单价金额计算结果为准。</w:t>
      </w:r>
    </w:p>
    <w:p w14:paraId="0F0AD29F">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竞采小组按上述修正错误的原则及方法调整或修正供应商竞采报价，若同时出现两种以上不一致的，按照前款规定的顺序修正，由供应商同意并签字确认后，调整后的竞采报价对供应商具有约束作用。如果供应商不接受修正后的报价，则其响应将作为无效响应处理。</w:t>
      </w:r>
    </w:p>
    <w:p w14:paraId="051EC3C1">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（六）响应文件的递交</w:t>
      </w:r>
    </w:p>
    <w:p w14:paraId="691872D9">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响应文件的正本、副本均应密封送达评审地点，应在封套上注明项目名称、供应商名称。若正本、副本分别进行密封的，还应在封套上注明“正本”“副本”字样。</w:t>
      </w:r>
    </w:p>
    <w:p w14:paraId="5E574565">
      <w:pPr>
        <w:pStyle w:val="4"/>
        <w:spacing w:beforeLines="0" w:line="480" w:lineRule="exact"/>
        <w:ind w:firstLine="562"/>
        <w:rPr>
          <w:rFonts w:hint="eastAsia" w:ascii="仿宋" w:hAnsi="仿宋" w:eastAsia="仿宋" w:cs="仿宋"/>
          <w:color w:val="auto"/>
          <w:highlight w:val="none"/>
        </w:rPr>
      </w:pPr>
      <w:bookmarkStart w:id="184" w:name="_Toc18279"/>
      <w:r>
        <w:rPr>
          <w:rFonts w:hint="eastAsia" w:ascii="仿宋" w:hAnsi="仿宋" w:eastAsia="仿宋" w:cs="仿宋"/>
          <w:color w:val="auto"/>
          <w:highlight w:val="none"/>
        </w:rPr>
        <w:t>四、评审流程</w:t>
      </w:r>
      <w:bookmarkEnd w:id="184"/>
    </w:p>
    <w:p w14:paraId="7D1EE8C3">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（一）采购代理机构和采购人可视采购具体情况，确定开始评审时间、地点。</w:t>
      </w:r>
    </w:p>
    <w:p w14:paraId="709D1B6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（二）评审由采购人或采购代理机构主持。</w:t>
      </w:r>
    </w:p>
    <w:p w14:paraId="560FD5CE">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（三）评审时，经确认无误后，由采购人或者采购代理机构工作人员当众拆封，宣布供应商名称、竞采价格和《报价一览表》规定的需要宣布的其他内容。</w:t>
      </w:r>
      <w:r>
        <w:rPr>
          <w:rFonts w:hint="eastAsia" w:ascii="仿宋" w:hAnsi="仿宋" w:eastAsia="仿宋" w:cs="仿宋"/>
          <w:bCs/>
          <w:color w:val="auto"/>
          <w:highlight w:val="none"/>
        </w:rPr>
        <w:t>供应商不足三家的</w:t>
      </w:r>
      <w:r>
        <w:rPr>
          <w:rFonts w:hint="eastAsia" w:ascii="仿宋" w:hAnsi="仿宋" w:eastAsia="仿宋" w:cs="仿宋"/>
          <w:color w:val="auto"/>
          <w:szCs w:val="28"/>
          <w:highlight w:val="none"/>
        </w:rPr>
        <w:t>，不得开始评审。</w:t>
      </w:r>
    </w:p>
    <w:p w14:paraId="0FA85761">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（四）未宣读的竞采价格、价格折扣和采购文件允许提供的备选响应方案等实质性内容等，评审时不予承认。</w:t>
      </w:r>
    </w:p>
    <w:p w14:paraId="498F9849">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（五）评审过程应由采购人或采购代理机构指定专人负责记录，并存档备查。</w:t>
      </w:r>
    </w:p>
    <w:p w14:paraId="5BBAACDC">
      <w:pPr>
        <w:pStyle w:val="4"/>
        <w:spacing w:beforeLines="0" w:line="480" w:lineRule="exact"/>
        <w:ind w:firstLine="562"/>
        <w:rPr>
          <w:rFonts w:hint="eastAsia" w:ascii="仿宋" w:hAnsi="仿宋" w:eastAsia="仿宋" w:cs="仿宋"/>
          <w:color w:val="auto"/>
          <w:highlight w:val="none"/>
        </w:rPr>
      </w:pPr>
      <w:bookmarkStart w:id="185" w:name="_Toc32450"/>
      <w:r>
        <w:rPr>
          <w:rFonts w:hint="eastAsia" w:ascii="仿宋" w:hAnsi="仿宋" w:eastAsia="仿宋" w:cs="仿宋"/>
          <w:color w:val="auto"/>
          <w:highlight w:val="none"/>
        </w:rPr>
        <w:t>五、评审标准</w:t>
      </w:r>
      <w:bookmarkEnd w:id="185"/>
    </w:p>
    <w:p w14:paraId="111D74B3">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见第四篇“评审”内容。</w:t>
      </w:r>
    </w:p>
    <w:p w14:paraId="1B7852A3">
      <w:pPr>
        <w:pStyle w:val="4"/>
        <w:spacing w:beforeLines="0" w:line="480" w:lineRule="exact"/>
        <w:ind w:firstLine="562"/>
        <w:rPr>
          <w:rFonts w:hint="eastAsia" w:ascii="仿宋" w:hAnsi="仿宋" w:eastAsia="仿宋" w:cs="仿宋"/>
          <w:color w:val="auto"/>
          <w:highlight w:val="none"/>
        </w:rPr>
      </w:pPr>
      <w:bookmarkStart w:id="186" w:name="_Toc24968"/>
      <w:r>
        <w:rPr>
          <w:rFonts w:hint="eastAsia" w:ascii="仿宋" w:hAnsi="仿宋" w:eastAsia="仿宋" w:cs="仿宋"/>
          <w:color w:val="auto"/>
          <w:highlight w:val="none"/>
        </w:rPr>
        <w:t>六、确认成交供应商</w:t>
      </w:r>
      <w:bookmarkEnd w:id="186"/>
    </w:p>
    <w:p w14:paraId="06AF7713">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（一）原则</w:t>
      </w:r>
    </w:p>
    <w:p w14:paraId="024C4058">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采购人或其授权的竞采小组应按照评审报告中推荐的成交候选人排名顺序确定成交供应商。</w:t>
      </w:r>
    </w:p>
    <w:p w14:paraId="2515A41A">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（二）程序</w:t>
      </w:r>
    </w:p>
    <w:p w14:paraId="61F0CF1A">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1.采购代理机构应当在评审结束之日起2个工作日内将评审报告送达采购人。</w:t>
      </w:r>
    </w:p>
    <w:p w14:paraId="56B5182C">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2.采购人应当自收到评审报告之日起3个工作日内按评审报告推荐的成交候选人顺序确定成交供应商。</w:t>
      </w:r>
    </w:p>
    <w:p w14:paraId="693D32CD">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3.采购人或者采购代理机构应当自成交供应商确定之日起2个工作日内，在</w:t>
      </w:r>
      <w:r>
        <w:rPr>
          <w:rFonts w:hint="eastAsia" w:ascii="仿宋" w:hAnsi="仿宋" w:eastAsia="仿宋" w:cs="仿宋"/>
          <w:color w:val="auto"/>
          <w:szCs w:val="28"/>
          <w:highlight w:val="none"/>
          <w:lang w:eastAsia="zh-CN"/>
        </w:rPr>
        <w:t>行采家</w:t>
      </w:r>
      <w:r>
        <w:rPr>
          <w:rFonts w:hint="eastAsia" w:ascii="仿宋" w:hAnsi="仿宋" w:eastAsia="仿宋" w:cs="仿宋"/>
          <w:color w:val="auto"/>
          <w:szCs w:val="28"/>
          <w:highlight w:val="none"/>
        </w:rPr>
        <w:t>上公告成交结果。结果公告期限为1个工作日。</w:t>
      </w:r>
    </w:p>
    <w:p w14:paraId="1D5816BA">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4.成交供应商变更</w:t>
      </w:r>
    </w:p>
    <w:p w14:paraId="570C8BB1">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成交供应商拒绝与采购人签订合同的，采购人可以按照评审报告推荐的成交候选人顺序，确定排名下一位的候选人为成交供应商，也可以重新开展采购活动。</w:t>
      </w:r>
    </w:p>
    <w:p w14:paraId="014B484B">
      <w:pPr>
        <w:pStyle w:val="4"/>
        <w:spacing w:beforeLines="0" w:line="480" w:lineRule="exact"/>
        <w:ind w:firstLine="562"/>
        <w:rPr>
          <w:rFonts w:hint="eastAsia" w:ascii="仿宋" w:hAnsi="仿宋" w:eastAsia="仿宋" w:cs="仿宋"/>
          <w:color w:val="auto"/>
          <w:highlight w:val="none"/>
        </w:rPr>
      </w:pPr>
      <w:bookmarkStart w:id="187" w:name="_Toc21027"/>
      <w:r>
        <w:rPr>
          <w:rFonts w:hint="eastAsia" w:ascii="仿宋" w:hAnsi="仿宋" w:eastAsia="仿宋" w:cs="仿宋"/>
          <w:color w:val="auto"/>
          <w:highlight w:val="none"/>
        </w:rPr>
        <w:t>七、成交</w:t>
      </w:r>
      <w:bookmarkEnd w:id="187"/>
    </w:p>
    <w:p w14:paraId="3B90F7F3">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（一）采购人依法确定成交供应商后，采购代理机构进行结果公示。</w:t>
      </w:r>
    </w:p>
    <w:p w14:paraId="57523B22">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（二）结果公示，采购人改变成交结果，或者成交供应商放弃成交，应当承担相应的法律责任。</w:t>
      </w:r>
    </w:p>
    <w:p w14:paraId="09677732">
      <w:pPr>
        <w:pStyle w:val="4"/>
        <w:spacing w:beforeLines="0" w:line="480" w:lineRule="exact"/>
        <w:ind w:firstLine="562"/>
        <w:rPr>
          <w:rFonts w:hint="eastAsia" w:ascii="仿宋" w:hAnsi="仿宋" w:eastAsia="仿宋" w:cs="仿宋"/>
          <w:color w:val="auto"/>
          <w:highlight w:val="none"/>
        </w:rPr>
      </w:pPr>
      <w:bookmarkStart w:id="188" w:name="_Toc23353"/>
      <w:r>
        <w:rPr>
          <w:rFonts w:hint="eastAsia" w:ascii="仿宋" w:hAnsi="仿宋" w:eastAsia="仿宋" w:cs="仿宋"/>
          <w:color w:val="auto"/>
          <w:highlight w:val="none"/>
        </w:rPr>
        <w:t>八、采购代理服务费</w:t>
      </w:r>
      <w:bookmarkEnd w:id="188"/>
    </w:p>
    <w:p w14:paraId="0AA8A9C4">
      <w:pPr>
        <w:spacing w:line="480" w:lineRule="exact"/>
        <w:ind w:firstLine="560" w:firstLineChars="200"/>
        <w:rPr>
          <w:rFonts w:hint="eastAsia" w:ascii="仿宋" w:hAnsi="仿宋" w:eastAsia="仿宋" w:cs="仿宋"/>
          <w:color w:val="auto"/>
          <w:szCs w:val="28"/>
          <w:highlight w:val="none"/>
        </w:rPr>
      </w:pPr>
      <w:bookmarkStart w:id="189" w:name="OLE_LINK8"/>
      <w:bookmarkStart w:id="190" w:name="OLE_LINK7"/>
      <w:r>
        <w:rPr>
          <w:rFonts w:hint="eastAsia" w:ascii="仿宋" w:hAnsi="仿宋" w:eastAsia="仿宋" w:cs="仿宋"/>
          <w:color w:val="auto"/>
          <w:szCs w:val="28"/>
          <w:highlight w:val="none"/>
        </w:rPr>
        <w:t>（一）供应商成交后向采购代理机构缴纳采购代理服务费，采购代理服务费的收取标准按照以下标准执行：</w:t>
      </w:r>
    </w:p>
    <w:p w14:paraId="62BD6584">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bCs/>
          <w:color w:val="auto"/>
          <w:highlight w:val="none"/>
        </w:rPr>
        <w:t>1.本项目采购代理服务费由成交供应商支付，按</w:t>
      </w:r>
      <w:r>
        <w:rPr>
          <w:rFonts w:hint="eastAsia" w:ascii="仿宋" w:hAnsi="仿宋" w:eastAsia="仿宋" w:cs="仿宋"/>
          <w:bCs/>
          <w:color w:val="auto"/>
          <w:highlight w:val="none"/>
          <w:lang w:val="en-US" w:eastAsia="zh-CN"/>
        </w:rPr>
        <w:t>固定金额</w:t>
      </w:r>
      <w:r>
        <w:rPr>
          <w:rFonts w:hint="eastAsia" w:ascii="仿宋" w:hAnsi="仿宋" w:eastAsia="仿宋" w:cs="仿宋"/>
          <w:bCs/>
          <w:color w:val="auto"/>
          <w:highlight w:val="none"/>
        </w:rPr>
        <w:t>金额</w:t>
      </w:r>
      <w:r>
        <w:rPr>
          <w:rFonts w:hint="eastAsia" w:ascii="仿宋" w:hAnsi="仿宋" w:eastAsia="仿宋" w:cs="仿宋"/>
          <w:bCs/>
          <w:color w:val="auto"/>
          <w:highlight w:val="none"/>
          <w:lang w:val="en-US" w:eastAsia="zh-CN"/>
        </w:rPr>
        <w:t>2500元</w:t>
      </w:r>
      <w:r>
        <w:rPr>
          <w:rFonts w:hint="eastAsia" w:ascii="仿宋" w:hAnsi="仿宋" w:eastAsia="仿宋" w:cs="仿宋"/>
          <w:bCs/>
          <w:color w:val="auto"/>
          <w:highlight w:val="none"/>
        </w:rPr>
        <w:t>收取</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成交供应商在领取中标通知书前一次性支付给代理机构</w:t>
      </w:r>
      <w:r>
        <w:rPr>
          <w:rFonts w:hint="eastAsia" w:ascii="仿宋" w:hAnsi="仿宋" w:eastAsia="仿宋" w:cs="仿宋"/>
          <w:bCs/>
          <w:color w:val="auto"/>
          <w:highlight w:val="none"/>
        </w:rPr>
        <w:t>。</w:t>
      </w:r>
    </w:p>
    <w:p w14:paraId="38502ECF">
      <w:pPr>
        <w:tabs>
          <w:tab w:val="center" w:pos="4535"/>
        </w:tabs>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2.采购代理服务费缴纳账户信息：</w:t>
      </w:r>
      <w:r>
        <w:rPr>
          <w:rFonts w:hint="eastAsia" w:ascii="仿宋" w:hAnsi="仿宋" w:eastAsia="仿宋" w:cs="仿宋"/>
          <w:color w:val="auto"/>
          <w:szCs w:val="28"/>
          <w:highlight w:val="none"/>
        </w:rPr>
        <w:tab/>
      </w:r>
    </w:p>
    <w:p w14:paraId="480A0F52">
      <w:pPr>
        <w:tabs>
          <w:tab w:val="center" w:pos="4535"/>
        </w:tabs>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户  名：重庆海德思哲招标代理有限公司</w:t>
      </w:r>
    </w:p>
    <w:p w14:paraId="6E32BD0D">
      <w:pPr>
        <w:tabs>
          <w:tab w:val="center" w:pos="4535"/>
        </w:tabs>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开户行：中国工商银行股份有限公司重庆碚峡路支行</w:t>
      </w:r>
    </w:p>
    <w:p w14:paraId="56F782CD">
      <w:pPr>
        <w:tabs>
          <w:tab w:val="center" w:pos="4535"/>
        </w:tabs>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账  号：31000286092001500042</w:t>
      </w:r>
    </w:p>
    <w:bookmarkEnd w:id="189"/>
    <w:bookmarkEnd w:id="190"/>
    <w:p w14:paraId="110A2CA1">
      <w:pPr>
        <w:pStyle w:val="4"/>
        <w:spacing w:beforeLines="0" w:line="480" w:lineRule="exact"/>
        <w:ind w:firstLine="562"/>
        <w:rPr>
          <w:rFonts w:hint="eastAsia" w:ascii="仿宋" w:hAnsi="仿宋" w:eastAsia="仿宋" w:cs="仿宋"/>
          <w:color w:val="auto"/>
          <w:highlight w:val="none"/>
        </w:rPr>
      </w:pPr>
      <w:bookmarkStart w:id="191" w:name="_Toc32308"/>
      <w:r>
        <w:rPr>
          <w:rFonts w:hint="eastAsia" w:ascii="仿宋" w:hAnsi="仿宋" w:eastAsia="仿宋" w:cs="仿宋"/>
          <w:color w:val="auto"/>
          <w:highlight w:val="none"/>
        </w:rPr>
        <w:t>九、签订合同</w:t>
      </w:r>
      <w:bookmarkEnd w:id="191"/>
    </w:p>
    <w:p w14:paraId="351D999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（一）采购人原则上应在成交确认书发出之日起二十日内和成交供应商签订采购合同，无正当理由不得拒绝或拖延合同签订。所签订的合同不得对采购文件和成交供应商响应文件作实质性修改。</w:t>
      </w:r>
      <w:r>
        <w:rPr>
          <w:rFonts w:hint="eastAsia" w:ascii="仿宋" w:hAnsi="仿宋" w:eastAsia="仿宋" w:cs="仿宋"/>
          <w:color w:val="auto"/>
          <w:kern w:val="0"/>
          <w:szCs w:val="28"/>
          <w:highlight w:val="none"/>
        </w:rPr>
        <w:t>其他未尽事宜由采购人和成交供应商在采购合同中详细约定。</w:t>
      </w:r>
    </w:p>
    <w:p w14:paraId="56FFEBA8">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（二）采购文件、成交供应商的响应文件及澄清文件等，均为签订采购合同的依据。</w:t>
      </w:r>
    </w:p>
    <w:p w14:paraId="5D53FFAE">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（三）合同生效条款由供需双方约定，法律、行政法规规定应当办理批准、登记等手续后生效的合同，依照其规定。</w:t>
      </w:r>
    </w:p>
    <w:p w14:paraId="51C150BD">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（四）合同原则上应按照《重庆市政府采购合同》签订，相关单位要求适用合同通用格式版本的，应按其要求另行签订其他合同。</w:t>
      </w:r>
    </w:p>
    <w:p w14:paraId="32CDF8DD">
      <w:pPr>
        <w:pStyle w:val="4"/>
        <w:spacing w:beforeLines="0" w:line="480" w:lineRule="exact"/>
        <w:ind w:firstLine="562"/>
        <w:rPr>
          <w:rFonts w:hint="eastAsia" w:ascii="仿宋" w:hAnsi="仿宋" w:eastAsia="仿宋" w:cs="仿宋"/>
          <w:color w:val="auto"/>
          <w:highlight w:val="none"/>
        </w:rPr>
      </w:pPr>
      <w:bookmarkStart w:id="192" w:name="_Toc11558"/>
      <w:bookmarkStart w:id="193" w:name="_Toc23965"/>
      <w:bookmarkStart w:id="194" w:name="_Toc23671"/>
      <w:bookmarkStart w:id="195" w:name="_Toc11349"/>
      <w:bookmarkStart w:id="196" w:name="_Toc14102"/>
      <w:bookmarkStart w:id="197" w:name="_Toc4207"/>
      <w:bookmarkStart w:id="198" w:name="_Toc4923"/>
      <w:bookmarkStart w:id="199" w:name="_Toc9393"/>
      <w:bookmarkStart w:id="200" w:name="_Toc106030411"/>
      <w:bookmarkStart w:id="201" w:name="_Toc13934"/>
      <w:bookmarkStart w:id="202" w:name="_Toc29139"/>
      <w:bookmarkStart w:id="203" w:name="_Toc26438"/>
      <w:bookmarkStart w:id="204" w:name="_Toc25795"/>
      <w:bookmarkStart w:id="205" w:name="_Toc1406"/>
      <w:bookmarkStart w:id="206" w:name="_Toc11714"/>
      <w:bookmarkStart w:id="207" w:name="_Toc13027"/>
      <w:r>
        <w:rPr>
          <w:rFonts w:hint="eastAsia" w:ascii="仿宋" w:hAnsi="仿宋" w:eastAsia="仿宋" w:cs="仿宋"/>
          <w:color w:val="auto"/>
          <w:highlight w:val="none"/>
        </w:rPr>
        <w:t>十、</w:t>
      </w:r>
      <w:bookmarkEnd w:id="192"/>
      <w:bookmarkEnd w:id="193"/>
      <w:bookmarkEnd w:id="194"/>
      <w:bookmarkEnd w:id="195"/>
      <w:r>
        <w:rPr>
          <w:rFonts w:hint="eastAsia" w:ascii="仿宋" w:hAnsi="仿宋" w:eastAsia="仿宋" w:cs="仿宋"/>
          <w:color w:val="auto"/>
          <w:highlight w:val="none"/>
        </w:rPr>
        <w:t>项目验收</w:t>
      </w:r>
      <w:bookmarkEnd w:id="196"/>
      <w:bookmarkEnd w:id="197"/>
      <w:bookmarkEnd w:id="198"/>
      <w:bookmarkEnd w:id="199"/>
      <w:bookmarkEnd w:id="200"/>
      <w:bookmarkEnd w:id="201"/>
      <w:bookmarkEnd w:id="202"/>
      <w:bookmarkEnd w:id="203"/>
      <w:bookmarkEnd w:id="204"/>
      <w:bookmarkEnd w:id="205"/>
      <w:bookmarkEnd w:id="206"/>
      <w:bookmarkEnd w:id="207"/>
    </w:p>
    <w:p w14:paraId="693D587A">
      <w:pPr>
        <w:spacing w:line="480" w:lineRule="exact"/>
        <w:ind w:firstLine="560" w:firstLineChars="200"/>
        <w:rPr>
          <w:rFonts w:hint="eastAsia" w:ascii="仿宋" w:hAnsi="仿宋" w:eastAsia="仿宋" w:cs="仿宋"/>
          <w:b/>
          <w:color w:val="auto"/>
          <w:szCs w:val="28"/>
          <w:highlight w:val="none"/>
        </w:rPr>
      </w:pPr>
      <w:r>
        <w:rPr>
          <w:rFonts w:hint="eastAsia" w:ascii="仿宋" w:hAnsi="仿宋" w:eastAsia="仿宋" w:cs="仿宋"/>
          <w:color w:val="auto"/>
          <w:szCs w:val="28"/>
          <w:highlight w:val="none"/>
        </w:rPr>
        <w:t>合同执行完毕，采购人或采购代理机构原则上应在7个工作日内组织履约情况验收，不得无故拖延或附加额外条件。</w:t>
      </w:r>
      <w:bookmarkStart w:id="208" w:name="_Toc19188"/>
      <w:bookmarkStart w:id="209" w:name="_Toc75793535"/>
      <w:bookmarkStart w:id="210" w:name="_Toc31578"/>
      <w:bookmarkStart w:id="211" w:name="_Toc20328"/>
      <w:bookmarkStart w:id="212" w:name="_Toc21850"/>
      <w:bookmarkStart w:id="213" w:name="_Toc13050"/>
      <w:bookmarkStart w:id="214" w:name="_Toc3421"/>
      <w:bookmarkStart w:id="215" w:name="_Toc15435"/>
      <w:bookmarkStart w:id="216" w:name="_Toc13002"/>
      <w:bookmarkStart w:id="217" w:name="_Toc31383"/>
      <w:bookmarkStart w:id="218" w:name="_Toc13368"/>
      <w:bookmarkStart w:id="219" w:name="_Toc2195"/>
    </w:p>
    <w:bookmarkEnd w:id="208"/>
    <w:bookmarkEnd w:id="209"/>
    <w:bookmarkEnd w:id="210"/>
    <w:bookmarkEnd w:id="211"/>
    <w:bookmarkEnd w:id="212"/>
    <w:bookmarkEnd w:id="213"/>
    <w:bookmarkEnd w:id="214"/>
    <w:bookmarkEnd w:id="215"/>
    <w:bookmarkEnd w:id="216"/>
    <w:bookmarkEnd w:id="217"/>
    <w:bookmarkEnd w:id="218"/>
    <w:bookmarkEnd w:id="219"/>
    <w:p w14:paraId="53F7D9F6">
      <w:pPr>
        <w:spacing w:line="360" w:lineRule="auto"/>
        <w:rPr>
          <w:rStyle w:val="36"/>
          <w:rFonts w:hint="eastAsia" w:ascii="仿宋" w:hAnsi="仿宋" w:eastAsia="仿宋" w:cs="仿宋"/>
          <w:color w:val="auto"/>
          <w:highlight w:val="none"/>
        </w:rPr>
      </w:pPr>
    </w:p>
    <w:p w14:paraId="65DC8C4A">
      <w:pPr>
        <w:pStyle w:val="3"/>
        <w:rPr>
          <w:rFonts w:hint="eastAsia" w:ascii="仿宋" w:hAnsi="仿宋" w:eastAsia="仿宋" w:cs="仿宋"/>
          <w:color w:val="auto"/>
          <w:highlight w:val="none"/>
        </w:rPr>
      </w:pPr>
      <w:bookmarkStart w:id="220" w:name="_Toc6070"/>
      <w:bookmarkStart w:id="221" w:name="_Toc24661"/>
      <w:bookmarkStart w:id="222" w:name="_Toc7179"/>
      <w:r>
        <w:rPr>
          <w:rFonts w:hint="eastAsia" w:ascii="仿宋" w:hAnsi="仿宋" w:eastAsia="仿宋" w:cs="仿宋"/>
          <w:color w:val="auto"/>
          <w:highlight w:val="none"/>
        </w:rPr>
        <w:t xml:space="preserve">第六篇 </w:t>
      </w:r>
      <w:bookmarkEnd w:id="180"/>
      <w:bookmarkEnd w:id="220"/>
      <w:r>
        <w:rPr>
          <w:rFonts w:hint="eastAsia" w:ascii="仿宋" w:hAnsi="仿宋" w:eastAsia="仿宋" w:cs="仿宋"/>
          <w:color w:val="auto"/>
          <w:highlight w:val="none"/>
        </w:rPr>
        <w:t>响应文件格式</w:t>
      </w:r>
      <w:bookmarkEnd w:id="221"/>
      <w:bookmarkEnd w:id="222"/>
    </w:p>
    <w:p w14:paraId="01EDDCDF">
      <w:pPr>
        <w:spacing w:line="360" w:lineRule="auto"/>
        <w:ind w:firstLine="562" w:firstLineChars="200"/>
        <w:rPr>
          <w:rFonts w:hint="eastAsia" w:ascii="仿宋" w:hAnsi="仿宋" w:eastAsia="仿宋" w:cs="仿宋"/>
          <w:b/>
          <w:bCs/>
          <w:color w:val="auto"/>
          <w:highlight w:val="none"/>
        </w:rPr>
      </w:pPr>
      <w:bookmarkStart w:id="223" w:name="_Toc9790"/>
      <w:bookmarkStart w:id="224" w:name="_Toc30939"/>
      <w:bookmarkStart w:id="225" w:name="_Toc15251"/>
      <w:bookmarkStart w:id="226" w:name="_Toc22811"/>
      <w:r>
        <w:rPr>
          <w:rFonts w:hint="eastAsia" w:ascii="仿宋" w:hAnsi="仿宋" w:eastAsia="仿宋" w:cs="仿宋"/>
          <w:b/>
          <w:bCs/>
          <w:color w:val="auto"/>
          <w:highlight w:val="none"/>
        </w:rPr>
        <w:t>一、经济</w:t>
      </w:r>
      <w:bookmarkEnd w:id="223"/>
      <w:bookmarkEnd w:id="224"/>
      <w:bookmarkEnd w:id="225"/>
      <w:bookmarkEnd w:id="226"/>
      <w:r>
        <w:rPr>
          <w:rFonts w:hint="eastAsia" w:ascii="仿宋" w:hAnsi="仿宋" w:eastAsia="仿宋" w:cs="仿宋"/>
          <w:b/>
          <w:bCs/>
          <w:color w:val="auto"/>
          <w:highlight w:val="none"/>
        </w:rPr>
        <w:t>文件</w:t>
      </w:r>
    </w:p>
    <w:p w14:paraId="00752CCC">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（一）报价一览表</w:t>
      </w:r>
    </w:p>
    <w:p w14:paraId="5A1D65B3">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（二）报价明细表</w:t>
      </w:r>
    </w:p>
    <w:p w14:paraId="67B257AD">
      <w:pPr>
        <w:spacing w:line="360" w:lineRule="auto"/>
        <w:ind w:firstLine="562" w:firstLineChars="200"/>
        <w:rPr>
          <w:rFonts w:hint="eastAsia" w:ascii="仿宋" w:hAnsi="仿宋" w:eastAsia="仿宋" w:cs="仿宋"/>
          <w:b/>
          <w:bCs/>
          <w:color w:val="auto"/>
          <w:highlight w:val="none"/>
          <w:lang w:eastAsia="zh-CN"/>
        </w:rPr>
      </w:pPr>
      <w:bookmarkStart w:id="227" w:name="_Toc26419"/>
      <w:bookmarkStart w:id="228" w:name="_Toc26002"/>
      <w:bookmarkStart w:id="229" w:name="_Toc18890"/>
      <w:bookmarkStart w:id="230" w:name="_Toc254"/>
      <w:r>
        <w:rPr>
          <w:rFonts w:hint="eastAsia" w:ascii="仿宋" w:hAnsi="仿宋" w:eastAsia="仿宋" w:cs="仿宋"/>
          <w:b/>
          <w:bCs/>
          <w:color w:val="auto"/>
          <w:highlight w:val="none"/>
        </w:rPr>
        <w:t>二、</w:t>
      </w:r>
      <w:bookmarkEnd w:id="227"/>
      <w:bookmarkEnd w:id="228"/>
      <w:bookmarkEnd w:id="229"/>
      <w:bookmarkEnd w:id="230"/>
      <w:r>
        <w:rPr>
          <w:rFonts w:hint="eastAsia" w:ascii="仿宋" w:hAnsi="仿宋" w:eastAsia="仿宋" w:cs="仿宋"/>
          <w:b/>
          <w:bCs/>
          <w:color w:val="auto"/>
          <w:highlight w:val="none"/>
          <w:lang w:eastAsia="zh-CN"/>
        </w:rPr>
        <w:t>资格条件及其他</w:t>
      </w:r>
    </w:p>
    <w:p w14:paraId="1459F4D7">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（一）法人营业执照（副本）或个体工商户营业执照或社会团体法人登记证书复印件</w:t>
      </w:r>
    </w:p>
    <w:p w14:paraId="551815C6">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（二）法定代表人身份证明书（格式）</w:t>
      </w:r>
    </w:p>
    <w:p w14:paraId="2288CBB9">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（三）法定代表人授权委托书（格式）</w:t>
      </w:r>
    </w:p>
    <w:p w14:paraId="068208F5">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（四）基本资格条件承诺函（格式）</w:t>
      </w:r>
    </w:p>
    <w:p w14:paraId="700814F2">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（五）特定资格条件（如有）</w:t>
      </w:r>
    </w:p>
    <w:p w14:paraId="18D7FED5">
      <w:pPr>
        <w:spacing w:line="360" w:lineRule="auto"/>
        <w:ind w:firstLine="562" w:firstLineChars="200"/>
        <w:rPr>
          <w:rFonts w:hint="eastAsia" w:ascii="仿宋" w:hAnsi="仿宋" w:eastAsia="仿宋" w:cs="仿宋"/>
          <w:b/>
          <w:bCs/>
          <w:color w:val="auto"/>
          <w:highlight w:val="none"/>
          <w:lang w:eastAsia="zh-CN"/>
        </w:rPr>
      </w:pPr>
      <w:bookmarkStart w:id="231" w:name="_Toc16080"/>
      <w:bookmarkStart w:id="232" w:name="_Toc7698"/>
      <w:bookmarkStart w:id="233" w:name="_Toc6114"/>
      <w:bookmarkStart w:id="234" w:name="_Toc19972"/>
      <w:r>
        <w:rPr>
          <w:rFonts w:hint="eastAsia" w:ascii="仿宋" w:hAnsi="仿宋" w:eastAsia="仿宋" w:cs="仿宋"/>
          <w:b/>
          <w:bCs/>
          <w:color w:val="auto"/>
          <w:highlight w:val="none"/>
        </w:rPr>
        <w:t>三、</w:t>
      </w:r>
      <w:bookmarkEnd w:id="231"/>
      <w:bookmarkEnd w:id="232"/>
      <w:bookmarkEnd w:id="233"/>
      <w:bookmarkEnd w:id="234"/>
      <w:r>
        <w:rPr>
          <w:rFonts w:hint="eastAsia" w:ascii="仿宋" w:hAnsi="仿宋" w:eastAsia="仿宋" w:cs="仿宋"/>
          <w:b/>
          <w:bCs/>
          <w:color w:val="auto"/>
          <w:highlight w:val="none"/>
          <w:lang w:eastAsia="zh-CN"/>
        </w:rPr>
        <w:t>项目服务需求</w:t>
      </w:r>
    </w:p>
    <w:p w14:paraId="2C679CEC">
      <w:pPr>
        <w:spacing w:line="360" w:lineRule="auto"/>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（一）服务条款</w:t>
      </w:r>
      <w:r>
        <w:rPr>
          <w:rFonts w:hint="eastAsia" w:ascii="仿宋" w:hAnsi="仿宋" w:eastAsia="仿宋" w:cs="仿宋"/>
          <w:color w:val="auto"/>
          <w:szCs w:val="28"/>
          <w:highlight w:val="none"/>
          <w:lang w:val="en-US" w:eastAsia="zh-CN"/>
        </w:rPr>
        <w:t>响应函</w:t>
      </w:r>
    </w:p>
    <w:p w14:paraId="0522DF14">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（二）技术服务方案</w:t>
      </w:r>
    </w:p>
    <w:p w14:paraId="732FB20C">
      <w:pPr>
        <w:spacing w:line="360" w:lineRule="auto"/>
        <w:ind w:firstLine="562" w:firstLineChars="200"/>
        <w:rPr>
          <w:rFonts w:hint="eastAsia" w:ascii="仿宋" w:hAnsi="仿宋" w:eastAsia="仿宋" w:cs="仿宋"/>
          <w:b/>
          <w:bCs/>
          <w:color w:val="auto"/>
          <w:highlight w:val="none"/>
        </w:rPr>
      </w:pPr>
      <w:bookmarkStart w:id="235" w:name="_Toc32049"/>
      <w:bookmarkStart w:id="236" w:name="_Toc15817"/>
      <w:bookmarkStart w:id="237" w:name="_Toc8479"/>
      <w:bookmarkStart w:id="238" w:name="_Toc29209"/>
      <w:r>
        <w:rPr>
          <w:rFonts w:hint="eastAsia" w:ascii="仿宋" w:hAnsi="仿宋" w:eastAsia="仿宋" w:cs="仿宋"/>
          <w:b/>
          <w:bCs/>
          <w:color w:val="auto"/>
          <w:highlight w:val="none"/>
        </w:rPr>
        <w:t>四、商务</w:t>
      </w:r>
      <w:bookmarkEnd w:id="235"/>
      <w:bookmarkEnd w:id="236"/>
      <w:bookmarkEnd w:id="237"/>
      <w:bookmarkEnd w:id="238"/>
      <w:r>
        <w:rPr>
          <w:rFonts w:hint="eastAsia" w:ascii="仿宋" w:hAnsi="仿宋" w:eastAsia="仿宋" w:cs="仿宋"/>
          <w:b/>
          <w:bCs/>
          <w:color w:val="auto"/>
          <w:highlight w:val="none"/>
        </w:rPr>
        <w:t>文件</w:t>
      </w:r>
    </w:p>
    <w:p w14:paraId="2245A138">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（一）响应函</w:t>
      </w:r>
    </w:p>
    <w:p w14:paraId="11DC7449">
      <w:pPr>
        <w:spacing w:line="360" w:lineRule="auto"/>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（二）商务条款</w:t>
      </w:r>
      <w:r>
        <w:rPr>
          <w:rFonts w:hint="eastAsia" w:ascii="仿宋" w:hAnsi="仿宋" w:eastAsia="仿宋" w:cs="仿宋"/>
          <w:color w:val="auto"/>
          <w:szCs w:val="28"/>
          <w:highlight w:val="none"/>
          <w:lang w:val="en-US" w:eastAsia="zh-CN"/>
        </w:rPr>
        <w:t>响应函</w:t>
      </w:r>
    </w:p>
    <w:p w14:paraId="702A892B">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（三）商务评分部分相关证明材料</w:t>
      </w:r>
    </w:p>
    <w:p w14:paraId="2B0264BC">
      <w:pPr>
        <w:spacing w:line="360" w:lineRule="auto"/>
        <w:ind w:firstLine="562" w:firstLineChars="200"/>
        <w:rPr>
          <w:rFonts w:hint="eastAsia" w:ascii="仿宋" w:hAnsi="仿宋" w:eastAsia="仿宋" w:cs="仿宋"/>
          <w:b/>
          <w:bCs/>
          <w:color w:val="auto"/>
          <w:highlight w:val="none"/>
        </w:rPr>
      </w:pPr>
      <w:bookmarkStart w:id="239" w:name="_Toc8893"/>
      <w:bookmarkStart w:id="240" w:name="_Toc19746"/>
      <w:bookmarkStart w:id="241" w:name="_Toc28431"/>
      <w:bookmarkStart w:id="242" w:name="_Toc29564"/>
      <w:r>
        <w:rPr>
          <w:rFonts w:hint="eastAsia" w:ascii="仿宋" w:hAnsi="仿宋" w:eastAsia="仿宋" w:cs="仿宋"/>
          <w:b/>
          <w:bCs/>
          <w:color w:val="auto"/>
          <w:highlight w:val="none"/>
        </w:rPr>
        <w:t>五、</w:t>
      </w:r>
      <w:bookmarkEnd w:id="239"/>
      <w:bookmarkEnd w:id="240"/>
      <w:bookmarkEnd w:id="241"/>
      <w:r>
        <w:rPr>
          <w:rFonts w:hint="eastAsia" w:ascii="仿宋" w:hAnsi="仿宋" w:eastAsia="仿宋" w:cs="仿宋"/>
          <w:b/>
          <w:bCs/>
          <w:color w:val="auto"/>
          <w:highlight w:val="none"/>
        </w:rPr>
        <w:t>其他与项目有关的</w:t>
      </w:r>
      <w:bookmarkEnd w:id="242"/>
      <w:r>
        <w:rPr>
          <w:rFonts w:hint="eastAsia" w:ascii="仿宋" w:hAnsi="仿宋" w:eastAsia="仿宋" w:cs="仿宋"/>
          <w:b/>
          <w:bCs/>
          <w:color w:val="auto"/>
          <w:highlight w:val="none"/>
        </w:rPr>
        <w:t>资料</w:t>
      </w:r>
    </w:p>
    <w:p w14:paraId="1D6D8FA0">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（一）供应商总体情况介绍。</w:t>
      </w:r>
    </w:p>
    <w:p w14:paraId="562B336C">
      <w:pPr>
        <w:pStyle w:val="18"/>
        <w:spacing w:line="360" w:lineRule="auto"/>
        <w:ind w:firstLine="480" w:firstLineChars="200"/>
        <w:rPr>
          <w:rFonts w:hint="eastAsia" w:ascii="仿宋" w:hAnsi="仿宋" w:eastAsia="仿宋" w:cs="仿宋"/>
          <w:color w:val="auto"/>
          <w:highlight w:val="none"/>
        </w:rPr>
      </w:pPr>
    </w:p>
    <w:p w14:paraId="75A7678C">
      <w:pPr>
        <w:pStyle w:val="18"/>
        <w:spacing w:line="360" w:lineRule="auto"/>
        <w:rPr>
          <w:rFonts w:hint="eastAsia" w:ascii="仿宋" w:hAnsi="仿宋" w:eastAsia="仿宋" w:cs="仿宋"/>
          <w:b/>
          <w:bCs/>
          <w:color w:val="auto"/>
          <w:highlight w:val="none"/>
        </w:rPr>
      </w:pPr>
    </w:p>
    <w:p w14:paraId="26E227B2">
      <w:pPr>
        <w:spacing w:line="360" w:lineRule="auto"/>
        <w:rPr>
          <w:rFonts w:hint="eastAsia" w:ascii="仿宋" w:hAnsi="仿宋" w:eastAsia="仿宋" w:cs="仿宋"/>
          <w:b/>
          <w:bCs/>
          <w:color w:val="auto"/>
          <w:highlight w:val="none"/>
        </w:rPr>
      </w:pPr>
    </w:p>
    <w:p w14:paraId="2D200984">
      <w:pPr>
        <w:spacing w:line="360" w:lineRule="auto"/>
        <w:rPr>
          <w:rFonts w:hint="eastAsia" w:ascii="仿宋" w:hAnsi="仿宋" w:eastAsia="仿宋" w:cs="仿宋"/>
          <w:b/>
          <w:color w:val="auto"/>
          <w:szCs w:val="28"/>
          <w:highlight w:val="none"/>
        </w:rPr>
      </w:pPr>
      <w:bookmarkStart w:id="243" w:name="_Toc75793540"/>
      <w:bookmarkStart w:id="244" w:name="_Toc29821"/>
      <w:bookmarkStart w:id="245" w:name="_Toc106030417"/>
      <w:bookmarkStart w:id="246" w:name="_Toc10124"/>
      <w:bookmarkStart w:id="247" w:name="_Toc14568"/>
      <w:bookmarkStart w:id="248" w:name="_Toc429584884"/>
      <w:bookmarkStart w:id="249" w:name="_Toc23361"/>
      <w:bookmarkStart w:id="250" w:name="_Toc27943"/>
      <w:bookmarkStart w:id="251" w:name="_Toc31914"/>
      <w:bookmarkStart w:id="252" w:name="_Toc14552"/>
      <w:bookmarkStart w:id="253" w:name="_Toc15893"/>
      <w:bookmarkStart w:id="254" w:name="_Toc13547"/>
      <w:bookmarkStart w:id="255" w:name="_Toc25659"/>
      <w:bookmarkStart w:id="256" w:name="_Toc27612"/>
      <w:bookmarkStart w:id="257" w:name="_Toc21561"/>
      <w:bookmarkStart w:id="258" w:name="_Toc31828"/>
      <w:bookmarkStart w:id="259" w:name="_Toc17074"/>
      <w:r>
        <w:rPr>
          <w:rFonts w:hint="eastAsia" w:ascii="仿宋" w:hAnsi="仿宋" w:eastAsia="仿宋" w:cs="仿宋"/>
          <w:b/>
          <w:color w:val="auto"/>
          <w:szCs w:val="28"/>
          <w:highlight w:val="none"/>
        </w:rPr>
        <w:br w:type="page"/>
      </w:r>
    </w:p>
    <w:p w14:paraId="237BF99B">
      <w:pPr>
        <w:pStyle w:val="4"/>
        <w:spacing w:beforeLines="0" w:line="360" w:lineRule="auto"/>
        <w:ind w:firstLine="562"/>
        <w:rPr>
          <w:rFonts w:hint="eastAsia" w:ascii="仿宋" w:hAnsi="仿宋" w:eastAsia="仿宋" w:cs="仿宋"/>
          <w:color w:val="auto"/>
          <w:highlight w:val="none"/>
        </w:rPr>
      </w:pPr>
      <w:bookmarkStart w:id="260" w:name="_Toc27722"/>
      <w:bookmarkStart w:id="261" w:name="_Toc23145"/>
      <w:bookmarkStart w:id="262" w:name="_Toc18180"/>
      <w:bookmarkStart w:id="263" w:name="_Toc11398"/>
      <w:r>
        <w:rPr>
          <w:rFonts w:hint="eastAsia" w:ascii="仿宋" w:hAnsi="仿宋" w:eastAsia="仿宋" w:cs="仿宋"/>
          <w:color w:val="auto"/>
          <w:highlight w:val="none"/>
        </w:rPr>
        <w:t>一、经济文件</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60"/>
      <w:bookmarkEnd w:id="261"/>
      <w:bookmarkEnd w:id="262"/>
      <w:bookmarkEnd w:id="263"/>
    </w:p>
    <w:p w14:paraId="23AA63F0">
      <w:pPr>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（一）报价一览表</w:t>
      </w:r>
    </w:p>
    <w:p w14:paraId="463BDA3E">
      <w:pPr>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项目名称：</w:t>
      </w:r>
    </w:p>
    <w:tbl>
      <w:tblPr>
        <w:tblStyle w:val="25"/>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4437"/>
        <w:gridCol w:w="3632"/>
      </w:tblGrid>
      <w:tr w14:paraId="4582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12801708">
            <w:pPr>
              <w:spacing w:line="360" w:lineRule="auto"/>
              <w:jc w:val="center"/>
              <w:rPr>
                <w:rFonts w:hint="eastAsia" w:ascii="仿宋" w:hAnsi="仿宋" w:eastAsia="仿宋" w:cs="仿宋"/>
                <w:color w:val="auto"/>
                <w:szCs w:val="40"/>
                <w:highlight w:val="none"/>
              </w:rPr>
            </w:pPr>
            <w:r>
              <w:rPr>
                <w:rFonts w:hint="eastAsia" w:ascii="仿宋" w:hAnsi="仿宋" w:eastAsia="仿宋" w:cs="仿宋"/>
                <w:color w:val="auto"/>
                <w:szCs w:val="40"/>
                <w:highlight w:val="none"/>
              </w:rPr>
              <w:t>供应商名称</w:t>
            </w:r>
          </w:p>
        </w:tc>
        <w:tc>
          <w:tcPr>
            <w:tcW w:w="8069" w:type="dxa"/>
            <w:gridSpan w:val="2"/>
            <w:vAlign w:val="center"/>
          </w:tcPr>
          <w:p w14:paraId="6752D03E">
            <w:pPr>
              <w:spacing w:line="360" w:lineRule="auto"/>
              <w:jc w:val="center"/>
              <w:rPr>
                <w:rFonts w:hint="eastAsia" w:ascii="仿宋" w:hAnsi="仿宋" w:eastAsia="仿宋" w:cs="仿宋"/>
                <w:color w:val="auto"/>
                <w:szCs w:val="40"/>
                <w:highlight w:val="none"/>
              </w:rPr>
            </w:pPr>
          </w:p>
        </w:tc>
      </w:tr>
      <w:tr w14:paraId="5547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225" w:type="dxa"/>
            <w:gridSpan w:val="2"/>
            <w:vAlign w:val="center"/>
          </w:tcPr>
          <w:p w14:paraId="7505BAAF">
            <w:pPr>
              <w:spacing w:line="360" w:lineRule="auto"/>
              <w:jc w:val="center"/>
              <w:rPr>
                <w:rFonts w:hint="eastAsia" w:ascii="仿宋" w:hAnsi="仿宋" w:eastAsia="仿宋" w:cs="仿宋"/>
                <w:color w:val="auto"/>
                <w:szCs w:val="40"/>
                <w:highlight w:val="none"/>
              </w:rPr>
            </w:pPr>
            <w:r>
              <w:rPr>
                <w:rFonts w:hint="eastAsia" w:ascii="仿宋" w:hAnsi="仿宋" w:eastAsia="仿宋" w:cs="仿宋"/>
                <w:color w:val="auto"/>
                <w:szCs w:val="40"/>
                <w:highlight w:val="none"/>
              </w:rPr>
              <w:t>项目名称</w:t>
            </w:r>
          </w:p>
        </w:tc>
        <w:tc>
          <w:tcPr>
            <w:tcW w:w="3632" w:type="dxa"/>
            <w:vAlign w:val="center"/>
          </w:tcPr>
          <w:p w14:paraId="1CE97BC3">
            <w:pPr>
              <w:spacing w:line="360" w:lineRule="auto"/>
              <w:jc w:val="center"/>
              <w:rPr>
                <w:rFonts w:hint="eastAsia" w:ascii="仿宋" w:hAnsi="仿宋" w:eastAsia="仿宋" w:cs="仿宋"/>
                <w:color w:val="auto"/>
                <w:szCs w:val="40"/>
                <w:highlight w:val="none"/>
              </w:rPr>
            </w:pPr>
            <w:r>
              <w:rPr>
                <w:rFonts w:hint="eastAsia" w:ascii="仿宋" w:hAnsi="仿宋" w:eastAsia="仿宋" w:cs="仿宋"/>
                <w:color w:val="auto"/>
                <w:szCs w:val="40"/>
                <w:highlight w:val="none"/>
              </w:rPr>
              <w:t>竞采报价（小写）</w:t>
            </w:r>
          </w:p>
        </w:tc>
      </w:tr>
      <w:tr w14:paraId="411D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6225" w:type="dxa"/>
            <w:gridSpan w:val="2"/>
            <w:vAlign w:val="center"/>
          </w:tcPr>
          <w:p w14:paraId="06D35469">
            <w:pPr>
              <w:spacing w:line="360" w:lineRule="auto"/>
              <w:rPr>
                <w:rFonts w:hint="eastAsia" w:ascii="仿宋" w:hAnsi="仿宋" w:eastAsia="仿宋" w:cs="仿宋"/>
                <w:color w:val="auto"/>
                <w:szCs w:val="40"/>
                <w:highlight w:val="none"/>
              </w:rPr>
            </w:pPr>
          </w:p>
        </w:tc>
        <w:tc>
          <w:tcPr>
            <w:tcW w:w="3632" w:type="dxa"/>
          </w:tcPr>
          <w:p w14:paraId="2E5518EA">
            <w:pPr>
              <w:spacing w:line="360" w:lineRule="auto"/>
              <w:rPr>
                <w:rFonts w:hint="eastAsia" w:ascii="仿宋" w:hAnsi="仿宋" w:eastAsia="仿宋" w:cs="仿宋"/>
                <w:color w:val="auto"/>
                <w:szCs w:val="40"/>
                <w:highlight w:val="none"/>
              </w:rPr>
            </w:pPr>
          </w:p>
        </w:tc>
      </w:tr>
      <w:tr w14:paraId="6A94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857" w:type="dxa"/>
            <w:gridSpan w:val="3"/>
            <w:vAlign w:val="center"/>
          </w:tcPr>
          <w:p w14:paraId="547046F1">
            <w:pPr>
              <w:spacing w:line="360" w:lineRule="auto"/>
              <w:rPr>
                <w:rFonts w:hint="eastAsia" w:ascii="仿宋" w:hAnsi="仿宋" w:eastAsia="仿宋" w:cs="仿宋"/>
                <w:color w:val="auto"/>
                <w:szCs w:val="40"/>
                <w:highlight w:val="none"/>
              </w:rPr>
            </w:pPr>
            <w:r>
              <w:rPr>
                <w:rFonts w:hint="eastAsia" w:ascii="仿宋" w:hAnsi="仿宋" w:eastAsia="仿宋" w:cs="仿宋"/>
                <w:color w:val="auto"/>
                <w:szCs w:val="40"/>
                <w:highlight w:val="none"/>
              </w:rPr>
              <w:t xml:space="preserve">竞采报价（大写）：                           </w:t>
            </w:r>
          </w:p>
        </w:tc>
      </w:tr>
      <w:tr w14:paraId="3C86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857" w:type="dxa"/>
            <w:gridSpan w:val="3"/>
            <w:vAlign w:val="center"/>
          </w:tcPr>
          <w:p w14:paraId="0DD38710">
            <w:pPr>
              <w:pStyle w:val="13"/>
              <w:spacing w:line="360" w:lineRule="auto"/>
              <w:rPr>
                <w:rFonts w:hint="eastAsia" w:ascii="仿宋" w:hAnsi="仿宋" w:eastAsia="仿宋" w:cs="仿宋"/>
                <w:color w:val="auto"/>
                <w:szCs w:val="40"/>
                <w:highlight w:val="none"/>
              </w:rPr>
            </w:pPr>
            <w:r>
              <w:rPr>
                <w:rFonts w:hint="eastAsia" w:ascii="仿宋" w:hAnsi="仿宋" w:eastAsia="仿宋" w:cs="仿宋"/>
                <w:color w:val="auto"/>
                <w:szCs w:val="40"/>
                <w:highlight w:val="none"/>
              </w:rPr>
              <w:t>备注：</w:t>
            </w:r>
          </w:p>
        </w:tc>
      </w:tr>
    </w:tbl>
    <w:p w14:paraId="08D64A49">
      <w:pPr>
        <w:pStyle w:val="13"/>
        <w:spacing w:line="360" w:lineRule="auto"/>
        <w:rPr>
          <w:rFonts w:hint="eastAsia" w:ascii="仿宋" w:hAnsi="仿宋" w:eastAsia="仿宋" w:cs="仿宋"/>
          <w:color w:val="auto"/>
          <w:szCs w:val="32"/>
          <w:highlight w:val="none"/>
        </w:rPr>
      </w:pPr>
    </w:p>
    <w:p w14:paraId="053582BC">
      <w:pPr>
        <w:spacing w:line="360" w:lineRule="auto"/>
        <w:rPr>
          <w:rFonts w:hint="eastAsia" w:ascii="仿宋" w:hAnsi="仿宋" w:eastAsia="仿宋" w:cs="仿宋"/>
          <w:color w:val="auto"/>
          <w:sz w:val="32"/>
          <w:szCs w:val="21"/>
          <w:highlight w:val="none"/>
        </w:rPr>
      </w:pPr>
    </w:p>
    <w:p w14:paraId="093CFA7A">
      <w:pPr>
        <w:spacing w:line="360" w:lineRule="auto"/>
        <w:rPr>
          <w:rFonts w:hint="eastAsia" w:ascii="仿宋" w:hAnsi="仿宋" w:eastAsia="仿宋" w:cs="仿宋"/>
          <w:color w:val="auto"/>
          <w:szCs w:val="32"/>
          <w:highlight w:val="none"/>
        </w:rPr>
      </w:pPr>
    </w:p>
    <w:p w14:paraId="74532A98">
      <w:pPr>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供应商：           法定代表人（或法定代表人授权代表）或自然人：</w:t>
      </w:r>
    </w:p>
    <w:p w14:paraId="682C4694">
      <w:pPr>
        <w:spacing w:line="360" w:lineRule="auto"/>
        <w:rPr>
          <w:rFonts w:hint="eastAsia" w:ascii="仿宋" w:hAnsi="仿宋" w:eastAsia="仿宋" w:cs="仿宋"/>
          <w:color w:val="auto"/>
          <w:szCs w:val="32"/>
          <w:highlight w:val="none"/>
        </w:rPr>
      </w:pPr>
      <w:r>
        <w:rPr>
          <w:rFonts w:hint="eastAsia" w:ascii="仿宋" w:hAnsi="仿宋" w:eastAsia="仿宋" w:cs="仿宋"/>
          <w:color w:val="auto"/>
          <w:szCs w:val="32"/>
          <w:highlight w:val="none"/>
        </w:rPr>
        <w:t xml:space="preserve">  （供应商公章）                        （签署或盖章）</w:t>
      </w:r>
    </w:p>
    <w:p w14:paraId="4D420416">
      <w:pPr>
        <w:spacing w:line="360" w:lineRule="auto"/>
        <w:rPr>
          <w:rFonts w:hint="eastAsia" w:ascii="仿宋" w:hAnsi="仿宋" w:eastAsia="仿宋" w:cs="仿宋"/>
          <w:color w:val="auto"/>
          <w:szCs w:val="32"/>
          <w:highlight w:val="none"/>
        </w:rPr>
      </w:pPr>
    </w:p>
    <w:p w14:paraId="359E6A88">
      <w:pPr>
        <w:spacing w:line="360" w:lineRule="auto"/>
        <w:rPr>
          <w:rFonts w:hint="eastAsia" w:ascii="仿宋" w:hAnsi="仿宋" w:eastAsia="仿宋" w:cs="仿宋"/>
          <w:color w:val="auto"/>
          <w:szCs w:val="32"/>
          <w:highlight w:val="none"/>
        </w:rPr>
      </w:pPr>
    </w:p>
    <w:p w14:paraId="39F3D2BE">
      <w:pPr>
        <w:spacing w:line="360" w:lineRule="auto"/>
        <w:rPr>
          <w:rFonts w:hint="eastAsia" w:ascii="仿宋" w:hAnsi="仿宋" w:eastAsia="仿宋" w:cs="仿宋"/>
          <w:color w:val="auto"/>
          <w:szCs w:val="32"/>
          <w:highlight w:val="none"/>
        </w:rPr>
      </w:pPr>
      <w:r>
        <w:rPr>
          <w:rFonts w:hint="eastAsia" w:ascii="仿宋" w:hAnsi="仿宋" w:eastAsia="仿宋" w:cs="仿宋"/>
          <w:color w:val="auto"/>
          <w:szCs w:val="32"/>
          <w:highlight w:val="none"/>
        </w:rPr>
        <w:t xml:space="preserve">                                            年   月    日</w:t>
      </w:r>
    </w:p>
    <w:p w14:paraId="557D79C9">
      <w:pPr>
        <w:snapToGrid w:val="0"/>
        <w:spacing w:line="360" w:lineRule="auto"/>
        <w:ind w:firstLine="480" w:firstLineChars="200"/>
        <w:rPr>
          <w:rFonts w:hint="eastAsia" w:ascii="仿宋" w:hAnsi="仿宋" w:eastAsia="仿宋" w:cs="仿宋"/>
          <w:color w:val="auto"/>
          <w:sz w:val="24"/>
          <w:szCs w:val="28"/>
          <w:highlight w:val="none"/>
        </w:rPr>
      </w:pPr>
    </w:p>
    <w:p w14:paraId="2BCAC257">
      <w:pPr>
        <w:snapToGrid w:val="0"/>
        <w:spacing w:line="360" w:lineRule="auto"/>
        <w:ind w:firstLine="480" w:firstLineChars="200"/>
        <w:rPr>
          <w:rFonts w:hint="eastAsia" w:ascii="仿宋" w:hAnsi="仿宋" w:eastAsia="仿宋" w:cs="仿宋"/>
          <w:color w:val="auto"/>
          <w:sz w:val="24"/>
          <w:szCs w:val="28"/>
          <w:highlight w:val="none"/>
        </w:rPr>
      </w:pPr>
    </w:p>
    <w:p w14:paraId="5AA48CC0">
      <w:pPr>
        <w:snapToGrid w:val="0"/>
        <w:spacing w:line="360" w:lineRule="auto"/>
        <w:ind w:firstLine="480" w:firstLineChars="200"/>
        <w:rPr>
          <w:rFonts w:hint="eastAsia" w:ascii="仿宋" w:hAnsi="仿宋" w:eastAsia="仿宋" w:cs="仿宋"/>
          <w:color w:val="auto"/>
          <w:sz w:val="24"/>
          <w:szCs w:val="28"/>
          <w:highlight w:val="none"/>
        </w:rPr>
      </w:pPr>
    </w:p>
    <w:p w14:paraId="7ECC7E35">
      <w:pPr>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注：</w:t>
      </w:r>
    </w:p>
    <w:p w14:paraId="78010393">
      <w:pPr>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1.报价一览表按格式填列；</w:t>
      </w:r>
    </w:p>
    <w:p w14:paraId="6524F904">
      <w:pPr>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2.报价一览表务必填写清楚，准确无误。</w:t>
      </w:r>
    </w:p>
    <w:p w14:paraId="6A1FC16B">
      <w:pPr>
        <w:spacing w:line="360" w:lineRule="auto"/>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31289621">
      <w:pPr>
        <w:spacing w:line="360" w:lineRule="auto"/>
        <w:rPr>
          <w:rFonts w:hint="eastAsia" w:ascii="仿宋" w:hAnsi="仿宋" w:eastAsia="仿宋" w:cs="仿宋"/>
          <w:b/>
          <w:bCs/>
          <w:color w:val="auto"/>
          <w:highlight w:val="none"/>
        </w:rPr>
      </w:pPr>
      <w:bookmarkStart w:id="264" w:name="_Toc23238"/>
      <w:bookmarkStart w:id="265" w:name="_Toc17887"/>
      <w:r>
        <w:rPr>
          <w:rFonts w:hint="eastAsia" w:ascii="仿宋" w:hAnsi="仿宋" w:eastAsia="仿宋" w:cs="仿宋"/>
          <w:b/>
          <w:bCs/>
          <w:color w:val="auto"/>
          <w:highlight w:val="none"/>
        </w:rPr>
        <w:t>（二）明细报价表</w:t>
      </w:r>
      <w:bookmarkEnd w:id="264"/>
      <w:bookmarkEnd w:id="265"/>
    </w:p>
    <w:p w14:paraId="1E22F33B">
      <w:pPr>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p>
    <w:p w14:paraId="1CCA3DA7">
      <w:pPr>
        <w:snapToGrid w:val="0"/>
        <w:spacing w:line="360" w:lineRule="auto"/>
        <w:rPr>
          <w:rFonts w:hint="eastAsia" w:ascii="仿宋" w:hAnsi="仿宋" w:eastAsia="仿宋" w:cs="仿宋"/>
          <w:color w:val="auto"/>
          <w:szCs w:val="28"/>
          <w:highlight w:val="none"/>
        </w:rPr>
      </w:pPr>
    </w:p>
    <w:p w14:paraId="385D9BD3">
      <w:pPr>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w:t>
      </w:r>
    </w:p>
    <w:p w14:paraId="7EC9C752">
      <w:pPr>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w:t>
      </w:r>
      <w:r>
        <w:rPr>
          <w:rFonts w:hint="eastAsia" w:ascii="仿宋" w:hAnsi="仿宋" w:eastAsia="仿宋" w:cs="仿宋"/>
          <w:color w:val="auto"/>
          <w:szCs w:val="28"/>
          <w:highlight w:val="none"/>
          <w:lang w:val="en-US" w:eastAsia="zh-CN"/>
        </w:rPr>
        <w:t>根据项目工程量清单，结合实际情况按照招标文件规定自行填报</w:t>
      </w:r>
      <w:r>
        <w:rPr>
          <w:rFonts w:hint="eastAsia" w:ascii="仿宋" w:hAnsi="仿宋" w:eastAsia="仿宋" w:cs="仿宋"/>
          <w:color w:val="auto"/>
          <w:szCs w:val="28"/>
          <w:highlight w:val="none"/>
        </w:rPr>
        <w:t>。</w:t>
      </w:r>
    </w:p>
    <w:p w14:paraId="4846CFE6">
      <w:pPr>
        <w:spacing w:line="360" w:lineRule="auto"/>
        <w:jc w:val="right"/>
        <w:rPr>
          <w:rFonts w:hint="eastAsia" w:ascii="仿宋" w:hAnsi="仿宋" w:eastAsia="仿宋" w:cs="仿宋"/>
          <w:color w:val="auto"/>
          <w:highlight w:val="none"/>
        </w:rPr>
      </w:pPr>
      <w:r>
        <w:rPr>
          <w:rFonts w:hint="eastAsia" w:ascii="仿宋" w:hAnsi="仿宋" w:eastAsia="仿宋" w:cs="仿宋"/>
          <w:color w:val="auto"/>
          <w:szCs w:val="28"/>
          <w:highlight w:val="none"/>
        </w:rPr>
        <w:t>供应商名称（公章）或自然人签署：</w:t>
      </w:r>
    </w:p>
    <w:p w14:paraId="776544B0">
      <w:pPr>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rPr>
        <w:t>年   月   日</w:t>
      </w:r>
    </w:p>
    <w:p w14:paraId="30599E56">
      <w:pPr>
        <w:spacing w:line="360" w:lineRule="auto"/>
        <w:ind w:firstLine="420"/>
        <w:rPr>
          <w:rFonts w:hint="eastAsia" w:ascii="仿宋" w:hAnsi="仿宋" w:eastAsia="仿宋" w:cs="仿宋"/>
          <w:b/>
          <w:color w:val="auto"/>
          <w:szCs w:val="28"/>
          <w:highlight w:val="none"/>
        </w:rPr>
      </w:pPr>
    </w:p>
    <w:p w14:paraId="3F2028E7">
      <w:pPr>
        <w:spacing w:line="360" w:lineRule="auto"/>
        <w:rPr>
          <w:rFonts w:hint="eastAsia" w:ascii="仿宋" w:hAnsi="仿宋" w:eastAsia="仿宋" w:cs="仿宋"/>
          <w:color w:val="auto"/>
          <w:highlight w:val="none"/>
        </w:rPr>
        <w:sectPr>
          <w:pgSz w:w="11907" w:h="16840"/>
          <w:pgMar w:top="1440" w:right="1080" w:bottom="1440" w:left="1080" w:header="850" w:footer="992" w:gutter="0"/>
          <w:pgBorders>
            <w:top w:val="none" w:sz="0" w:space="0"/>
            <w:left w:val="none" w:sz="0" w:space="0"/>
            <w:bottom w:val="none" w:sz="0" w:space="0"/>
            <w:right w:val="none" w:sz="0" w:space="0"/>
          </w:pgBorders>
          <w:pgNumType w:fmt="decimal"/>
          <w:cols w:space="720" w:num="1"/>
          <w:docGrid w:linePitch="312" w:charSpace="0"/>
        </w:sectPr>
      </w:pPr>
    </w:p>
    <w:p w14:paraId="4F5DE0A7">
      <w:pPr>
        <w:pStyle w:val="4"/>
        <w:spacing w:beforeLines="0" w:line="360" w:lineRule="auto"/>
        <w:ind w:firstLine="562"/>
        <w:rPr>
          <w:rFonts w:hint="eastAsia" w:ascii="仿宋" w:hAnsi="仿宋" w:eastAsia="仿宋" w:cs="仿宋"/>
          <w:color w:val="auto"/>
          <w:highlight w:val="none"/>
        </w:rPr>
      </w:pPr>
      <w:bookmarkStart w:id="266" w:name="_Toc18485"/>
      <w:bookmarkStart w:id="267" w:name="_Toc23499"/>
      <w:bookmarkStart w:id="268" w:name="_Toc18310"/>
      <w:bookmarkStart w:id="269" w:name="_Toc14140"/>
      <w:bookmarkStart w:id="270" w:name="_Toc553"/>
      <w:bookmarkStart w:id="271" w:name="_Toc6124"/>
      <w:bookmarkStart w:id="272" w:name="_Toc24200"/>
      <w:bookmarkStart w:id="273" w:name="_Toc4271"/>
      <w:r>
        <w:rPr>
          <w:rFonts w:hint="eastAsia" w:ascii="仿宋" w:hAnsi="仿宋" w:eastAsia="仿宋" w:cs="仿宋"/>
          <w:color w:val="auto"/>
          <w:highlight w:val="none"/>
        </w:rPr>
        <w:t>二、资格条件及其他</w:t>
      </w:r>
      <w:bookmarkEnd w:id="266"/>
      <w:bookmarkEnd w:id="267"/>
      <w:bookmarkEnd w:id="268"/>
      <w:bookmarkEnd w:id="269"/>
      <w:bookmarkEnd w:id="270"/>
      <w:bookmarkEnd w:id="271"/>
      <w:bookmarkEnd w:id="272"/>
      <w:bookmarkEnd w:id="273"/>
    </w:p>
    <w:p w14:paraId="064BE9CF">
      <w:pPr>
        <w:tabs>
          <w:tab w:val="left" w:pos="6300"/>
        </w:tabs>
        <w:snapToGrid w:val="0"/>
        <w:spacing w:line="360" w:lineRule="auto"/>
        <w:ind w:firstLine="57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（一）法人营业执照（副本）或个体工商户营业执照</w:t>
      </w:r>
    </w:p>
    <w:p w14:paraId="7504F6B3">
      <w:pPr>
        <w:spacing w:line="360" w:lineRule="auto"/>
        <w:jc w:val="center"/>
        <w:rPr>
          <w:rFonts w:hint="eastAsia" w:ascii="仿宋" w:hAnsi="仿宋" w:eastAsia="仿宋" w:cs="仿宋"/>
          <w:color w:val="auto"/>
          <w:highlight w:val="none"/>
          <w:u w:val="single"/>
        </w:rPr>
      </w:pPr>
    </w:p>
    <w:p w14:paraId="2A22FF34">
      <w:pPr>
        <w:spacing w:line="360" w:lineRule="auto"/>
        <w:rPr>
          <w:rFonts w:hint="eastAsia" w:ascii="仿宋" w:hAnsi="仿宋" w:eastAsia="仿宋" w:cs="仿宋"/>
          <w:color w:val="auto"/>
          <w:highlight w:val="none"/>
        </w:rPr>
      </w:pPr>
    </w:p>
    <w:p w14:paraId="7C5185D0">
      <w:pPr>
        <w:spacing w:line="360" w:lineRule="auto"/>
        <w:rPr>
          <w:rFonts w:hint="eastAsia" w:ascii="仿宋" w:hAnsi="仿宋" w:eastAsia="仿宋" w:cs="仿宋"/>
          <w:color w:val="auto"/>
          <w:highlight w:val="none"/>
        </w:rPr>
      </w:pPr>
    </w:p>
    <w:p w14:paraId="1034799A">
      <w:pPr>
        <w:spacing w:line="360" w:lineRule="auto"/>
        <w:rPr>
          <w:rFonts w:hint="eastAsia" w:ascii="仿宋" w:hAnsi="仿宋" w:eastAsia="仿宋" w:cs="仿宋"/>
          <w:color w:val="auto"/>
          <w:highlight w:val="none"/>
        </w:rPr>
      </w:pPr>
    </w:p>
    <w:p w14:paraId="04211E44">
      <w:pPr>
        <w:spacing w:line="360" w:lineRule="auto"/>
        <w:rPr>
          <w:rFonts w:hint="eastAsia" w:ascii="仿宋" w:hAnsi="仿宋" w:eastAsia="仿宋" w:cs="仿宋"/>
          <w:color w:val="auto"/>
          <w:highlight w:val="none"/>
        </w:rPr>
      </w:pPr>
    </w:p>
    <w:p w14:paraId="3F6CA370">
      <w:pPr>
        <w:spacing w:line="360" w:lineRule="auto"/>
        <w:rPr>
          <w:rFonts w:hint="eastAsia" w:ascii="仿宋" w:hAnsi="仿宋" w:eastAsia="仿宋" w:cs="仿宋"/>
          <w:color w:val="auto"/>
          <w:highlight w:val="none"/>
        </w:rPr>
      </w:pPr>
    </w:p>
    <w:p w14:paraId="3848BC42">
      <w:pPr>
        <w:spacing w:line="360" w:lineRule="auto"/>
        <w:rPr>
          <w:rFonts w:hint="eastAsia" w:ascii="仿宋" w:hAnsi="仿宋" w:eastAsia="仿宋" w:cs="仿宋"/>
          <w:color w:val="auto"/>
          <w:highlight w:val="none"/>
        </w:rPr>
      </w:pPr>
    </w:p>
    <w:p w14:paraId="1B1BAB61">
      <w:pPr>
        <w:spacing w:line="360" w:lineRule="auto"/>
        <w:rPr>
          <w:rFonts w:hint="eastAsia" w:ascii="仿宋" w:hAnsi="仿宋" w:eastAsia="仿宋" w:cs="仿宋"/>
          <w:color w:val="auto"/>
          <w:highlight w:val="none"/>
        </w:rPr>
      </w:pPr>
    </w:p>
    <w:p w14:paraId="306490AB">
      <w:pPr>
        <w:spacing w:line="360" w:lineRule="auto"/>
        <w:rPr>
          <w:rFonts w:hint="eastAsia" w:ascii="仿宋" w:hAnsi="仿宋" w:eastAsia="仿宋" w:cs="仿宋"/>
          <w:color w:val="auto"/>
          <w:highlight w:val="none"/>
        </w:rPr>
      </w:pPr>
    </w:p>
    <w:p w14:paraId="11E26BD4">
      <w:pPr>
        <w:spacing w:line="360" w:lineRule="auto"/>
        <w:rPr>
          <w:rFonts w:hint="eastAsia" w:ascii="仿宋" w:hAnsi="仿宋" w:eastAsia="仿宋" w:cs="仿宋"/>
          <w:color w:val="auto"/>
          <w:highlight w:val="none"/>
        </w:rPr>
      </w:pPr>
    </w:p>
    <w:p w14:paraId="16B5F8A5">
      <w:pPr>
        <w:spacing w:line="360" w:lineRule="auto"/>
        <w:rPr>
          <w:rFonts w:hint="eastAsia" w:ascii="仿宋" w:hAnsi="仿宋" w:eastAsia="仿宋" w:cs="仿宋"/>
          <w:color w:val="auto"/>
          <w:highlight w:val="none"/>
        </w:rPr>
      </w:pPr>
    </w:p>
    <w:p w14:paraId="7BE87514">
      <w:pPr>
        <w:spacing w:line="360" w:lineRule="auto"/>
        <w:rPr>
          <w:rFonts w:hint="eastAsia" w:ascii="仿宋" w:hAnsi="仿宋" w:eastAsia="仿宋" w:cs="仿宋"/>
          <w:color w:val="auto"/>
          <w:highlight w:val="none"/>
        </w:rPr>
      </w:pPr>
    </w:p>
    <w:p w14:paraId="28229ABB">
      <w:pPr>
        <w:spacing w:line="360" w:lineRule="auto"/>
        <w:rPr>
          <w:rFonts w:hint="eastAsia" w:ascii="仿宋" w:hAnsi="仿宋" w:eastAsia="仿宋" w:cs="仿宋"/>
          <w:color w:val="auto"/>
          <w:highlight w:val="none"/>
        </w:rPr>
      </w:pPr>
    </w:p>
    <w:p w14:paraId="38992AD1">
      <w:pPr>
        <w:spacing w:line="360" w:lineRule="auto"/>
        <w:rPr>
          <w:rFonts w:hint="eastAsia" w:ascii="仿宋" w:hAnsi="仿宋" w:eastAsia="仿宋" w:cs="仿宋"/>
          <w:color w:val="auto"/>
          <w:highlight w:val="none"/>
        </w:rPr>
      </w:pPr>
    </w:p>
    <w:p w14:paraId="60A41CD3">
      <w:pPr>
        <w:spacing w:line="360" w:lineRule="auto"/>
        <w:rPr>
          <w:rFonts w:hint="eastAsia" w:ascii="仿宋" w:hAnsi="仿宋" w:eastAsia="仿宋" w:cs="仿宋"/>
          <w:color w:val="auto"/>
          <w:highlight w:val="none"/>
        </w:rPr>
      </w:pPr>
    </w:p>
    <w:p w14:paraId="59B4A2E6">
      <w:pPr>
        <w:spacing w:line="360" w:lineRule="auto"/>
        <w:rPr>
          <w:rFonts w:hint="eastAsia" w:ascii="仿宋" w:hAnsi="仿宋" w:eastAsia="仿宋" w:cs="仿宋"/>
          <w:color w:val="auto"/>
          <w:highlight w:val="none"/>
        </w:rPr>
      </w:pPr>
    </w:p>
    <w:p w14:paraId="037BEE39">
      <w:pPr>
        <w:spacing w:line="360" w:lineRule="auto"/>
        <w:rPr>
          <w:rFonts w:hint="eastAsia" w:ascii="仿宋" w:hAnsi="仿宋" w:eastAsia="仿宋" w:cs="仿宋"/>
          <w:color w:val="auto"/>
          <w:highlight w:val="none"/>
        </w:rPr>
      </w:pPr>
    </w:p>
    <w:p w14:paraId="3848F19E">
      <w:pPr>
        <w:spacing w:line="360" w:lineRule="auto"/>
        <w:ind w:firstLine="560" w:firstLineChars="200"/>
        <w:jc w:val="left"/>
        <w:rPr>
          <w:rFonts w:hint="eastAsia" w:ascii="仿宋" w:hAnsi="仿宋" w:eastAsia="仿宋" w:cs="仿宋"/>
          <w:b/>
          <w:color w:val="auto"/>
          <w:sz w:val="2"/>
          <w:szCs w:val="2"/>
          <w:highlight w:val="none"/>
        </w:rPr>
      </w:pPr>
      <w:r>
        <w:rPr>
          <w:rFonts w:hint="eastAsia" w:ascii="仿宋" w:hAnsi="仿宋" w:eastAsia="仿宋" w:cs="仿宋"/>
          <w:color w:val="auto"/>
          <w:highlight w:val="none"/>
        </w:rPr>
        <w:br w:type="page"/>
      </w:r>
      <w:bookmarkStart w:id="274" w:name="_Toc13155"/>
      <w:bookmarkStart w:id="275" w:name="_Toc22071"/>
      <w:bookmarkStart w:id="276" w:name="_Toc15489"/>
      <w:bookmarkStart w:id="277" w:name="_Toc16414"/>
      <w:r>
        <w:rPr>
          <w:rFonts w:hint="eastAsia" w:ascii="仿宋" w:hAnsi="仿宋" w:eastAsia="仿宋" w:cs="仿宋"/>
          <w:b/>
          <w:bCs/>
          <w:color w:val="auto"/>
          <w:highlight w:val="none"/>
        </w:rPr>
        <w:t>（二）法定代表人身份证明书</w:t>
      </w:r>
      <w:bookmarkEnd w:id="274"/>
      <w:r>
        <w:rPr>
          <w:rFonts w:hint="eastAsia" w:ascii="仿宋" w:hAnsi="仿宋" w:eastAsia="仿宋" w:cs="仿宋"/>
          <w:b/>
          <w:bCs/>
          <w:color w:val="auto"/>
          <w:highlight w:val="none"/>
        </w:rPr>
        <w:t>（格式）</w:t>
      </w:r>
      <w:bookmarkEnd w:id="275"/>
      <w:bookmarkEnd w:id="276"/>
      <w:bookmarkEnd w:id="277"/>
    </w:p>
    <w:p w14:paraId="2273198B">
      <w:pPr>
        <w:tabs>
          <w:tab w:val="left" w:pos="6300"/>
        </w:tabs>
        <w:snapToGrid w:val="0"/>
        <w:spacing w:line="360" w:lineRule="auto"/>
        <w:ind w:firstLine="480"/>
        <w:rPr>
          <w:rFonts w:hint="eastAsia" w:ascii="仿宋" w:hAnsi="仿宋" w:eastAsia="仿宋" w:cs="仿宋"/>
          <w:color w:val="auto"/>
          <w:highlight w:val="none"/>
        </w:rPr>
      </w:pPr>
    </w:p>
    <w:p w14:paraId="60142D9E">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项目名称：</w:t>
      </w:r>
      <w:r>
        <w:rPr>
          <w:rFonts w:hint="eastAsia" w:ascii="仿宋" w:hAnsi="仿宋" w:eastAsia="仿宋" w:cs="仿宋"/>
          <w:color w:val="auto"/>
          <w:szCs w:val="28"/>
          <w:highlight w:val="none"/>
          <w:u w:val="single"/>
        </w:rPr>
        <w:t xml:space="preserve">                                         </w:t>
      </w:r>
    </w:p>
    <w:p w14:paraId="38A3563E">
      <w:pPr>
        <w:tabs>
          <w:tab w:val="left" w:pos="6300"/>
        </w:tabs>
        <w:snapToGrid w:val="0"/>
        <w:spacing w:line="360" w:lineRule="auto"/>
        <w:ind w:firstLine="570"/>
        <w:rPr>
          <w:rFonts w:hint="eastAsia" w:ascii="仿宋" w:hAnsi="仿宋" w:eastAsia="仿宋" w:cs="仿宋"/>
          <w:color w:val="auto"/>
          <w:szCs w:val="28"/>
          <w:highlight w:val="none"/>
        </w:rPr>
      </w:pPr>
    </w:p>
    <w:p w14:paraId="3398F79D">
      <w:pPr>
        <w:tabs>
          <w:tab w:val="left" w:pos="6300"/>
        </w:tabs>
        <w:snapToGrid w:val="0"/>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（代理机构名称）：</w:t>
      </w:r>
    </w:p>
    <w:p w14:paraId="71A78D34">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（法定代表人姓名）在</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（供应商名称）任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（职务名称）职务，是</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（供应商名称）的法定代表人。</w:t>
      </w:r>
    </w:p>
    <w:p w14:paraId="75524709">
      <w:pPr>
        <w:tabs>
          <w:tab w:val="left" w:pos="6300"/>
        </w:tabs>
        <w:snapToGrid w:val="0"/>
        <w:spacing w:line="360" w:lineRule="auto"/>
        <w:ind w:firstLine="570"/>
        <w:rPr>
          <w:rFonts w:hint="eastAsia" w:ascii="仿宋" w:hAnsi="仿宋" w:eastAsia="仿宋" w:cs="仿宋"/>
          <w:color w:val="auto"/>
          <w:szCs w:val="28"/>
          <w:highlight w:val="none"/>
        </w:rPr>
      </w:pPr>
    </w:p>
    <w:p w14:paraId="7230F4AF">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2413782E">
      <w:pPr>
        <w:tabs>
          <w:tab w:val="left" w:pos="6300"/>
        </w:tabs>
        <w:snapToGrid w:val="0"/>
        <w:spacing w:line="360" w:lineRule="auto"/>
        <w:ind w:firstLine="570"/>
        <w:rPr>
          <w:rFonts w:hint="eastAsia" w:ascii="仿宋" w:hAnsi="仿宋" w:eastAsia="仿宋" w:cs="仿宋"/>
          <w:color w:val="auto"/>
          <w:szCs w:val="28"/>
          <w:highlight w:val="none"/>
        </w:rPr>
      </w:pPr>
    </w:p>
    <w:p w14:paraId="6C3E484F">
      <w:pPr>
        <w:tabs>
          <w:tab w:val="left" w:pos="6300"/>
        </w:tabs>
        <w:snapToGrid w:val="0"/>
        <w:spacing w:line="360" w:lineRule="auto"/>
        <w:ind w:firstLine="570"/>
        <w:rPr>
          <w:rFonts w:hint="eastAsia" w:ascii="仿宋" w:hAnsi="仿宋" w:eastAsia="仿宋" w:cs="仿宋"/>
          <w:color w:val="auto"/>
          <w:szCs w:val="28"/>
          <w:highlight w:val="none"/>
        </w:rPr>
      </w:pPr>
    </w:p>
    <w:p w14:paraId="7C524FA9">
      <w:pPr>
        <w:tabs>
          <w:tab w:val="left" w:pos="6300"/>
        </w:tabs>
        <w:snapToGrid w:val="0"/>
        <w:spacing w:line="360" w:lineRule="auto"/>
        <w:ind w:firstLine="570"/>
        <w:rPr>
          <w:rFonts w:hint="eastAsia" w:ascii="仿宋" w:hAnsi="仿宋" w:eastAsia="仿宋" w:cs="仿宋"/>
          <w:color w:val="auto"/>
          <w:szCs w:val="28"/>
          <w:highlight w:val="none"/>
        </w:rPr>
      </w:pPr>
    </w:p>
    <w:p w14:paraId="3057CB95">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（供应商公章）</w:t>
      </w:r>
    </w:p>
    <w:p w14:paraId="060BDDFD">
      <w:pPr>
        <w:tabs>
          <w:tab w:val="left" w:pos="6300"/>
        </w:tabs>
        <w:snapToGrid w:val="0"/>
        <w:spacing w:line="360" w:lineRule="auto"/>
        <w:ind w:firstLine="570"/>
        <w:rPr>
          <w:rFonts w:hint="eastAsia" w:ascii="仿宋" w:hAnsi="仿宋" w:eastAsia="仿宋" w:cs="仿宋"/>
          <w:color w:val="auto"/>
          <w:szCs w:val="28"/>
          <w:highlight w:val="none"/>
        </w:rPr>
      </w:pPr>
    </w:p>
    <w:p w14:paraId="640C8A10">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年   月   日</w:t>
      </w:r>
    </w:p>
    <w:p w14:paraId="5ACBBE49">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法定代表人电话：XXXXXXX      电子邮箱：XXXXXX@XXXXX（若授权他人办理并签署响应文件的可不填写）</w:t>
      </w:r>
    </w:p>
    <w:p w14:paraId="090C8D01">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（附：法定代表人身份证正反面复印件）</w:t>
      </w:r>
    </w:p>
    <w:p w14:paraId="6A2706B3">
      <w:pPr>
        <w:spacing w:line="360" w:lineRule="auto"/>
        <w:rPr>
          <w:rFonts w:hint="eastAsia" w:ascii="仿宋" w:hAnsi="仿宋" w:eastAsia="仿宋" w:cs="仿宋"/>
          <w:b/>
          <w:bCs/>
          <w:color w:val="auto"/>
          <w:highlight w:val="none"/>
        </w:rPr>
      </w:pPr>
    </w:p>
    <w:p w14:paraId="6526F2C0">
      <w:pPr>
        <w:spacing w:line="360" w:lineRule="auto"/>
        <w:rPr>
          <w:rFonts w:hint="eastAsia" w:ascii="仿宋" w:hAnsi="仿宋" w:eastAsia="仿宋" w:cs="仿宋"/>
          <w:color w:val="auto"/>
          <w:highlight w:val="none"/>
        </w:rPr>
      </w:pPr>
    </w:p>
    <w:p w14:paraId="30B56F6A">
      <w:pPr>
        <w:spacing w:line="360" w:lineRule="auto"/>
        <w:rPr>
          <w:rFonts w:hint="eastAsia" w:ascii="仿宋" w:hAnsi="仿宋" w:eastAsia="仿宋" w:cs="仿宋"/>
          <w:b/>
          <w:color w:val="auto"/>
          <w:highlight w:val="none"/>
        </w:rPr>
      </w:pPr>
    </w:p>
    <w:p w14:paraId="1BFDED41">
      <w:pPr>
        <w:spacing w:line="360" w:lineRule="auto"/>
        <w:rPr>
          <w:rFonts w:hint="eastAsia" w:ascii="仿宋" w:hAnsi="仿宋" w:eastAsia="仿宋" w:cs="仿宋"/>
          <w:b/>
          <w:color w:val="auto"/>
          <w:highlight w:val="none"/>
        </w:rPr>
      </w:pPr>
    </w:p>
    <w:p w14:paraId="3623A259">
      <w:pPr>
        <w:tabs>
          <w:tab w:val="left" w:pos="6300"/>
        </w:tabs>
        <w:snapToGrid w:val="0"/>
        <w:spacing w:line="360" w:lineRule="auto"/>
        <w:ind w:right="480" w:firstLine="570"/>
        <w:jc w:val="left"/>
        <w:rPr>
          <w:rFonts w:hint="eastAsia" w:ascii="仿宋" w:hAnsi="仿宋" w:eastAsia="仿宋" w:cs="仿宋"/>
          <w:color w:val="auto"/>
          <w:szCs w:val="28"/>
          <w:highlight w:val="none"/>
        </w:rPr>
      </w:pPr>
    </w:p>
    <w:p w14:paraId="3390318C">
      <w:pPr>
        <w:tabs>
          <w:tab w:val="left" w:pos="6300"/>
        </w:tabs>
        <w:snapToGrid w:val="0"/>
        <w:spacing w:line="360" w:lineRule="auto"/>
        <w:ind w:right="480" w:firstLine="570"/>
        <w:jc w:val="left"/>
        <w:rPr>
          <w:rFonts w:hint="eastAsia" w:ascii="仿宋" w:hAnsi="仿宋" w:eastAsia="仿宋" w:cs="仿宋"/>
          <w:color w:val="auto"/>
          <w:szCs w:val="28"/>
          <w:highlight w:val="none"/>
        </w:rPr>
      </w:pPr>
    </w:p>
    <w:p w14:paraId="69AD4337">
      <w:pPr>
        <w:tabs>
          <w:tab w:val="left" w:pos="6300"/>
        </w:tabs>
        <w:snapToGrid w:val="0"/>
        <w:spacing w:line="360" w:lineRule="auto"/>
        <w:ind w:right="480" w:firstLine="570"/>
        <w:jc w:val="left"/>
        <w:rPr>
          <w:rFonts w:hint="eastAsia" w:ascii="仿宋" w:hAnsi="仿宋" w:eastAsia="仿宋" w:cs="仿宋"/>
          <w:color w:val="auto"/>
          <w:szCs w:val="28"/>
          <w:highlight w:val="none"/>
        </w:rPr>
      </w:pPr>
    </w:p>
    <w:p w14:paraId="3D02D90E">
      <w:pPr>
        <w:spacing w:line="360" w:lineRule="auto"/>
        <w:rPr>
          <w:rFonts w:hint="eastAsia" w:ascii="仿宋" w:hAnsi="仿宋" w:eastAsia="仿宋" w:cs="仿宋"/>
          <w:b/>
          <w:bCs/>
          <w:color w:val="auto"/>
          <w:highlight w:val="none"/>
        </w:rPr>
      </w:pPr>
      <w:bookmarkStart w:id="278" w:name="_Toc5047"/>
      <w:bookmarkStart w:id="279" w:name="_Toc13316"/>
      <w:bookmarkStart w:id="280" w:name="_Toc22622"/>
      <w:bookmarkStart w:id="281" w:name="_Toc13955"/>
      <w:r>
        <w:rPr>
          <w:rFonts w:hint="eastAsia" w:ascii="仿宋" w:hAnsi="仿宋" w:eastAsia="仿宋" w:cs="仿宋"/>
          <w:b/>
          <w:bCs/>
          <w:color w:val="auto"/>
          <w:highlight w:val="none"/>
        </w:rPr>
        <w:t>（三）法定代表人授权委托书</w:t>
      </w:r>
      <w:bookmarkEnd w:id="278"/>
      <w:r>
        <w:rPr>
          <w:rFonts w:hint="eastAsia" w:ascii="仿宋" w:hAnsi="仿宋" w:eastAsia="仿宋" w:cs="仿宋"/>
          <w:b/>
          <w:bCs/>
          <w:color w:val="auto"/>
          <w:highlight w:val="none"/>
        </w:rPr>
        <w:t>（格式）</w:t>
      </w:r>
      <w:bookmarkEnd w:id="279"/>
      <w:bookmarkEnd w:id="280"/>
      <w:bookmarkEnd w:id="281"/>
    </w:p>
    <w:p w14:paraId="09576780">
      <w:pPr>
        <w:tabs>
          <w:tab w:val="left" w:pos="6300"/>
        </w:tabs>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项目名称：</w:t>
      </w:r>
      <w:r>
        <w:rPr>
          <w:rFonts w:hint="eastAsia" w:ascii="仿宋" w:hAnsi="仿宋" w:eastAsia="仿宋" w:cs="仿宋"/>
          <w:color w:val="auto"/>
          <w:szCs w:val="28"/>
          <w:highlight w:val="none"/>
          <w:u w:val="single"/>
        </w:rPr>
        <w:t xml:space="preserve">                                                </w:t>
      </w:r>
    </w:p>
    <w:p w14:paraId="23A2C809">
      <w:pPr>
        <w:tabs>
          <w:tab w:val="left" w:pos="6300"/>
        </w:tabs>
        <w:snapToGrid w:val="0"/>
        <w:spacing w:line="360" w:lineRule="auto"/>
        <w:ind w:firstLine="570"/>
        <w:rPr>
          <w:rFonts w:hint="eastAsia" w:ascii="仿宋" w:hAnsi="仿宋" w:eastAsia="仿宋" w:cs="仿宋"/>
          <w:color w:val="auto"/>
          <w:szCs w:val="28"/>
          <w:highlight w:val="none"/>
        </w:rPr>
      </w:pPr>
    </w:p>
    <w:p w14:paraId="7F6BD7E2">
      <w:pPr>
        <w:tabs>
          <w:tab w:val="left" w:pos="6300"/>
        </w:tabs>
        <w:snapToGrid w:val="0"/>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（采购代理机构名称）：</w:t>
      </w:r>
    </w:p>
    <w:p w14:paraId="1E36BF7F">
      <w:pPr>
        <w:tabs>
          <w:tab w:val="left" w:pos="6300"/>
        </w:tabs>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（供应商法定代表人名称）是</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（供应商名称）的法定代表人，特授权</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（被授权人姓名及身份证代码）代表我单位全权办理上述项目的竞采、签约等具体工作，并签署全部有关文件、协议及合同。</w:t>
      </w:r>
    </w:p>
    <w:p w14:paraId="52E3904A">
      <w:pPr>
        <w:tabs>
          <w:tab w:val="left" w:pos="6300"/>
        </w:tabs>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我单位对被授权人的签署负全部责任。</w:t>
      </w:r>
    </w:p>
    <w:p w14:paraId="48349E32">
      <w:pPr>
        <w:tabs>
          <w:tab w:val="left" w:pos="6300"/>
        </w:tabs>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在撤销授权的书面通知以前，本授权书一直有效。被授权人在授权书有效期内签署的所有文件不因授权的撤销而失效。</w:t>
      </w:r>
    </w:p>
    <w:p w14:paraId="2384264B">
      <w:pPr>
        <w:tabs>
          <w:tab w:val="left" w:pos="6300"/>
        </w:tabs>
        <w:snapToGrid w:val="0"/>
        <w:spacing w:line="360" w:lineRule="auto"/>
        <w:ind w:firstLine="570"/>
        <w:rPr>
          <w:rFonts w:hint="eastAsia" w:ascii="仿宋" w:hAnsi="仿宋" w:eastAsia="仿宋" w:cs="仿宋"/>
          <w:color w:val="auto"/>
          <w:szCs w:val="28"/>
          <w:highlight w:val="none"/>
        </w:rPr>
      </w:pPr>
    </w:p>
    <w:p w14:paraId="5C901E25">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被授权人：                                 供应商法定代表人：</w:t>
      </w:r>
    </w:p>
    <w:p w14:paraId="1E6F80B7">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（签署或盖章）                                （签署或盖章）</w:t>
      </w:r>
    </w:p>
    <w:p w14:paraId="173C58A6">
      <w:pPr>
        <w:tabs>
          <w:tab w:val="left" w:pos="6300"/>
        </w:tabs>
        <w:snapToGrid w:val="0"/>
        <w:spacing w:line="360" w:lineRule="auto"/>
        <w:rPr>
          <w:rFonts w:hint="eastAsia" w:ascii="仿宋" w:hAnsi="仿宋" w:eastAsia="仿宋" w:cs="仿宋"/>
          <w:color w:val="auto"/>
          <w:szCs w:val="28"/>
          <w:highlight w:val="none"/>
        </w:rPr>
      </w:pPr>
    </w:p>
    <w:p w14:paraId="12CD61C1">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（附：被授权人身份证正反面复印件）</w:t>
      </w:r>
    </w:p>
    <w:p w14:paraId="2246BFF0">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p>
    <w:p w14:paraId="29B60126">
      <w:pPr>
        <w:tabs>
          <w:tab w:val="left" w:pos="6300"/>
        </w:tabs>
        <w:snapToGrid w:val="0"/>
        <w:spacing w:line="360" w:lineRule="auto"/>
        <w:ind w:firstLine="570"/>
        <w:rPr>
          <w:rFonts w:hint="eastAsia" w:ascii="仿宋" w:hAnsi="仿宋" w:eastAsia="仿宋" w:cs="仿宋"/>
          <w:color w:val="auto"/>
          <w:szCs w:val="28"/>
          <w:highlight w:val="none"/>
        </w:rPr>
      </w:pPr>
    </w:p>
    <w:p w14:paraId="77A2E30C">
      <w:pPr>
        <w:tabs>
          <w:tab w:val="left" w:pos="6300"/>
        </w:tabs>
        <w:snapToGrid w:val="0"/>
        <w:spacing w:line="360" w:lineRule="auto"/>
        <w:ind w:firstLine="570"/>
        <w:rPr>
          <w:rFonts w:hint="eastAsia" w:ascii="仿宋" w:hAnsi="仿宋" w:eastAsia="仿宋" w:cs="仿宋"/>
          <w:color w:val="auto"/>
          <w:szCs w:val="28"/>
          <w:highlight w:val="none"/>
        </w:rPr>
      </w:pPr>
    </w:p>
    <w:p w14:paraId="4B52D184">
      <w:pPr>
        <w:tabs>
          <w:tab w:val="left" w:pos="6300"/>
        </w:tabs>
        <w:snapToGrid w:val="0"/>
        <w:spacing w:line="360" w:lineRule="auto"/>
        <w:ind w:right="480" w:firstLine="57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（供应商公章）</w:t>
      </w:r>
    </w:p>
    <w:p w14:paraId="7F427CBA">
      <w:pPr>
        <w:tabs>
          <w:tab w:val="left" w:pos="6300"/>
        </w:tabs>
        <w:snapToGrid w:val="0"/>
        <w:spacing w:line="360" w:lineRule="auto"/>
        <w:ind w:right="480" w:firstLine="57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240926F0">
      <w:pPr>
        <w:tabs>
          <w:tab w:val="left" w:pos="6300"/>
        </w:tabs>
        <w:snapToGrid w:val="0"/>
        <w:spacing w:line="360" w:lineRule="auto"/>
        <w:ind w:right="480" w:firstLine="57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被授权人电话：XXXXXXX     电子邮箱：XXXXXX@XXXXX（若法定代表人办理并签署响应文件的可不填写）</w:t>
      </w:r>
    </w:p>
    <w:p w14:paraId="67012D91">
      <w:pPr>
        <w:snapToGrid w:val="0"/>
        <w:spacing w:line="360" w:lineRule="auto"/>
        <w:ind w:firstLine="560" w:firstLineChars="200"/>
        <w:rPr>
          <w:rFonts w:hint="eastAsia" w:ascii="仿宋" w:hAnsi="仿宋" w:eastAsia="仿宋" w:cs="仿宋"/>
          <w:color w:val="auto"/>
          <w:szCs w:val="28"/>
          <w:highlight w:val="none"/>
        </w:rPr>
      </w:pPr>
    </w:p>
    <w:p w14:paraId="0AA3551A">
      <w:pPr>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注：1.若为法定代表人办理并签署相应文件的，不提供此文件。</w:t>
      </w:r>
    </w:p>
    <w:p w14:paraId="63B7D32A">
      <w:pPr>
        <w:snapToGrid w:val="0"/>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szCs w:val="28"/>
          <w:highlight w:val="none"/>
        </w:rPr>
        <w:br w:type="page"/>
      </w:r>
    </w:p>
    <w:p w14:paraId="4B5CF805">
      <w:pPr>
        <w:spacing w:line="360" w:lineRule="auto"/>
        <w:rPr>
          <w:rFonts w:hint="eastAsia" w:ascii="仿宋" w:hAnsi="仿宋" w:eastAsia="仿宋" w:cs="仿宋"/>
          <w:b/>
          <w:bCs/>
          <w:color w:val="auto"/>
          <w:highlight w:val="none"/>
        </w:rPr>
      </w:pPr>
      <w:bookmarkStart w:id="282" w:name="_Toc16943"/>
      <w:bookmarkStart w:id="283" w:name="_Toc6935"/>
      <w:bookmarkStart w:id="284" w:name="_Toc30268"/>
      <w:bookmarkStart w:id="285" w:name="_Toc10882"/>
      <w:bookmarkStart w:id="286" w:name="_Toc14569"/>
      <w:r>
        <w:rPr>
          <w:rFonts w:hint="eastAsia" w:ascii="仿宋" w:hAnsi="仿宋" w:eastAsia="仿宋" w:cs="仿宋"/>
          <w:b/>
          <w:bCs/>
          <w:color w:val="auto"/>
          <w:highlight w:val="none"/>
        </w:rPr>
        <w:t>（四）</w:t>
      </w:r>
      <w:bookmarkEnd w:id="282"/>
      <w:r>
        <w:rPr>
          <w:rFonts w:hint="eastAsia" w:ascii="仿宋" w:hAnsi="仿宋" w:eastAsia="仿宋" w:cs="仿宋"/>
          <w:b/>
          <w:bCs/>
          <w:color w:val="auto"/>
          <w:highlight w:val="none"/>
        </w:rPr>
        <w:t>基本资格条件承诺函</w:t>
      </w:r>
      <w:bookmarkEnd w:id="283"/>
      <w:r>
        <w:rPr>
          <w:rFonts w:hint="eastAsia" w:ascii="仿宋" w:hAnsi="仿宋" w:eastAsia="仿宋" w:cs="仿宋"/>
          <w:b/>
          <w:bCs/>
          <w:color w:val="auto"/>
          <w:highlight w:val="none"/>
        </w:rPr>
        <w:t>（格式）</w:t>
      </w:r>
      <w:bookmarkEnd w:id="284"/>
      <w:bookmarkEnd w:id="285"/>
      <w:bookmarkEnd w:id="286"/>
    </w:p>
    <w:p w14:paraId="11431578">
      <w:pPr>
        <w:spacing w:line="360" w:lineRule="auto"/>
        <w:ind w:firstLine="562" w:firstLineChars="200"/>
        <w:jc w:val="center"/>
        <w:rPr>
          <w:rFonts w:hint="eastAsia" w:ascii="仿宋" w:hAnsi="仿宋" w:eastAsia="仿宋" w:cs="仿宋"/>
          <w:b/>
          <w:bCs/>
          <w:color w:val="auto"/>
          <w:szCs w:val="32"/>
          <w:highlight w:val="none"/>
        </w:rPr>
      </w:pPr>
    </w:p>
    <w:p w14:paraId="4EA1E78D">
      <w:pPr>
        <w:spacing w:line="360" w:lineRule="auto"/>
        <w:ind w:firstLine="562" w:firstLineChars="200"/>
        <w:jc w:val="center"/>
        <w:rPr>
          <w:rFonts w:hint="eastAsia" w:ascii="仿宋" w:hAnsi="仿宋" w:eastAsia="仿宋" w:cs="仿宋"/>
          <w:color w:val="auto"/>
          <w:sz w:val="24"/>
          <w:highlight w:val="none"/>
        </w:rPr>
      </w:pPr>
      <w:r>
        <w:rPr>
          <w:rFonts w:hint="eastAsia" w:ascii="仿宋" w:hAnsi="仿宋" w:eastAsia="仿宋" w:cs="仿宋"/>
          <w:b/>
          <w:bCs/>
          <w:color w:val="auto"/>
          <w:szCs w:val="32"/>
          <w:highlight w:val="none"/>
        </w:rPr>
        <w:t>基本资格条件承诺函</w:t>
      </w:r>
    </w:p>
    <w:p w14:paraId="0D06725C">
      <w:pPr>
        <w:tabs>
          <w:tab w:val="left" w:pos="6300"/>
        </w:tabs>
        <w:snapToGrid w:val="0"/>
        <w:spacing w:line="360" w:lineRule="auto"/>
        <w:rPr>
          <w:rFonts w:hint="eastAsia" w:ascii="仿宋" w:hAnsi="仿宋" w:eastAsia="仿宋" w:cs="仿宋"/>
          <w:color w:val="auto"/>
          <w:szCs w:val="32"/>
          <w:highlight w:val="none"/>
        </w:rPr>
      </w:pPr>
      <w:r>
        <w:rPr>
          <w:rFonts w:hint="eastAsia" w:ascii="仿宋" w:hAnsi="仿宋" w:eastAsia="仿宋" w:cs="仿宋"/>
          <w:color w:val="auto"/>
          <w:szCs w:val="32"/>
          <w:highlight w:val="none"/>
        </w:rPr>
        <w:t>致</w:t>
      </w:r>
      <w:r>
        <w:rPr>
          <w:rFonts w:hint="eastAsia" w:ascii="仿宋" w:hAnsi="仿宋" w:eastAsia="仿宋" w:cs="仿宋"/>
          <w:color w:val="auto"/>
          <w:szCs w:val="32"/>
          <w:highlight w:val="none"/>
          <w:u w:val="single"/>
        </w:rPr>
        <w:t xml:space="preserve">                    </w:t>
      </w:r>
      <w:r>
        <w:rPr>
          <w:rFonts w:hint="eastAsia" w:ascii="仿宋" w:hAnsi="仿宋" w:eastAsia="仿宋" w:cs="仿宋"/>
          <w:color w:val="auto"/>
          <w:szCs w:val="32"/>
          <w:highlight w:val="none"/>
        </w:rPr>
        <w:t>（代理机构名称）：</w:t>
      </w:r>
    </w:p>
    <w:p w14:paraId="0EC2615E">
      <w:pPr>
        <w:tabs>
          <w:tab w:val="left" w:pos="6300"/>
        </w:tabs>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u w:val="single"/>
        </w:rPr>
        <w:t xml:space="preserve">                  </w:t>
      </w:r>
      <w:r>
        <w:rPr>
          <w:rFonts w:hint="eastAsia" w:ascii="仿宋" w:hAnsi="仿宋" w:eastAsia="仿宋" w:cs="仿宋"/>
          <w:color w:val="auto"/>
          <w:szCs w:val="32"/>
          <w:highlight w:val="none"/>
        </w:rPr>
        <w:t>（供应商名称）郑重承诺：</w:t>
      </w:r>
    </w:p>
    <w:p w14:paraId="2B22B6A1">
      <w:pPr>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1.我方具有良好的商业信誉和健全的财务会计制度，具有履行合同所必需的设备和专业技术能力，具</w:t>
      </w:r>
      <w:r>
        <w:rPr>
          <w:rFonts w:hint="eastAsia" w:ascii="仿宋" w:hAnsi="仿宋" w:eastAsia="仿宋" w:cs="仿宋"/>
          <w:color w:val="auto"/>
          <w:szCs w:val="32"/>
          <w:highlight w:val="none"/>
          <w:lang w:val="zh-CN"/>
        </w:rPr>
        <w:t>有依法缴纳税收和社会保障金的良好记录</w:t>
      </w:r>
      <w:r>
        <w:rPr>
          <w:rFonts w:hint="eastAsia" w:ascii="仿宋" w:hAnsi="仿宋" w:eastAsia="仿宋" w:cs="仿宋"/>
          <w:color w:val="auto"/>
          <w:szCs w:val="32"/>
          <w:highlight w:val="none"/>
        </w:rPr>
        <w:t>，参加本项目采购活动前三年内无重大违法活动记录。</w:t>
      </w:r>
    </w:p>
    <w:p w14:paraId="5F5FC110">
      <w:pPr>
        <w:spacing w:line="360" w:lineRule="auto"/>
        <w:ind w:firstLine="560" w:firstLineChars="200"/>
        <w:jc w:val="left"/>
        <w:rPr>
          <w:rFonts w:hint="eastAsia" w:ascii="仿宋" w:hAnsi="仿宋" w:eastAsia="仿宋" w:cs="仿宋"/>
          <w:color w:val="auto"/>
          <w:szCs w:val="32"/>
          <w:highlight w:val="none"/>
        </w:rPr>
      </w:pPr>
      <w:r>
        <w:rPr>
          <w:rFonts w:hint="eastAsia" w:ascii="仿宋" w:hAnsi="仿宋" w:eastAsia="仿宋" w:cs="仿宋"/>
          <w:color w:val="auto"/>
          <w:szCs w:val="32"/>
          <w:highlight w:val="none"/>
        </w:rPr>
        <w:t>2.我方未列入在信用中国网站（www.creditchina.gov.cn）“失信被执行人”“重大税收违法案件当事人名单”中，也未列入中国政府采购（www.ccgp.gov.cn）“政府采购严重违法失信行为记录名单”中。</w:t>
      </w:r>
    </w:p>
    <w:p w14:paraId="23327E08">
      <w:pPr>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3.我方在采购项目评审（评标）环节结束后，随时接受采购人、采购代理机构的检查验证，配合提供相关证明材料，证明符合《中华人民共和国政府采购法》规定的供应商基本资格条件。</w:t>
      </w:r>
    </w:p>
    <w:p w14:paraId="1FFBE013">
      <w:pPr>
        <w:tabs>
          <w:tab w:val="left" w:pos="6300"/>
        </w:tabs>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我方对以上承诺负全部法律责任。</w:t>
      </w:r>
    </w:p>
    <w:p w14:paraId="11896676">
      <w:pPr>
        <w:tabs>
          <w:tab w:val="left" w:pos="6300"/>
        </w:tabs>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特此承诺。</w:t>
      </w:r>
    </w:p>
    <w:p w14:paraId="0C3D5686">
      <w:pPr>
        <w:tabs>
          <w:tab w:val="left" w:pos="6300"/>
        </w:tabs>
        <w:snapToGrid w:val="0"/>
        <w:spacing w:line="360" w:lineRule="auto"/>
        <w:rPr>
          <w:rFonts w:hint="eastAsia" w:ascii="仿宋" w:hAnsi="仿宋" w:eastAsia="仿宋" w:cs="仿宋"/>
          <w:color w:val="auto"/>
          <w:szCs w:val="32"/>
          <w:highlight w:val="none"/>
        </w:rPr>
      </w:pPr>
    </w:p>
    <w:p w14:paraId="5AEFE1C8">
      <w:pPr>
        <w:tabs>
          <w:tab w:val="left" w:pos="6300"/>
        </w:tabs>
        <w:snapToGrid w:val="0"/>
        <w:spacing w:line="360" w:lineRule="auto"/>
        <w:ind w:right="424" w:firstLine="570"/>
        <w:jc w:val="right"/>
        <w:rPr>
          <w:rFonts w:hint="eastAsia" w:ascii="仿宋" w:hAnsi="仿宋" w:eastAsia="仿宋" w:cs="仿宋"/>
          <w:color w:val="auto"/>
          <w:szCs w:val="32"/>
          <w:highlight w:val="none"/>
        </w:rPr>
      </w:pPr>
    </w:p>
    <w:p w14:paraId="49F1944B">
      <w:pPr>
        <w:tabs>
          <w:tab w:val="left" w:pos="6300"/>
        </w:tabs>
        <w:snapToGrid w:val="0"/>
        <w:spacing w:line="360" w:lineRule="auto"/>
        <w:ind w:right="424" w:firstLine="570"/>
        <w:jc w:val="right"/>
        <w:rPr>
          <w:rFonts w:hint="eastAsia" w:ascii="仿宋" w:hAnsi="仿宋" w:eastAsia="仿宋" w:cs="仿宋"/>
          <w:color w:val="auto"/>
          <w:szCs w:val="32"/>
          <w:highlight w:val="none"/>
        </w:rPr>
      </w:pPr>
    </w:p>
    <w:p w14:paraId="0F3BEEEE">
      <w:pPr>
        <w:tabs>
          <w:tab w:val="left" w:pos="6300"/>
        </w:tabs>
        <w:snapToGrid w:val="0"/>
        <w:spacing w:line="360" w:lineRule="auto"/>
        <w:ind w:right="424" w:firstLine="570"/>
        <w:jc w:val="right"/>
        <w:rPr>
          <w:rFonts w:hint="eastAsia" w:ascii="仿宋" w:hAnsi="仿宋" w:eastAsia="仿宋" w:cs="仿宋"/>
          <w:color w:val="auto"/>
          <w:szCs w:val="32"/>
          <w:highlight w:val="none"/>
        </w:rPr>
      </w:pPr>
    </w:p>
    <w:p w14:paraId="4EA17B8F">
      <w:pPr>
        <w:tabs>
          <w:tab w:val="left" w:pos="6300"/>
        </w:tabs>
        <w:snapToGrid w:val="0"/>
        <w:spacing w:line="360" w:lineRule="auto"/>
        <w:ind w:right="424" w:firstLine="570"/>
        <w:jc w:val="right"/>
        <w:rPr>
          <w:rFonts w:hint="eastAsia" w:ascii="仿宋" w:hAnsi="仿宋" w:eastAsia="仿宋" w:cs="仿宋"/>
          <w:color w:val="auto"/>
          <w:szCs w:val="32"/>
          <w:highlight w:val="none"/>
        </w:rPr>
      </w:pPr>
      <w:r>
        <w:rPr>
          <w:rFonts w:hint="eastAsia" w:ascii="仿宋" w:hAnsi="仿宋" w:eastAsia="仿宋" w:cs="仿宋"/>
          <w:color w:val="auto"/>
          <w:szCs w:val="32"/>
          <w:highlight w:val="none"/>
        </w:rPr>
        <w:t>（供应商公章）</w:t>
      </w:r>
    </w:p>
    <w:p w14:paraId="4E8D6BCF">
      <w:pPr>
        <w:tabs>
          <w:tab w:val="left" w:pos="6300"/>
        </w:tabs>
        <w:snapToGrid w:val="0"/>
        <w:spacing w:line="360" w:lineRule="auto"/>
        <w:ind w:right="480" w:firstLine="570"/>
        <w:jc w:val="right"/>
        <w:rPr>
          <w:rFonts w:hint="eastAsia" w:ascii="仿宋" w:hAnsi="仿宋" w:eastAsia="仿宋" w:cs="仿宋"/>
          <w:color w:val="auto"/>
          <w:szCs w:val="32"/>
          <w:highlight w:val="none"/>
        </w:rPr>
      </w:pPr>
      <w:r>
        <w:rPr>
          <w:rFonts w:hint="eastAsia" w:ascii="仿宋" w:hAnsi="仿宋" w:eastAsia="仿宋" w:cs="仿宋"/>
          <w:color w:val="auto"/>
          <w:szCs w:val="32"/>
          <w:highlight w:val="none"/>
        </w:rPr>
        <w:t>年   月   日</w:t>
      </w:r>
    </w:p>
    <w:p w14:paraId="55E64AAD">
      <w:pPr>
        <w:spacing w:line="360" w:lineRule="auto"/>
        <w:ind w:right="540" w:firstLine="3080" w:firstLineChars="1100"/>
        <w:jc w:val="right"/>
        <w:rPr>
          <w:rFonts w:hint="eastAsia" w:ascii="仿宋" w:hAnsi="仿宋" w:eastAsia="仿宋" w:cs="仿宋"/>
          <w:color w:val="auto"/>
          <w:highlight w:val="none"/>
        </w:rPr>
      </w:pPr>
    </w:p>
    <w:bookmarkEnd w:id="259"/>
    <w:p w14:paraId="3559398E">
      <w:pPr>
        <w:spacing w:line="360" w:lineRule="auto"/>
        <w:rPr>
          <w:rFonts w:hint="eastAsia" w:ascii="仿宋" w:hAnsi="仿宋" w:eastAsia="仿宋" w:cs="仿宋"/>
          <w:b/>
          <w:bCs/>
          <w:color w:val="auto"/>
          <w:highlight w:val="none"/>
        </w:rPr>
      </w:pPr>
      <w:bookmarkStart w:id="287" w:name="_Toc23748"/>
      <w:bookmarkStart w:id="288" w:name="_Toc31862"/>
      <w:bookmarkStart w:id="289" w:name="_Toc10274"/>
      <w:bookmarkStart w:id="290" w:name="_Toc22450"/>
      <w:bookmarkStart w:id="291" w:name="_Toc13006"/>
      <w:bookmarkStart w:id="292" w:name="_Toc32708"/>
      <w:bookmarkStart w:id="293" w:name="_Toc19365"/>
      <w:bookmarkStart w:id="294" w:name="_Toc1814"/>
      <w:bookmarkStart w:id="295" w:name="_Toc9726"/>
      <w:r>
        <w:rPr>
          <w:rFonts w:hint="eastAsia" w:ascii="仿宋" w:hAnsi="仿宋" w:eastAsia="仿宋" w:cs="仿宋"/>
          <w:b/>
          <w:bCs/>
          <w:color w:val="auto"/>
          <w:highlight w:val="none"/>
        </w:rPr>
        <w:t>（五）特定资格条件（如有）</w:t>
      </w:r>
    </w:p>
    <w:p w14:paraId="6D3A18BB">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bookmarkEnd w:id="287"/>
    <w:bookmarkEnd w:id="288"/>
    <w:bookmarkEnd w:id="289"/>
    <w:p w14:paraId="502A1E5F">
      <w:pPr>
        <w:pStyle w:val="4"/>
        <w:spacing w:beforeLines="0" w:line="360" w:lineRule="auto"/>
        <w:ind w:firstLine="562"/>
        <w:rPr>
          <w:rFonts w:hint="eastAsia" w:ascii="仿宋" w:hAnsi="仿宋" w:eastAsia="仿宋" w:cs="仿宋"/>
          <w:color w:val="auto"/>
          <w:highlight w:val="none"/>
        </w:rPr>
      </w:pPr>
      <w:bookmarkStart w:id="296" w:name="_Toc8415"/>
      <w:bookmarkStart w:id="297" w:name="_Toc12587"/>
      <w:bookmarkStart w:id="298" w:name="_Toc29622"/>
      <w:r>
        <w:rPr>
          <w:rFonts w:hint="eastAsia" w:ascii="仿宋" w:hAnsi="仿宋" w:eastAsia="仿宋" w:cs="仿宋"/>
          <w:color w:val="auto"/>
          <w:highlight w:val="none"/>
        </w:rPr>
        <w:t>三、</w:t>
      </w:r>
      <w:bookmarkEnd w:id="290"/>
      <w:bookmarkEnd w:id="291"/>
      <w:bookmarkEnd w:id="292"/>
      <w:bookmarkEnd w:id="293"/>
      <w:bookmarkEnd w:id="294"/>
      <w:bookmarkEnd w:id="296"/>
      <w:bookmarkEnd w:id="297"/>
      <w:bookmarkEnd w:id="298"/>
      <w:r>
        <w:rPr>
          <w:rFonts w:hint="eastAsia" w:ascii="仿宋" w:hAnsi="仿宋" w:eastAsia="仿宋" w:cs="仿宋"/>
          <w:color w:val="auto"/>
          <w:highlight w:val="none"/>
        </w:rPr>
        <w:t>项目服务需求</w:t>
      </w:r>
    </w:p>
    <w:p w14:paraId="5409B033">
      <w:pPr>
        <w:spacing w:line="360" w:lineRule="auto"/>
        <w:rPr>
          <w:rFonts w:hint="eastAsia" w:ascii="仿宋" w:hAnsi="仿宋" w:eastAsia="仿宋" w:cs="仿宋"/>
          <w:b/>
          <w:bCs/>
          <w:color w:val="auto"/>
          <w:highlight w:val="none"/>
          <w:lang w:eastAsia="zh-CN"/>
        </w:rPr>
      </w:pPr>
      <w:bookmarkStart w:id="299" w:name="_Toc8181"/>
      <w:bookmarkStart w:id="300" w:name="_Toc13297"/>
      <w:bookmarkStart w:id="301" w:name="_Toc17114"/>
      <w:r>
        <w:rPr>
          <w:rFonts w:hint="eastAsia" w:ascii="仿宋" w:hAnsi="仿宋" w:eastAsia="仿宋" w:cs="仿宋"/>
          <w:b/>
          <w:bCs/>
          <w:color w:val="auto"/>
          <w:highlight w:val="none"/>
        </w:rPr>
        <w:t>（一）</w:t>
      </w:r>
      <w:bookmarkEnd w:id="299"/>
      <w:bookmarkEnd w:id="300"/>
      <w:bookmarkEnd w:id="301"/>
      <w:r>
        <w:rPr>
          <w:rFonts w:hint="eastAsia" w:ascii="仿宋" w:hAnsi="仿宋" w:eastAsia="仿宋" w:cs="仿宋"/>
          <w:b/>
          <w:bCs/>
          <w:color w:val="auto"/>
          <w:highlight w:val="none"/>
        </w:rPr>
        <w:t>服务条款</w:t>
      </w:r>
      <w:r>
        <w:rPr>
          <w:rFonts w:hint="eastAsia" w:ascii="仿宋" w:hAnsi="仿宋" w:eastAsia="仿宋" w:cs="仿宋"/>
          <w:b/>
          <w:bCs/>
          <w:color w:val="auto"/>
          <w:highlight w:val="none"/>
          <w:lang w:val="en-US" w:eastAsia="zh-CN"/>
        </w:rPr>
        <w:t>响应函</w:t>
      </w:r>
    </w:p>
    <w:bookmarkEnd w:id="295"/>
    <w:p w14:paraId="5C626754">
      <w:pPr>
        <w:tabs>
          <w:tab w:val="left" w:pos="720"/>
        </w:tabs>
        <w:spacing w:line="360" w:lineRule="auto"/>
        <w:jc w:val="center"/>
        <w:rPr>
          <w:rFonts w:hint="eastAsia" w:ascii="仿宋" w:hAnsi="仿宋" w:eastAsia="仿宋" w:cs="仿宋"/>
          <w:color w:val="auto"/>
          <w:szCs w:val="28"/>
          <w:highlight w:val="none"/>
          <w:lang w:val="en-US" w:eastAsia="zh-CN"/>
        </w:rPr>
      </w:pPr>
      <w:r>
        <w:rPr>
          <w:rFonts w:hint="eastAsia" w:ascii="仿宋" w:hAnsi="仿宋" w:eastAsia="仿宋" w:cs="仿宋"/>
          <w:color w:val="auto"/>
          <w:highlight w:val="none"/>
        </w:rPr>
        <w:t>服务条款</w:t>
      </w:r>
      <w:r>
        <w:rPr>
          <w:rFonts w:hint="eastAsia" w:ascii="仿宋" w:hAnsi="仿宋" w:eastAsia="仿宋" w:cs="仿宋"/>
          <w:color w:val="auto"/>
          <w:highlight w:val="none"/>
          <w:lang w:val="en-US" w:eastAsia="zh-CN"/>
        </w:rPr>
        <w:t>响应函（格式）</w:t>
      </w:r>
    </w:p>
    <w:p w14:paraId="06C110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Cs w:val="28"/>
          <w:highlight w:val="none"/>
          <w:lang w:val="en-US" w:eastAsia="zh-CN"/>
        </w:rPr>
      </w:pPr>
    </w:p>
    <w:p w14:paraId="0CA5B16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lang w:val="en-US" w:eastAsia="zh-CN"/>
        </w:rPr>
        <w:t>（采购人）</w:t>
      </w:r>
    </w:p>
    <w:p w14:paraId="0429729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我司</w:t>
      </w:r>
      <w:r>
        <w:rPr>
          <w:rFonts w:hint="eastAsia" w:ascii="仿宋" w:hAnsi="仿宋" w:eastAsia="仿宋" w:cs="仿宋"/>
          <w:color w:val="auto"/>
          <w:szCs w:val="28"/>
          <w:highlight w:val="none"/>
          <w:lang w:val="en-US" w:eastAsia="zh-CN"/>
        </w:rPr>
        <w:t>现</w:t>
      </w:r>
      <w:r>
        <w:rPr>
          <w:rFonts w:hint="eastAsia" w:ascii="仿宋" w:hAnsi="仿宋" w:eastAsia="仿宋" w:cs="仿宋"/>
          <w:color w:val="auto"/>
          <w:szCs w:val="28"/>
          <w:highlight w:val="none"/>
        </w:rPr>
        <w:t>参加您单位开展的</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b/>
          <w:bCs/>
          <w:color w:val="auto"/>
          <w:szCs w:val="28"/>
          <w:highlight w:val="none"/>
          <w:lang w:val="en-US" w:eastAsia="zh-CN"/>
        </w:rPr>
        <w:t>采购</w:t>
      </w:r>
      <w:r>
        <w:rPr>
          <w:rFonts w:hint="eastAsia" w:ascii="仿宋" w:hAnsi="仿宋" w:eastAsia="仿宋" w:cs="仿宋"/>
          <w:b/>
          <w:bCs/>
          <w:color w:val="auto"/>
          <w:szCs w:val="28"/>
          <w:highlight w:val="none"/>
        </w:rPr>
        <w:t>项目名称）</w:t>
      </w:r>
      <w:r>
        <w:rPr>
          <w:rFonts w:hint="eastAsia" w:ascii="仿宋" w:hAnsi="仿宋" w:eastAsia="仿宋" w:cs="仿宋"/>
          <w:color w:val="auto"/>
          <w:szCs w:val="28"/>
          <w:highlight w:val="none"/>
        </w:rPr>
        <w:t>采购项目。我司完全理解并接受采购文件“第</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rPr>
        <w:t>篇 项目</w:t>
      </w:r>
      <w:r>
        <w:rPr>
          <w:rFonts w:hint="eastAsia" w:ascii="仿宋" w:hAnsi="仿宋" w:eastAsia="仿宋" w:cs="仿宋"/>
          <w:color w:val="auto"/>
          <w:szCs w:val="28"/>
          <w:highlight w:val="none"/>
          <w:lang w:val="en-US" w:eastAsia="zh-CN"/>
        </w:rPr>
        <w:t>服务</w:t>
      </w:r>
      <w:r>
        <w:rPr>
          <w:rFonts w:hint="eastAsia" w:ascii="仿宋" w:hAnsi="仿宋" w:eastAsia="仿宋" w:cs="仿宋"/>
          <w:color w:val="auto"/>
          <w:szCs w:val="28"/>
          <w:highlight w:val="none"/>
        </w:rPr>
        <w:t>需求”中全部内容及要求。</w:t>
      </w:r>
    </w:p>
    <w:p w14:paraId="05E22AE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我司承诺</w:t>
      </w:r>
      <w:r>
        <w:rPr>
          <w:rFonts w:hint="eastAsia" w:ascii="仿宋" w:hAnsi="仿宋" w:eastAsia="仿宋" w:cs="仿宋"/>
          <w:color w:val="auto"/>
          <w:szCs w:val="28"/>
          <w:highlight w:val="none"/>
          <w:lang w:val="en-US" w:eastAsia="zh-CN"/>
        </w:rPr>
        <w:t>对服务条款的响应满足采购文件的全部</w:t>
      </w:r>
      <w:r>
        <w:rPr>
          <w:rFonts w:hint="eastAsia" w:ascii="仿宋" w:hAnsi="仿宋" w:eastAsia="仿宋" w:cs="仿宋"/>
          <w:color w:val="auto"/>
          <w:szCs w:val="28"/>
          <w:highlight w:val="none"/>
        </w:rPr>
        <w:t>要求。</w:t>
      </w:r>
    </w:p>
    <w:p w14:paraId="2C998DC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我司</w:t>
      </w:r>
      <w:r>
        <w:rPr>
          <w:rFonts w:hint="eastAsia" w:ascii="仿宋" w:hAnsi="仿宋" w:eastAsia="仿宋" w:cs="仿宋"/>
          <w:color w:val="auto"/>
          <w:szCs w:val="28"/>
          <w:highlight w:val="none"/>
        </w:rPr>
        <w:t>承诺在本次投标活动中，我们将严格遵守相关法律法规和</w:t>
      </w:r>
      <w:r>
        <w:rPr>
          <w:rFonts w:hint="eastAsia" w:ascii="仿宋" w:hAnsi="仿宋" w:eastAsia="仿宋" w:cs="仿宋"/>
          <w:color w:val="auto"/>
          <w:szCs w:val="28"/>
          <w:highlight w:val="none"/>
          <w:lang w:val="en-US" w:eastAsia="zh-CN"/>
        </w:rPr>
        <w:t>采购</w:t>
      </w:r>
      <w:r>
        <w:rPr>
          <w:rFonts w:hint="eastAsia" w:ascii="仿宋" w:hAnsi="仿宋" w:eastAsia="仿宋" w:cs="仿宋"/>
          <w:color w:val="auto"/>
          <w:szCs w:val="28"/>
          <w:highlight w:val="none"/>
        </w:rPr>
        <w:t>文件的规定，提供真实、有效的</w:t>
      </w:r>
      <w:r>
        <w:rPr>
          <w:rFonts w:hint="eastAsia" w:ascii="仿宋" w:hAnsi="仿宋" w:eastAsia="仿宋" w:cs="仿宋"/>
          <w:color w:val="auto"/>
          <w:szCs w:val="28"/>
          <w:highlight w:val="none"/>
          <w:lang w:val="en-US" w:eastAsia="zh-CN"/>
        </w:rPr>
        <w:t>服务条款</w:t>
      </w:r>
      <w:r>
        <w:rPr>
          <w:rFonts w:hint="eastAsia" w:ascii="仿宋" w:hAnsi="仿宋" w:eastAsia="仿宋" w:cs="仿宋"/>
          <w:color w:val="auto"/>
          <w:szCs w:val="28"/>
          <w:highlight w:val="none"/>
        </w:rPr>
        <w:t>响应</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若我司提供的产品或服务未能达到本承诺函所承诺的</w:t>
      </w:r>
      <w:r>
        <w:rPr>
          <w:rFonts w:hint="eastAsia" w:ascii="仿宋" w:hAnsi="仿宋" w:eastAsia="仿宋" w:cs="仿宋"/>
          <w:color w:val="auto"/>
          <w:szCs w:val="28"/>
          <w:highlight w:val="none"/>
          <w:lang w:val="en-US" w:eastAsia="zh-CN"/>
        </w:rPr>
        <w:t>相关</w:t>
      </w:r>
      <w:r>
        <w:rPr>
          <w:rFonts w:hint="eastAsia" w:ascii="仿宋" w:hAnsi="仿宋" w:eastAsia="仿宋" w:cs="仿宋"/>
          <w:color w:val="auto"/>
          <w:szCs w:val="28"/>
          <w:highlight w:val="none"/>
        </w:rPr>
        <w:t>要求，我司愿承担相应的违约责任，包括但不限于取消中选资格</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投标保证金不予退还</w:t>
      </w:r>
      <w:r>
        <w:rPr>
          <w:rFonts w:hint="eastAsia" w:ascii="仿宋" w:hAnsi="仿宋" w:eastAsia="仿宋" w:cs="仿宋"/>
          <w:color w:val="auto"/>
          <w:szCs w:val="28"/>
          <w:highlight w:val="none"/>
          <w:lang w:eastAsia="zh-CN"/>
        </w:rPr>
        <w:t>，退货、换货、赔偿损失</w:t>
      </w:r>
      <w:r>
        <w:rPr>
          <w:rFonts w:hint="eastAsia" w:ascii="仿宋" w:hAnsi="仿宋" w:eastAsia="仿宋" w:cs="仿宋"/>
          <w:color w:val="auto"/>
          <w:szCs w:val="28"/>
          <w:highlight w:val="none"/>
        </w:rPr>
        <w:t>等</w:t>
      </w:r>
      <w:r>
        <w:rPr>
          <w:rFonts w:hint="eastAsia" w:ascii="仿宋" w:hAnsi="仿宋" w:eastAsia="仿宋" w:cs="仿宋"/>
          <w:color w:val="auto"/>
          <w:szCs w:val="28"/>
          <w:highlight w:val="none"/>
          <w:lang w:val="en-US" w:eastAsia="zh-CN"/>
        </w:rPr>
        <w:t>事项。</w:t>
      </w:r>
    </w:p>
    <w:p w14:paraId="3606405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特此承诺！</w:t>
      </w:r>
    </w:p>
    <w:p w14:paraId="774ED881">
      <w:pPr>
        <w:spacing w:line="360" w:lineRule="auto"/>
        <w:rPr>
          <w:rFonts w:hint="eastAsia" w:ascii="仿宋" w:hAnsi="仿宋" w:eastAsia="仿宋" w:cs="仿宋"/>
          <w:color w:val="auto"/>
          <w:szCs w:val="28"/>
          <w:highlight w:val="none"/>
          <w:lang w:val="en-US" w:eastAsia="zh-CN"/>
        </w:rPr>
      </w:pPr>
    </w:p>
    <w:p w14:paraId="45234A96">
      <w:pPr>
        <w:spacing w:line="360" w:lineRule="auto"/>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供应商名称（公章）：</w:t>
      </w:r>
    </w:p>
    <w:p w14:paraId="287444E8">
      <w:pPr>
        <w:spacing w:line="360" w:lineRule="auto"/>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 xml:space="preserve">  月 </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 xml:space="preserve"> 日</w:t>
      </w:r>
    </w:p>
    <w:p w14:paraId="0FAB8FD2">
      <w:pPr>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w:t>
      </w:r>
    </w:p>
    <w:p w14:paraId="13F4DF5D">
      <w:pPr>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1.本响应承诺函</w:t>
      </w:r>
      <w:r>
        <w:rPr>
          <w:rFonts w:hint="eastAsia" w:ascii="仿宋" w:hAnsi="仿宋" w:eastAsia="仿宋" w:cs="仿宋"/>
          <w:color w:val="auto"/>
          <w:szCs w:val="28"/>
          <w:highlight w:val="none"/>
          <w:lang w:val="en-US" w:eastAsia="zh-CN"/>
        </w:rPr>
        <w:t>是对采购文件“第二篇 项目服务需求”中内容作出的无差异响应承诺，须按格式填写完整并加盖供应商公章</w:t>
      </w:r>
      <w:r>
        <w:rPr>
          <w:rFonts w:hint="eastAsia" w:ascii="仿宋" w:hAnsi="仿宋" w:eastAsia="仿宋" w:cs="仿宋"/>
          <w:color w:val="auto"/>
          <w:szCs w:val="28"/>
          <w:highlight w:val="none"/>
        </w:rPr>
        <w:t>；</w:t>
      </w:r>
    </w:p>
    <w:p w14:paraId="526A8819">
      <w:pPr>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2.本承诺函</w:t>
      </w:r>
      <w:r>
        <w:rPr>
          <w:rFonts w:hint="eastAsia" w:ascii="仿宋" w:hAnsi="仿宋" w:eastAsia="仿宋" w:cs="仿宋"/>
          <w:color w:val="auto"/>
          <w:szCs w:val="28"/>
          <w:highlight w:val="none"/>
          <w:lang w:val="en-US" w:eastAsia="zh-CN"/>
        </w:rPr>
        <w:t>为响应性承诺，项目服务需求中如有要求提供支撑材料或相关承诺的，应另行提供</w:t>
      </w:r>
      <w:r>
        <w:rPr>
          <w:rFonts w:hint="eastAsia" w:ascii="仿宋" w:hAnsi="仿宋" w:eastAsia="仿宋" w:cs="仿宋"/>
          <w:color w:val="auto"/>
          <w:szCs w:val="28"/>
          <w:highlight w:val="none"/>
        </w:rPr>
        <w:t>；</w:t>
      </w:r>
    </w:p>
    <w:p w14:paraId="012E657F">
      <w:pPr>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br w:type="page"/>
      </w:r>
    </w:p>
    <w:p w14:paraId="5A073AC7">
      <w:pPr>
        <w:spacing w:line="360" w:lineRule="auto"/>
        <w:rPr>
          <w:rFonts w:hint="eastAsia" w:ascii="仿宋" w:hAnsi="仿宋" w:eastAsia="仿宋" w:cs="仿宋"/>
          <w:b/>
          <w:bCs/>
          <w:color w:val="auto"/>
          <w:highlight w:val="none"/>
        </w:rPr>
      </w:pPr>
      <w:bookmarkStart w:id="302" w:name="_Toc13717"/>
      <w:r>
        <w:rPr>
          <w:rFonts w:hint="eastAsia" w:ascii="仿宋" w:hAnsi="仿宋" w:eastAsia="仿宋" w:cs="仿宋"/>
          <w:b/>
          <w:bCs/>
          <w:color w:val="auto"/>
          <w:highlight w:val="none"/>
        </w:rPr>
        <w:t>（二）技术服务方案</w:t>
      </w:r>
      <w:bookmarkEnd w:id="302"/>
    </w:p>
    <w:p w14:paraId="0960DB9A">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br w:type="page"/>
      </w:r>
    </w:p>
    <w:p w14:paraId="715057F3">
      <w:pPr>
        <w:pStyle w:val="4"/>
        <w:spacing w:beforeLines="0" w:line="360" w:lineRule="auto"/>
        <w:ind w:firstLine="562"/>
        <w:rPr>
          <w:rFonts w:hint="eastAsia" w:ascii="仿宋" w:hAnsi="仿宋" w:eastAsia="仿宋" w:cs="仿宋"/>
          <w:color w:val="auto"/>
          <w:highlight w:val="none"/>
        </w:rPr>
      </w:pPr>
      <w:bookmarkStart w:id="303" w:name="_Toc16264"/>
      <w:bookmarkStart w:id="304" w:name="_Toc18349"/>
      <w:bookmarkStart w:id="305" w:name="_Toc5262"/>
      <w:bookmarkStart w:id="306" w:name="_Toc27337"/>
      <w:bookmarkStart w:id="307" w:name="_Toc28286"/>
      <w:bookmarkStart w:id="308" w:name="_Toc17521"/>
      <w:bookmarkStart w:id="309" w:name="_Toc2630"/>
      <w:bookmarkStart w:id="310" w:name="_Toc2208"/>
      <w:r>
        <w:rPr>
          <w:rFonts w:hint="eastAsia" w:ascii="仿宋" w:hAnsi="仿宋" w:eastAsia="仿宋" w:cs="仿宋"/>
          <w:color w:val="auto"/>
          <w:highlight w:val="none"/>
        </w:rPr>
        <w:t>四、商务</w:t>
      </w:r>
      <w:bookmarkEnd w:id="303"/>
      <w:bookmarkEnd w:id="304"/>
      <w:bookmarkEnd w:id="305"/>
      <w:bookmarkEnd w:id="306"/>
      <w:r>
        <w:rPr>
          <w:rFonts w:hint="eastAsia" w:ascii="仿宋" w:hAnsi="仿宋" w:eastAsia="仿宋" w:cs="仿宋"/>
          <w:color w:val="auto"/>
          <w:highlight w:val="none"/>
        </w:rPr>
        <w:t>文件</w:t>
      </w:r>
      <w:bookmarkEnd w:id="307"/>
      <w:bookmarkEnd w:id="308"/>
      <w:bookmarkEnd w:id="309"/>
      <w:bookmarkEnd w:id="310"/>
    </w:p>
    <w:p w14:paraId="25C951E2">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（一）响应函</w:t>
      </w:r>
    </w:p>
    <w:p w14:paraId="243F1829">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项目名称：</w:t>
      </w:r>
      <w:r>
        <w:rPr>
          <w:rFonts w:hint="eastAsia" w:ascii="仿宋" w:hAnsi="仿宋" w:eastAsia="仿宋" w:cs="仿宋"/>
          <w:color w:val="auto"/>
          <w:szCs w:val="28"/>
          <w:highlight w:val="none"/>
          <w:u w:val="single"/>
        </w:rPr>
        <w:t xml:space="preserve">                                             </w:t>
      </w:r>
    </w:p>
    <w:p w14:paraId="58165CD4">
      <w:pPr>
        <w:tabs>
          <w:tab w:val="left" w:pos="6300"/>
        </w:tabs>
        <w:snapToGrid w:val="0"/>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（代理机构名称）：</w:t>
      </w:r>
    </w:p>
    <w:p w14:paraId="2BE12F1F">
      <w:pPr>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（供应商名称）系中华人民共和国刑法企业，注册地址：</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。我方就参加本次竞采有关事项郑重声明如下：</w:t>
      </w:r>
    </w:p>
    <w:p w14:paraId="466B4047">
      <w:pPr>
        <w:snapToGrid w:val="0"/>
        <w:spacing w:line="288" w:lineRule="auto"/>
        <w:ind w:firstLine="560" w:firstLineChars="200"/>
        <w:rPr>
          <w:rFonts w:hint="eastAsia" w:ascii="仿宋" w:hAnsi="仿宋" w:eastAsia="仿宋" w:cs="仿宋"/>
          <w:color w:val="auto"/>
          <w:szCs w:val="28"/>
          <w:highlight w:val="none"/>
        </w:rPr>
      </w:pPr>
      <w:bookmarkStart w:id="311" w:name="_Toc8065"/>
      <w:bookmarkStart w:id="312" w:name="_Toc15412"/>
      <w:r>
        <w:rPr>
          <w:rFonts w:hint="eastAsia" w:ascii="仿宋" w:hAnsi="仿宋" w:eastAsia="仿宋" w:cs="仿宋"/>
          <w:color w:val="auto"/>
          <w:szCs w:val="28"/>
          <w:highlight w:val="none"/>
        </w:rPr>
        <w:t>一、我方完全理解并接受该项目采购文件所有要求。</w:t>
      </w:r>
      <w:bookmarkEnd w:id="311"/>
      <w:bookmarkEnd w:id="312"/>
    </w:p>
    <w:p w14:paraId="60C044CC">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二、我方提交的所有响应文件、资料都是准确和真实的，如有虚假或隐瞒，我方愿意承担一切法律责任。</w:t>
      </w:r>
    </w:p>
    <w:p w14:paraId="50AD863E">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三、我方承诺按照采购文件要求，提供竞采项目的技术（质量）服务。</w:t>
      </w:r>
    </w:p>
    <w:p w14:paraId="3D022640">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四、我方按采购文件要求提交的响应文件为：响应文件</w:t>
      </w:r>
      <w:r>
        <w:rPr>
          <w:rFonts w:hint="eastAsia" w:ascii="仿宋" w:hAnsi="仿宋" w:eastAsia="仿宋" w:cs="仿宋"/>
          <w:color w:val="auto"/>
          <w:szCs w:val="28"/>
          <w:highlight w:val="none"/>
          <w:lang w:val="en-US" w:eastAsia="zh-CN"/>
        </w:rPr>
        <w:t>电子</w:t>
      </w:r>
      <w:r>
        <w:rPr>
          <w:rFonts w:hint="eastAsia" w:ascii="仿宋" w:hAnsi="仿宋" w:eastAsia="仿宋" w:cs="仿宋"/>
          <w:color w:val="auto"/>
          <w:szCs w:val="28"/>
          <w:highlight w:val="none"/>
        </w:rPr>
        <w:t>文档</w:t>
      </w:r>
      <w:r>
        <w:rPr>
          <w:rFonts w:hint="eastAsia" w:ascii="仿宋" w:hAnsi="仿宋" w:eastAsia="仿宋" w:cs="仿宋"/>
          <w:color w:val="auto"/>
          <w:szCs w:val="28"/>
          <w:highlight w:val="none"/>
          <w:u w:val="single"/>
        </w:rPr>
        <w:t xml:space="preserve"> 1 </w:t>
      </w:r>
      <w:r>
        <w:rPr>
          <w:rFonts w:hint="eastAsia" w:ascii="仿宋" w:hAnsi="仿宋" w:eastAsia="仿宋" w:cs="仿宋"/>
          <w:color w:val="auto"/>
          <w:szCs w:val="28"/>
          <w:highlight w:val="none"/>
        </w:rPr>
        <w:t>份。</w:t>
      </w:r>
    </w:p>
    <w:p w14:paraId="052C5409">
      <w:pPr>
        <w:snapToGrid w:val="0"/>
        <w:spacing w:line="288" w:lineRule="auto"/>
        <w:ind w:firstLine="560" w:firstLineChars="200"/>
        <w:rPr>
          <w:rFonts w:hint="eastAsia" w:ascii="仿宋" w:hAnsi="仿宋" w:eastAsia="仿宋" w:cs="仿宋"/>
          <w:color w:val="auto"/>
          <w:szCs w:val="28"/>
          <w:highlight w:val="none"/>
        </w:rPr>
      </w:pPr>
      <w:bookmarkStart w:id="313" w:name="_Toc5527"/>
      <w:bookmarkStart w:id="314" w:name="_Toc10192"/>
      <w:r>
        <w:rPr>
          <w:rFonts w:hint="eastAsia" w:ascii="仿宋" w:hAnsi="仿宋" w:eastAsia="仿宋" w:cs="仿宋"/>
          <w:color w:val="auto"/>
          <w:szCs w:val="28"/>
          <w:highlight w:val="none"/>
        </w:rPr>
        <w:t>五、我方承诺：本次竞采的竞采有效期为竞采截止时间起90天。</w:t>
      </w:r>
      <w:bookmarkEnd w:id="313"/>
      <w:bookmarkEnd w:id="314"/>
    </w:p>
    <w:p w14:paraId="720E65C5">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六、我方竞采报价为闭口价。即在竞采有效期和合同有效期内，该报价固定不变。</w:t>
      </w:r>
    </w:p>
    <w:p w14:paraId="5E7C7C4D">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七、如果我方成为成交供应商，我方将履行采购文件中规定的各项要求以及我方响应文件的各项承诺，按照《中华人民共和国政府采购法》《中华人民共和国民法典》及合同约定条款承担我方责任。</w:t>
      </w:r>
    </w:p>
    <w:p w14:paraId="757CB69A">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八、我方未为采购项目提供整体设计、规范编制或者项目管理、监理、检测等服务。</w:t>
      </w:r>
    </w:p>
    <w:p w14:paraId="2771154E">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九、我方理解，最低报价不是成交的唯一条件。</w:t>
      </w:r>
    </w:p>
    <w:p w14:paraId="60BF6FF3">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十、我方同意按有关规定及采购文件要求，缴纳足额保证金。</w:t>
      </w:r>
    </w:p>
    <w:p w14:paraId="567D5833">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十一、若我方成为成交供应商，愿意按有关规定及采购文件要求缴纳采购代理服务费和交易服务费。</w:t>
      </w:r>
    </w:p>
    <w:p w14:paraId="59EF51CF">
      <w:pPr>
        <w:tabs>
          <w:tab w:val="left" w:pos="6300"/>
        </w:tabs>
        <w:snapToGrid w:val="0"/>
        <w:spacing w:line="360" w:lineRule="auto"/>
        <w:ind w:firstLine="6370" w:firstLineChars="2275"/>
        <w:rPr>
          <w:rFonts w:hint="eastAsia" w:ascii="仿宋" w:hAnsi="仿宋" w:eastAsia="仿宋" w:cs="仿宋"/>
          <w:color w:val="auto"/>
          <w:szCs w:val="28"/>
          <w:highlight w:val="none"/>
        </w:rPr>
      </w:pPr>
    </w:p>
    <w:p w14:paraId="55B9A786">
      <w:pPr>
        <w:tabs>
          <w:tab w:val="left" w:pos="6300"/>
        </w:tabs>
        <w:snapToGrid w:val="0"/>
        <w:spacing w:line="360" w:lineRule="auto"/>
        <w:ind w:firstLine="6370" w:firstLineChars="2275"/>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（供应商公章或自然人签署）</w:t>
      </w:r>
    </w:p>
    <w:p w14:paraId="572F53C7">
      <w:pPr>
        <w:tabs>
          <w:tab w:val="left" w:pos="6300"/>
        </w:tabs>
        <w:snapToGrid w:val="0"/>
        <w:spacing w:line="360" w:lineRule="auto"/>
        <w:ind w:firstLine="7280" w:firstLineChars="26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1DC3EA76">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Cs w:val="28"/>
          <w:highlight w:val="none"/>
        </w:rPr>
        <w:br w:type="page"/>
      </w:r>
      <w:bookmarkStart w:id="315" w:name="_Toc17279"/>
      <w:bookmarkStart w:id="316" w:name="_Toc19167"/>
      <w:bookmarkStart w:id="317" w:name="_Toc10242"/>
      <w:r>
        <w:rPr>
          <w:rFonts w:hint="eastAsia" w:ascii="仿宋" w:hAnsi="仿宋" w:eastAsia="仿宋" w:cs="仿宋"/>
          <w:b/>
          <w:bCs/>
          <w:color w:val="auto"/>
          <w:highlight w:val="none"/>
        </w:rPr>
        <w:t>（二）商务条款</w:t>
      </w:r>
      <w:r>
        <w:rPr>
          <w:rFonts w:hint="eastAsia" w:ascii="仿宋" w:hAnsi="仿宋" w:eastAsia="仿宋" w:cs="仿宋"/>
          <w:b/>
          <w:bCs/>
          <w:color w:val="auto"/>
          <w:highlight w:val="none"/>
          <w:lang w:val="en-US" w:eastAsia="zh-CN"/>
        </w:rPr>
        <w:t>响应</w:t>
      </w:r>
      <w:bookmarkEnd w:id="315"/>
      <w:bookmarkEnd w:id="316"/>
      <w:bookmarkEnd w:id="317"/>
      <w:r>
        <w:rPr>
          <w:rFonts w:hint="eastAsia" w:ascii="仿宋" w:hAnsi="仿宋" w:eastAsia="仿宋" w:cs="仿宋"/>
          <w:b/>
          <w:bCs/>
          <w:color w:val="auto"/>
          <w:highlight w:val="none"/>
          <w:lang w:val="en-US" w:eastAsia="zh-CN"/>
        </w:rPr>
        <w:t>函</w:t>
      </w:r>
    </w:p>
    <w:p w14:paraId="21C25F2A">
      <w:pPr>
        <w:jc w:val="center"/>
        <w:rPr>
          <w:rFonts w:hint="eastAsia" w:ascii="仿宋" w:hAnsi="仿宋" w:eastAsia="仿宋" w:cs="仿宋"/>
          <w:b/>
          <w:bCs/>
          <w:color w:val="auto"/>
          <w:highlight w:val="none"/>
        </w:rPr>
      </w:pPr>
      <w:bookmarkStart w:id="318" w:name="_Toc20137"/>
      <w:bookmarkStart w:id="319" w:name="_Toc25826"/>
      <w:bookmarkStart w:id="320" w:name="_Toc28259"/>
      <w:bookmarkStart w:id="321" w:name="_Toc13132"/>
      <w:bookmarkStart w:id="322" w:name="_Toc30526"/>
      <w:bookmarkStart w:id="323" w:name="_Toc13056"/>
      <w:r>
        <w:rPr>
          <w:rFonts w:hint="eastAsia" w:ascii="仿宋" w:hAnsi="仿宋" w:eastAsia="仿宋" w:cs="仿宋"/>
          <w:b/>
          <w:bCs/>
          <w:color w:val="auto"/>
          <w:highlight w:val="none"/>
        </w:rPr>
        <w:t>商务条款</w:t>
      </w:r>
      <w:r>
        <w:rPr>
          <w:rFonts w:hint="eastAsia" w:ascii="仿宋" w:hAnsi="仿宋" w:eastAsia="仿宋" w:cs="仿宋"/>
          <w:b/>
          <w:bCs/>
          <w:color w:val="auto"/>
          <w:highlight w:val="none"/>
          <w:lang w:val="en-US" w:eastAsia="zh-CN"/>
        </w:rPr>
        <w:t>响应函（格式）</w:t>
      </w:r>
    </w:p>
    <w:p w14:paraId="254F11F0">
      <w:pPr>
        <w:rPr>
          <w:rFonts w:hint="eastAsia" w:ascii="仿宋" w:hAnsi="仿宋" w:eastAsia="仿宋" w:cs="仿宋"/>
          <w:b/>
          <w:bCs/>
          <w:color w:val="auto"/>
          <w:highlight w:val="none"/>
          <w:lang w:val="en-US" w:eastAsia="zh-CN"/>
        </w:rPr>
      </w:pPr>
    </w:p>
    <w:p w14:paraId="7F2E95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致：</w:t>
      </w:r>
      <w:r>
        <w:rPr>
          <w:rFonts w:hint="eastAsia" w:ascii="仿宋" w:hAnsi="仿宋" w:eastAsia="仿宋" w:cs="仿宋"/>
          <w:b w:val="0"/>
          <w:bCs w:val="0"/>
          <w:color w:val="auto"/>
          <w:highlight w:val="none"/>
          <w:u w:val="single"/>
          <w:lang w:val="en-US" w:eastAsia="zh-CN"/>
        </w:rPr>
        <w:t xml:space="preserve">                      </w:t>
      </w:r>
      <w:r>
        <w:rPr>
          <w:rFonts w:hint="eastAsia" w:ascii="仿宋" w:hAnsi="仿宋" w:eastAsia="仿宋" w:cs="仿宋"/>
          <w:b w:val="0"/>
          <w:bCs w:val="0"/>
          <w:color w:val="auto"/>
          <w:highlight w:val="none"/>
          <w:lang w:val="en-US" w:eastAsia="zh-CN"/>
        </w:rPr>
        <w:t>（采购人）</w:t>
      </w:r>
    </w:p>
    <w:p w14:paraId="2060B8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我司</w:t>
      </w:r>
      <w:r>
        <w:rPr>
          <w:rFonts w:hint="eastAsia" w:ascii="仿宋" w:hAnsi="仿宋" w:eastAsia="仿宋" w:cs="仿宋"/>
          <w:b w:val="0"/>
          <w:bCs w:val="0"/>
          <w:color w:val="auto"/>
          <w:highlight w:val="none"/>
          <w:lang w:val="en-US" w:eastAsia="zh-CN"/>
        </w:rPr>
        <w:t>现</w:t>
      </w:r>
      <w:r>
        <w:rPr>
          <w:rFonts w:hint="eastAsia" w:ascii="仿宋" w:hAnsi="仿宋" w:eastAsia="仿宋" w:cs="仿宋"/>
          <w:b w:val="0"/>
          <w:bCs w:val="0"/>
          <w:color w:val="auto"/>
          <w:highlight w:val="none"/>
        </w:rPr>
        <w:t>参加您单位开展的</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u w:val="single"/>
          <w:lang w:val="en-US" w:eastAsia="zh-CN"/>
        </w:rPr>
        <w:t xml:space="preserve">    </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w:t>
      </w:r>
      <w:r>
        <w:rPr>
          <w:rFonts w:hint="eastAsia" w:ascii="仿宋" w:hAnsi="仿宋" w:eastAsia="仿宋" w:cs="仿宋"/>
          <w:b/>
          <w:bCs/>
          <w:color w:val="auto"/>
          <w:highlight w:val="none"/>
          <w:lang w:val="en-US" w:eastAsia="zh-CN"/>
        </w:rPr>
        <w:t>采购</w:t>
      </w:r>
      <w:r>
        <w:rPr>
          <w:rFonts w:hint="eastAsia" w:ascii="仿宋" w:hAnsi="仿宋" w:eastAsia="仿宋" w:cs="仿宋"/>
          <w:b/>
          <w:bCs/>
          <w:color w:val="auto"/>
          <w:highlight w:val="none"/>
        </w:rPr>
        <w:t>项目名称）</w:t>
      </w:r>
      <w:r>
        <w:rPr>
          <w:rFonts w:hint="eastAsia" w:ascii="仿宋" w:hAnsi="仿宋" w:eastAsia="仿宋" w:cs="仿宋"/>
          <w:b w:val="0"/>
          <w:bCs w:val="0"/>
          <w:color w:val="auto"/>
          <w:highlight w:val="none"/>
        </w:rPr>
        <w:t>采购项目。我司完全理解并接受采购文件“第</w:t>
      </w:r>
      <w:r>
        <w:rPr>
          <w:rFonts w:hint="eastAsia" w:ascii="仿宋" w:hAnsi="仿宋" w:eastAsia="仿宋" w:cs="仿宋"/>
          <w:b w:val="0"/>
          <w:bCs w:val="0"/>
          <w:color w:val="auto"/>
          <w:highlight w:val="none"/>
          <w:lang w:val="en-US" w:eastAsia="zh-CN"/>
        </w:rPr>
        <w:t>三</w:t>
      </w:r>
      <w:r>
        <w:rPr>
          <w:rFonts w:hint="eastAsia" w:ascii="仿宋" w:hAnsi="仿宋" w:eastAsia="仿宋" w:cs="仿宋"/>
          <w:b w:val="0"/>
          <w:bCs w:val="0"/>
          <w:color w:val="auto"/>
          <w:highlight w:val="none"/>
        </w:rPr>
        <w:t>篇 项目</w:t>
      </w:r>
      <w:r>
        <w:rPr>
          <w:rFonts w:hint="eastAsia" w:ascii="仿宋" w:hAnsi="仿宋" w:eastAsia="仿宋" w:cs="仿宋"/>
          <w:b w:val="0"/>
          <w:bCs w:val="0"/>
          <w:color w:val="auto"/>
          <w:highlight w:val="none"/>
          <w:lang w:val="en-US" w:eastAsia="zh-CN"/>
        </w:rPr>
        <w:t>商务</w:t>
      </w:r>
      <w:r>
        <w:rPr>
          <w:rFonts w:hint="eastAsia" w:ascii="仿宋" w:hAnsi="仿宋" w:eastAsia="仿宋" w:cs="仿宋"/>
          <w:b w:val="0"/>
          <w:bCs w:val="0"/>
          <w:color w:val="auto"/>
          <w:highlight w:val="none"/>
        </w:rPr>
        <w:t>需求”中</w:t>
      </w:r>
      <w:r>
        <w:rPr>
          <w:rFonts w:hint="eastAsia" w:ascii="仿宋" w:hAnsi="仿宋" w:eastAsia="仿宋" w:cs="仿宋"/>
          <w:b w:val="0"/>
          <w:bCs w:val="0"/>
          <w:color w:val="auto"/>
          <w:highlight w:val="none"/>
          <w:lang w:val="en-US" w:eastAsia="zh-CN"/>
        </w:rPr>
        <w:t>全部内容及要求</w:t>
      </w:r>
      <w:r>
        <w:rPr>
          <w:rFonts w:hint="eastAsia" w:ascii="仿宋" w:hAnsi="仿宋" w:eastAsia="仿宋" w:cs="仿宋"/>
          <w:b w:val="0"/>
          <w:bCs w:val="0"/>
          <w:color w:val="auto"/>
          <w:highlight w:val="none"/>
        </w:rPr>
        <w:t>。</w:t>
      </w:r>
    </w:p>
    <w:p w14:paraId="50A549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我司承诺</w:t>
      </w:r>
      <w:r>
        <w:rPr>
          <w:rFonts w:hint="eastAsia" w:ascii="仿宋" w:hAnsi="仿宋" w:eastAsia="仿宋" w:cs="仿宋"/>
          <w:b w:val="0"/>
          <w:bCs w:val="0"/>
          <w:color w:val="auto"/>
          <w:highlight w:val="none"/>
          <w:lang w:val="en-US" w:eastAsia="zh-CN"/>
        </w:rPr>
        <w:t>对商务条款的响应满足采购文件的全部</w:t>
      </w:r>
      <w:r>
        <w:rPr>
          <w:rFonts w:hint="eastAsia" w:ascii="仿宋" w:hAnsi="仿宋" w:eastAsia="仿宋" w:cs="仿宋"/>
          <w:b w:val="0"/>
          <w:bCs w:val="0"/>
          <w:color w:val="auto"/>
          <w:highlight w:val="none"/>
        </w:rPr>
        <w:t>要求。</w:t>
      </w:r>
    </w:p>
    <w:p w14:paraId="6444D2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我司</w:t>
      </w:r>
      <w:r>
        <w:rPr>
          <w:rFonts w:hint="eastAsia" w:ascii="仿宋" w:hAnsi="仿宋" w:eastAsia="仿宋" w:cs="仿宋"/>
          <w:b w:val="0"/>
          <w:bCs w:val="0"/>
          <w:color w:val="auto"/>
          <w:highlight w:val="none"/>
        </w:rPr>
        <w:t>承诺在本次投标活动中，我们将严格遵守相关法律法规和</w:t>
      </w:r>
      <w:r>
        <w:rPr>
          <w:rFonts w:hint="eastAsia" w:ascii="仿宋" w:hAnsi="仿宋" w:eastAsia="仿宋" w:cs="仿宋"/>
          <w:b w:val="0"/>
          <w:bCs w:val="0"/>
          <w:color w:val="auto"/>
          <w:highlight w:val="none"/>
          <w:lang w:val="en-US" w:eastAsia="zh-CN"/>
        </w:rPr>
        <w:t>采购</w:t>
      </w:r>
      <w:r>
        <w:rPr>
          <w:rFonts w:hint="eastAsia" w:ascii="仿宋" w:hAnsi="仿宋" w:eastAsia="仿宋" w:cs="仿宋"/>
          <w:b w:val="0"/>
          <w:bCs w:val="0"/>
          <w:color w:val="auto"/>
          <w:highlight w:val="none"/>
        </w:rPr>
        <w:t>文件的规定，提供真实、有效的</w:t>
      </w:r>
      <w:r>
        <w:rPr>
          <w:rFonts w:hint="eastAsia" w:ascii="仿宋" w:hAnsi="仿宋" w:eastAsia="仿宋" w:cs="仿宋"/>
          <w:b w:val="0"/>
          <w:bCs w:val="0"/>
          <w:color w:val="auto"/>
          <w:highlight w:val="none"/>
          <w:lang w:val="en-US" w:eastAsia="zh-CN"/>
        </w:rPr>
        <w:t>商务条款</w:t>
      </w:r>
      <w:r>
        <w:rPr>
          <w:rFonts w:hint="eastAsia" w:ascii="仿宋" w:hAnsi="仿宋" w:eastAsia="仿宋" w:cs="仿宋"/>
          <w:b w:val="0"/>
          <w:bCs w:val="0"/>
          <w:color w:val="auto"/>
          <w:highlight w:val="none"/>
        </w:rPr>
        <w:t>响应</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若我司提供的产品或服务未能达到本承诺函所承诺的</w:t>
      </w:r>
      <w:r>
        <w:rPr>
          <w:rFonts w:hint="eastAsia" w:ascii="仿宋" w:hAnsi="仿宋" w:eastAsia="仿宋" w:cs="仿宋"/>
          <w:b w:val="0"/>
          <w:bCs w:val="0"/>
          <w:color w:val="auto"/>
          <w:highlight w:val="none"/>
          <w:lang w:val="en-US" w:eastAsia="zh-CN"/>
        </w:rPr>
        <w:t>相关</w:t>
      </w:r>
      <w:r>
        <w:rPr>
          <w:rFonts w:hint="eastAsia" w:ascii="仿宋" w:hAnsi="仿宋" w:eastAsia="仿宋" w:cs="仿宋"/>
          <w:b w:val="0"/>
          <w:bCs w:val="0"/>
          <w:color w:val="auto"/>
          <w:highlight w:val="none"/>
        </w:rPr>
        <w:t>要求，我司愿承担相应的违约责任，包括但不限于取消中选资格</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投标保证金不予退还</w:t>
      </w:r>
      <w:r>
        <w:rPr>
          <w:rFonts w:hint="eastAsia" w:ascii="仿宋" w:hAnsi="仿宋" w:eastAsia="仿宋" w:cs="仿宋"/>
          <w:b w:val="0"/>
          <w:bCs w:val="0"/>
          <w:color w:val="auto"/>
          <w:highlight w:val="none"/>
          <w:lang w:eastAsia="zh-CN"/>
        </w:rPr>
        <w:t>，退货、换货、赔偿损失</w:t>
      </w:r>
      <w:r>
        <w:rPr>
          <w:rFonts w:hint="eastAsia" w:ascii="仿宋" w:hAnsi="仿宋" w:eastAsia="仿宋" w:cs="仿宋"/>
          <w:b w:val="0"/>
          <w:bCs w:val="0"/>
          <w:color w:val="auto"/>
          <w:highlight w:val="none"/>
        </w:rPr>
        <w:t>等</w:t>
      </w:r>
      <w:r>
        <w:rPr>
          <w:rFonts w:hint="eastAsia" w:ascii="仿宋" w:hAnsi="仿宋" w:eastAsia="仿宋" w:cs="仿宋"/>
          <w:b w:val="0"/>
          <w:bCs w:val="0"/>
          <w:color w:val="auto"/>
          <w:highlight w:val="none"/>
          <w:lang w:val="en-US" w:eastAsia="zh-CN"/>
        </w:rPr>
        <w:t>事项。</w:t>
      </w:r>
    </w:p>
    <w:p w14:paraId="6330A9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特此承诺！</w:t>
      </w:r>
    </w:p>
    <w:p w14:paraId="4955FE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lang w:val="en-US" w:eastAsia="zh-CN"/>
        </w:rPr>
      </w:pPr>
    </w:p>
    <w:p w14:paraId="4FAA87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lang w:val="en-US" w:eastAsia="zh-CN"/>
        </w:rPr>
      </w:pPr>
    </w:p>
    <w:p w14:paraId="4BD42AAD">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供应商名称（公章）：</w:t>
      </w:r>
    </w:p>
    <w:p w14:paraId="1871E72D">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年</w:t>
      </w:r>
      <w:r>
        <w:rPr>
          <w:rFonts w:hint="eastAsia" w:ascii="仿宋" w:hAnsi="仿宋" w:eastAsia="仿宋" w:cs="仿宋"/>
          <w:b w:val="0"/>
          <w:bCs w:val="0"/>
          <w:color w:val="auto"/>
          <w:highlight w:val="none"/>
          <w:lang w:val="en-US" w:eastAsia="zh-CN"/>
        </w:rPr>
        <w:t xml:space="preserve">  </w:t>
      </w:r>
      <w:r>
        <w:rPr>
          <w:rFonts w:hint="eastAsia" w:ascii="仿宋" w:hAnsi="仿宋" w:eastAsia="仿宋" w:cs="仿宋"/>
          <w:b w:val="0"/>
          <w:bCs w:val="0"/>
          <w:color w:val="auto"/>
          <w:highlight w:val="none"/>
        </w:rPr>
        <w:t xml:space="preserve">  月 </w:t>
      </w:r>
      <w:r>
        <w:rPr>
          <w:rFonts w:hint="eastAsia" w:ascii="仿宋" w:hAnsi="仿宋" w:eastAsia="仿宋" w:cs="仿宋"/>
          <w:b w:val="0"/>
          <w:bCs w:val="0"/>
          <w:color w:val="auto"/>
          <w:highlight w:val="none"/>
          <w:lang w:val="en-US" w:eastAsia="zh-CN"/>
        </w:rPr>
        <w:t xml:space="preserve">  </w:t>
      </w:r>
      <w:r>
        <w:rPr>
          <w:rFonts w:hint="eastAsia" w:ascii="仿宋" w:hAnsi="仿宋" w:eastAsia="仿宋" w:cs="仿宋"/>
          <w:b w:val="0"/>
          <w:bCs w:val="0"/>
          <w:color w:val="auto"/>
          <w:highlight w:val="none"/>
        </w:rPr>
        <w:t xml:space="preserve"> 日</w:t>
      </w:r>
    </w:p>
    <w:p w14:paraId="7F9BDE1D">
      <w:pPr>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7D6B414F">
      <w:pP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1.本响应承诺函</w:t>
      </w:r>
      <w:r>
        <w:rPr>
          <w:rFonts w:hint="eastAsia" w:ascii="仿宋" w:hAnsi="仿宋" w:eastAsia="仿宋" w:cs="仿宋"/>
          <w:b w:val="0"/>
          <w:bCs w:val="0"/>
          <w:color w:val="auto"/>
          <w:highlight w:val="none"/>
          <w:lang w:val="en-US" w:eastAsia="zh-CN"/>
        </w:rPr>
        <w:t>是对采购文件“第三篇 项目商务需求”中内容作出的无差异响应承诺，须按格式填写完整并加盖供应商公章</w:t>
      </w:r>
      <w:r>
        <w:rPr>
          <w:rFonts w:hint="eastAsia" w:ascii="仿宋" w:hAnsi="仿宋" w:eastAsia="仿宋" w:cs="仿宋"/>
          <w:b w:val="0"/>
          <w:bCs w:val="0"/>
          <w:color w:val="auto"/>
          <w:highlight w:val="none"/>
        </w:rPr>
        <w:t>；</w:t>
      </w:r>
    </w:p>
    <w:p w14:paraId="5A0985C2">
      <w:pP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2.本承诺函</w:t>
      </w:r>
      <w:r>
        <w:rPr>
          <w:rFonts w:hint="eastAsia" w:ascii="仿宋" w:hAnsi="仿宋" w:eastAsia="仿宋" w:cs="仿宋"/>
          <w:b w:val="0"/>
          <w:bCs w:val="0"/>
          <w:color w:val="auto"/>
          <w:highlight w:val="none"/>
          <w:lang w:val="en-US" w:eastAsia="zh-CN"/>
        </w:rPr>
        <w:t>为响应性承诺，项目商务需求中如有要求提供支撑材料或相关承诺的，应另行提供</w:t>
      </w:r>
      <w:r>
        <w:rPr>
          <w:rFonts w:hint="eastAsia" w:ascii="仿宋" w:hAnsi="仿宋" w:eastAsia="仿宋" w:cs="仿宋"/>
          <w:b w:val="0"/>
          <w:bCs w:val="0"/>
          <w:color w:val="auto"/>
          <w:highlight w:val="none"/>
        </w:rPr>
        <w:t>；</w:t>
      </w:r>
    </w:p>
    <w:p w14:paraId="2582D2CA">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0BE7FC4A">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（三）商务评分部分相关证明材料</w:t>
      </w:r>
      <w:r>
        <w:rPr>
          <w:rFonts w:hint="eastAsia" w:ascii="仿宋" w:hAnsi="仿宋" w:eastAsia="仿宋" w:cs="仿宋"/>
          <w:color w:val="auto"/>
          <w:highlight w:val="none"/>
        </w:rPr>
        <w:br w:type="page"/>
      </w:r>
    </w:p>
    <w:p w14:paraId="3984824B">
      <w:pPr>
        <w:pStyle w:val="4"/>
        <w:spacing w:beforeLines="0" w:line="360" w:lineRule="auto"/>
        <w:ind w:firstLine="562"/>
        <w:rPr>
          <w:rFonts w:hint="eastAsia" w:ascii="仿宋" w:hAnsi="仿宋" w:eastAsia="仿宋" w:cs="仿宋"/>
          <w:color w:val="auto"/>
          <w:highlight w:val="none"/>
        </w:rPr>
      </w:pPr>
      <w:bookmarkStart w:id="324" w:name="_Toc2353"/>
      <w:bookmarkStart w:id="325" w:name="_Toc10430"/>
      <w:r>
        <w:rPr>
          <w:rFonts w:hint="eastAsia" w:ascii="仿宋" w:hAnsi="仿宋" w:eastAsia="仿宋" w:cs="仿宋"/>
          <w:color w:val="auto"/>
          <w:highlight w:val="none"/>
        </w:rPr>
        <w:t>五、</w:t>
      </w:r>
      <w:bookmarkEnd w:id="318"/>
      <w:bookmarkEnd w:id="319"/>
      <w:bookmarkEnd w:id="320"/>
      <w:r>
        <w:rPr>
          <w:rFonts w:hint="eastAsia" w:ascii="仿宋" w:hAnsi="仿宋" w:eastAsia="仿宋" w:cs="仿宋"/>
          <w:color w:val="auto"/>
          <w:highlight w:val="none"/>
        </w:rPr>
        <w:t>其他与项目有关的资料</w:t>
      </w:r>
      <w:bookmarkEnd w:id="321"/>
      <w:bookmarkEnd w:id="322"/>
      <w:bookmarkEnd w:id="323"/>
      <w:bookmarkEnd w:id="324"/>
      <w:bookmarkEnd w:id="325"/>
    </w:p>
    <w:p w14:paraId="52D22884">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格式自拟</w:t>
      </w:r>
    </w:p>
    <w:p w14:paraId="6375029D">
      <w:pPr>
        <w:spacing w:line="360" w:lineRule="auto"/>
        <w:rPr>
          <w:rFonts w:hint="eastAsia" w:ascii="仿宋" w:hAnsi="仿宋" w:eastAsia="仿宋" w:cs="仿宋"/>
          <w:color w:val="auto"/>
          <w:highlight w:val="none"/>
        </w:rPr>
      </w:pPr>
    </w:p>
    <w:p w14:paraId="73331DD1">
      <w:pPr>
        <w:spacing w:line="360" w:lineRule="auto"/>
        <w:rPr>
          <w:rFonts w:hint="eastAsia" w:ascii="仿宋" w:hAnsi="仿宋" w:eastAsia="仿宋" w:cs="仿宋"/>
          <w:color w:val="auto"/>
          <w:highlight w:val="none"/>
        </w:rPr>
      </w:pPr>
    </w:p>
    <w:p w14:paraId="740AD27D">
      <w:pPr>
        <w:spacing w:line="360" w:lineRule="auto"/>
        <w:rPr>
          <w:rFonts w:hint="eastAsia" w:ascii="仿宋" w:hAnsi="仿宋" w:eastAsia="仿宋" w:cs="仿宋"/>
          <w:color w:val="auto"/>
          <w:highlight w:val="none"/>
        </w:rPr>
      </w:pPr>
    </w:p>
    <w:p w14:paraId="126A59FA">
      <w:pPr>
        <w:spacing w:line="360" w:lineRule="auto"/>
        <w:rPr>
          <w:rFonts w:hint="eastAsia" w:ascii="仿宋" w:hAnsi="仿宋" w:eastAsia="仿宋" w:cs="仿宋"/>
          <w:color w:val="auto"/>
          <w:highlight w:val="none"/>
        </w:rPr>
      </w:pPr>
    </w:p>
    <w:sectPr>
      <w:footerReference r:id="rId8" w:type="default"/>
      <w:pgSz w:w="11906" w:h="16838"/>
      <w:pgMar w:top="1440" w:right="1080" w:bottom="1440" w:left="1080" w:header="794"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249A363-41FA-4BDC-90AE-7E69105963C4}"/>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D24E8CE-6DDC-4FA8-9C9C-DF62716215F7}"/>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3C339">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FD173">
    <w:pPr>
      <w:snapToGrid w:val="0"/>
      <w:ind w:firstLine="360"/>
      <w:rPr>
        <w:rFonts w:ascii="Calibri" w:hAnsi="Calibri"/>
        <w:sz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76299FB">
                          <w:pPr>
                            <w:pStyle w:val="14"/>
                            <w:rPr>
                              <w:sz w:val="22"/>
                              <w:szCs w:val="24"/>
                            </w:rPr>
                          </w:pPr>
                          <w:r>
                            <w:rPr>
                              <w:sz w:val="22"/>
                              <w:szCs w:val="24"/>
                            </w:rPr>
                            <w:fldChar w:fldCharType="begin"/>
                          </w:r>
                          <w:r>
                            <w:rPr>
                              <w:sz w:val="22"/>
                              <w:szCs w:val="24"/>
                            </w:rPr>
                            <w:instrText xml:space="preserve"> PAGE  \* MERGEFORMAT </w:instrText>
                          </w:r>
                          <w:r>
                            <w:rPr>
                              <w:sz w:val="22"/>
                              <w:szCs w:val="24"/>
                            </w:rPr>
                            <w:fldChar w:fldCharType="separate"/>
                          </w:r>
                          <w:r>
                            <w:rPr>
                              <w:sz w:val="22"/>
                              <w:szCs w:val="24"/>
                            </w:rPr>
                            <w:t>17</w:t>
                          </w:r>
                          <w:r>
                            <w:rPr>
                              <w:sz w:val="22"/>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776299FB">
                    <w:pPr>
                      <w:pStyle w:val="14"/>
                      <w:rPr>
                        <w:sz w:val="22"/>
                        <w:szCs w:val="24"/>
                      </w:rPr>
                    </w:pPr>
                    <w:r>
                      <w:rPr>
                        <w:sz w:val="22"/>
                        <w:szCs w:val="24"/>
                      </w:rPr>
                      <w:fldChar w:fldCharType="begin"/>
                    </w:r>
                    <w:r>
                      <w:rPr>
                        <w:sz w:val="22"/>
                        <w:szCs w:val="24"/>
                      </w:rPr>
                      <w:instrText xml:space="preserve"> PAGE  \* MERGEFORMAT </w:instrText>
                    </w:r>
                    <w:r>
                      <w:rPr>
                        <w:sz w:val="22"/>
                        <w:szCs w:val="24"/>
                      </w:rPr>
                      <w:fldChar w:fldCharType="separate"/>
                    </w:r>
                    <w:r>
                      <w:rPr>
                        <w:sz w:val="22"/>
                        <w:szCs w:val="24"/>
                      </w:rPr>
                      <w:t>17</w:t>
                    </w:r>
                    <w:r>
                      <w:rPr>
                        <w:sz w:val="22"/>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BC16B">
    <w:pPr>
      <w:snapToGrid w:val="0"/>
      <w:ind w:firstLine="360"/>
      <w:rPr>
        <w:rFonts w:ascii="Calibri" w:hAnsi="Calibri"/>
        <w:sz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340AD4">
                          <w:pPr>
                            <w:pStyle w:val="14"/>
                            <w:rPr>
                              <w:sz w:val="22"/>
                              <w:szCs w:val="24"/>
                            </w:rPr>
                          </w:pPr>
                          <w:r>
                            <w:rPr>
                              <w:sz w:val="22"/>
                              <w:szCs w:val="24"/>
                            </w:rPr>
                            <w:fldChar w:fldCharType="begin"/>
                          </w:r>
                          <w:r>
                            <w:rPr>
                              <w:sz w:val="22"/>
                              <w:szCs w:val="24"/>
                            </w:rPr>
                            <w:instrText xml:space="preserve"> PAGE  \* MERGEFORMAT </w:instrText>
                          </w:r>
                          <w:r>
                            <w:rPr>
                              <w:sz w:val="22"/>
                              <w:szCs w:val="24"/>
                            </w:rPr>
                            <w:fldChar w:fldCharType="separate"/>
                          </w:r>
                          <w:r>
                            <w:rPr>
                              <w:sz w:val="22"/>
                              <w:szCs w:val="24"/>
                            </w:rPr>
                            <w:t>19</w:t>
                          </w:r>
                          <w:r>
                            <w:rPr>
                              <w:sz w:val="22"/>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5A340AD4">
                    <w:pPr>
                      <w:pStyle w:val="14"/>
                      <w:rPr>
                        <w:sz w:val="22"/>
                        <w:szCs w:val="24"/>
                      </w:rPr>
                    </w:pPr>
                    <w:r>
                      <w:rPr>
                        <w:sz w:val="22"/>
                        <w:szCs w:val="24"/>
                      </w:rPr>
                      <w:fldChar w:fldCharType="begin"/>
                    </w:r>
                    <w:r>
                      <w:rPr>
                        <w:sz w:val="22"/>
                        <w:szCs w:val="24"/>
                      </w:rPr>
                      <w:instrText xml:space="preserve"> PAGE  \* MERGEFORMAT </w:instrText>
                    </w:r>
                    <w:r>
                      <w:rPr>
                        <w:sz w:val="22"/>
                        <w:szCs w:val="24"/>
                      </w:rPr>
                      <w:fldChar w:fldCharType="separate"/>
                    </w:r>
                    <w:r>
                      <w:rPr>
                        <w:sz w:val="22"/>
                        <w:szCs w:val="24"/>
                      </w:rPr>
                      <w:t>19</w:t>
                    </w:r>
                    <w:r>
                      <w:rPr>
                        <w:sz w:val="22"/>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956B">
    <w:pPr>
      <w:pStyle w:val="17"/>
      <w:pBdr>
        <w:top w:val="none" w:color="auto" w:sz="0" w:space="0"/>
        <w:left w:val="none" w:color="auto" w:sz="0" w:space="0"/>
        <w:bottom w:val="none" w:color="auto" w:sz="0" w:space="0"/>
        <w:right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5C70">
    <w:pPr>
      <w:pStyle w:val="17"/>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5FBA">
    <w:pPr>
      <w:pStyle w:val="17"/>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92F0E"/>
    <w:multiLevelType w:val="singleLevel"/>
    <w:tmpl w:val="DFB92F0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Y2IzYTMzZjlkNDQ4ZDAwMGZhOTM0YTVmNzc0NmYifQ=="/>
  </w:docVars>
  <w:rsids>
    <w:rsidRoot w:val="00E76546"/>
    <w:rsid w:val="000B7BB0"/>
    <w:rsid w:val="000F0616"/>
    <w:rsid w:val="001546D8"/>
    <w:rsid w:val="001A731B"/>
    <w:rsid w:val="00244317"/>
    <w:rsid w:val="002C41BC"/>
    <w:rsid w:val="002F611A"/>
    <w:rsid w:val="002F73F9"/>
    <w:rsid w:val="00305A99"/>
    <w:rsid w:val="003B7256"/>
    <w:rsid w:val="00431785"/>
    <w:rsid w:val="004C6C22"/>
    <w:rsid w:val="004D59BD"/>
    <w:rsid w:val="004F1736"/>
    <w:rsid w:val="005140DE"/>
    <w:rsid w:val="00547DE2"/>
    <w:rsid w:val="005749D1"/>
    <w:rsid w:val="00602398"/>
    <w:rsid w:val="00607AF2"/>
    <w:rsid w:val="00652113"/>
    <w:rsid w:val="006526F0"/>
    <w:rsid w:val="00702A04"/>
    <w:rsid w:val="00744DCC"/>
    <w:rsid w:val="0076588D"/>
    <w:rsid w:val="00785378"/>
    <w:rsid w:val="008B5614"/>
    <w:rsid w:val="00950240"/>
    <w:rsid w:val="00967CE9"/>
    <w:rsid w:val="00A138F2"/>
    <w:rsid w:val="00AD7CCC"/>
    <w:rsid w:val="00B057ED"/>
    <w:rsid w:val="00B9150C"/>
    <w:rsid w:val="00BA3672"/>
    <w:rsid w:val="00BD3DD0"/>
    <w:rsid w:val="00BD5B71"/>
    <w:rsid w:val="00C20F6C"/>
    <w:rsid w:val="00C326CF"/>
    <w:rsid w:val="00C51699"/>
    <w:rsid w:val="00CD31C9"/>
    <w:rsid w:val="00D2237F"/>
    <w:rsid w:val="00DA4CCE"/>
    <w:rsid w:val="00DC5E0F"/>
    <w:rsid w:val="00E170D3"/>
    <w:rsid w:val="00E76546"/>
    <w:rsid w:val="00ED11F8"/>
    <w:rsid w:val="01135060"/>
    <w:rsid w:val="01237FC0"/>
    <w:rsid w:val="013400FE"/>
    <w:rsid w:val="016073E8"/>
    <w:rsid w:val="019404F8"/>
    <w:rsid w:val="01D408F4"/>
    <w:rsid w:val="01FA7548"/>
    <w:rsid w:val="01FF3BC3"/>
    <w:rsid w:val="021533E7"/>
    <w:rsid w:val="022C6982"/>
    <w:rsid w:val="02921448"/>
    <w:rsid w:val="031514EA"/>
    <w:rsid w:val="039262B2"/>
    <w:rsid w:val="03BC224B"/>
    <w:rsid w:val="040D00EE"/>
    <w:rsid w:val="044A3E16"/>
    <w:rsid w:val="04CB5550"/>
    <w:rsid w:val="04D00CE7"/>
    <w:rsid w:val="04F738DE"/>
    <w:rsid w:val="050140F6"/>
    <w:rsid w:val="052971A9"/>
    <w:rsid w:val="05537D1C"/>
    <w:rsid w:val="057A03EE"/>
    <w:rsid w:val="05AF1FFD"/>
    <w:rsid w:val="06204E2B"/>
    <w:rsid w:val="06277B8D"/>
    <w:rsid w:val="06C74ECC"/>
    <w:rsid w:val="07140111"/>
    <w:rsid w:val="0714213C"/>
    <w:rsid w:val="07584A57"/>
    <w:rsid w:val="076F17EB"/>
    <w:rsid w:val="076F1953"/>
    <w:rsid w:val="07A07E80"/>
    <w:rsid w:val="07AB0349"/>
    <w:rsid w:val="07DE49D9"/>
    <w:rsid w:val="08017366"/>
    <w:rsid w:val="082F0085"/>
    <w:rsid w:val="085B58CB"/>
    <w:rsid w:val="088600B2"/>
    <w:rsid w:val="08A3556C"/>
    <w:rsid w:val="08F00707"/>
    <w:rsid w:val="09361183"/>
    <w:rsid w:val="098378C2"/>
    <w:rsid w:val="09B036B1"/>
    <w:rsid w:val="09DC429A"/>
    <w:rsid w:val="0A2134F6"/>
    <w:rsid w:val="0A21725C"/>
    <w:rsid w:val="0A283D19"/>
    <w:rsid w:val="0A2F7010"/>
    <w:rsid w:val="0A4D717D"/>
    <w:rsid w:val="0A595E3B"/>
    <w:rsid w:val="0A6412C1"/>
    <w:rsid w:val="0A771CA1"/>
    <w:rsid w:val="0A7C7EC1"/>
    <w:rsid w:val="0ABE27BB"/>
    <w:rsid w:val="0AD020DC"/>
    <w:rsid w:val="0B3A2110"/>
    <w:rsid w:val="0B667275"/>
    <w:rsid w:val="0B700B15"/>
    <w:rsid w:val="0B823D5A"/>
    <w:rsid w:val="0B8D2240"/>
    <w:rsid w:val="0B957346"/>
    <w:rsid w:val="0BB35E1A"/>
    <w:rsid w:val="0BCF0AAA"/>
    <w:rsid w:val="0BDA11FD"/>
    <w:rsid w:val="0BDF05C2"/>
    <w:rsid w:val="0BDF7A94"/>
    <w:rsid w:val="0C05627A"/>
    <w:rsid w:val="0C1F4E62"/>
    <w:rsid w:val="0C405504"/>
    <w:rsid w:val="0CDA0C9B"/>
    <w:rsid w:val="0CDA5095"/>
    <w:rsid w:val="0D171B83"/>
    <w:rsid w:val="0D2B5AC6"/>
    <w:rsid w:val="0D700794"/>
    <w:rsid w:val="0D7C256C"/>
    <w:rsid w:val="0D894C89"/>
    <w:rsid w:val="0DAB10A3"/>
    <w:rsid w:val="0DC161D1"/>
    <w:rsid w:val="0DC44E57"/>
    <w:rsid w:val="0DCF2D42"/>
    <w:rsid w:val="0E0242F5"/>
    <w:rsid w:val="0E3A7E29"/>
    <w:rsid w:val="0E715E49"/>
    <w:rsid w:val="0E87566C"/>
    <w:rsid w:val="0EAE7F1E"/>
    <w:rsid w:val="0EB2020F"/>
    <w:rsid w:val="0F354A38"/>
    <w:rsid w:val="0F7D0389"/>
    <w:rsid w:val="0F8C280E"/>
    <w:rsid w:val="0F8C39A9"/>
    <w:rsid w:val="0FE30FA9"/>
    <w:rsid w:val="10224CB2"/>
    <w:rsid w:val="10587DF7"/>
    <w:rsid w:val="10741C20"/>
    <w:rsid w:val="107A6B0B"/>
    <w:rsid w:val="10851A12"/>
    <w:rsid w:val="10B169D0"/>
    <w:rsid w:val="10C33691"/>
    <w:rsid w:val="10DD5097"/>
    <w:rsid w:val="10FE598E"/>
    <w:rsid w:val="110D0786"/>
    <w:rsid w:val="1156269E"/>
    <w:rsid w:val="11AF1711"/>
    <w:rsid w:val="11C46F35"/>
    <w:rsid w:val="11E15F7C"/>
    <w:rsid w:val="11F17D2B"/>
    <w:rsid w:val="11F624FE"/>
    <w:rsid w:val="11F636B4"/>
    <w:rsid w:val="121B4B2A"/>
    <w:rsid w:val="12216040"/>
    <w:rsid w:val="12243C6A"/>
    <w:rsid w:val="12323B41"/>
    <w:rsid w:val="12337F00"/>
    <w:rsid w:val="125A3098"/>
    <w:rsid w:val="12AD766B"/>
    <w:rsid w:val="12AF41F6"/>
    <w:rsid w:val="12BA7A0D"/>
    <w:rsid w:val="12F86309"/>
    <w:rsid w:val="13002CF4"/>
    <w:rsid w:val="13044E54"/>
    <w:rsid w:val="131E40C5"/>
    <w:rsid w:val="13501A80"/>
    <w:rsid w:val="13795923"/>
    <w:rsid w:val="137F156C"/>
    <w:rsid w:val="13AC6743"/>
    <w:rsid w:val="13CB7DA9"/>
    <w:rsid w:val="13D74D7F"/>
    <w:rsid w:val="13E454B0"/>
    <w:rsid w:val="13EB21F9"/>
    <w:rsid w:val="14061086"/>
    <w:rsid w:val="141860EE"/>
    <w:rsid w:val="14533497"/>
    <w:rsid w:val="149A29C7"/>
    <w:rsid w:val="14B13266"/>
    <w:rsid w:val="14B7799A"/>
    <w:rsid w:val="14C15580"/>
    <w:rsid w:val="14CA0ED3"/>
    <w:rsid w:val="150A7F85"/>
    <w:rsid w:val="152A7C39"/>
    <w:rsid w:val="153D78B4"/>
    <w:rsid w:val="154843B8"/>
    <w:rsid w:val="15AD4406"/>
    <w:rsid w:val="15D46CBD"/>
    <w:rsid w:val="15E038B4"/>
    <w:rsid w:val="15E909BB"/>
    <w:rsid w:val="15FE4D67"/>
    <w:rsid w:val="1629423D"/>
    <w:rsid w:val="16913548"/>
    <w:rsid w:val="16DB50B2"/>
    <w:rsid w:val="16E80B41"/>
    <w:rsid w:val="17253C74"/>
    <w:rsid w:val="17285513"/>
    <w:rsid w:val="172C5003"/>
    <w:rsid w:val="172D4605"/>
    <w:rsid w:val="177249E0"/>
    <w:rsid w:val="179D48DD"/>
    <w:rsid w:val="17DE3DD1"/>
    <w:rsid w:val="17FF63F7"/>
    <w:rsid w:val="187D1E98"/>
    <w:rsid w:val="187F0273"/>
    <w:rsid w:val="188C5BDD"/>
    <w:rsid w:val="18F56188"/>
    <w:rsid w:val="191C4C03"/>
    <w:rsid w:val="19B4071D"/>
    <w:rsid w:val="19FC5530"/>
    <w:rsid w:val="1A2B1944"/>
    <w:rsid w:val="1A4234C3"/>
    <w:rsid w:val="1A5D2CFD"/>
    <w:rsid w:val="1A5F7E08"/>
    <w:rsid w:val="1A622AE9"/>
    <w:rsid w:val="1A911621"/>
    <w:rsid w:val="1AAF3F5E"/>
    <w:rsid w:val="1AD27C6F"/>
    <w:rsid w:val="1B0E2C71"/>
    <w:rsid w:val="1BB23EFF"/>
    <w:rsid w:val="1BEA723A"/>
    <w:rsid w:val="1BFA24B9"/>
    <w:rsid w:val="1BFD62C4"/>
    <w:rsid w:val="1C0A51E7"/>
    <w:rsid w:val="1C306A81"/>
    <w:rsid w:val="1C4701E9"/>
    <w:rsid w:val="1C542199"/>
    <w:rsid w:val="1C874A89"/>
    <w:rsid w:val="1C972ECE"/>
    <w:rsid w:val="1CD75A11"/>
    <w:rsid w:val="1CE73F57"/>
    <w:rsid w:val="1D035AC0"/>
    <w:rsid w:val="1D5726AE"/>
    <w:rsid w:val="1D762229"/>
    <w:rsid w:val="1DA9187F"/>
    <w:rsid w:val="1DC6338F"/>
    <w:rsid w:val="1E1355AC"/>
    <w:rsid w:val="1E454B05"/>
    <w:rsid w:val="1E4C5F8A"/>
    <w:rsid w:val="1E810F7F"/>
    <w:rsid w:val="1EE2069D"/>
    <w:rsid w:val="1F6D77C8"/>
    <w:rsid w:val="1F921598"/>
    <w:rsid w:val="1FBC045E"/>
    <w:rsid w:val="1FBF2370"/>
    <w:rsid w:val="20B17B77"/>
    <w:rsid w:val="20BB4EC2"/>
    <w:rsid w:val="20BC1B9D"/>
    <w:rsid w:val="21390135"/>
    <w:rsid w:val="21486EDD"/>
    <w:rsid w:val="215E2EEF"/>
    <w:rsid w:val="21617F9F"/>
    <w:rsid w:val="217958F6"/>
    <w:rsid w:val="217C0935"/>
    <w:rsid w:val="217C0CE7"/>
    <w:rsid w:val="21D10BB0"/>
    <w:rsid w:val="21DC5A1B"/>
    <w:rsid w:val="22001566"/>
    <w:rsid w:val="220B70F2"/>
    <w:rsid w:val="221528DF"/>
    <w:rsid w:val="2237485C"/>
    <w:rsid w:val="22737F8A"/>
    <w:rsid w:val="22915559"/>
    <w:rsid w:val="22F976ED"/>
    <w:rsid w:val="23420D70"/>
    <w:rsid w:val="23AA4215"/>
    <w:rsid w:val="242623B1"/>
    <w:rsid w:val="242F6132"/>
    <w:rsid w:val="24592486"/>
    <w:rsid w:val="24B16B47"/>
    <w:rsid w:val="24C70119"/>
    <w:rsid w:val="24DB3BC4"/>
    <w:rsid w:val="24FB6014"/>
    <w:rsid w:val="24FE5B05"/>
    <w:rsid w:val="250824DF"/>
    <w:rsid w:val="2527505B"/>
    <w:rsid w:val="252C0F6A"/>
    <w:rsid w:val="25306065"/>
    <w:rsid w:val="25333A00"/>
    <w:rsid w:val="253B210F"/>
    <w:rsid w:val="256052B1"/>
    <w:rsid w:val="25695F41"/>
    <w:rsid w:val="257528BF"/>
    <w:rsid w:val="25DE1FA0"/>
    <w:rsid w:val="25DF678E"/>
    <w:rsid w:val="25E42F4C"/>
    <w:rsid w:val="25EC17F4"/>
    <w:rsid w:val="26136E77"/>
    <w:rsid w:val="26485289"/>
    <w:rsid w:val="26597496"/>
    <w:rsid w:val="26995AE5"/>
    <w:rsid w:val="269C55D5"/>
    <w:rsid w:val="26BA5C25"/>
    <w:rsid w:val="26CA2C15"/>
    <w:rsid w:val="26CD1C32"/>
    <w:rsid w:val="26D6070D"/>
    <w:rsid w:val="26EA3CCE"/>
    <w:rsid w:val="272F01F7"/>
    <w:rsid w:val="272F6449"/>
    <w:rsid w:val="27442996"/>
    <w:rsid w:val="278236BA"/>
    <w:rsid w:val="27845454"/>
    <w:rsid w:val="27894419"/>
    <w:rsid w:val="28481EEB"/>
    <w:rsid w:val="286133A8"/>
    <w:rsid w:val="28B27CA3"/>
    <w:rsid w:val="28D86DCB"/>
    <w:rsid w:val="28DB0A53"/>
    <w:rsid w:val="28F006E3"/>
    <w:rsid w:val="29E11C7D"/>
    <w:rsid w:val="29E4043D"/>
    <w:rsid w:val="2A2E0C3A"/>
    <w:rsid w:val="2A6102EC"/>
    <w:rsid w:val="2A7228D5"/>
    <w:rsid w:val="2A941B30"/>
    <w:rsid w:val="2A952A67"/>
    <w:rsid w:val="2AB47391"/>
    <w:rsid w:val="2ABC1DA2"/>
    <w:rsid w:val="2ACC030F"/>
    <w:rsid w:val="2B05199B"/>
    <w:rsid w:val="2B084FE7"/>
    <w:rsid w:val="2B4D3342"/>
    <w:rsid w:val="2B510F91"/>
    <w:rsid w:val="2B8F74B6"/>
    <w:rsid w:val="2B927BF0"/>
    <w:rsid w:val="2BAA609E"/>
    <w:rsid w:val="2BC068CC"/>
    <w:rsid w:val="2BD870AF"/>
    <w:rsid w:val="2C3C763E"/>
    <w:rsid w:val="2CAC2710"/>
    <w:rsid w:val="2CE43832"/>
    <w:rsid w:val="2CF54F37"/>
    <w:rsid w:val="2D170DFB"/>
    <w:rsid w:val="2D686211"/>
    <w:rsid w:val="2D6B5B76"/>
    <w:rsid w:val="2D6F57F1"/>
    <w:rsid w:val="2DCB5F48"/>
    <w:rsid w:val="2DEC299E"/>
    <w:rsid w:val="2E1B14D5"/>
    <w:rsid w:val="2E577CCC"/>
    <w:rsid w:val="2EBA6F40"/>
    <w:rsid w:val="2EBE597C"/>
    <w:rsid w:val="2F192425"/>
    <w:rsid w:val="2F491405"/>
    <w:rsid w:val="2F700004"/>
    <w:rsid w:val="2F750AF6"/>
    <w:rsid w:val="2F8310E0"/>
    <w:rsid w:val="2FA21B63"/>
    <w:rsid w:val="2FAC6889"/>
    <w:rsid w:val="2FB11EED"/>
    <w:rsid w:val="2FB674D6"/>
    <w:rsid w:val="30627CFF"/>
    <w:rsid w:val="30762746"/>
    <w:rsid w:val="30A612CD"/>
    <w:rsid w:val="30D13CEA"/>
    <w:rsid w:val="30D75E76"/>
    <w:rsid w:val="30EE4C7F"/>
    <w:rsid w:val="31385912"/>
    <w:rsid w:val="315E0057"/>
    <w:rsid w:val="31623B36"/>
    <w:rsid w:val="318D7151"/>
    <w:rsid w:val="31D310EC"/>
    <w:rsid w:val="31D76BE3"/>
    <w:rsid w:val="31DE2F46"/>
    <w:rsid w:val="31E656F2"/>
    <w:rsid w:val="31F10E53"/>
    <w:rsid w:val="31F84007"/>
    <w:rsid w:val="32677044"/>
    <w:rsid w:val="326A3B99"/>
    <w:rsid w:val="32855BAD"/>
    <w:rsid w:val="328B65FB"/>
    <w:rsid w:val="32935ADE"/>
    <w:rsid w:val="32936105"/>
    <w:rsid w:val="32A0771A"/>
    <w:rsid w:val="32F32A21"/>
    <w:rsid w:val="32FB6D81"/>
    <w:rsid w:val="330A3CD4"/>
    <w:rsid w:val="33522C72"/>
    <w:rsid w:val="33BC38E1"/>
    <w:rsid w:val="33C65A3F"/>
    <w:rsid w:val="342A06A6"/>
    <w:rsid w:val="347B74B6"/>
    <w:rsid w:val="34CE1050"/>
    <w:rsid w:val="35C2236D"/>
    <w:rsid w:val="35CC12CF"/>
    <w:rsid w:val="35E05EC2"/>
    <w:rsid w:val="35EB58C9"/>
    <w:rsid w:val="35FD497C"/>
    <w:rsid w:val="36174C78"/>
    <w:rsid w:val="36651083"/>
    <w:rsid w:val="369037A3"/>
    <w:rsid w:val="36965B9D"/>
    <w:rsid w:val="36D30B9F"/>
    <w:rsid w:val="36FD79CA"/>
    <w:rsid w:val="372B2789"/>
    <w:rsid w:val="373A6E70"/>
    <w:rsid w:val="37490E61"/>
    <w:rsid w:val="377C1237"/>
    <w:rsid w:val="382316B2"/>
    <w:rsid w:val="38325D99"/>
    <w:rsid w:val="383C09C6"/>
    <w:rsid w:val="38CF5396"/>
    <w:rsid w:val="392576AC"/>
    <w:rsid w:val="392C1B53"/>
    <w:rsid w:val="393A3FC5"/>
    <w:rsid w:val="39596A2A"/>
    <w:rsid w:val="398D772B"/>
    <w:rsid w:val="39DA2245"/>
    <w:rsid w:val="39FE1322"/>
    <w:rsid w:val="3A402774"/>
    <w:rsid w:val="3A4F746C"/>
    <w:rsid w:val="3A5244D1"/>
    <w:rsid w:val="3A7E72BE"/>
    <w:rsid w:val="3AC32FB7"/>
    <w:rsid w:val="3B0A4CF0"/>
    <w:rsid w:val="3B581673"/>
    <w:rsid w:val="3BC1546A"/>
    <w:rsid w:val="3BF13876"/>
    <w:rsid w:val="3C2A2785"/>
    <w:rsid w:val="3C942B7F"/>
    <w:rsid w:val="3CAA735A"/>
    <w:rsid w:val="3D0374A9"/>
    <w:rsid w:val="3D193084"/>
    <w:rsid w:val="3D595B76"/>
    <w:rsid w:val="3D624E1A"/>
    <w:rsid w:val="3D755FB3"/>
    <w:rsid w:val="3D9B23FA"/>
    <w:rsid w:val="3DC079A3"/>
    <w:rsid w:val="3DC47D28"/>
    <w:rsid w:val="3E686071"/>
    <w:rsid w:val="3E703177"/>
    <w:rsid w:val="3E733D99"/>
    <w:rsid w:val="3EAE3246"/>
    <w:rsid w:val="3F052628"/>
    <w:rsid w:val="3F0D6C18"/>
    <w:rsid w:val="3F213DF6"/>
    <w:rsid w:val="3F3E3276"/>
    <w:rsid w:val="3F5E1222"/>
    <w:rsid w:val="3F977E85"/>
    <w:rsid w:val="3FC27A03"/>
    <w:rsid w:val="3FFF2A05"/>
    <w:rsid w:val="406311E6"/>
    <w:rsid w:val="407A3AE6"/>
    <w:rsid w:val="408D68F6"/>
    <w:rsid w:val="40F0234E"/>
    <w:rsid w:val="40F77F61"/>
    <w:rsid w:val="410C5D6B"/>
    <w:rsid w:val="41135599"/>
    <w:rsid w:val="41280BE1"/>
    <w:rsid w:val="412F731A"/>
    <w:rsid w:val="413F5BE3"/>
    <w:rsid w:val="414813D4"/>
    <w:rsid w:val="417536AE"/>
    <w:rsid w:val="41953B3B"/>
    <w:rsid w:val="41B56B45"/>
    <w:rsid w:val="41DE71C7"/>
    <w:rsid w:val="41E77BF5"/>
    <w:rsid w:val="41FF0A9A"/>
    <w:rsid w:val="421309EA"/>
    <w:rsid w:val="4250579A"/>
    <w:rsid w:val="42650DDE"/>
    <w:rsid w:val="4269045F"/>
    <w:rsid w:val="42962FAA"/>
    <w:rsid w:val="43192030"/>
    <w:rsid w:val="43486471"/>
    <w:rsid w:val="43986235"/>
    <w:rsid w:val="43A833B4"/>
    <w:rsid w:val="43AB6BB3"/>
    <w:rsid w:val="43E0686A"/>
    <w:rsid w:val="43F87E97"/>
    <w:rsid w:val="43F91FF0"/>
    <w:rsid w:val="441B65CB"/>
    <w:rsid w:val="44476729"/>
    <w:rsid w:val="44621098"/>
    <w:rsid w:val="44625D23"/>
    <w:rsid w:val="447110FA"/>
    <w:rsid w:val="44A06B0A"/>
    <w:rsid w:val="44CD1324"/>
    <w:rsid w:val="44D02BC2"/>
    <w:rsid w:val="450C4AD6"/>
    <w:rsid w:val="45140D01"/>
    <w:rsid w:val="451E30B0"/>
    <w:rsid w:val="45FC3543"/>
    <w:rsid w:val="4615491C"/>
    <w:rsid w:val="46BA7AEA"/>
    <w:rsid w:val="46F96A56"/>
    <w:rsid w:val="47174147"/>
    <w:rsid w:val="472323D9"/>
    <w:rsid w:val="4723522B"/>
    <w:rsid w:val="47393878"/>
    <w:rsid w:val="47507FEA"/>
    <w:rsid w:val="47BB36B5"/>
    <w:rsid w:val="484D103A"/>
    <w:rsid w:val="48651873"/>
    <w:rsid w:val="48780FA3"/>
    <w:rsid w:val="4893018E"/>
    <w:rsid w:val="48BD16AF"/>
    <w:rsid w:val="48DA3031"/>
    <w:rsid w:val="49046CCB"/>
    <w:rsid w:val="49830203"/>
    <w:rsid w:val="49AD01A5"/>
    <w:rsid w:val="49EB5DA8"/>
    <w:rsid w:val="4A19424D"/>
    <w:rsid w:val="4A4831FA"/>
    <w:rsid w:val="4AC13A05"/>
    <w:rsid w:val="4AEE71F6"/>
    <w:rsid w:val="4B115AA3"/>
    <w:rsid w:val="4B50680B"/>
    <w:rsid w:val="4B6776B0"/>
    <w:rsid w:val="4B9660C9"/>
    <w:rsid w:val="4BE3142D"/>
    <w:rsid w:val="4BF058F8"/>
    <w:rsid w:val="4C325F10"/>
    <w:rsid w:val="4C4A325A"/>
    <w:rsid w:val="4C743681"/>
    <w:rsid w:val="4C8A30FB"/>
    <w:rsid w:val="4C982217"/>
    <w:rsid w:val="4CC92CDF"/>
    <w:rsid w:val="4CCE170B"/>
    <w:rsid w:val="4CE8358B"/>
    <w:rsid w:val="4D176FCD"/>
    <w:rsid w:val="4D1E7B0E"/>
    <w:rsid w:val="4DF2028E"/>
    <w:rsid w:val="4DF770FA"/>
    <w:rsid w:val="4E013DEC"/>
    <w:rsid w:val="4E0A230C"/>
    <w:rsid w:val="4E4C33F2"/>
    <w:rsid w:val="4E564073"/>
    <w:rsid w:val="4E703C12"/>
    <w:rsid w:val="4E997076"/>
    <w:rsid w:val="4ED829E2"/>
    <w:rsid w:val="4F181B87"/>
    <w:rsid w:val="4F381A8F"/>
    <w:rsid w:val="4F700690"/>
    <w:rsid w:val="4F8810DB"/>
    <w:rsid w:val="4F9053B1"/>
    <w:rsid w:val="4FB541B4"/>
    <w:rsid w:val="4FC83A77"/>
    <w:rsid w:val="4FCA0E8E"/>
    <w:rsid w:val="501911CB"/>
    <w:rsid w:val="50217B7B"/>
    <w:rsid w:val="50440650"/>
    <w:rsid w:val="50600216"/>
    <w:rsid w:val="50642410"/>
    <w:rsid w:val="506571FF"/>
    <w:rsid w:val="50AC7896"/>
    <w:rsid w:val="50B218AD"/>
    <w:rsid w:val="50BE5FC4"/>
    <w:rsid w:val="513A1AEF"/>
    <w:rsid w:val="516721B8"/>
    <w:rsid w:val="517B3BF2"/>
    <w:rsid w:val="51BF42C7"/>
    <w:rsid w:val="521A722A"/>
    <w:rsid w:val="521D4F6D"/>
    <w:rsid w:val="523E434D"/>
    <w:rsid w:val="52660640"/>
    <w:rsid w:val="52B729E6"/>
    <w:rsid w:val="52D054FF"/>
    <w:rsid w:val="52F0195D"/>
    <w:rsid w:val="53227120"/>
    <w:rsid w:val="53590F5E"/>
    <w:rsid w:val="53877FA0"/>
    <w:rsid w:val="53966D85"/>
    <w:rsid w:val="53E44E00"/>
    <w:rsid w:val="53F106D9"/>
    <w:rsid w:val="540262EE"/>
    <w:rsid w:val="54642849"/>
    <w:rsid w:val="548B2661"/>
    <w:rsid w:val="54A343DE"/>
    <w:rsid w:val="54B0392B"/>
    <w:rsid w:val="54E70732"/>
    <w:rsid w:val="55075628"/>
    <w:rsid w:val="550D12C8"/>
    <w:rsid w:val="55AB6D79"/>
    <w:rsid w:val="55DA73FC"/>
    <w:rsid w:val="5724310E"/>
    <w:rsid w:val="576820AD"/>
    <w:rsid w:val="576B365D"/>
    <w:rsid w:val="57741358"/>
    <w:rsid w:val="57833AC4"/>
    <w:rsid w:val="57957FD1"/>
    <w:rsid w:val="579B0E0D"/>
    <w:rsid w:val="57D34F8E"/>
    <w:rsid w:val="587D49B7"/>
    <w:rsid w:val="58950E5A"/>
    <w:rsid w:val="58954E55"/>
    <w:rsid w:val="589C3E71"/>
    <w:rsid w:val="58BA1767"/>
    <w:rsid w:val="58D5317F"/>
    <w:rsid w:val="58F82952"/>
    <w:rsid w:val="59012EF2"/>
    <w:rsid w:val="590D7AE9"/>
    <w:rsid w:val="59411541"/>
    <w:rsid w:val="59417793"/>
    <w:rsid w:val="595347AB"/>
    <w:rsid w:val="59611BE3"/>
    <w:rsid w:val="598D29D8"/>
    <w:rsid w:val="59B91A1F"/>
    <w:rsid w:val="59C776F0"/>
    <w:rsid w:val="59CC5ED0"/>
    <w:rsid w:val="59D00860"/>
    <w:rsid w:val="59FE19ED"/>
    <w:rsid w:val="5A9B5A37"/>
    <w:rsid w:val="5B060C94"/>
    <w:rsid w:val="5B0A0784"/>
    <w:rsid w:val="5B4E4D05"/>
    <w:rsid w:val="5B565263"/>
    <w:rsid w:val="5BBE156E"/>
    <w:rsid w:val="5BCF552A"/>
    <w:rsid w:val="5C1178F0"/>
    <w:rsid w:val="5C44617F"/>
    <w:rsid w:val="5C620B30"/>
    <w:rsid w:val="5C692729"/>
    <w:rsid w:val="5D217743"/>
    <w:rsid w:val="5D663C6C"/>
    <w:rsid w:val="5D9D1696"/>
    <w:rsid w:val="5DB379C1"/>
    <w:rsid w:val="5DBC7D30"/>
    <w:rsid w:val="5DBE147D"/>
    <w:rsid w:val="5DE747B5"/>
    <w:rsid w:val="5DF248D5"/>
    <w:rsid w:val="5E1D0563"/>
    <w:rsid w:val="5E6261E1"/>
    <w:rsid w:val="5ED86A3F"/>
    <w:rsid w:val="5EE25C8C"/>
    <w:rsid w:val="5EFA10F2"/>
    <w:rsid w:val="5F3202A9"/>
    <w:rsid w:val="5F4B254F"/>
    <w:rsid w:val="5F841E36"/>
    <w:rsid w:val="5F893C41"/>
    <w:rsid w:val="5F8E0463"/>
    <w:rsid w:val="5F9F159A"/>
    <w:rsid w:val="5FA00EA2"/>
    <w:rsid w:val="5FBC4017"/>
    <w:rsid w:val="602B6AA7"/>
    <w:rsid w:val="607C0194"/>
    <w:rsid w:val="6083177B"/>
    <w:rsid w:val="60A919DB"/>
    <w:rsid w:val="60BE175D"/>
    <w:rsid w:val="60D11424"/>
    <w:rsid w:val="60DD5FF3"/>
    <w:rsid w:val="6151253D"/>
    <w:rsid w:val="61535926"/>
    <w:rsid w:val="61592F11"/>
    <w:rsid w:val="615C0C4D"/>
    <w:rsid w:val="615F567B"/>
    <w:rsid w:val="61A255D6"/>
    <w:rsid w:val="61FE0917"/>
    <w:rsid w:val="626926F0"/>
    <w:rsid w:val="63170A80"/>
    <w:rsid w:val="6344075B"/>
    <w:rsid w:val="635E4BF7"/>
    <w:rsid w:val="63A728E8"/>
    <w:rsid w:val="63B1777A"/>
    <w:rsid w:val="63B21468"/>
    <w:rsid w:val="63F172BF"/>
    <w:rsid w:val="63F55D49"/>
    <w:rsid w:val="641206A9"/>
    <w:rsid w:val="642301C1"/>
    <w:rsid w:val="64570A13"/>
    <w:rsid w:val="646F565A"/>
    <w:rsid w:val="6476316D"/>
    <w:rsid w:val="64947547"/>
    <w:rsid w:val="64AD1B28"/>
    <w:rsid w:val="64E5191A"/>
    <w:rsid w:val="656A1E1F"/>
    <w:rsid w:val="65ED1C09"/>
    <w:rsid w:val="65F812AB"/>
    <w:rsid w:val="66331170"/>
    <w:rsid w:val="663568D1"/>
    <w:rsid w:val="66404FB3"/>
    <w:rsid w:val="6649508B"/>
    <w:rsid w:val="66B63D8D"/>
    <w:rsid w:val="66B912B0"/>
    <w:rsid w:val="66C36BD2"/>
    <w:rsid w:val="66D93700"/>
    <w:rsid w:val="66E86CF7"/>
    <w:rsid w:val="670F164E"/>
    <w:rsid w:val="67431CB5"/>
    <w:rsid w:val="675246B1"/>
    <w:rsid w:val="675A4A8D"/>
    <w:rsid w:val="677D408C"/>
    <w:rsid w:val="679E3484"/>
    <w:rsid w:val="67A2353A"/>
    <w:rsid w:val="67C972D1"/>
    <w:rsid w:val="67E97973"/>
    <w:rsid w:val="681B3FAD"/>
    <w:rsid w:val="681D0B0D"/>
    <w:rsid w:val="68280C00"/>
    <w:rsid w:val="685E3EBD"/>
    <w:rsid w:val="68796A01"/>
    <w:rsid w:val="68C1256E"/>
    <w:rsid w:val="68DB402C"/>
    <w:rsid w:val="68F51E81"/>
    <w:rsid w:val="692C6C65"/>
    <w:rsid w:val="693E3CEF"/>
    <w:rsid w:val="69692B1A"/>
    <w:rsid w:val="697D533D"/>
    <w:rsid w:val="69CF3DD6"/>
    <w:rsid w:val="69E91EAC"/>
    <w:rsid w:val="6A570BC4"/>
    <w:rsid w:val="6A9E2C97"/>
    <w:rsid w:val="6B200BDE"/>
    <w:rsid w:val="6B5D73DB"/>
    <w:rsid w:val="6B8D6B7B"/>
    <w:rsid w:val="6C59228F"/>
    <w:rsid w:val="6C67530A"/>
    <w:rsid w:val="6C7A6930"/>
    <w:rsid w:val="6CB85CBF"/>
    <w:rsid w:val="6CDE55CC"/>
    <w:rsid w:val="6CDF6505"/>
    <w:rsid w:val="6D321474"/>
    <w:rsid w:val="6D8E55F4"/>
    <w:rsid w:val="6DB12CE1"/>
    <w:rsid w:val="6DE76703"/>
    <w:rsid w:val="6E0A51B8"/>
    <w:rsid w:val="6E7F693B"/>
    <w:rsid w:val="6E8C2E06"/>
    <w:rsid w:val="6EBC7B8F"/>
    <w:rsid w:val="6ED21161"/>
    <w:rsid w:val="6F150831"/>
    <w:rsid w:val="6F3865AC"/>
    <w:rsid w:val="6F4522A6"/>
    <w:rsid w:val="6F5D1122"/>
    <w:rsid w:val="6F683017"/>
    <w:rsid w:val="6F891E77"/>
    <w:rsid w:val="6FC22F83"/>
    <w:rsid w:val="70AA1FD4"/>
    <w:rsid w:val="70D50A94"/>
    <w:rsid w:val="70D53FA0"/>
    <w:rsid w:val="715C2938"/>
    <w:rsid w:val="71CF59F3"/>
    <w:rsid w:val="71F426C7"/>
    <w:rsid w:val="72600832"/>
    <w:rsid w:val="72C07522"/>
    <w:rsid w:val="72FC46DC"/>
    <w:rsid w:val="73261A7B"/>
    <w:rsid w:val="73800C14"/>
    <w:rsid w:val="738F7621"/>
    <w:rsid w:val="739F10F4"/>
    <w:rsid w:val="740775BE"/>
    <w:rsid w:val="7408115C"/>
    <w:rsid w:val="746D1DF6"/>
    <w:rsid w:val="746F4033"/>
    <w:rsid w:val="74767B94"/>
    <w:rsid w:val="74AC4202"/>
    <w:rsid w:val="750B717B"/>
    <w:rsid w:val="753E4413"/>
    <w:rsid w:val="755058C8"/>
    <w:rsid w:val="75554C81"/>
    <w:rsid w:val="75630D65"/>
    <w:rsid w:val="75744A38"/>
    <w:rsid w:val="762A53DF"/>
    <w:rsid w:val="765132FA"/>
    <w:rsid w:val="7690784E"/>
    <w:rsid w:val="76C008D7"/>
    <w:rsid w:val="76E41A31"/>
    <w:rsid w:val="76F37EC6"/>
    <w:rsid w:val="771321CF"/>
    <w:rsid w:val="779A6D27"/>
    <w:rsid w:val="78054C6E"/>
    <w:rsid w:val="782B7AC9"/>
    <w:rsid w:val="7831514A"/>
    <w:rsid w:val="784C4F03"/>
    <w:rsid w:val="784E382D"/>
    <w:rsid w:val="788566A9"/>
    <w:rsid w:val="790C75C7"/>
    <w:rsid w:val="79195277"/>
    <w:rsid w:val="79245111"/>
    <w:rsid w:val="7953219F"/>
    <w:rsid w:val="796E5F2A"/>
    <w:rsid w:val="79914366"/>
    <w:rsid w:val="7997330A"/>
    <w:rsid w:val="79E85CDC"/>
    <w:rsid w:val="79EF201E"/>
    <w:rsid w:val="7AB14320"/>
    <w:rsid w:val="7AB47064"/>
    <w:rsid w:val="7AD1051F"/>
    <w:rsid w:val="7AD7365B"/>
    <w:rsid w:val="7AF0377E"/>
    <w:rsid w:val="7B291F31"/>
    <w:rsid w:val="7B364826"/>
    <w:rsid w:val="7B4A207F"/>
    <w:rsid w:val="7B67341C"/>
    <w:rsid w:val="7B966C22"/>
    <w:rsid w:val="7BA34766"/>
    <w:rsid w:val="7BDA5FBB"/>
    <w:rsid w:val="7C1202D2"/>
    <w:rsid w:val="7C205F1C"/>
    <w:rsid w:val="7C5546E4"/>
    <w:rsid w:val="7CEE4153"/>
    <w:rsid w:val="7D230B44"/>
    <w:rsid w:val="7D932D75"/>
    <w:rsid w:val="7DA243F4"/>
    <w:rsid w:val="7E7B63E5"/>
    <w:rsid w:val="7ECF1219"/>
    <w:rsid w:val="7F3B2693"/>
    <w:rsid w:val="7F446BDE"/>
    <w:rsid w:val="7F606315"/>
    <w:rsid w:val="7FD9329F"/>
    <w:rsid w:val="FFFD9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name="envelope return"/>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qFormat="1" w:unhideWhenUsed="0" w:uiPriority="99"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6"/>
    <w:qFormat/>
    <w:uiPriority w:val="99"/>
    <w:pPr>
      <w:keepNext/>
      <w:keepLines/>
      <w:spacing w:line="360" w:lineRule="auto"/>
      <w:jc w:val="center"/>
      <w:outlineLvl w:val="0"/>
    </w:pPr>
    <w:rPr>
      <w:b/>
      <w:bCs/>
      <w:sz w:val="32"/>
      <w:szCs w:val="32"/>
    </w:rPr>
  </w:style>
  <w:style w:type="paragraph" w:styleId="4">
    <w:name w:val="heading 2"/>
    <w:basedOn w:val="1"/>
    <w:next w:val="1"/>
    <w:link w:val="29"/>
    <w:qFormat/>
    <w:uiPriority w:val="99"/>
    <w:pPr>
      <w:keepNext/>
      <w:keepLines/>
      <w:spacing w:beforeLines="50"/>
      <w:ind w:firstLine="1680" w:firstLineChars="200"/>
      <w:outlineLvl w:val="1"/>
    </w:pPr>
    <w:rPr>
      <w:rFonts w:ascii="Arial" w:hAnsi="Arial"/>
      <w:b/>
      <w:bCs/>
      <w:szCs w:val="32"/>
    </w:rPr>
  </w:style>
  <w:style w:type="paragraph" w:styleId="2">
    <w:name w:val="heading 3"/>
    <w:basedOn w:val="1"/>
    <w:next w:val="1"/>
    <w:link w:val="30"/>
    <w:qFormat/>
    <w:uiPriority w:val="99"/>
    <w:pPr>
      <w:keepNext/>
      <w:keepLines/>
      <w:spacing w:line="360" w:lineRule="auto"/>
      <w:ind w:firstLine="560" w:firstLineChars="200"/>
      <w:jc w:val="left"/>
      <w:outlineLvl w:val="2"/>
    </w:pPr>
    <w:rPr>
      <w:b/>
      <w:kern w:val="0"/>
      <w:sz w:val="20"/>
    </w:rPr>
  </w:style>
  <w:style w:type="paragraph" w:styleId="5">
    <w:name w:val="heading 4"/>
    <w:basedOn w:val="1"/>
    <w:next w:val="1"/>
    <w:link w:val="31"/>
    <w:qFormat/>
    <w:uiPriority w:val="99"/>
    <w:pPr>
      <w:keepNext/>
      <w:keepLines/>
      <w:spacing w:line="360" w:lineRule="auto"/>
      <w:ind w:firstLine="562" w:firstLineChars="200"/>
      <w:jc w:val="left"/>
      <w:outlineLvl w:val="3"/>
    </w:pPr>
    <w:rPr>
      <w:rFonts w:ascii="Arial" w:hAnsi="Arial"/>
      <w:b/>
      <w:kern w:val="0"/>
      <w:sz w:val="20"/>
    </w:rPr>
  </w:style>
  <w:style w:type="paragraph" w:styleId="6">
    <w:name w:val="heading 5"/>
    <w:basedOn w:val="1"/>
    <w:next w:val="1"/>
    <w:link w:val="32"/>
    <w:qFormat/>
    <w:uiPriority w:val="99"/>
    <w:pPr>
      <w:keepNext/>
      <w:keepLines/>
      <w:spacing w:line="360" w:lineRule="auto"/>
      <w:jc w:val="center"/>
      <w:outlineLvl w:val="4"/>
    </w:pPr>
    <w:rPr>
      <w:b/>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next w:val="1"/>
    <w:semiHidden/>
    <w:qFormat/>
    <w:uiPriority w:val="99"/>
    <w:pPr>
      <w:adjustRightInd w:val="0"/>
      <w:snapToGrid w:val="0"/>
      <w:spacing w:line="360" w:lineRule="auto"/>
      <w:ind w:left="100" w:leftChars="400" w:hanging="200" w:hangingChars="200"/>
    </w:pPr>
  </w:style>
  <w:style w:type="paragraph" w:styleId="8">
    <w:name w:val="toa heading"/>
    <w:basedOn w:val="1"/>
    <w:next w:val="1"/>
    <w:qFormat/>
    <w:locked/>
    <w:uiPriority w:val="0"/>
    <w:pPr>
      <w:spacing w:before="120"/>
    </w:pPr>
    <w:rPr>
      <w:rFonts w:ascii="Arial" w:hAnsi="Arial"/>
      <w:sz w:val="24"/>
    </w:rPr>
  </w:style>
  <w:style w:type="paragraph" w:styleId="9">
    <w:name w:val="annotation text"/>
    <w:basedOn w:val="1"/>
    <w:link w:val="39"/>
    <w:qFormat/>
    <w:uiPriority w:val="99"/>
    <w:pPr>
      <w:jc w:val="left"/>
    </w:pPr>
  </w:style>
  <w:style w:type="paragraph" w:styleId="10">
    <w:name w:val="Body Text"/>
    <w:basedOn w:val="1"/>
    <w:next w:val="11"/>
    <w:link w:val="37"/>
    <w:qFormat/>
    <w:uiPriority w:val="99"/>
  </w:style>
  <w:style w:type="paragraph" w:customStyle="1" w:styleId="11">
    <w:name w:val="默认"/>
    <w:qFormat/>
    <w:uiPriority w:val="0"/>
    <w:rPr>
      <w:rFonts w:ascii="Helvetica" w:hAnsi="Helvetica" w:eastAsia="Helvetica" w:cs="Helvetica"/>
      <w:color w:val="000000"/>
      <w:sz w:val="22"/>
      <w:szCs w:val="22"/>
      <w:lang w:val="en-US" w:eastAsia="zh-CN" w:bidi="ar-SA"/>
    </w:rPr>
  </w:style>
  <w:style w:type="paragraph" w:styleId="12">
    <w:name w:val="Body Text Indent"/>
    <w:basedOn w:val="1"/>
    <w:link w:val="40"/>
    <w:qFormat/>
    <w:uiPriority w:val="99"/>
    <w:pPr>
      <w:spacing w:after="120"/>
      <w:ind w:left="420" w:leftChars="200"/>
    </w:pPr>
  </w:style>
  <w:style w:type="paragraph" w:styleId="13">
    <w:name w:val="Date"/>
    <w:basedOn w:val="1"/>
    <w:next w:val="1"/>
    <w:link w:val="41"/>
    <w:qFormat/>
    <w:uiPriority w:val="99"/>
  </w:style>
  <w:style w:type="paragraph" w:styleId="14">
    <w:name w:val="footer"/>
    <w:basedOn w:val="1"/>
    <w:next w:val="15"/>
    <w:link w:val="42"/>
    <w:qFormat/>
    <w:uiPriority w:val="99"/>
    <w:pPr>
      <w:tabs>
        <w:tab w:val="center" w:pos="4153"/>
        <w:tab w:val="right" w:pos="8306"/>
      </w:tabs>
      <w:snapToGrid w:val="0"/>
      <w:jc w:val="left"/>
    </w:pPr>
    <w:rPr>
      <w:sz w:val="18"/>
    </w:rPr>
  </w:style>
  <w:style w:type="paragraph" w:customStyle="1" w:styleId="15">
    <w:name w:val="索引 51"/>
    <w:basedOn w:val="1"/>
    <w:next w:val="1"/>
    <w:qFormat/>
    <w:uiPriority w:val="0"/>
    <w:pPr>
      <w:ind w:left="1680"/>
    </w:pPr>
    <w:rPr>
      <w:rFonts w:eastAsia="宋体"/>
    </w:rPr>
  </w:style>
  <w:style w:type="paragraph" w:styleId="16">
    <w:name w:val="envelope return"/>
    <w:basedOn w:val="1"/>
    <w:semiHidden/>
    <w:qFormat/>
    <w:uiPriority w:val="99"/>
    <w:pPr>
      <w:snapToGrid w:val="0"/>
    </w:pPr>
    <w:rPr>
      <w:rFonts w:ascii="Arial" w:hAnsi="Arial" w:cs="Arial"/>
    </w:rPr>
  </w:style>
  <w:style w:type="paragraph" w:styleId="17">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99"/>
    <w:pPr>
      <w:spacing w:line="320" w:lineRule="exact"/>
      <w:jc w:val="left"/>
    </w:pPr>
    <w:rPr>
      <w:rFonts w:ascii="宋体" w:hAnsi="宋体"/>
      <w:sz w:val="24"/>
    </w:rPr>
  </w:style>
  <w:style w:type="paragraph" w:styleId="19">
    <w:name w:val="toc 2"/>
    <w:basedOn w:val="1"/>
    <w:next w:val="1"/>
    <w:qFormat/>
    <w:uiPriority w:val="99"/>
    <w:pPr>
      <w:ind w:left="420" w:leftChars="200"/>
    </w:pPr>
  </w:style>
  <w:style w:type="paragraph" w:styleId="20">
    <w:name w:val="HTML Preformatted"/>
    <w:basedOn w:val="1"/>
    <w:link w:val="44"/>
    <w:qFormat/>
    <w:uiPriority w:val="99"/>
    <w:rPr>
      <w:rFonts w:ascii="Courier New" w:hAnsi="Courier New"/>
      <w:sz w:val="21"/>
      <w:szCs w:val="24"/>
    </w:rPr>
  </w:style>
  <w:style w:type="paragraph" w:styleId="21">
    <w:name w:val="Normal (Web)"/>
    <w:basedOn w:val="1"/>
    <w:qFormat/>
    <w:uiPriority w:val="99"/>
    <w:pPr>
      <w:widowControl/>
      <w:spacing w:before="100" w:beforeAutospacing="1" w:after="100" w:afterAutospacing="1"/>
      <w:jc w:val="left"/>
    </w:pPr>
    <w:rPr>
      <w:rFonts w:ascii="宋体" w:hAnsi="宋体"/>
      <w:kern w:val="0"/>
      <w:sz w:val="24"/>
    </w:rPr>
  </w:style>
  <w:style w:type="paragraph" w:styleId="22">
    <w:name w:val="Title"/>
    <w:basedOn w:val="1"/>
    <w:next w:val="1"/>
    <w:qFormat/>
    <w:locked/>
    <w:uiPriority w:val="0"/>
    <w:pPr>
      <w:widowControl/>
      <w:spacing w:after="240" w:line="360" w:lineRule="auto"/>
      <w:jc w:val="center"/>
    </w:pPr>
    <w:rPr>
      <w:rFonts w:ascii="Arial" w:hAnsi="Arial"/>
      <w:b/>
      <w:smallCaps/>
      <w:kern w:val="28"/>
      <w:sz w:val="36"/>
      <w:lang w:eastAsia="en-US"/>
    </w:rPr>
  </w:style>
  <w:style w:type="paragraph" w:styleId="23">
    <w:name w:val="Body Text First Indent"/>
    <w:basedOn w:val="10"/>
    <w:next w:val="7"/>
    <w:link w:val="38"/>
    <w:semiHidden/>
    <w:qFormat/>
    <w:uiPriority w:val="99"/>
    <w:pPr>
      <w:spacing w:line="360" w:lineRule="auto"/>
      <w:ind w:firstLine="420"/>
    </w:pPr>
    <w:rPr>
      <w:sz w:val="24"/>
      <w:szCs w:val="24"/>
    </w:rPr>
  </w:style>
  <w:style w:type="paragraph" w:styleId="24">
    <w:name w:val="Body Text First Indent 2"/>
    <w:basedOn w:val="12"/>
    <w:link w:val="45"/>
    <w:qFormat/>
    <w:uiPriority w:val="99"/>
    <w:pPr>
      <w:ind w:firstLine="420" w:firstLineChars="200"/>
    </w:pPr>
  </w:style>
  <w:style w:type="table" w:styleId="26">
    <w:name w:val="Table Grid"/>
    <w:basedOn w:val="25"/>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annotation reference"/>
    <w:basedOn w:val="27"/>
    <w:qFormat/>
    <w:uiPriority w:val="99"/>
    <w:rPr>
      <w:rFonts w:cs="Times New Roman"/>
      <w:sz w:val="21"/>
      <w:szCs w:val="21"/>
    </w:rPr>
  </w:style>
  <w:style w:type="character" w:customStyle="1" w:styleId="29">
    <w:name w:val="标题 2 Char"/>
    <w:basedOn w:val="27"/>
    <w:link w:val="4"/>
    <w:qFormat/>
    <w:locked/>
    <w:uiPriority w:val="99"/>
    <w:rPr>
      <w:rFonts w:ascii="Arial" w:hAnsi="Arial" w:eastAsia="宋体" w:cs="Times New Roman"/>
      <w:b/>
      <w:kern w:val="2"/>
      <w:sz w:val="32"/>
      <w:lang w:val="en-US" w:eastAsia="zh-CN"/>
    </w:rPr>
  </w:style>
  <w:style w:type="character" w:customStyle="1" w:styleId="30">
    <w:name w:val="标题 3 Char"/>
    <w:basedOn w:val="27"/>
    <w:link w:val="2"/>
    <w:qFormat/>
    <w:locked/>
    <w:uiPriority w:val="99"/>
    <w:rPr>
      <w:rFonts w:ascii="Times New Roman" w:hAnsi="Times New Roman" w:eastAsia="宋体" w:cs="Times New Roman"/>
      <w:b/>
    </w:rPr>
  </w:style>
  <w:style w:type="character" w:customStyle="1" w:styleId="31">
    <w:name w:val="标题 4 Char"/>
    <w:basedOn w:val="27"/>
    <w:link w:val="5"/>
    <w:qFormat/>
    <w:locked/>
    <w:uiPriority w:val="99"/>
    <w:rPr>
      <w:rFonts w:ascii="Arial" w:hAnsi="Arial" w:eastAsia="宋体" w:cs="Times New Roman"/>
      <w:b/>
    </w:rPr>
  </w:style>
  <w:style w:type="character" w:customStyle="1" w:styleId="32">
    <w:name w:val="标题 5 Char"/>
    <w:basedOn w:val="27"/>
    <w:link w:val="6"/>
    <w:semiHidden/>
    <w:qFormat/>
    <w:locked/>
    <w:uiPriority w:val="99"/>
    <w:rPr>
      <w:rFonts w:cs="Times New Roman"/>
      <w:b/>
      <w:bCs/>
      <w:sz w:val="28"/>
      <w:szCs w:val="28"/>
    </w:rPr>
  </w:style>
  <w:style w:type="paragraph" w:styleId="33">
    <w:name w:val="List Paragraph"/>
    <w:basedOn w:val="1"/>
    <w:qFormat/>
    <w:uiPriority w:val="99"/>
    <w:pPr>
      <w:ind w:left="388" w:hanging="213"/>
    </w:pPr>
    <w:rPr>
      <w:rFonts w:ascii="宋体" w:hAnsi="宋体" w:cs="宋体"/>
      <w:lang w:val="zh-CN"/>
    </w:rPr>
  </w:style>
  <w:style w:type="character" w:customStyle="1" w:styleId="34">
    <w:name w:val="标题 1 Char"/>
    <w:qFormat/>
    <w:locked/>
    <w:uiPriority w:val="99"/>
    <w:rPr>
      <w:rFonts w:ascii="Times New Roman" w:hAnsi="Times New Roman" w:eastAsia="宋体"/>
      <w:b/>
      <w:kern w:val="2"/>
      <w:sz w:val="32"/>
      <w:lang w:val="en-US" w:eastAsia="zh-CN"/>
    </w:rPr>
  </w:style>
  <w:style w:type="paragraph" w:customStyle="1" w:styleId="35">
    <w:name w:val="BodyTextIndent2"/>
    <w:basedOn w:val="1"/>
    <w:next w:val="1"/>
    <w:qFormat/>
    <w:uiPriority w:val="0"/>
    <w:pPr>
      <w:widowControl/>
      <w:spacing w:after="120" w:line="480" w:lineRule="auto"/>
      <w:ind w:left="420" w:leftChars="200"/>
      <w:textAlignment w:val="baseline"/>
    </w:pPr>
    <w:rPr>
      <w:rFonts w:eastAsia="楷体"/>
      <w:sz w:val="21"/>
      <w:szCs w:val="22"/>
    </w:rPr>
  </w:style>
  <w:style w:type="character" w:customStyle="1" w:styleId="36">
    <w:name w:val="标题 1 Char1"/>
    <w:basedOn w:val="27"/>
    <w:link w:val="3"/>
    <w:qFormat/>
    <w:locked/>
    <w:uiPriority w:val="99"/>
    <w:rPr>
      <w:rFonts w:ascii="Times New Roman" w:hAnsi="Times New Roman" w:eastAsia="宋体" w:cs="Times New Roman"/>
      <w:kern w:val="44"/>
      <w:sz w:val="32"/>
    </w:rPr>
  </w:style>
  <w:style w:type="character" w:customStyle="1" w:styleId="37">
    <w:name w:val="正文文本 Char"/>
    <w:basedOn w:val="27"/>
    <w:link w:val="10"/>
    <w:semiHidden/>
    <w:qFormat/>
    <w:locked/>
    <w:uiPriority w:val="99"/>
    <w:rPr>
      <w:rFonts w:cs="Times New Roman"/>
      <w:sz w:val="20"/>
      <w:szCs w:val="20"/>
    </w:rPr>
  </w:style>
  <w:style w:type="character" w:customStyle="1" w:styleId="38">
    <w:name w:val="正文首行缩进 Char"/>
    <w:basedOn w:val="37"/>
    <w:link w:val="23"/>
    <w:semiHidden/>
    <w:qFormat/>
    <w:locked/>
    <w:uiPriority w:val="99"/>
    <w:rPr>
      <w:rFonts w:cs="Times New Roman"/>
      <w:sz w:val="20"/>
      <w:szCs w:val="20"/>
    </w:rPr>
  </w:style>
  <w:style w:type="character" w:customStyle="1" w:styleId="39">
    <w:name w:val="批注文字 Char"/>
    <w:basedOn w:val="27"/>
    <w:link w:val="9"/>
    <w:semiHidden/>
    <w:qFormat/>
    <w:locked/>
    <w:uiPriority w:val="99"/>
    <w:rPr>
      <w:rFonts w:cs="Times New Roman"/>
      <w:sz w:val="20"/>
      <w:szCs w:val="20"/>
    </w:rPr>
  </w:style>
  <w:style w:type="character" w:customStyle="1" w:styleId="40">
    <w:name w:val="正文文本缩进 Char"/>
    <w:basedOn w:val="27"/>
    <w:link w:val="12"/>
    <w:semiHidden/>
    <w:qFormat/>
    <w:locked/>
    <w:uiPriority w:val="99"/>
    <w:rPr>
      <w:rFonts w:cs="Times New Roman"/>
      <w:sz w:val="20"/>
      <w:szCs w:val="20"/>
    </w:rPr>
  </w:style>
  <w:style w:type="character" w:customStyle="1" w:styleId="41">
    <w:name w:val="日期 Char"/>
    <w:basedOn w:val="27"/>
    <w:link w:val="13"/>
    <w:semiHidden/>
    <w:qFormat/>
    <w:locked/>
    <w:uiPriority w:val="99"/>
    <w:rPr>
      <w:rFonts w:cs="Times New Roman"/>
      <w:sz w:val="20"/>
      <w:szCs w:val="20"/>
    </w:rPr>
  </w:style>
  <w:style w:type="character" w:customStyle="1" w:styleId="42">
    <w:name w:val="页脚 Char"/>
    <w:basedOn w:val="27"/>
    <w:link w:val="14"/>
    <w:semiHidden/>
    <w:qFormat/>
    <w:locked/>
    <w:uiPriority w:val="99"/>
    <w:rPr>
      <w:rFonts w:cs="Times New Roman"/>
      <w:sz w:val="18"/>
      <w:szCs w:val="18"/>
    </w:rPr>
  </w:style>
  <w:style w:type="character" w:customStyle="1" w:styleId="43">
    <w:name w:val="页眉 Char"/>
    <w:basedOn w:val="27"/>
    <w:link w:val="17"/>
    <w:semiHidden/>
    <w:qFormat/>
    <w:locked/>
    <w:uiPriority w:val="99"/>
    <w:rPr>
      <w:rFonts w:cs="Times New Roman"/>
      <w:sz w:val="18"/>
      <w:szCs w:val="18"/>
    </w:rPr>
  </w:style>
  <w:style w:type="character" w:customStyle="1" w:styleId="44">
    <w:name w:val="HTML 预设格式 Char"/>
    <w:basedOn w:val="27"/>
    <w:link w:val="20"/>
    <w:semiHidden/>
    <w:qFormat/>
    <w:locked/>
    <w:uiPriority w:val="99"/>
    <w:rPr>
      <w:rFonts w:ascii="Courier New" w:hAnsi="Courier New" w:cs="Courier New"/>
      <w:sz w:val="20"/>
      <w:szCs w:val="20"/>
    </w:rPr>
  </w:style>
  <w:style w:type="character" w:customStyle="1" w:styleId="45">
    <w:name w:val="正文首行缩进 2 Char"/>
    <w:basedOn w:val="40"/>
    <w:link w:val="24"/>
    <w:semiHidden/>
    <w:qFormat/>
    <w:locked/>
    <w:uiPriority w:val="99"/>
    <w:rPr>
      <w:rFonts w:cs="Times New Roman"/>
      <w:sz w:val="20"/>
      <w:szCs w:val="20"/>
    </w:rPr>
  </w:style>
  <w:style w:type="paragraph" w:customStyle="1" w:styleId="46">
    <w:name w:val="图例"/>
    <w:basedOn w:val="1"/>
    <w:qFormat/>
    <w:uiPriority w:val="99"/>
    <w:pPr>
      <w:spacing w:before="120" w:after="120" w:line="360" w:lineRule="auto"/>
      <w:jc w:val="center"/>
    </w:pPr>
    <w:rPr>
      <w:rFonts w:eastAsia="仿宋_GB2312"/>
      <w:b/>
      <w:sz w:val="24"/>
    </w:rPr>
  </w:style>
  <w:style w:type="paragraph" w:customStyle="1" w:styleId="47">
    <w:name w:val="授权书和信息卡行距"/>
    <w:qFormat/>
    <w:uiPriority w:val="99"/>
    <w:pPr>
      <w:spacing w:line="560" w:lineRule="exact"/>
    </w:pPr>
    <w:rPr>
      <w:rFonts w:ascii="Times New Roman" w:hAnsi="Times New Roman" w:eastAsia="仿宋_GB2312" w:cs="Times New Roman"/>
      <w:kern w:val="2"/>
      <w:sz w:val="24"/>
      <w:szCs w:val="24"/>
      <w:lang w:val="en-US" w:eastAsia="zh-CN" w:bidi="ar-SA"/>
    </w:rPr>
  </w:style>
  <w:style w:type="paragraph" w:customStyle="1" w:styleId="48">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9">
    <w:name w:val="font41"/>
    <w:basedOn w:val="27"/>
    <w:qFormat/>
    <w:uiPriority w:val="99"/>
    <w:rPr>
      <w:rFonts w:ascii="宋体" w:hAnsi="宋体" w:eastAsia="宋体" w:cs="宋体"/>
      <w:color w:val="000000"/>
      <w:sz w:val="20"/>
      <w:szCs w:val="20"/>
      <w:u w:val="none"/>
    </w:rPr>
  </w:style>
  <w:style w:type="character" w:customStyle="1" w:styleId="50">
    <w:name w:val="font171"/>
    <w:basedOn w:val="27"/>
    <w:qFormat/>
    <w:uiPriority w:val="99"/>
    <w:rPr>
      <w:rFonts w:ascii="Times New Roman" w:hAnsi="Times New Roman" w:cs="Times New Roman"/>
      <w:color w:val="000000"/>
      <w:sz w:val="20"/>
      <w:szCs w:val="20"/>
      <w:u w:val="none"/>
    </w:rPr>
  </w:style>
  <w:style w:type="character" w:customStyle="1" w:styleId="51">
    <w:name w:val="font161"/>
    <w:basedOn w:val="27"/>
    <w:qFormat/>
    <w:uiPriority w:val="99"/>
    <w:rPr>
      <w:rFonts w:ascii="Times New Roman" w:hAnsi="Times New Roman" w:cs="Times New Roman"/>
      <w:color w:val="000000"/>
      <w:sz w:val="22"/>
      <w:szCs w:val="22"/>
      <w:u w:val="none"/>
    </w:rPr>
  </w:style>
  <w:style w:type="character" w:customStyle="1" w:styleId="52">
    <w:name w:val="font01"/>
    <w:basedOn w:val="27"/>
    <w:qFormat/>
    <w:uiPriority w:val="99"/>
    <w:rPr>
      <w:rFonts w:ascii="宋体" w:hAnsi="宋体" w:eastAsia="宋体" w:cs="宋体"/>
      <w:color w:val="000000"/>
      <w:sz w:val="22"/>
      <w:szCs w:val="22"/>
      <w:u w:val="none"/>
    </w:rPr>
  </w:style>
  <w:style w:type="character" w:customStyle="1" w:styleId="53">
    <w:name w:val="font11"/>
    <w:basedOn w:val="27"/>
    <w:qFormat/>
    <w:uiPriority w:val="99"/>
    <w:rPr>
      <w:rFonts w:ascii="宋体" w:hAnsi="宋体" w:eastAsia="宋体" w:cs="宋体"/>
      <w:color w:val="FF0000"/>
      <w:sz w:val="24"/>
      <w:szCs w:val="24"/>
      <w:u w:val="none"/>
    </w:rPr>
  </w:style>
  <w:style w:type="character" w:customStyle="1" w:styleId="54">
    <w:name w:val="font21"/>
    <w:basedOn w:val="27"/>
    <w:qFormat/>
    <w:uiPriority w:val="99"/>
    <w:rPr>
      <w:rFonts w:ascii="方正书宋_GBK" w:hAnsi="方正书宋_GBK" w:eastAsia="方正书宋_GBK" w:cs="方正书宋_GBK"/>
      <w:color w:val="FF0000"/>
      <w:sz w:val="24"/>
      <w:szCs w:val="24"/>
      <w:u w:val="none"/>
    </w:rPr>
  </w:style>
  <w:style w:type="paragraph" w:customStyle="1" w:styleId="55">
    <w:name w:val="p0"/>
    <w:basedOn w:val="1"/>
    <w:qFormat/>
    <w:uiPriority w:val="0"/>
    <w:pPr>
      <w:widowControl/>
    </w:pPr>
    <w:rPr>
      <w:rFonts w:ascii="Calibri" w:hAnsi="Calibri" w:eastAsia="宋体" w:cs="Times New Roman"/>
      <w:kern w:val="0"/>
      <w:szCs w:val="21"/>
    </w:rPr>
  </w:style>
  <w:style w:type="paragraph" w:customStyle="1" w:styleId="56">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9970</Words>
  <Characters>10268</Characters>
  <Lines>105</Lines>
  <Paragraphs>29</Paragraphs>
  <TotalTime>50</TotalTime>
  <ScaleCrop>false</ScaleCrop>
  <LinksUpToDate>false</LinksUpToDate>
  <CharactersWithSpaces>10738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2024-05-27T13:40:00Z</dcterms:created>
  <dc:creator>Admin</dc:creator>
  <cp:lastModifiedBy>Lucky丶杰</cp:lastModifiedBy>
  <dcterms:modified xsi:type="dcterms:W3CDTF">2025-10-20T07:00:58Z</dcterms:modified>
  <dc:title>重庆市政府采购云平台</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685CA259A1814BAC92B5CEA589A5D36D_13</vt:lpwstr>
  </property>
  <property fmtid="{D5CDD505-2E9C-101B-9397-08002B2CF9AE}" pid="4" name="KSOTemplateDocerSaveRecord">
    <vt:lpwstr>eyJoZGlkIjoiMWMwMDIxNDQwZTVkNWM2YmFmYjNmMzIzNjgyYmE3MGMiLCJ1c2VySWQiOiIyNDk1MDE1MDEifQ==</vt:lpwstr>
  </property>
</Properties>
</file>