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insoku/>
        <w:wordWrap/>
        <w:overflowPunct/>
        <w:topLinePunct w:val="0"/>
        <w:autoSpaceDE/>
        <w:autoSpaceDN/>
        <w:bidi w:val="0"/>
        <w:snapToGrid/>
        <w:spacing w:line="360" w:lineRule="auto"/>
        <w:ind w:firstLine="420" w:firstLineChars="0"/>
        <w:jc w:val="center"/>
        <w:textAlignment w:val="auto"/>
        <w:rPr>
          <w:rFonts w:hint="eastAsia" w:asciiTheme="minorEastAsia" w:hAnsiTheme="minorEastAsia" w:eastAsiaTheme="minorEastAsia" w:cstheme="minorEastAsia"/>
          <w:color w:val="auto"/>
          <w:highlight w:val="none"/>
        </w:rPr>
      </w:pPr>
    </w:p>
    <w:p>
      <w:pPr>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b/>
          <w:color w:val="auto"/>
          <w:sz w:val="96"/>
          <w:szCs w:val="96"/>
          <w:highlight w:val="none"/>
        </w:rPr>
      </w:pPr>
      <w:r>
        <w:rPr>
          <w:rFonts w:hint="eastAsia" w:asciiTheme="minorEastAsia" w:hAnsiTheme="minorEastAsia" w:eastAsiaTheme="minorEastAsia" w:cstheme="minorEastAsia"/>
          <w:b/>
          <w:color w:val="auto"/>
          <w:sz w:val="96"/>
          <w:szCs w:val="96"/>
          <w:highlight w:val="none"/>
        </w:rPr>
        <w:t>政府采购</w:t>
      </w:r>
    </w:p>
    <w:p>
      <w:pPr>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b/>
          <w:color w:val="auto"/>
          <w:sz w:val="96"/>
          <w:szCs w:val="96"/>
          <w:highlight w:val="none"/>
        </w:rPr>
      </w:pPr>
      <w:r>
        <w:rPr>
          <w:rFonts w:hint="eastAsia" w:asciiTheme="minorEastAsia" w:hAnsiTheme="minorEastAsia" w:eastAsiaTheme="minorEastAsia" w:cstheme="minorEastAsia"/>
          <w:b/>
          <w:color w:val="auto"/>
          <w:sz w:val="96"/>
          <w:szCs w:val="96"/>
          <w:highlight w:val="none"/>
        </w:rPr>
        <w:t>竞争性磋商文件</w:t>
      </w:r>
    </w:p>
    <w:p>
      <w:pPr>
        <w:pStyle w:val="38"/>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rPr>
          <w:rFonts w:hint="eastAsia"/>
          <w:color w:val="auto"/>
          <w:highlight w:val="none"/>
        </w:rPr>
      </w:pP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keepNext w:val="0"/>
        <w:keepLines w:val="0"/>
        <w:pageBreakBefore w:val="0"/>
        <w:kinsoku/>
        <w:wordWrap/>
        <w:overflowPunct/>
        <w:topLinePunct w:val="0"/>
        <w:autoSpaceDE/>
        <w:autoSpaceDN/>
        <w:bidi w:val="0"/>
        <w:adjustRightInd/>
        <w:snapToGrid/>
        <w:spacing w:line="360" w:lineRule="auto"/>
        <w:ind w:left="0" w:leftChars="0"/>
        <w:textAlignment w:val="auto"/>
        <w:outlineLvl w:val="0"/>
        <w:rPr>
          <w:rFonts w:hint="eastAsia" w:asciiTheme="minorEastAsia" w:hAnsiTheme="minorEastAsia" w:eastAsiaTheme="minorEastAsia" w:cstheme="minorEastAsia"/>
          <w:color w:val="auto"/>
          <w:sz w:val="30"/>
          <w:highlight w:val="none"/>
        </w:rPr>
      </w:pPr>
    </w:p>
    <w:p>
      <w:pPr>
        <w:keepNext w:val="0"/>
        <w:keepLines w:val="0"/>
        <w:pageBreakBefore w:val="0"/>
        <w:kinsoku/>
        <w:wordWrap/>
        <w:overflowPunct/>
        <w:topLinePunct w:val="0"/>
        <w:autoSpaceDE/>
        <w:autoSpaceDN/>
        <w:bidi w:val="0"/>
        <w:adjustRightInd/>
        <w:snapToGrid/>
        <w:spacing w:line="360" w:lineRule="auto"/>
        <w:textAlignment w:val="auto"/>
        <w:outlineLvl w:val="0"/>
        <w:rPr>
          <w:rFonts w:hint="eastAsia" w:asciiTheme="minorEastAsia" w:hAnsiTheme="minorEastAsia" w:eastAsiaTheme="minorEastAsia" w:cstheme="minorEastAsia"/>
          <w:b/>
          <w:bCs/>
          <w:color w:val="auto"/>
          <w:sz w:val="40"/>
          <w:szCs w:val="40"/>
          <w:highlight w:val="none"/>
        </w:rPr>
      </w:pPr>
      <w:r>
        <w:rPr>
          <w:rFonts w:hint="eastAsia" w:asciiTheme="minorEastAsia" w:hAnsiTheme="minorEastAsia" w:eastAsiaTheme="minorEastAsia" w:cstheme="minorEastAsia"/>
          <w:b/>
          <w:bCs/>
          <w:color w:val="auto"/>
          <w:sz w:val="40"/>
          <w:szCs w:val="40"/>
          <w:highlight w:val="none"/>
        </w:rPr>
        <w:t>磋商项目编号：FG2500791585A</w:t>
      </w:r>
    </w:p>
    <w:p>
      <w:pPr>
        <w:keepNext w:val="0"/>
        <w:keepLines w:val="0"/>
        <w:pageBreakBefore w:val="0"/>
        <w:kinsoku/>
        <w:wordWrap/>
        <w:overflowPunct/>
        <w:topLinePunct w:val="0"/>
        <w:autoSpaceDE/>
        <w:autoSpaceDN/>
        <w:bidi w:val="0"/>
        <w:adjustRightInd/>
        <w:snapToGrid/>
        <w:spacing w:line="360" w:lineRule="auto"/>
        <w:ind w:left="2811" w:leftChars="0" w:hanging="2811" w:hangingChars="700"/>
        <w:textAlignment w:val="auto"/>
        <w:outlineLvl w:val="0"/>
        <w:rPr>
          <w:rFonts w:hint="eastAsia" w:asciiTheme="minorEastAsia" w:hAnsiTheme="minorEastAsia" w:eastAsiaTheme="minorEastAsia" w:cstheme="minorEastAsia"/>
          <w:b/>
          <w:bCs/>
          <w:color w:val="auto"/>
          <w:sz w:val="40"/>
          <w:szCs w:val="40"/>
          <w:highlight w:val="none"/>
        </w:rPr>
      </w:pPr>
      <w:r>
        <w:rPr>
          <w:rFonts w:hint="eastAsia" w:asciiTheme="minorEastAsia" w:hAnsiTheme="minorEastAsia" w:eastAsiaTheme="minorEastAsia" w:cstheme="minorEastAsia"/>
          <w:b/>
          <w:bCs/>
          <w:color w:val="auto"/>
          <w:sz w:val="40"/>
          <w:szCs w:val="40"/>
          <w:highlight w:val="none"/>
        </w:rPr>
        <w:t>磋商项目名称：《重庆市工会条例（修订）》立法起草服务</w:t>
      </w:r>
    </w:p>
    <w:p>
      <w:pPr>
        <w:keepNext w:val="0"/>
        <w:keepLines w:val="0"/>
        <w:pageBreakBefore w:val="0"/>
        <w:kinsoku/>
        <w:wordWrap/>
        <w:overflowPunct/>
        <w:topLinePunct w:val="0"/>
        <w:autoSpaceDE/>
        <w:autoSpaceDN/>
        <w:bidi w:val="0"/>
        <w:adjustRightInd/>
        <w:snapToGrid/>
        <w:spacing w:line="360" w:lineRule="auto"/>
        <w:ind w:left="0" w:leftChars="0" w:firstLine="1555" w:firstLineChars="486"/>
        <w:textAlignment w:val="auto"/>
        <w:rPr>
          <w:rFonts w:hint="eastAsia" w:asciiTheme="minorEastAsia" w:hAnsiTheme="minorEastAsia" w:eastAsiaTheme="minorEastAsia" w:cstheme="minorEastAsia"/>
          <w:color w:val="auto"/>
          <w:sz w:val="32"/>
          <w:szCs w:val="32"/>
          <w:highlight w:val="none"/>
        </w:rPr>
      </w:pPr>
    </w:p>
    <w:p>
      <w:pPr>
        <w:pStyle w:val="2"/>
        <w:keepNext w:val="0"/>
        <w:keepLines w:val="0"/>
        <w:pageBreakBefore w:val="0"/>
        <w:kinsoku/>
        <w:wordWrap/>
        <w:overflowPunct/>
        <w:topLinePunct w:val="0"/>
        <w:autoSpaceDE/>
        <w:autoSpaceDN/>
        <w:bidi w:val="0"/>
        <w:adjustRightInd/>
        <w:snapToGrid/>
        <w:ind w:left="0" w:leftChars="0"/>
        <w:textAlignment w:val="auto"/>
        <w:rPr>
          <w:rFonts w:hint="eastAsia"/>
          <w:color w:val="auto"/>
          <w:highlight w:val="none"/>
        </w:rPr>
      </w:pPr>
    </w:p>
    <w:p>
      <w:pPr>
        <w:keepNext w:val="0"/>
        <w:keepLines w:val="0"/>
        <w:pageBreakBefore w:val="0"/>
        <w:kinsoku/>
        <w:wordWrap/>
        <w:overflowPunct/>
        <w:topLinePunct w:val="0"/>
        <w:autoSpaceDE/>
        <w:autoSpaceDN/>
        <w:bidi w:val="0"/>
        <w:adjustRightInd/>
        <w:snapToGrid/>
        <w:spacing w:line="360" w:lineRule="auto"/>
        <w:ind w:left="0" w:leftChars="0" w:firstLine="1749" w:firstLineChars="486"/>
        <w:textAlignment w:val="auto"/>
        <w:rPr>
          <w:rFonts w:hint="eastAsia" w:asciiTheme="minorEastAsia" w:hAnsiTheme="minorEastAsia" w:eastAsiaTheme="minorEastAsia" w:cstheme="minorEastAsia"/>
          <w:color w:val="auto"/>
          <w:sz w:val="36"/>
          <w:szCs w:val="36"/>
          <w:highlight w:val="none"/>
        </w:rPr>
      </w:pPr>
    </w:p>
    <w:p>
      <w:pPr>
        <w:keepNext w:val="0"/>
        <w:keepLines w:val="0"/>
        <w:pageBreakBefore w:val="0"/>
        <w:kinsoku/>
        <w:wordWrap/>
        <w:overflowPunct/>
        <w:topLinePunct w:val="0"/>
        <w:autoSpaceDE/>
        <w:autoSpaceDN/>
        <w:bidi w:val="0"/>
        <w:adjustRightInd/>
        <w:snapToGrid/>
        <w:spacing w:line="360" w:lineRule="auto"/>
        <w:ind w:left="0" w:leftChars="0" w:firstLine="1749" w:firstLineChars="486"/>
        <w:textAlignment w:val="auto"/>
        <w:rPr>
          <w:rFonts w:hint="eastAsia" w:asciiTheme="minorEastAsia" w:hAnsiTheme="minorEastAsia" w:eastAsiaTheme="minorEastAsia" w:cstheme="minorEastAsia"/>
          <w:color w:val="auto"/>
          <w:sz w:val="36"/>
          <w:szCs w:val="36"/>
          <w:highlight w:val="none"/>
        </w:rPr>
      </w:pPr>
    </w:p>
    <w:p>
      <w:pPr>
        <w:keepNext w:val="0"/>
        <w:keepLines w:val="0"/>
        <w:pageBreakBefore w:val="0"/>
        <w:kinsoku/>
        <w:wordWrap/>
        <w:overflowPunct/>
        <w:topLinePunct w:val="0"/>
        <w:autoSpaceDE/>
        <w:autoSpaceDN/>
        <w:bidi w:val="0"/>
        <w:adjustRightInd/>
        <w:snapToGrid/>
        <w:spacing w:line="360" w:lineRule="auto"/>
        <w:jc w:val="left"/>
        <w:textAlignment w:val="auto"/>
        <w:outlineLvl w:val="0"/>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采   购   人：</w:t>
      </w:r>
      <w:r>
        <w:rPr>
          <w:rFonts w:hint="eastAsia" w:asciiTheme="minorEastAsia" w:hAnsiTheme="minorEastAsia" w:eastAsiaTheme="minorEastAsia" w:cstheme="minorEastAsia"/>
          <w:b/>
          <w:bCs/>
          <w:color w:val="auto"/>
          <w:sz w:val="32"/>
          <w:szCs w:val="32"/>
          <w:highlight w:val="none"/>
        </w:rPr>
        <w:t>重庆市总工会</w:t>
      </w:r>
    </w:p>
    <w:p>
      <w:pPr>
        <w:keepNext w:val="0"/>
        <w:keepLines w:val="0"/>
        <w:pageBreakBefore w:val="0"/>
        <w:kinsoku/>
        <w:wordWrap/>
        <w:overflowPunct/>
        <w:topLinePunct w:val="0"/>
        <w:autoSpaceDE/>
        <w:autoSpaceDN/>
        <w:bidi w:val="0"/>
        <w:adjustRightInd/>
        <w:snapToGrid/>
        <w:spacing w:line="360" w:lineRule="auto"/>
        <w:textAlignment w:val="auto"/>
        <w:outlineLvl w:val="0"/>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采购代理机构：重庆招标采购（集团）有限责任公司</w:t>
      </w:r>
    </w:p>
    <w:p>
      <w:pPr>
        <w:keepNext w:val="0"/>
        <w:keepLines w:val="0"/>
        <w:pageBreakBefore w:val="0"/>
        <w:kinsoku/>
        <w:wordWrap/>
        <w:overflowPunct/>
        <w:topLinePunct w:val="0"/>
        <w:autoSpaceDE/>
        <w:autoSpaceDN/>
        <w:bidi w:val="0"/>
        <w:adjustRightInd/>
        <w:snapToGrid/>
        <w:spacing w:line="360" w:lineRule="auto"/>
        <w:ind w:left="0" w:leftChars="0"/>
        <w:jc w:val="center"/>
        <w:textAlignment w:val="auto"/>
        <w:outlineLvl w:val="0"/>
        <w:rPr>
          <w:rFonts w:hint="eastAsia" w:asciiTheme="minorEastAsia" w:hAnsiTheme="minorEastAsia" w:eastAsiaTheme="minorEastAsia" w:cstheme="minorEastAsia"/>
          <w:color w:val="auto"/>
          <w:sz w:val="48"/>
          <w:szCs w:val="32"/>
          <w:highlight w:val="none"/>
        </w:rPr>
      </w:pPr>
      <w:r>
        <w:rPr>
          <w:rFonts w:hint="eastAsia" w:asciiTheme="minorEastAsia" w:hAnsiTheme="minorEastAsia" w:eastAsiaTheme="minorEastAsia" w:cstheme="minorEastAsia"/>
          <w:b/>
          <w:color w:val="auto"/>
          <w:sz w:val="32"/>
          <w:szCs w:val="32"/>
          <w:highlight w:val="none"/>
        </w:rPr>
        <w:t>二〇二五年十</w:t>
      </w:r>
      <w:r>
        <w:rPr>
          <w:rFonts w:hint="eastAsia" w:asciiTheme="minorEastAsia" w:hAnsiTheme="minorEastAsia" w:eastAsiaTheme="minorEastAsia" w:cstheme="minorEastAsia"/>
          <w:b/>
          <w:color w:val="auto"/>
          <w:sz w:val="32"/>
          <w:szCs w:val="32"/>
          <w:highlight w:val="none"/>
          <w:lang w:val="en-US" w:eastAsia="zh-CN"/>
        </w:rPr>
        <w:t>二</w:t>
      </w:r>
      <w:r>
        <w:rPr>
          <w:rFonts w:hint="eastAsia" w:asciiTheme="minorEastAsia" w:hAnsiTheme="minorEastAsia" w:eastAsiaTheme="minorEastAsia" w:cstheme="minorEastAsia"/>
          <w:b/>
          <w:color w:val="auto"/>
          <w:sz w:val="32"/>
          <w:szCs w:val="32"/>
          <w:highlight w:val="none"/>
        </w:rPr>
        <w:t>月</w:t>
      </w:r>
    </w:p>
    <w:p>
      <w:pPr>
        <w:keepNext w:val="0"/>
        <w:keepLines w:val="0"/>
        <w:pageBreakBefore w:val="0"/>
        <w:kinsoku/>
        <w:wordWrap/>
        <w:overflowPunct/>
        <w:topLinePunct w:val="0"/>
        <w:autoSpaceDE/>
        <w:autoSpaceDN/>
        <w:bidi w:val="0"/>
        <w:adjustRightInd/>
        <w:snapToGrid/>
        <w:spacing w:line="360" w:lineRule="auto"/>
        <w:ind w:left="0" w:leftChars="0"/>
        <w:jc w:val="center"/>
        <w:textAlignment w:val="auto"/>
        <w:outlineLvl w:val="0"/>
        <w:rPr>
          <w:rFonts w:hint="eastAsia" w:asciiTheme="minorEastAsia" w:hAnsiTheme="minorEastAsia" w:eastAsiaTheme="minorEastAsia" w:cstheme="minorEastAsia"/>
          <w:color w:val="auto"/>
          <w:sz w:val="48"/>
          <w:szCs w:val="32"/>
          <w:highlight w:val="none"/>
        </w:rPr>
        <w:sectPr>
          <w:headerReference r:id="rId4" w:type="first"/>
          <w:footerReference r:id="rId7" w:type="first"/>
          <w:headerReference r:id="rId3" w:type="default"/>
          <w:footerReference r:id="rId5" w:type="default"/>
          <w:footerReference r:id="rId6" w:type="even"/>
          <w:pgSz w:w="11907" w:h="16840"/>
          <w:pgMar w:top="1440" w:right="1247" w:bottom="1440" w:left="1814" w:header="964" w:footer="992" w:gutter="0"/>
          <w:pgNumType w:fmt="numberInDash" w:start="1"/>
          <w:cols w:space="0" w:num="1"/>
          <w:rtlGutter w:val="0"/>
          <w:docGrid w:linePitch="381" w:charSpace="0"/>
        </w:sectPr>
      </w:pPr>
    </w:p>
    <w:p>
      <w:pPr>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目   录</w:t>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b/>
          <w:color w:val="auto"/>
          <w:sz w:val="21"/>
          <w:szCs w:val="22"/>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TOC \o "1-3" \h \z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"_Toc125896796"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b/>
          <w:color w:val="auto"/>
          <w:highlight w:val="none"/>
        </w:rPr>
        <w:t>第一篇  采购邀请书</w:t>
      </w:r>
      <w:r>
        <w:rPr>
          <w:rFonts w:hint="eastAsia" w:asciiTheme="minorEastAsia" w:hAnsiTheme="minorEastAsia" w:eastAsiaTheme="minorEastAsia" w:cstheme="minorEastAsia"/>
          <w:b/>
          <w:color w:val="auto"/>
          <w:highlight w:val="none"/>
        </w:rPr>
        <w:tab/>
      </w:r>
      <w:r>
        <w:rPr>
          <w:rFonts w:hint="eastAsia" w:asciiTheme="minorEastAsia" w:hAnsiTheme="minorEastAsia" w:eastAsiaTheme="minorEastAsia" w:cstheme="minorEastAsia"/>
          <w:b/>
          <w:color w:val="auto"/>
          <w:highlight w:val="none"/>
        </w:rPr>
        <w:fldChar w:fldCharType="begin"/>
      </w:r>
      <w:r>
        <w:rPr>
          <w:rFonts w:hint="eastAsia" w:asciiTheme="minorEastAsia" w:hAnsiTheme="minorEastAsia" w:eastAsiaTheme="minorEastAsia" w:cstheme="minorEastAsia"/>
          <w:b/>
          <w:color w:val="auto"/>
          <w:highlight w:val="none"/>
        </w:rPr>
        <w:instrText xml:space="preserve"> PAGEREF _Toc125896796 \h </w:instrText>
      </w:r>
      <w:r>
        <w:rPr>
          <w:rFonts w:hint="eastAsia" w:asciiTheme="minorEastAsia" w:hAnsiTheme="minorEastAsia" w:eastAsiaTheme="minorEastAsia" w:cstheme="minorEastAsia"/>
          <w:b/>
          <w:color w:val="auto"/>
          <w:highlight w:val="none"/>
        </w:rPr>
        <w:fldChar w:fldCharType="separate"/>
      </w:r>
      <w:r>
        <w:rPr>
          <w:rFonts w:hint="eastAsia" w:asciiTheme="minorEastAsia" w:hAnsiTheme="minorEastAsia" w:eastAsiaTheme="minorEastAsia" w:cstheme="minorEastAsia"/>
          <w:b/>
          <w:color w:val="auto"/>
          <w:highlight w:val="none"/>
        </w:rPr>
        <w:t>- 3 -</w:t>
      </w:r>
      <w:r>
        <w:rPr>
          <w:rFonts w:hint="eastAsia" w:asciiTheme="minorEastAsia" w:hAnsiTheme="minorEastAsia" w:eastAsiaTheme="minorEastAsia" w:cstheme="minorEastAsia"/>
          <w:b/>
          <w:color w:val="auto"/>
          <w:highlight w:val="none"/>
        </w:rPr>
        <w:fldChar w:fldCharType="end"/>
      </w:r>
      <w:r>
        <w:rPr>
          <w:rFonts w:hint="eastAsia" w:asciiTheme="minorEastAsia" w:hAnsiTheme="minorEastAsia" w:eastAsiaTheme="minorEastAsia" w:cstheme="minorEastAsia"/>
          <w:b/>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"_Toc125896797"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一、竞争性磋商内容</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_Toc125896797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- 3 -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"_Toc125896798"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二、资金来源</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_Toc125896798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- 3 -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"_Toc125896799"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三、供应商资格条件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_Toc125896799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- 3 -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"_Toc125896800"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四、磋商有关说明</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_Toc125896800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- 3 -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"_Toc125896801"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五、采购项目需落实的政府采购政策</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_Toc125896801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- 4 -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"_Toc125896802"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六、其它有关规定</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_Toc125896802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- 4 -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"_Toc125896803"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七、联系方式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_Toc125896803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- 5 -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b/>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"_Toc125896804"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b/>
          <w:color w:val="auto"/>
          <w:highlight w:val="none"/>
        </w:rPr>
        <w:t>第二篇  项目服务需求</w:t>
      </w:r>
      <w:r>
        <w:rPr>
          <w:rFonts w:hint="eastAsia" w:asciiTheme="minorEastAsia" w:hAnsiTheme="minorEastAsia" w:eastAsiaTheme="minorEastAsia" w:cstheme="minorEastAsia"/>
          <w:b/>
          <w:color w:val="auto"/>
          <w:highlight w:val="none"/>
        </w:rPr>
        <w:tab/>
      </w:r>
      <w:r>
        <w:rPr>
          <w:rFonts w:hint="eastAsia" w:asciiTheme="minorEastAsia" w:hAnsiTheme="minorEastAsia" w:eastAsiaTheme="minorEastAsia" w:cstheme="minorEastAsia"/>
          <w:b/>
          <w:color w:val="auto"/>
          <w:highlight w:val="none"/>
        </w:rPr>
        <w:fldChar w:fldCharType="begin"/>
      </w:r>
      <w:r>
        <w:rPr>
          <w:rFonts w:hint="eastAsia" w:asciiTheme="minorEastAsia" w:hAnsiTheme="minorEastAsia" w:eastAsiaTheme="minorEastAsia" w:cstheme="minorEastAsia"/>
          <w:b/>
          <w:color w:val="auto"/>
          <w:highlight w:val="none"/>
        </w:rPr>
        <w:instrText xml:space="preserve"> PAGEREF _Toc125896804 \h </w:instrText>
      </w:r>
      <w:r>
        <w:rPr>
          <w:rFonts w:hint="eastAsia" w:asciiTheme="minorEastAsia" w:hAnsiTheme="minorEastAsia" w:eastAsiaTheme="minorEastAsia" w:cstheme="minorEastAsia"/>
          <w:b/>
          <w:color w:val="auto"/>
          <w:highlight w:val="none"/>
        </w:rPr>
        <w:fldChar w:fldCharType="separate"/>
      </w:r>
      <w:r>
        <w:rPr>
          <w:rFonts w:hint="eastAsia" w:asciiTheme="minorEastAsia" w:hAnsiTheme="minorEastAsia" w:eastAsiaTheme="minorEastAsia" w:cstheme="minorEastAsia"/>
          <w:b/>
          <w:color w:val="auto"/>
          <w:highlight w:val="none"/>
        </w:rPr>
        <w:t>- 7 -</w:t>
      </w:r>
      <w:r>
        <w:rPr>
          <w:rFonts w:hint="eastAsia" w:asciiTheme="minorEastAsia" w:hAnsiTheme="minorEastAsia" w:eastAsiaTheme="minorEastAsia" w:cstheme="minorEastAsia"/>
          <w:b/>
          <w:color w:val="auto"/>
          <w:highlight w:val="none"/>
        </w:rPr>
        <w:fldChar w:fldCharType="end"/>
      </w:r>
      <w:r>
        <w:rPr>
          <w:rFonts w:hint="eastAsia" w:asciiTheme="minorEastAsia" w:hAnsiTheme="minorEastAsia" w:eastAsiaTheme="minorEastAsia" w:cstheme="minorEastAsia"/>
          <w:b/>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"_Toc125896805"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一、项目基本概况介绍</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_Toc125896805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- 7 -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"_Toc125896806"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二、服务内容及成果</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_Toc125896806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- 7 -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"_Toc125896807"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三、服务质量需求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_Toc125896807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- 7 -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"_Toc125896808"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四、项目组要求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_Toc125896808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- 8 -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b/>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"_Toc125896809"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b/>
          <w:color w:val="auto"/>
          <w:highlight w:val="none"/>
        </w:rPr>
        <w:t>第三篇  项目商务需求</w:t>
      </w:r>
      <w:r>
        <w:rPr>
          <w:rFonts w:hint="eastAsia" w:asciiTheme="minorEastAsia" w:hAnsiTheme="minorEastAsia" w:eastAsiaTheme="minorEastAsia" w:cstheme="minorEastAsia"/>
          <w:b/>
          <w:color w:val="auto"/>
          <w:highlight w:val="none"/>
        </w:rPr>
        <w:tab/>
      </w:r>
      <w:r>
        <w:rPr>
          <w:rFonts w:hint="eastAsia" w:asciiTheme="minorEastAsia" w:hAnsiTheme="minorEastAsia" w:eastAsiaTheme="minorEastAsia" w:cstheme="minorEastAsia"/>
          <w:b/>
          <w:color w:val="auto"/>
          <w:highlight w:val="none"/>
        </w:rPr>
        <w:fldChar w:fldCharType="begin"/>
      </w:r>
      <w:r>
        <w:rPr>
          <w:rFonts w:hint="eastAsia" w:asciiTheme="minorEastAsia" w:hAnsiTheme="minorEastAsia" w:eastAsiaTheme="minorEastAsia" w:cstheme="minorEastAsia"/>
          <w:b/>
          <w:color w:val="auto"/>
          <w:highlight w:val="none"/>
        </w:rPr>
        <w:instrText xml:space="preserve"> PAGEREF _Toc125896809 \h </w:instrText>
      </w:r>
      <w:r>
        <w:rPr>
          <w:rFonts w:hint="eastAsia" w:asciiTheme="minorEastAsia" w:hAnsiTheme="minorEastAsia" w:eastAsiaTheme="minorEastAsia" w:cstheme="minorEastAsia"/>
          <w:b/>
          <w:color w:val="auto"/>
          <w:highlight w:val="none"/>
        </w:rPr>
        <w:fldChar w:fldCharType="separate"/>
      </w:r>
      <w:r>
        <w:rPr>
          <w:rFonts w:hint="eastAsia" w:asciiTheme="minorEastAsia" w:hAnsiTheme="minorEastAsia" w:eastAsiaTheme="minorEastAsia" w:cstheme="minorEastAsia"/>
          <w:b/>
          <w:color w:val="auto"/>
          <w:highlight w:val="none"/>
        </w:rPr>
        <w:t>- 10 -</w:t>
      </w:r>
      <w:r>
        <w:rPr>
          <w:rFonts w:hint="eastAsia" w:asciiTheme="minorEastAsia" w:hAnsiTheme="minorEastAsia" w:eastAsiaTheme="minorEastAsia" w:cstheme="minorEastAsia"/>
          <w:b/>
          <w:color w:val="auto"/>
          <w:highlight w:val="none"/>
        </w:rPr>
        <w:fldChar w:fldCharType="end"/>
      </w:r>
      <w:r>
        <w:rPr>
          <w:rFonts w:hint="eastAsia" w:asciiTheme="minorEastAsia" w:hAnsiTheme="minorEastAsia" w:eastAsiaTheme="minorEastAsia" w:cstheme="minorEastAsia"/>
          <w:b/>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"_Toc125896810"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一、服务期、地点、验收方式及验收标准要求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_Toc125896810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- 10 -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"_Toc125896815"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二、报价要求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_Toc125896815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- 10 -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"_Toc125896816"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三、付款方式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_Toc125896816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- 10 -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"_Toc125896817"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四、知识产权</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_Toc125896817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- 11 -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"_Toc125896818"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五、其他</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_Toc125896818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- 11 -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b/>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"_Toc125896819"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b/>
          <w:color w:val="auto"/>
          <w:highlight w:val="none"/>
        </w:rPr>
        <w:t>第四篇  磋商程序及方法、评审标准、无效响应和采购终止</w:t>
      </w:r>
      <w:r>
        <w:rPr>
          <w:rFonts w:hint="eastAsia" w:asciiTheme="minorEastAsia" w:hAnsiTheme="minorEastAsia" w:eastAsiaTheme="minorEastAsia" w:cstheme="minorEastAsia"/>
          <w:b/>
          <w:color w:val="auto"/>
          <w:highlight w:val="none"/>
        </w:rPr>
        <w:tab/>
      </w:r>
      <w:r>
        <w:rPr>
          <w:rFonts w:hint="eastAsia" w:asciiTheme="minorEastAsia" w:hAnsiTheme="minorEastAsia" w:eastAsiaTheme="minorEastAsia" w:cstheme="minorEastAsia"/>
          <w:b/>
          <w:color w:val="auto"/>
          <w:highlight w:val="none"/>
        </w:rPr>
        <w:fldChar w:fldCharType="begin"/>
      </w:r>
      <w:r>
        <w:rPr>
          <w:rFonts w:hint="eastAsia" w:asciiTheme="minorEastAsia" w:hAnsiTheme="minorEastAsia" w:eastAsiaTheme="minorEastAsia" w:cstheme="minorEastAsia"/>
          <w:b/>
          <w:color w:val="auto"/>
          <w:highlight w:val="none"/>
        </w:rPr>
        <w:instrText xml:space="preserve"> PAGEREF _Toc125896819 \h </w:instrText>
      </w:r>
      <w:r>
        <w:rPr>
          <w:rFonts w:hint="eastAsia" w:asciiTheme="minorEastAsia" w:hAnsiTheme="minorEastAsia" w:eastAsiaTheme="minorEastAsia" w:cstheme="minorEastAsia"/>
          <w:b/>
          <w:color w:val="auto"/>
          <w:highlight w:val="none"/>
        </w:rPr>
        <w:fldChar w:fldCharType="separate"/>
      </w:r>
      <w:r>
        <w:rPr>
          <w:rFonts w:hint="eastAsia" w:asciiTheme="minorEastAsia" w:hAnsiTheme="minorEastAsia" w:eastAsiaTheme="minorEastAsia" w:cstheme="minorEastAsia"/>
          <w:b/>
          <w:color w:val="auto"/>
          <w:highlight w:val="none"/>
        </w:rPr>
        <w:t>- 12 -</w:t>
      </w:r>
      <w:r>
        <w:rPr>
          <w:rFonts w:hint="eastAsia" w:asciiTheme="minorEastAsia" w:hAnsiTheme="minorEastAsia" w:eastAsiaTheme="minorEastAsia" w:cstheme="minorEastAsia"/>
          <w:b/>
          <w:color w:val="auto"/>
          <w:highlight w:val="none"/>
        </w:rPr>
        <w:fldChar w:fldCharType="end"/>
      </w:r>
      <w:r>
        <w:rPr>
          <w:rFonts w:hint="eastAsia" w:asciiTheme="minorEastAsia" w:hAnsiTheme="minorEastAsia" w:eastAsiaTheme="minorEastAsia" w:cstheme="minorEastAsia"/>
          <w:b/>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"_Toc125896820"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一、磋商程序及方法</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_Toc125896820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- 12 -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"_Toc125896821"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二、评审标准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_Toc125896821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- 14 -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"_Toc125896822"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三、无效响应</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_Toc125896822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- 16 -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"_Toc125896823"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四、采购终止</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_Toc125896823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- 17 -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b/>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"_Toc125896824"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b/>
          <w:bCs/>
          <w:color w:val="auto"/>
          <w:highlight w:val="none"/>
        </w:rPr>
        <w:t>第五篇  供应商须知</w:t>
      </w:r>
      <w:r>
        <w:rPr>
          <w:rFonts w:hint="eastAsia" w:asciiTheme="minorEastAsia" w:hAnsiTheme="minorEastAsia" w:eastAsiaTheme="minorEastAsia" w:cstheme="minorEastAsia"/>
          <w:b/>
          <w:color w:val="auto"/>
          <w:highlight w:val="none"/>
        </w:rPr>
        <w:tab/>
      </w:r>
      <w:r>
        <w:rPr>
          <w:rFonts w:hint="eastAsia" w:asciiTheme="minorEastAsia" w:hAnsiTheme="minorEastAsia" w:eastAsiaTheme="minorEastAsia" w:cstheme="minorEastAsia"/>
          <w:b/>
          <w:color w:val="auto"/>
          <w:highlight w:val="none"/>
        </w:rPr>
        <w:fldChar w:fldCharType="begin"/>
      </w:r>
      <w:r>
        <w:rPr>
          <w:rFonts w:hint="eastAsia" w:asciiTheme="minorEastAsia" w:hAnsiTheme="minorEastAsia" w:eastAsiaTheme="minorEastAsia" w:cstheme="minorEastAsia"/>
          <w:b/>
          <w:color w:val="auto"/>
          <w:highlight w:val="none"/>
        </w:rPr>
        <w:instrText xml:space="preserve"> PAGEREF _Toc125896824 \h </w:instrText>
      </w:r>
      <w:r>
        <w:rPr>
          <w:rFonts w:hint="eastAsia" w:asciiTheme="minorEastAsia" w:hAnsiTheme="minorEastAsia" w:eastAsiaTheme="minorEastAsia" w:cstheme="minorEastAsia"/>
          <w:b/>
          <w:color w:val="auto"/>
          <w:highlight w:val="none"/>
        </w:rPr>
        <w:fldChar w:fldCharType="separate"/>
      </w:r>
      <w:r>
        <w:rPr>
          <w:rFonts w:hint="eastAsia" w:asciiTheme="minorEastAsia" w:hAnsiTheme="minorEastAsia" w:eastAsiaTheme="minorEastAsia" w:cstheme="minorEastAsia"/>
          <w:b/>
          <w:color w:val="auto"/>
          <w:highlight w:val="none"/>
        </w:rPr>
        <w:t>- 18 -</w:t>
      </w:r>
      <w:r>
        <w:rPr>
          <w:rFonts w:hint="eastAsia" w:asciiTheme="minorEastAsia" w:hAnsiTheme="minorEastAsia" w:eastAsiaTheme="minorEastAsia" w:cstheme="minorEastAsia"/>
          <w:b/>
          <w:color w:val="auto"/>
          <w:highlight w:val="none"/>
        </w:rPr>
        <w:fldChar w:fldCharType="end"/>
      </w:r>
      <w:r>
        <w:rPr>
          <w:rFonts w:hint="eastAsia" w:asciiTheme="minorEastAsia" w:hAnsiTheme="minorEastAsia" w:eastAsiaTheme="minorEastAsia" w:cstheme="minorEastAsia"/>
          <w:b/>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"_Toc125896825"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一、磋商费用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_Toc125896825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- 18 -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"_Toc125896826"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二、竞争性磋商文件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_Toc125896826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- 18 -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"_Toc125896827"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三、磋商要求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_Toc125896827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- 18 -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"_Toc125896828"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四、成交供应商的确认和变更</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_Toc125896828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- 19 -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"_Toc125896829"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五、成交通知</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_Toc125896829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- 20 -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"_Toc125896830"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六、关于质疑</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_Toc125896830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- 20 -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"_Toc125896831"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七、采购代理服务费</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_Toc125896831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- 21 -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"_Toc125896832"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八、签订合同</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_Toc125896832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- 21 -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"_Toc125896833"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九、项目验收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_Toc125896833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- 22 -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b/>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"_Toc125896834"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b/>
          <w:color w:val="auto"/>
          <w:highlight w:val="none"/>
        </w:rPr>
        <w:t>第六篇  政府采购合同</w:t>
      </w:r>
      <w:r>
        <w:rPr>
          <w:rFonts w:hint="eastAsia" w:asciiTheme="minorEastAsia" w:hAnsiTheme="minorEastAsia" w:eastAsiaTheme="minorEastAsia" w:cstheme="minorEastAsia"/>
          <w:b/>
          <w:color w:val="auto"/>
          <w:highlight w:val="none"/>
        </w:rPr>
        <w:tab/>
      </w:r>
      <w:r>
        <w:rPr>
          <w:rFonts w:hint="eastAsia" w:asciiTheme="minorEastAsia" w:hAnsiTheme="minorEastAsia" w:eastAsiaTheme="minorEastAsia" w:cstheme="minorEastAsia"/>
          <w:b/>
          <w:color w:val="auto"/>
          <w:highlight w:val="none"/>
        </w:rPr>
        <w:fldChar w:fldCharType="begin"/>
      </w:r>
      <w:r>
        <w:rPr>
          <w:rFonts w:hint="eastAsia" w:asciiTheme="minorEastAsia" w:hAnsiTheme="minorEastAsia" w:eastAsiaTheme="minorEastAsia" w:cstheme="minorEastAsia"/>
          <w:b/>
          <w:color w:val="auto"/>
          <w:highlight w:val="none"/>
        </w:rPr>
        <w:instrText xml:space="preserve"> PAGEREF _Toc125896834 \h </w:instrText>
      </w:r>
      <w:r>
        <w:rPr>
          <w:rFonts w:hint="eastAsia" w:asciiTheme="minorEastAsia" w:hAnsiTheme="minorEastAsia" w:eastAsiaTheme="minorEastAsia" w:cstheme="minorEastAsia"/>
          <w:b/>
          <w:color w:val="auto"/>
          <w:highlight w:val="none"/>
        </w:rPr>
        <w:fldChar w:fldCharType="separate"/>
      </w:r>
      <w:r>
        <w:rPr>
          <w:rFonts w:hint="eastAsia" w:asciiTheme="minorEastAsia" w:hAnsiTheme="minorEastAsia" w:eastAsiaTheme="minorEastAsia" w:cstheme="minorEastAsia"/>
          <w:b/>
          <w:color w:val="auto"/>
          <w:highlight w:val="none"/>
        </w:rPr>
        <w:t>- 23 -</w:t>
      </w:r>
      <w:r>
        <w:rPr>
          <w:rFonts w:hint="eastAsia" w:asciiTheme="minorEastAsia" w:hAnsiTheme="minorEastAsia" w:eastAsiaTheme="minorEastAsia" w:cstheme="minorEastAsia"/>
          <w:b/>
          <w:color w:val="auto"/>
          <w:highlight w:val="none"/>
        </w:rPr>
        <w:fldChar w:fldCharType="end"/>
      </w:r>
      <w:r>
        <w:rPr>
          <w:rFonts w:hint="eastAsia" w:asciiTheme="minorEastAsia" w:hAnsiTheme="minorEastAsia" w:eastAsiaTheme="minorEastAsia" w:cstheme="minorEastAsia"/>
          <w:b/>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b/>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"_Toc125896835"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b/>
          <w:color w:val="auto"/>
          <w:highlight w:val="none"/>
        </w:rPr>
        <w:t>第七篇  响应文件编制要求</w:t>
      </w:r>
      <w:r>
        <w:rPr>
          <w:rFonts w:hint="eastAsia" w:asciiTheme="minorEastAsia" w:hAnsiTheme="minorEastAsia" w:eastAsiaTheme="minorEastAsia" w:cstheme="minorEastAsia"/>
          <w:b/>
          <w:color w:val="auto"/>
          <w:highlight w:val="none"/>
        </w:rPr>
        <w:tab/>
      </w:r>
      <w:r>
        <w:rPr>
          <w:rFonts w:hint="eastAsia" w:asciiTheme="minorEastAsia" w:hAnsiTheme="minorEastAsia" w:eastAsiaTheme="minorEastAsia" w:cstheme="minorEastAsia"/>
          <w:b/>
          <w:color w:val="auto"/>
          <w:highlight w:val="none"/>
        </w:rPr>
        <w:fldChar w:fldCharType="begin"/>
      </w:r>
      <w:r>
        <w:rPr>
          <w:rFonts w:hint="eastAsia" w:asciiTheme="minorEastAsia" w:hAnsiTheme="minorEastAsia" w:eastAsiaTheme="minorEastAsia" w:cstheme="minorEastAsia"/>
          <w:b/>
          <w:color w:val="auto"/>
          <w:highlight w:val="none"/>
        </w:rPr>
        <w:instrText xml:space="preserve"> PAGEREF _Toc125896835 \h </w:instrText>
      </w:r>
      <w:r>
        <w:rPr>
          <w:rFonts w:hint="eastAsia" w:asciiTheme="minorEastAsia" w:hAnsiTheme="minorEastAsia" w:eastAsiaTheme="minorEastAsia" w:cstheme="minorEastAsia"/>
          <w:b/>
          <w:color w:val="auto"/>
          <w:highlight w:val="none"/>
        </w:rPr>
        <w:fldChar w:fldCharType="separate"/>
      </w:r>
      <w:r>
        <w:rPr>
          <w:rFonts w:hint="eastAsia" w:asciiTheme="minorEastAsia" w:hAnsiTheme="minorEastAsia" w:eastAsiaTheme="minorEastAsia" w:cstheme="minorEastAsia"/>
          <w:b/>
          <w:color w:val="auto"/>
          <w:highlight w:val="none"/>
        </w:rPr>
        <w:t>- 24 -</w:t>
      </w:r>
      <w:r>
        <w:rPr>
          <w:rFonts w:hint="eastAsia" w:asciiTheme="minorEastAsia" w:hAnsiTheme="minorEastAsia" w:eastAsiaTheme="minorEastAsia" w:cstheme="minorEastAsia"/>
          <w:b/>
          <w:color w:val="auto"/>
          <w:highlight w:val="none"/>
        </w:rPr>
        <w:fldChar w:fldCharType="end"/>
      </w:r>
      <w:r>
        <w:rPr>
          <w:rFonts w:hint="eastAsia" w:asciiTheme="minorEastAsia" w:hAnsiTheme="minorEastAsia" w:eastAsiaTheme="minorEastAsia" w:cstheme="minorEastAsia"/>
          <w:b/>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"_Toc125896836"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一、经济部分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_Toc125896836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- 25 -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"_Toc125896837"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二、服务部分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_Toc125896837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- 26 -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"_Toc125896838"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三、商务部分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_Toc125896838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- 28 -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"_Toc125896839"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四、资格条件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_Toc125896839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- 31 -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"_Toc125896840"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五、其他资料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_Toc125896840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- 35 -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18"/>
          <w:szCs w:val="22"/>
          <w:highlight w:val="none"/>
        </w:rPr>
        <w:sectPr>
          <w:pgSz w:w="11907" w:h="16840"/>
          <w:pgMar w:top="1440" w:right="1247" w:bottom="1440" w:left="1814" w:header="964" w:footer="992" w:gutter="0"/>
          <w:pgNumType w:fmt="numberInDash" w:start="1"/>
          <w:cols w:space="0" w:num="1"/>
          <w:rtlGutter w:val="0"/>
          <w:docGrid w:linePitch="381" w:charSpace="0"/>
        </w:sectPr>
      </w:pPr>
      <w:r>
        <w:rPr>
          <w:rFonts w:hint="eastAsia" w:asciiTheme="minorEastAsia" w:hAnsiTheme="minorEastAsia" w:eastAsiaTheme="minorEastAsia" w:cstheme="minorEastAsia"/>
          <w:color w:val="auto"/>
          <w:szCs w:val="21"/>
          <w:highlight w:val="none"/>
        </w:rPr>
        <w:fldChar w:fldCharType="end"/>
      </w:r>
    </w:p>
    <w:p>
      <w:pPr>
        <w:pStyle w:val="4"/>
        <w:kinsoku/>
        <w:wordWrap/>
        <w:overflowPunct/>
        <w:topLinePunct w:val="0"/>
        <w:autoSpaceDE/>
        <w:autoSpaceDN/>
        <w:bidi w:val="0"/>
        <w:adjustRightInd w:val="0"/>
        <w:snapToGrid/>
        <w:spacing w:before="0" w:after="0" w:line="360" w:lineRule="auto"/>
        <w:jc w:val="center"/>
        <w:textAlignment w:val="auto"/>
        <w:rPr>
          <w:rFonts w:hint="eastAsia" w:asciiTheme="minorEastAsia" w:hAnsiTheme="minorEastAsia" w:eastAsiaTheme="minorEastAsia" w:cstheme="minorEastAsia"/>
          <w:b w:val="0"/>
          <w:color w:val="auto"/>
          <w:sz w:val="36"/>
          <w:szCs w:val="36"/>
          <w:highlight w:val="none"/>
        </w:rPr>
      </w:pPr>
      <w:bookmarkStart w:id="0" w:name="_Toc12789052"/>
      <w:bookmarkStart w:id="1" w:name="_Toc76462316"/>
      <w:bookmarkStart w:id="2" w:name="_Toc11641050"/>
      <w:bookmarkStart w:id="3" w:name="_Toc106030870"/>
      <w:bookmarkStart w:id="4" w:name="_Toc125896796"/>
      <w:bookmarkStart w:id="5" w:name="_Toc25911"/>
      <w:r>
        <w:rPr>
          <w:rFonts w:hint="eastAsia" w:asciiTheme="minorEastAsia" w:hAnsiTheme="minorEastAsia" w:eastAsiaTheme="minorEastAsia" w:cstheme="minorEastAsia"/>
          <w:b w:val="0"/>
          <w:color w:val="auto"/>
          <w:sz w:val="36"/>
          <w:szCs w:val="36"/>
          <w:highlight w:val="none"/>
        </w:rPr>
        <w:t>第一篇  采购邀请书</w:t>
      </w:r>
      <w:bookmarkEnd w:id="0"/>
      <w:bookmarkEnd w:id="1"/>
      <w:bookmarkEnd w:id="2"/>
      <w:bookmarkEnd w:id="3"/>
      <w:bookmarkEnd w:id="4"/>
      <w:bookmarkEnd w:id="5"/>
    </w:p>
    <w:p>
      <w:pPr>
        <w:kinsoku/>
        <w:wordWrap/>
        <w:overflowPunct/>
        <w:topLinePunct w:val="0"/>
        <w:autoSpaceDE/>
        <w:autoSpaceDN/>
        <w:bidi w:val="0"/>
        <w:snapToGrid/>
        <w:spacing w:line="360" w:lineRule="auto"/>
        <w:ind w:firstLine="480" w:firstLineChars="200"/>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重庆招标采购（集团）有限责任公司</w:t>
      </w:r>
      <w:r>
        <w:rPr>
          <w:rFonts w:hint="eastAsia" w:asciiTheme="minorEastAsia" w:hAnsiTheme="minorEastAsia" w:eastAsiaTheme="minorEastAsia" w:cstheme="minorEastAsia"/>
          <w:color w:val="auto"/>
          <w:sz w:val="24"/>
          <w:szCs w:val="24"/>
          <w:highlight w:val="none"/>
        </w:rPr>
        <w:t>（以下简称：采购代理机构）接受</w:t>
      </w:r>
      <w:r>
        <w:rPr>
          <w:rFonts w:hint="eastAsia" w:asciiTheme="minorEastAsia" w:hAnsiTheme="minorEastAsia" w:eastAsiaTheme="minorEastAsia" w:cstheme="minorEastAsia"/>
          <w:color w:val="auto"/>
          <w:sz w:val="24"/>
          <w:szCs w:val="24"/>
          <w:highlight w:val="none"/>
          <w:u w:val="single"/>
        </w:rPr>
        <w:t>重庆市总工会</w:t>
      </w:r>
      <w:r>
        <w:rPr>
          <w:rFonts w:hint="eastAsia" w:asciiTheme="minorEastAsia" w:hAnsiTheme="minorEastAsia" w:eastAsiaTheme="minorEastAsia" w:cstheme="minorEastAsia"/>
          <w:color w:val="auto"/>
          <w:sz w:val="24"/>
          <w:szCs w:val="24"/>
          <w:highlight w:val="none"/>
        </w:rPr>
        <w:t>（以下简称：采购人）的委托，对</w:t>
      </w:r>
      <w:r>
        <w:rPr>
          <w:rFonts w:hint="eastAsia" w:asciiTheme="minorEastAsia" w:hAnsiTheme="minorEastAsia" w:eastAsiaTheme="minorEastAsia" w:cstheme="minorEastAsia"/>
          <w:color w:val="auto"/>
          <w:sz w:val="24"/>
          <w:szCs w:val="24"/>
          <w:highlight w:val="none"/>
          <w:u w:val="single"/>
        </w:rPr>
        <w:t>《重庆市工会条例（修订）》立法起草服务</w:t>
      </w:r>
      <w:r>
        <w:rPr>
          <w:rFonts w:hint="eastAsia" w:asciiTheme="minorEastAsia" w:hAnsiTheme="minorEastAsia" w:eastAsiaTheme="minorEastAsia" w:cstheme="minorEastAsia"/>
          <w:color w:val="auto"/>
          <w:sz w:val="24"/>
          <w:szCs w:val="24"/>
          <w:highlight w:val="none"/>
        </w:rPr>
        <w:t>项目进行竞争性磋商采购。欢迎有资格的供应商前来参与磋商。</w:t>
      </w:r>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6" w:name="_Toc313893526"/>
      <w:bookmarkStart w:id="7" w:name="_Toc28280"/>
      <w:bookmarkStart w:id="8" w:name="_Toc106030871"/>
      <w:bookmarkStart w:id="9" w:name="_Toc76462317"/>
      <w:bookmarkStart w:id="10" w:name="_Toc317775175"/>
      <w:bookmarkStart w:id="11" w:name="_Toc125896797"/>
      <w:r>
        <w:rPr>
          <w:rFonts w:hint="eastAsia" w:asciiTheme="minorEastAsia" w:hAnsiTheme="minorEastAsia" w:eastAsiaTheme="minorEastAsia" w:cstheme="minorEastAsia"/>
          <w:color w:val="auto"/>
          <w:sz w:val="24"/>
          <w:szCs w:val="24"/>
          <w:highlight w:val="none"/>
        </w:rPr>
        <w:t>一、竞争性磋商内容</w:t>
      </w:r>
      <w:bookmarkEnd w:id="6"/>
      <w:bookmarkEnd w:id="7"/>
      <w:bookmarkEnd w:id="8"/>
      <w:bookmarkEnd w:id="9"/>
      <w:bookmarkEnd w:id="10"/>
      <w:bookmarkEnd w:id="11"/>
    </w:p>
    <w:tbl>
      <w:tblPr>
        <w:tblStyle w:val="5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268"/>
        <w:gridCol w:w="1843"/>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66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spacing w:line="320" w:lineRule="exact"/>
              <w:jc w:val="center"/>
              <w:textAlignment w:val="auto"/>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rPr>
              <w:t>项目名称</w:t>
            </w:r>
            <w:r>
              <w:rPr>
                <w:rFonts w:hint="eastAsia" w:asciiTheme="minorEastAsia" w:hAnsiTheme="minorEastAsia" w:eastAsiaTheme="minorEastAsia" w:cstheme="minorEastAsia"/>
                <w:b/>
                <w:bCs/>
                <w:color w:val="auto"/>
                <w:kern w:val="0"/>
                <w:sz w:val="21"/>
                <w:szCs w:val="21"/>
                <w:highlight w:val="none"/>
                <w:lang w:eastAsia="zh-CN"/>
              </w:rPr>
              <w:t>（</w:t>
            </w:r>
            <w:r>
              <w:rPr>
                <w:rFonts w:hint="eastAsia" w:asciiTheme="minorEastAsia" w:hAnsiTheme="minorEastAsia" w:eastAsiaTheme="minorEastAsia" w:cstheme="minorEastAsia"/>
                <w:b/>
                <w:bCs/>
                <w:color w:val="auto"/>
                <w:kern w:val="0"/>
                <w:sz w:val="21"/>
                <w:szCs w:val="21"/>
                <w:highlight w:val="none"/>
                <w:lang w:val="en-US" w:eastAsia="zh-CN"/>
              </w:rPr>
              <w:t>标的名称</w:t>
            </w:r>
            <w:r>
              <w:rPr>
                <w:rFonts w:hint="eastAsia" w:asciiTheme="minorEastAsia" w:hAnsiTheme="minorEastAsia" w:eastAsiaTheme="minorEastAsia" w:cstheme="minorEastAsia"/>
                <w:b/>
                <w:bCs/>
                <w:color w:val="auto"/>
                <w:kern w:val="0"/>
                <w:sz w:val="21"/>
                <w:szCs w:val="21"/>
                <w:highlight w:val="none"/>
                <w:lang w:eastAsia="zh-CN"/>
              </w:rPr>
              <w:t>）</w:t>
            </w:r>
          </w:p>
        </w:tc>
        <w:tc>
          <w:tcPr>
            <w:tcW w:w="2268"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最高限价（万元）</w:t>
            </w:r>
          </w:p>
        </w:tc>
        <w:tc>
          <w:tcPr>
            <w:tcW w:w="1843"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成交供应商数量（名）</w:t>
            </w:r>
          </w:p>
        </w:tc>
        <w:tc>
          <w:tcPr>
            <w:tcW w:w="251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采购标的对应的中小企业划分标准所属行业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66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rPr>
            </w:pPr>
            <w:bookmarkStart w:id="12" w:name="_Hlk344477914"/>
            <w:r>
              <w:rPr>
                <w:rFonts w:hint="eastAsia" w:asciiTheme="minorEastAsia" w:hAnsiTheme="minorEastAsia" w:eastAsiaTheme="minorEastAsia" w:cstheme="minorEastAsia"/>
                <w:color w:val="auto"/>
                <w:kern w:val="0"/>
                <w:sz w:val="21"/>
                <w:szCs w:val="21"/>
                <w:highlight w:val="none"/>
              </w:rPr>
              <w:t>《重庆市工会条例（修订）》立法起草服务</w:t>
            </w:r>
          </w:p>
        </w:tc>
        <w:tc>
          <w:tcPr>
            <w:tcW w:w="2268"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lang w:val="en"/>
              </w:rPr>
            </w:pPr>
            <w:r>
              <w:rPr>
                <w:rFonts w:hint="eastAsia" w:asciiTheme="minorEastAsia" w:hAnsiTheme="minorEastAsia" w:eastAsiaTheme="minorEastAsia" w:cstheme="minorEastAsia"/>
                <w:color w:val="auto"/>
                <w:kern w:val="0"/>
                <w:sz w:val="21"/>
                <w:szCs w:val="21"/>
                <w:highlight w:val="none"/>
                <w:lang w:val="en"/>
              </w:rPr>
              <w:t>19.8</w:t>
            </w:r>
          </w:p>
        </w:tc>
        <w:tc>
          <w:tcPr>
            <w:tcW w:w="184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251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其他未列明行业</w:t>
            </w:r>
          </w:p>
        </w:tc>
      </w:tr>
      <w:bookmarkEnd w:id="12"/>
    </w:tbl>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3" w:name="_Toc125896798"/>
      <w:bookmarkStart w:id="14" w:name="_Toc106030872"/>
      <w:bookmarkStart w:id="15" w:name="_Toc76462318"/>
      <w:bookmarkStart w:id="16" w:name="_Toc373860293"/>
      <w:bookmarkStart w:id="17" w:name="_Toc317775178"/>
      <w:r>
        <w:rPr>
          <w:rFonts w:hint="eastAsia" w:asciiTheme="minorEastAsia" w:hAnsiTheme="minorEastAsia" w:eastAsiaTheme="minorEastAsia" w:cstheme="minorEastAsia"/>
          <w:color w:val="auto"/>
          <w:sz w:val="24"/>
          <w:szCs w:val="24"/>
          <w:highlight w:val="none"/>
        </w:rPr>
        <w:t>二、资金来源</w:t>
      </w:r>
      <w:bookmarkEnd w:id="13"/>
      <w:bookmarkEnd w:id="14"/>
      <w:bookmarkEnd w:id="15"/>
    </w:p>
    <w:p>
      <w:pPr>
        <w:kinsoku/>
        <w:wordWrap/>
        <w:overflowPunct/>
        <w:topLinePunct w:val="0"/>
        <w:autoSpaceDE/>
        <w:autoSpaceDN/>
        <w:bidi w:val="0"/>
        <w:adjustRightInd w:val="0"/>
        <w:snapToGrid/>
        <w:spacing w:line="360" w:lineRule="auto"/>
        <w:ind w:firstLine="960" w:firstLineChars="4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单位自筹资金</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预算金额为</w:t>
      </w:r>
      <w:r>
        <w:rPr>
          <w:rFonts w:hint="eastAsia" w:asciiTheme="minorEastAsia" w:hAnsiTheme="minorEastAsia" w:eastAsiaTheme="minorEastAsia" w:cstheme="minorEastAsia"/>
          <w:color w:val="auto"/>
          <w:sz w:val="24"/>
          <w:szCs w:val="24"/>
          <w:highlight w:val="none"/>
          <w:lang w:val="en"/>
        </w:rPr>
        <w:t>19.8</w:t>
      </w:r>
      <w:r>
        <w:rPr>
          <w:rFonts w:hint="eastAsia" w:asciiTheme="minorEastAsia" w:hAnsiTheme="minorEastAsia" w:eastAsiaTheme="minorEastAsia" w:cstheme="minorEastAsia"/>
          <w:color w:val="auto"/>
          <w:sz w:val="24"/>
          <w:szCs w:val="24"/>
          <w:highlight w:val="none"/>
        </w:rPr>
        <w:t>万元。</w:t>
      </w:r>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8" w:name="_Toc18157"/>
      <w:bookmarkStart w:id="19" w:name="_Toc76462319"/>
      <w:bookmarkStart w:id="20" w:name="_Toc106030873"/>
      <w:bookmarkStart w:id="21" w:name="_Toc125896799"/>
      <w:r>
        <w:rPr>
          <w:rFonts w:hint="eastAsia" w:asciiTheme="minorEastAsia" w:hAnsiTheme="minorEastAsia" w:eastAsiaTheme="minorEastAsia" w:cstheme="minorEastAsia"/>
          <w:color w:val="auto"/>
          <w:sz w:val="24"/>
          <w:szCs w:val="24"/>
          <w:highlight w:val="none"/>
        </w:rPr>
        <w:t>三、供应商资格条件</w:t>
      </w:r>
      <w:bookmarkEnd w:id="18"/>
      <w:bookmarkEnd w:id="19"/>
      <w:bookmarkEnd w:id="20"/>
      <w:bookmarkEnd w:id="21"/>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（一）满足《中华人民共和国政府采购法》第二十二条规定；</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（二）落实政府采购政策需满足的资格要求：无；</w:t>
      </w:r>
    </w:p>
    <w:p>
      <w:pPr>
        <w:widowControl/>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（三）本项目的特定资格要求：无。</w:t>
      </w:r>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22" w:name="_Toc5267"/>
      <w:bookmarkStart w:id="23" w:name="_Toc76462320"/>
      <w:bookmarkStart w:id="24" w:name="_Toc106030874"/>
      <w:bookmarkStart w:id="25" w:name="_Toc125896800"/>
      <w:r>
        <w:rPr>
          <w:rFonts w:hint="eastAsia" w:asciiTheme="minorEastAsia" w:hAnsiTheme="minorEastAsia" w:eastAsiaTheme="minorEastAsia" w:cstheme="minorEastAsia"/>
          <w:color w:val="auto"/>
          <w:sz w:val="24"/>
          <w:szCs w:val="24"/>
          <w:highlight w:val="none"/>
        </w:rPr>
        <w:t>四、磋商有关说明</w:t>
      </w:r>
      <w:bookmarkEnd w:id="16"/>
      <w:bookmarkEnd w:id="22"/>
      <w:bookmarkEnd w:id="23"/>
      <w:bookmarkEnd w:id="24"/>
      <w:bookmarkEnd w:id="25"/>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（一）供应商应通过“行采家”平台（http://www.gec123.com）进行注册，成为正式供应商方能参与采购活动。</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（二）凡有意参加磋商的供应商，请在“行采家”平台（http://www.gec123.com）</w:t>
      </w:r>
      <w:r>
        <w:rPr>
          <w:rFonts w:hint="eastAsia" w:asciiTheme="minorEastAsia" w:hAnsiTheme="minorEastAsia" w:eastAsiaTheme="minorEastAsia" w:cstheme="minorEastAsia"/>
          <w:color w:val="auto"/>
          <w:sz w:val="24"/>
          <w:szCs w:val="24"/>
          <w:highlight w:val="none"/>
          <w:lang w:eastAsia="zh-CN"/>
        </w:rPr>
        <w:t>、重庆市总工会（https://www.cqgh.org/）</w:t>
      </w:r>
      <w:r>
        <w:rPr>
          <w:rFonts w:hint="eastAsia" w:asciiTheme="minorEastAsia" w:hAnsiTheme="minorEastAsia" w:eastAsiaTheme="minorEastAsia" w:cstheme="minorEastAsia"/>
          <w:color w:val="auto"/>
          <w:sz w:val="24"/>
          <w:szCs w:val="24"/>
          <w:highlight w:val="none"/>
        </w:rPr>
        <w:t>上下载或到采购代理机构处领取本项目竞争性磋商文件以及图纸、澄清等磋商前公布的所有项目资料，无论供应商下载或领取与否，均视为已知晓所有磋商实质性要求内容。</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（三）竞争性磋商公告期限：自采购公告发布之日起三个工作日。</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（四）竞争性磋商文件发售期限： </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1.竞争性磋商文件发售期：2025年</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03</w:t>
      </w:r>
      <w:r>
        <w:rPr>
          <w:rFonts w:hint="eastAsia" w:asciiTheme="minorEastAsia" w:hAnsiTheme="minorEastAsia" w:eastAsiaTheme="minorEastAsia" w:cstheme="minorEastAsia"/>
          <w:color w:val="auto"/>
          <w:sz w:val="24"/>
          <w:szCs w:val="24"/>
          <w:highlight w:val="none"/>
        </w:rPr>
        <w:t>日至2025年</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日17:00（工作时间）</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2.报名及磋商文件购买方式：在磋商文件发售期内，</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通过扫描二维码（见附件《采购文件发售登记表》）以自助缴费的方式向代理机构交纳文件费用，</w:t>
      </w:r>
      <w:r>
        <w:rPr>
          <w:rFonts w:hint="eastAsia" w:asciiTheme="minorEastAsia" w:hAnsiTheme="minorEastAsia" w:eastAsiaTheme="minorEastAsia" w:cstheme="minorEastAsia"/>
          <w:color w:val="auto"/>
          <w:sz w:val="24"/>
          <w:szCs w:val="24"/>
          <w:highlight w:val="none"/>
          <w:lang w:val="en-US" w:eastAsia="zh-CN"/>
        </w:rPr>
        <w:t>并将加盖了供应商单位公章的《</w:t>
      </w:r>
      <w:r>
        <w:rPr>
          <w:rFonts w:hint="eastAsia" w:asciiTheme="minorEastAsia" w:hAnsiTheme="minorEastAsia" w:eastAsiaTheme="minorEastAsia" w:cstheme="minorEastAsia"/>
          <w:color w:val="auto"/>
          <w:sz w:val="24"/>
          <w:szCs w:val="24"/>
          <w:highlight w:val="none"/>
        </w:rPr>
        <w:t>采购文件发售登记表</w:t>
      </w:r>
      <w:r>
        <w:rPr>
          <w:rFonts w:hint="eastAsia" w:asciiTheme="minorEastAsia" w:hAnsiTheme="minorEastAsia" w:eastAsiaTheme="minorEastAsia" w:cstheme="minorEastAsia"/>
          <w:color w:val="auto"/>
          <w:sz w:val="24"/>
          <w:szCs w:val="24"/>
          <w:highlight w:val="none"/>
          <w:lang w:val="en-US" w:eastAsia="zh-CN"/>
        </w:rPr>
        <w:t>》扫描件</w:t>
      </w:r>
      <w:r>
        <w:rPr>
          <w:rFonts w:hint="eastAsia" w:asciiTheme="minorEastAsia" w:hAnsiTheme="minorEastAsia" w:eastAsiaTheme="minorEastAsia" w:cstheme="minorEastAsia"/>
          <w:color w:val="auto"/>
          <w:sz w:val="24"/>
          <w:szCs w:val="24"/>
          <w:highlight w:val="none"/>
        </w:rPr>
        <w:t>发送至代理机构邮箱（</w:t>
      </w:r>
      <w:r>
        <w:rPr>
          <w:rFonts w:hint="eastAsia" w:asciiTheme="minorEastAsia" w:hAnsiTheme="minorEastAsia" w:eastAsiaTheme="minorEastAsia" w:cstheme="minorEastAsia"/>
          <w:color w:val="auto"/>
          <w:sz w:val="24"/>
          <w:szCs w:val="24"/>
          <w:highlight w:val="none"/>
          <w:lang w:val="en-US" w:eastAsia="zh-CN"/>
        </w:rPr>
        <w:t>924964507</w:t>
      </w:r>
      <w:r>
        <w:rPr>
          <w:rFonts w:hint="eastAsia" w:asciiTheme="minorEastAsia" w:hAnsiTheme="minorEastAsia" w:eastAsiaTheme="minorEastAsia" w:cstheme="minorEastAsia"/>
          <w:color w:val="auto"/>
          <w:sz w:val="24"/>
          <w:szCs w:val="24"/>
          <w:highlight w:val="none"/>
        </w:rPr>
        <w:t>@qq.com）完成报名（</w:t>
      </w:r>
      <w:r>
        <w:rPr>
          <w:rFonts w:hint="eastAsia" w:asciiTheme="minorEastAsia" w:hAnsiTheme="minorEastAsia" w:eastAsiaTheme="minorEastAsia" w:cstheme="minorEastAsia"/>
          <w:color w:val="auto"/>
          <w:sz w:val="24"/>
          <w:szCs w:val="24"/>
          <w:highlight w:val="none"/>
          <w:lang w:val="en-US" w:eastAsia="zh-CN"/>
        </w:rPr>
        <w:t>报名时间</w:t>
      </w:r>
      <w:r>
        <w:rPr>
          <w:rFonts w:hint="eastAsia" w:asciiTheme="minorEastAsia" w:hAnsiTheme="minorEastAsia" w:eastAsiaTheme="minorEastAsia" w:cstheme="minorEastAsia"/>
          <w:color w:val="auto"/>
          <w:sz w:val="24"/>
          <w:szCs w:val="24"/>
          <w:highlight w:val="none"/>
        </w:rPr>
        <w:t>以</w:t>
      </w:r>
      <w:r>
        <w:rPr>
          <w:rFonts w:hint="eastAsia" w:asciiTheme="minorEastAsia" w:hAnsiTheme="minorEastAsia" w:eastAsiaTheme="minorEastAsia" w:cstheme="minorEastAsia"/>
          <w:color w:val="auto"/>
          <w:sz w:val="24"/>
          <w:szCs w:val="24"/>
          <w:highlight w:val="none"/>
          <w:lang w:val="en-US" w:eastAsia="zh-CN"/>
        </w:rPr>
        <w:t>邮箱</w:t>
      </w:r>
      <w:r>
        <w:rPr>
          <w:rFonts w:hint="eastAsia" w:asciiTheme="minorEastAsia" w:hAnsiTheme="minorEastAsia" w:eastAsiaTheme="minorEastAsia" w:cstheme="minorEastAsia"/>
          <w:color w:val="auto"/>
          <w:sz w:val="24"/>
          <w:szCs w:val="24"/>
          <w:highlight w:val="none"/>
        </w:rPr>
        <w:t>收件时间为准）。</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3.竞争性磋商文件售价：人民币200元。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售后不退</w:t>
      </w:r>
      <w:r>
        <w:rPr>
          <w:rFonts w:hint="eastAsia" w:asciiTheme="minorEastAsia" w:hAnsiTheme="minorEastAsia" w:eastAsiaTheme="minorEastAsia" w:cstheme="minorEastAsia"/>
          <w:color w:val="auto"/>
          <w:sz w:val="24"/>
          <w:szCs w:val="24"/>
          <w:highlight w:val="none"/>
          <w:lang w:eastAsia="zh-CN"/>
        </w:rPr>
        <w:t>）</w:t>
      </w:r>
    </w:p>
    <w:p>
      <w:pPr>
        <w:kinsoku/>
        <w:wordWrap/>
        <w:overflowPunct/>
        <w:topLinePunct w:val="0"/>
        <w:autoSpaceDE/>
        <w:autoSpaceDN/>
        <w:bidi w:val="0"/>
        <w:adjustRightInd w:val="0"/>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注：未在竞争性磋商文件发售期限内递交《采购文件发售登记表》进行报名和缴费的，其报名和投标无效。</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（五）递交响应文件地点：重庆市江北五里店五简路2号重庆咨询大厦A幢开标室（具体详见</w:t>
      </w:r>
      <w:r>
        <w:rPr>
          <w:rFonts w:hint="eastAsia" w:asciiTheme="minorEastAsia" w:hAnsiTheme="minorEastAsia" w:eastAsiaTheme="minorEastAsia" w:cstheme="minorEastAsia"/>
          <w:color w:val="auto"/>
          <w:sz w:val="24"/>
          <w:szCs w:val="24"/>
          <w:highlight w:val="none"/>
          <w:lang w:val="en-US" w:eastAsia="zh-CN"/>
        </w:rPr>
        <w:t>负</w:t>
      </w:r>
      <w:r>
        <w:rPr>
          <w:rFonts w:hint="eastAsia" w:asciiTheme="minorEastAsia" w:hAnsiTheme="minorEastAsia" w:eastAsiaTheme="minorEastAsia" w:cstheme="minorEastAsia"/>
          <w:color w:val="auto"/>
          <w:sz w:val="24"/>
          <w:szCs w:val="24"/>
          <w:highlight w:val="none"/>
        </w:rPr>
        <w:t>1楼大厅显示屏）。</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（六）响应文件递交开始时间：2025年</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w:t>
      </w:r>
    </w:p>
    <w:p>
      <w:pPr>
        <w:kinsoku/>
        <w:wordWrap/>
        <w:overflowPunct/>
        <w:topLinePunct w:val="0"/>
        <w:autoSpaceDE/>
        <w:autoSpaceDN/>
        <w:bidi w:val="0"/>
        <w:adjustRightInd w:val="0"/>
        <w:snapToGrid/>
        <w:spacing w:line="360" w:lineRule="auto"/>
        <w:ind w:firstLine="1200" w:firstLineChars="5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响应文件递交截止时间：2025年</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00</w:t>
      </w:r>
    </w:p>
    <w:p>
      <w:pPr>
        <w:kinsoku/>
        <w:wordWrap/>
        <w:overflowPunct/>
        <w:topLinePunct w:val="0"/>
        <w:autoSpaceDE/>
        <w:autoSpaceDN/>
        <w:bidi w:val="0"/>
        <w:adjustRightInd w:val="0"/>
        <w:snapToGrid/>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（七）磋商开始时间：2025年</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00</w:t>
      </w:r>
      <w:bookmarkStart w:id="221" w:name="_GoBack"/>
      <w:bookmarkEnd w:id="221"/>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26" w:name="_Toc373860294"/>
      <w:bookmarkStart w:id="27" w:name="_Toc76462321"/>
      <w:bookmarkStart w:id="28" w:name="_Toc19330"/>
      <w:bookmarkStart w:id="29" w:name="_Toc125896801"/>
      <w:bookmarkStart w:id="30" w:name="_Toc106030875"/>
      <w:r>
        <w:rPr>
          <w:rFonts w:hint="eastAsia" w:asciiTheme="minorEastAsia" w:hAnsiTheme="minorEastAsia" w:eastAsiaTheme="minorEastAsia" w:cstheme="minorEastAsia"/>
          <w:color w:val="auto"/>
          <w:sz w:val="24"/>
          <w:szCs w:val="24"/>
          <w:highlight w:val="none"/>
        </w:rPr>
        <w:t>五、</w:t>
      </w:r>
      <w:bookmarkEnd w:id="17"/>
      <w:bookmarkEnd w:id="26"/>
      <w:bookmarkStart w:id="31" w:name="_Toc480466698"/>
      <w:bookmarkStart w:id="32" w:name="_Toc479668114"/>
      <w:r>
        <w:rPr>
          <w:rFonts w:hint="eastAsia" w:asciiTheme="minorEastAsia" w:hAnsiTheme="minorEastAsia" w:eastAsiaTheme="minorEastAsia" w:cstheme="minorEastAsia"/>
          <w:color w:val="auto"/>
          <w:sz w:val="24"/>
          <w:szCs w:val="24"/>
          <w:highlight w:val="none"/>
        </w:rPr>
        <w:t>采购项目需落实的政府采购政策</w:t>
      </w:r>
      <w:bookmarkEnd w:id="27"/>
      <w:bookmarkEnd w:id="28"/>
      <w:bookmarkEnd w:id="29"/>
      <w:bookmarkEnd w:id="30"/>
      <w:bookmarkEnd w:id="31"/>
      <w:bookmarkEnd w:id="32"/>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（二）按照财政部、工业和信息化部关于印发《政府采购促进中小企业发展管理办法》的通知（财库〔2020〕46号）的规定，落实促进中小企业发展政策。</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（三）按照《财政部、司法部关于政府采购支持监狱企业发展有关问题的通知》（财库〔2014〕68号）的规定，落实支持监狱企业发展政策。</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（四）按照《三部门联合发布关于促进残疾人就业政府采购政策的通知》（财库〔2017〔141号〕的规定，落实支持残疾人福利性单位发展政策。</w:t>
      </w:r>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33" w:name="_Toc6206"/>
      <w:bookmarkStart w:id="34" w:name="_Toc76462322"/>
      <w:bookmarkStart w:id="35" w:name="_Toc106030876"/>
      <w:bookmarkStart w:id="36" w:name="_Toc480466699"/>
      <w:bookmarkStart w:id="37" w:name="_Toc125896802"/>
      <w:r>
        <w:rPr>
          <w:rFonts w:hint="eastAsia" w:asciiTheme="minorEastAsia" w:hAnsiTheme="minorEastAsia" w:eastAsiaTheme="minorEastAsia" w:cstheme="minorEastAsia"/>
          <w:color w:val="auto"/>
          <w:sz w:val="24"/>
          <w:szCs w:val="24"/>
          <w:highlight w:val="none"/>
        </w:rPr>
        <w:t>六、其它有关规定</w:t>
      </w:r>
      <w:bookmarkEnd w:id="33"/>
      <w:bookmarkEnd w:id="34"/>
      <w:bookmarkEnd w:id="35"/>
      <w:bookmarkEnd w:id="36"/>
      <w:bookmarkEnd w:id="37"/>
    </w:p>
    <w:p>
      <w:pPr>
        <w:kinsoku/>
        <w:wordWrap/>
        <w:overflowPunct/>
        <w:topLinePunct w:val="0"/>
        <w:autoSpaceDE/>
        <w:autoSpaceDN/>
        <w:bidi w:val="0"/>
        <w:adjustRightInd w:val="0"/>
        <w:snapToGrid/>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bookmarkStart w:id="38" w:name="_Toc480466700"/>
      <w:r>
        <w:rPr>
          <w:rFonts w:hint="eastAsia" w:asciiTheme="minorEastAsia" w:hAnsiTheme="minorEastAsia" w:eastAsiaTheme="minorEastAsia" w:cstheme="minorEastAsia"/>
          <w:color w:val="auto"/>
          <w:sz w:val="24"/>
          <w:szCs w:val="24"/>
          <w:highlight w:val="none"/>
        </w:rPr>
        <w:t>（一）单位负责人为同一人或者存在直接控股、管理关系的不同供应商，不得参加同一合同项（包）下的政府采购活动，否则均为无效响应。</w:t>
      </w:r>
    </w:p>
    <w:p>
      <w:pPr>
        <w:kinsoku/>
        <w:wordWrap/>
        <w:overflowPunct/>
        <w:topLinePunct w:val="0"/>
        <w:autoSpaceDE/>
        <w:autoSpaceDN/>
        <w:bidi w:val="0"/>
        <w:adjustRightInd w:val="0"/>
        <w:snapToGrid/>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（二）为采购项目提供整体设计、规范编制或者项目管理、监理、检测等服务的供应商，不得再参加该采购项目的其他采购活动。</w:t>
      </w:r>
    </w:p>
    <w:p>
      <w:pPr>
        <w:kinsoku/>
        <w:wordWrap/>
        <w:overflowPunct/>
        <w:topLinePunct w:val="0"/>
        <w:autoSpaceDE/>
        <w:autoSpaceDN/>
        <w:bidi w:val="0"/>
        <w:adjustRightInd w:val="0"/>
        <w:snapToGrid/>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）本项目的澄清文件（如果有）一律在“行采家”平台（http://www.gec123.com）</w:t>
      </w:r>
      <w:r>
        <w:rPr>
          <w:rFonts w:hint="eastAsia" w:asciiTheme="minorEastAsia" w:hAnsiTheme="minorEastAsia" w:eastAsiaTheme="minorEastAsia" w:cstheme="minorEastAsia"/>
          <w:color w:val="auto"/>
          <w:sz w:val="24"/>
          <w:szCs w:val="24"/>
          <w:highlight w:val="none"/>
          <w:lang w:eastAsia="zh-CN"/>
        </w:rPr>
        <w:t>、重庆市总工会（https://www.cqgh.org/）</w:t>
      </w:r>
      <w:r>
        <w:rPr>
          <w:rFonts w:hint="eastAsia" w:asciiTheme="minorEastAsia" w:hAnsiTheme="minorEastAsia" w:eastAsiaTheme="minorEastAsia" w:cstheme="minorEastAsia"/>
          <w:color w:val="auto"/>
          <w:sz w:val="24"/>
          <w:szCs w:val="24"/>
          <w:highlight w:val="none"/>
        </w:rPr>
        <w:t>上发布，请各供应商注意下载或到采购代理机构处领取；无论供应商下载或领取与否，均视同供应商已知晓本项目澄清文件（如果有）的内容。</w:t>
      </w:r>
    </w:p>
    <w:p>
      <w:pPr>
        <w:kinsoku/>
        <w:wordWrap/>
        <w:overflowPunct/>
        <w:topLinePunct w:val="0"/>
        <w:autoSpaceDE/>
        <w:autoSpaceDN/>
        <w:bidi w:val="0"/>
        <w:adjustRightInd w:val="0"/>
        <w:snapToGrid/>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）超过响应文件截止时间递交的响应文件，恕不接收。</w:t>
      </w:r>
    </w:p>
    <w:p>
      <w:pPr>
        <w:kinsoku/>
        <w:wordWrap/>
        <w:overflowPunct/>
        <w:topLinePunct w:val="0"/>
        <w:autoSpaceDE/>
        <w:autoSpaceDN/>
        <w:bidi w:val="0"/>
        <w:adjustRightInd w:val="0"/>
        <w:snapToGrid/>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）磋商费用：无论磋商结果如何，供应商参与本项目磋商的所有费用均应由供应商自行承担。</w:t>
      </w:r>
    </w:p>
    <w:p>
      <w:pPr>
        <w:kinsoku/>
        <w:wordWrap/>
        <w:overflowPunct/>
        <w:topLinePunct w:val="0"/>
        <w:autoSpaceDE/>
        <w:autoSpaceDN/>
        <w:bidi w:val="0"/>
        <w:adjustRightInd w:val="0"/>
        <w:snapToGrid/>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）本项目不接受联合体参与磋商，否则按无效处理。</w:t>
      </w:r>
    </w:p>
    <w:p>
      <w:pPr>
        <w:kinsoku/>
        <w:wordWrap/>
        <w:overflowPunct/>
        <w:topLinePunct w:val="0"/>
        <w:autoSpaceDE/>
        <w:autoSpaceDN/>
        <w:bidi w:val="0"/>
        <w:adjustRightInd w:val="0"/>
        <w:snapToGrid/>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）本项目不接受合同分包，否则按无效处理。</w:t>
      </w:r>
    </w:p>
    <w:p>
      <w:pPr>
        <w:kinsoku/>
        <w:wordWrap/>
        <w:overflowPunct/>
        <w:topLinePunct w:val="0"/>
        <w:autoSpaceDE/>
        <w:autoSpaceDN/>
        <w:bidi w:val="0"/>
        <w:adjustRightInd w:val="0"/>
        <w:snapToGrid/>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39" w:name="_Toc76462323"/>
      <w:bookmarkStart w:id="40" w:name="_Toc10720"/>
      <w:bookmarkStart w:id="41" w:name="_Toc125896803"/>
      <w:bookmarkStart w:id="42" w:name="_Toc106030877"/>
      <w:r>
        <w:rPr>
          <w:rFonts w:hint="eastAsia" w:asciiTheme="minorEastAsia" w:hAnsiTheme="minorEastAsia" w:eastAsiaTheme="minorEastAsia" w:cstheme="minorEastAsia"/>
          <w:color w:val="auto"/>
          <w:sz w:val="24"/>
          <w:szCs w:val="24"/>
          <w:highlight w:val="none"/>
        </w:rPr>
        <w:t>七、联系方式</w:t>
      </w:r>
      <w:bookmarkEnd w:id="38"/>
      <w:bookmarkEnd w:id="39"/>
      <w:bookmarkEnd w:id="40"/>
      <w:bookmarkEnd w:id="41"/>
      <w:bookmarkEnd w:id="42"/>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（一）采购人：重庆市总工会</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联系人：</w:t>
      </w:r>
      <w:bookmarkStart w:id="43" w:name="_Hlk517516737"/>
      <w:r>
        <w:rPr>
          <w:rFonts w:hint="eastAsia" w:asciiTheme="minorEastAsia" w:hAnsiTheme="minorEastAsia" w:eastAsiaTheme="minorEastAsia" w:cstheme="minorEastAsia"/>
          <w:color w:val="auto"/>
          <w:sz w:val="24"/>
          <w:szCs w:val="24"/>
          <w:highlight w:val="none"/>
          <w:lang w:eastAsia="zh-CN"/>
        </w:rPr>
        <w:t>阎老师、殷老师</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电  话：</w:t>
      </w:r>
      <w:bookmarkEnd w:id="43"/>
      <w:r>
        <w:rPr>
          <w:rFonts w:hint="eastAsia" w:asciiTheme="minorEastAsia" w:hAnsiTheme="minorEastAsia" w:eastAsiaTheme="minorEastAsia" w:cstheme="minorEastAsia"/>
          <w:color w:val="auto"/>
          <w:sz w:val="24"/>
          <w:szCs w:val="24"/>
          <w:highlight w:val="none"/>
        </w:rPr>
        <w:t>023-</w:t>
      </w:r>
      <w:r>
        <w:rPr>
          <w:rFonts w:hint="eastAsia" w:asciiTheme="minorEastAsia" w:hAnsiTheme="minorEastAsia" w:eastAsiaTheme="minorEastAsia" w:cstheme="minorEastAsia"/>
          <w:color w:val="auto"/>
          <w:sz w:val="24"/>
          <w:szCs w:val="24"/>
          <w:highlight w:val="none"/>
          <w:lang w:val="en-US" w:eastAsia="zh-CN"/>
        </w:rPr>
        <w:t>63850330、</w:t>
      </w:r>
      <w:r>
        <w:rPr>
          <w:rFonts w:hint="eastAsia" w:asciiTheme="minorEastAsia" w:hAnsiTheme="minorEastAsia" w:eastAsiaTheme="minorEastAsia" w:cstheme="minorEastAsia"/>
          <w:color w:val="auto"/>
          <w:sz w:val="24"/>
          <w:szCs w:val="24"/>
          <w:highlight w:val="none"/>
        </w:rPr>
        <w:t>023-</w:t>
      </w:r>
      <w:r>
        <w:rPr>
          <w:rFonts w:hint="eastAsia" w:asciiTheme="minorEastAsia" w:hAnsiTheme="minorEastAsia" w:eastAsiaTheme="minorEastAsia" w:cstheme="minorEastAsia"/>
          <w:color w:val="auto"/>
          <w:sz w:val="24"/>
          <w:szCs w:val="24"/>
          <w:highlight w:val="none"/>
          <w:lang w:val="en-US" w:eastAsia="zh-CN"/>
        </w:rPr>
        <w:t>63765580</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lang w:val="en-US" w:eastAsia="zh-CN"/>
        </w:rPr>
        <w:t>重庆市渝中区中山二路174号重庆市总工会综合楼</w:t>
      </w:r>
    </w:p>
    <w:p>
      <w:pPr>
        <w:kinsoku/>
        <w:wordWrap/>
        <w:overflowPunct/>
        <w:topLinePunct w:val="0"/>
        <w:autoSpaceDE/>
        <w:autoSpaceDN/>
        <w:bidi w:val="0"/>
        <w:adjustRightInd w:val="0"/>
        <w:snapToGrid/>
        <w:spacing w:line="360" w:lineRule="auto"/>
        <w:ind w:firstLine="480" w:firstLineChars="20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（二）采购代理机构：重庆招标采购（集团）有限责任公司</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eastAsia="zh-CN"/>
        </w:rPr>
        <w:t>王</w:t>
      </w:r>
      <w:r>
        <w:rPr>
          <w:rFonts w:hint="eastAsia" w:asciiTheme="minorEastAsia" w:hAnsiTheme="minorEastAsia" w:eastAsiaTheme="minorEastAsia" w:cstheme="minorEastAsia"/>
          <w:color w:val="auto"/>
          <w:sz w:val="24"/>
          <w:szCs w:val="24"/>
          <w:highlight w:val="none"/>
          <w:lang w:val="en-US" w:eastAsia="zh-CN"/>
        </w:rPr>
        <w:t>老师</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电  话：023-</w:t>
      </w:r>
      <w:r>
        <w:rPr>
          <w:rFonts w:hint="eastAsia" w:asciiTheme="minorEastAsia" w:hAnsiTheme="minorEastAsia" w:eastAsiaTheme="minorEastAsia" w:cstheme="minorEastAsia"/>
          <w:color w:val="auto"/>
          <w:sz w:val="24"/>
          <w:szCs w:val="24"/>
          <w:highlight w:val="none"/>
          <w:lang w:val="en-US" w:eastAsia="zh-CN"/>
        </w:rPr>
        <w:t>67103538</w:t>
      </w:r>
    </w:p>
    <w:p>
      <w:pPr>
        <w:kinsoku/>
        <w:wordWrap/>
        <w:overflowPunct/>
        <w:topLinePunct w:val="0"/>
        <w:autoSpaceDE/>
        <w:autoSpaceDN/>
        <w:bidi w:val="0"/>
        <w:adjustRightInd w:val="0"/>
        <w:snapToGrid/>
        <w:spacing w:line="360" w:lineRule="auto"/>
        <w:ind w:firstLine="480" w:firstLineChars="20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址：重庆市江北区五简路2号重庆咨询大厦A座</w:t>
      </w:r>
      <w:r>
        <w:rPr>
          <w:rFonts w:hint="eastAsia" w:asciiTheme="minorEastAsia" w:hAnsiTheme="minorEastAsia" w:eastAsiaTheme="minorEastAsia" w:cstheme="minorEastAsia"/>
          <w:color w:val="auto"/>
          <w:sz w:val="24"/>
          <w:szCs w:val="24"/>
          <w:highlight w:val="none"/>
          <w:lang w:val="en-US" w:eastAsia="zh-CN"/>
        </w:rPr>
        <w:t>904</w:t>
      </w:r>
      <w:r>
        <w:rPr>
          <w:rFonts w:hint="eastAsia" w:asciiTheme="minorEastAsia" w:hAnsiTheme="minorEastAsia" w:eastAsiaTheme="minorEastAsia" w:cstheme="minorEastAsia"/>
          <w:color w:val="auto"/>
          <w:sz w:val="24"/>
          <w:szCs w:val="24"/>
          <w:highlight w:val="none"/>
        </w:rPr>
        <w:t>室</w:t>
      </w:r>
    </w:p>
    <w:p>
      <w:pPr>
        <w:kinsoku/>
        <w:wordWrap/>
        <w:overflowPunct/>
        <w:topLinePunct w:val="0"/>
        <w:autoSpaceDE/>
        <w:autoSpaceDN/>
        <w:bidi w:val="0"/>
        <w:adjustRightInd w:val="0"/>
        <w:snapToGrid/>
        <w:spacing w:line="360" w:lineRule="auto"/>
        <w:ind w:firstLine="480" w:firstLineChars="200"/>
        <w:textAlignment w:val="auto"/>
        <w:outlineLvl w:val="2"/>
        <w:rPr>
          <w:rFonts w:hint="eastAsia" w:asciiTheme="minorEastAsia" w:hAnsiTheme="minorEastAsia" w:eastAsiaTheme="minorEastAsia" w:cstheme="minorEastAsia"/>
          <w:color w:val="auto"/>
          <w:sz w:val="24"/>
          <w:szCs w:val="24"/>
          <w:highlight w:val="none"/>
        </w:rPr>
        <w:sectPr>
          <w:pgSz w:w="11907" w:h="16840"/>
          <w:pgMar w:top="1440" w:right="1247" w:bottom="1440" w:left="1814" w:header="964" w:footer="992" w:gutter="0"/>
          <w:pgNumType w:fmt="numberInDash"/>
          <w:cols w:space="0" w:num="1"/>
          <w:rtlGutter w:val="0"/>
          <w:docGrid w:linePitch="381" w:charSpace="0"/>
        </w:sectPr>
      </w:pPr>
    </w:p>
    <w:p>
      <w:pPr>
        <w:kinsoku/>
        <w:wordWrap/>
        <w:overflowPunct/>
        <w:topLinePunct w:val="0"/>
        <w:autoSpaceDE/>
        <w:autoSpaceDN/>
        <w:bidi w:val="0"/>
        <w:snapToGrid/>
        <w:spacing w:line="360" w:lineRule="auto"/>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附件：</w:t>
      </w:r>
    </w:p>
    <w:p>
      <w:pPr>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color w:val="auto"/>
          <w:highlight w:val="none"/>
        </w:rPr>
      </w:pPr>
    </w:p>
    <w:p>
      <w:pPr>
        <w:jc w:val="center"/>
        <w:rPr>
          <w:rFonts w:hint="eastAsia" w:asciiTheme="minorEastAsia" w:hAnsiTheme="minorEastAsia" w:eastAsiaTheme="minorEastAsia" w:cstheme="minorEastAsia"/>
          <w:b/>
          <w:bCs/>
          <w:color w:val="auto"/>
          <w:spacing w:val="40"/>
          <w:highlight w:val="none"/>
        </w:rPr>
      </w:pPr>
      <w:r>
        <w:rPr>
          <w:rFonts w:hint="eastAsia" w:asciiTheme="minorEastAsia" w:hAnsiTheme="minorEastAsia" w:eastAsiaTheme="minorEastAsia" w:cstheme="minorEastAsia"/>
          <w:b/>
          <w:bCs/>
          <w:color w:val="auto"/>
          <w:sz w:val="44"/>
          <w:szCs w:val="44"/>
          <w:highlight w:val="none"/>
        </w:rPr>
        <w:t>采购文件发售登记表</w:t>
      </w:r>
    </w:p>
    <w:p>
      <w:pPr>
        <w:jc w:val="left"/>
        <w:rPr>
          <w:rFonts w:hint="eastAsia" w:asciiTheme="minorEastAsia" w:hAnsiTheme="minorEastAsia" w:eastAsiaTheme="minorEastAsia" w:cstheme="minorEastAsia"/>
          <w:b/>
          <w:bCs/>
          <w:color w:val="auto"/>
          <w:spacing w:val="40"/>
          <w:highlight w:val="none"/>
        </w:rPr>
      </w:pPr>
    </w:p>
    <w:tbl>
      <w:tblPr>
        <w:tblStyle w:val="57"/>
        <w:tblW w:w="9092" w:type="dxa"/>
        <w:tblInd w:w="9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2387"/>
        <w:gridCol w:w="1187"/>
        <w:gridCol w:w="379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722" w:type="dxa"/>
            <w:noWrap w:val="0"/>
            <w:vAlign w:val="center"/>
          </w:tcPr>
          <w:p>
            <w:pPr>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项目名称</w:t>
            </w:r>
          </w:p>
        </w:tc>
        <w:tc>
          <w:tcPr>
            <w:tcW w:w="7370" w:type="dxa"/>
            <w:gridSpan w:val="3"/>
            <w:noWrap w:val="0"/>
            <w:vAlign w:val="center"/>
          </w:tcPr>
          <w:p>
            <w:pPr>
              <w:rPr>
                <w:rFonts w:hint="eastAsia" w:asciiTheme="minorEastAsia" w:hAnsiTheme="minorEastAsia" w:eastAsiaTheme="minorEastAsia" w:cstheme="minorEastAsia"/>
                <w:b/>
                <w:color w:val="auto"/>
                <w:sz w:val="3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722" w:type="dxa"/>
            <w:noWrap w:val="0"/>
            <w:vAlign w:val="center"/>
          </w:tcPr>
          <w:p>
            <w:pPr>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供应商名称</w:t>
            </w:r>
          </w:p>
        </w:tc>
        <w:tc>
          <w:tcPr>
            <w:tcW w:w="7370" w:type="dxa"/>
            <w:gridSpan w:val="3"/>
            <w:noWrap w:val="0"/>
            <w:vAlign w:val="bottom"/>
          </w:tcPr>
          <w:p>
            <w:pPr>
              <w:jc w:val="righ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722" w:type="dxa"/>
            <w:noWrap w:val="0"/>
            <w:vAlign w:val="center"/>
          </w:tcPr>
          <w:p>
            <w:pPr>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联系人</w:t>
            </w:r>
          </w:p>
        </w:tc>
        <w:tc>
          <w:tcPr>
            <w:tcW w:w="2387" w:type="dxa"/>
            <w:noWrap w:val="0"/>
            <w:vAlign w:val="center"/>
          </w:tcPr>
          <w:p>
            <w:pPr>
              <w:jc w:val="left"/>
              <w:rPr>
                <w:rFonts w:hint="eastAsia" w:asciiTheme="minorEastAsia" w:hAnsiTheme="minorEastAsia" w:eastAsiaTheme="minorEastAsia" w:cstheme="minorEastAsia"/>
                <w:color w:val="auto"/>
                <w:sz w:val="30"/>
                <w:szCs w:val="30"/>
                <w:highlight w:val="none"/>
              </w:rPr>
            </w:pPr>
          </w:p>
        </w:tc>
        <w:tc>
          <w:tcPr>
            <w:tcW w:w="1187" w:type="dxa"/>
            <w:noWrap w:val="0"/>
            <w:vAlign w:val="center"/>
          </w:tcPr>
          <w:p>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手机</w:t>
            </w:r>
          </w:p>
        </w:tc>
        <w:tc>
          <w:tcPr>
            <w:tcW w:w="3796" w:type="dxa"/>
            <w:noWrap w:val="0"/>
            <w:vAlign w:val="center"/>
          </w:tcPr>
          <w:p>
            <w:pPr>
              <w:jc w:val="left"/>
              <w:rPr>
                <w:rFonts w:hint="eastAsia" w:asciiTheme="minorEastAsia" w:hAnsiTheme="minorEastAsia" w:eastAsiaTheme="minorEastAsia" w:cstheme="minorEastAsia"/>
                <w:color w:val="auto"/>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722" w:type="dxa"/>
            <w:noWrap w:val="0"/>
            <w:vAlign w:val="center"/>
          </w:tcPr>
          <w:p>
            <w:pPr>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E-mail</w:t>
            </w:r>
          </w:p>
        </w:tc>
        <w:tc>
          <w:tcPr>
            <w:tcW w:w="7370" w:type="dxa"/>
            <w:gridSpan w:val="3"/>
            <w:noWrap w:val="0"/>
            <w:vAlign w:val="center"/>
          </w:tcPr>
          <w:p>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（和发送本报名登记表的邮箱地址一致）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4109" w:type="dxa"/>
            <w:gridSpan w:val="2"/>
            <w:noWrap w:val="0"/>
            <w:vAlign w:val="center"/>
          </w:tcPr>
          <w:p>
            <w:pPr>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highlight w:val="none"/>
              </w:rPr>
              <w:drawing>
                <wp:inline distT="0" distB="0" distL="114300" distR="114300">
                  <wp:extent cx="1825625" cy="1825625"/>
                  <wp:effectExtent l="0" t="0" r="3175" b="3175"/>
                  <wp:docPr id="1" name="图片 1" descr="标书费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标书费二维码"/>
                          <pic:cNvPicPr>
                            <a:picLocks noChangeAspect="1"/>
                          </pic:cNvPicPr>
                        </pic:nvPicPr>
                        <pic:blipFill>
                          <a:blip r:embed="rId14"/>
                          <a:stretch>
                            <a:fillRect/>
                          </a:stretch>
                        </pic:blipFill>
                        <pic:spPr>
                          <a:xfrm>
                            <a:off x="0" y="0"/>
                            <a:ext cx="1825625" cy="1825625"/>
                          </a:xfrm>
                          <a:prstGeom prst="rect">
                            <a:avLst/>
                          </a:prstGeom>
                          <a:noFill/>
                          <a:ln>
                            <a:noFill/>
                          </a:ln>
                        </pic:spPr>
                      </pic:pic>
                    </a:graphicData>
                  </a:graphic>
                </wp:inline>
              </w:drawing>
            </w:r>
          </w:p>
        </w:tc>
        <w:tc>
          <w:tcPr>
            <w:tcW w:w="4983" w:type="dxa"/>
            <w:gridSpan w:val="2"/>
            <w:noWrap w:val="0"/>
            <w:vAlign w:val="center"/>
          </w:tcPr>
          <w:p>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lang w:eastAsia="zh-CN"/>
              </w:rPr>
              <w:t>（</w:t>
            </w:r>
            <w:r>
              <w:rPr>
                <w:rFonts w:hint="eastAsia" w:asciiTheme="minorEastAsia" w:hAnsiTheme="minorEastAsia" w:eastAsiaTheme="minorEastAsia" w:cstheme="minorEastAsia"/>
                <w:color w:val="auto"/>
                <w:sz w:val="30"/>
                <w:szCs w:val="30"/>
                <w:highlight w:val="none"/>
              </w:rPr>
              <w:t>扫描以上二维码，时间选取开标当天，再选择对应项目。</w:t>
            </w:r>
            <w:r>
              <w:rPr>
                <w:rFonts w:hint="eastAsia" w:asciiTheme="minorEastAsia" w:hAnsiTheme="minorEastAsia" w:eastAsiaTheme="minorEastAsia" w:cstheme="minorEastAsia"/>
                <w:color w:val="auto"/>
                <w:sz w:val="30"/>
                <w:szCs w:val="30"/>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9092" w:type="dxa"/>
            <w:gridSpan w:val="4"/>
            <w:noWrap w:val="0"/>
            <w:vAlign w:val="center"/>
          </w:tcPr>
          <w:p>
            <w:pPr>
              <w:jc w:val="left"/>
              <w:rPr>
                <w:rFonts w:hint="eastAsia" w:asciiTheme="minorEastAsia" w:hAnsiTheme="minorEastAsia" w:eastAsiaTheme="minorEastAsia" w:cstheme="minorEastAsia"/>
                <w:color w:val="auto"/>
                <w:sz w:val="30"/>
                <w:szCs w:val="30"/>
                <w:highlight w:val="none"/>
                <w:lang w:eastAsia="zh-CN"/>
              </w:rPr>
            </w:pPr>
            <w:r>
              <w:rPr>
                <w:rFonts w:hint="eastAsia" w:asciiTheme="minorEastAsia" w:hAnsiTheme="minorEastAsia" w:eastAsiaTheme="minorEastAsia" w:cstheme="minorEastAsia"/>
                <w:color w:val="auto"/>
                <w:sz w:val="30"/>
                <w:szCs w:val="30"/>
                <w:highlight w:val="none"/>
              </w:rPr>
              <w:t>购本项目竞争性磋商文件</w:t>
            </w:r>
            <w:r>
              <w:rPr>
                <w:rFonts w:hint="eastAsia" w:asciiTheme="minorEastAsia" w:hAnsiTheme="minorEastAsia" w:eastAsiaTheme="minorEastAsia" w:cstheme="minorEastAsia"/>
                <w:color w:val="auto"/>
                <w:sz w:val="30"/>
                <w:szCs w:val="30"/>
                <w:highlight w:val="none"/>
                <w:u w:val="single"/>
              </w:rPr>
              <w:t xml:space="preserve">  1 </w:t>
            </w:r>
            <w:r>
              <w:rPr>
                <w:rFonts w:hint="eastAsia" w:asciiTheme="minorEastAsia" w:hAnsiTheme="minorEastAsia" w:eastAsiaTheme="minorEastAsia" w:cstheme="minorEastAsia"/>
                <w:color w:val="auto"/>
                <w:sz w:val="30"/>
                <w:szCs w:val="30"/>
                <w:highlight w:val="none"/>
              </w:rPr>
              <w:t>份</w:t>
            </w:r>
            <w:r>
              <w:rPr>
                <w:rFonts w:hint="eastAsia" w:asciiTheme="minorEastAsia" w:hAnsiTheme="minorEastAsia" w:eastAsiaTheme="minorEastAsia" w:cstheme="minorEastAsia"/>
                <w:color w:val="auto"/>
                <w:sz w:val="30"/>
                <w:szCs w:val="30"/>
                <w:highlight w:val="none"/>
                <w:lang w:eastAsia="zh-CN"/>
              </w:rPr>
              <w:t>。</w:t>
            </w:r>
          </w:p>
        </w:tc>
      </w:tr>
    </w:tbl>
    <w:p>
      <w:pPr>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color w:val="auto"/>
          <w:sz w:val="24"/>
          <w:highlight w:val="none"/>
        </w:rPr>
      </w:pPr>
    </w:p>
    <w:p>
      <w:pPr>
        <w:kinsoku/>
        <w:wordWrap/>
        <w:overflowPunct/>
        <w:topLinePunct w:val="0"/>
        <w:autoSpaceDE/>
        <w:autoSpaceDN/>
        <w:bidi w:val="0"/>
        <w:snapToGrid/>
        <w:spacing w:line="360" w:lineRule="auto"/>
        <w:jc w:val="both"/>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发售人：</w:t>
      </w:r>
      <w:r>
        <w:rPr>
          <w:rFonts w:hint="eastAsia" w:asciiTheme="minorEastAsia" w:hAnsiTheme="minorEastAsia" w:eastAsiaTheme="minorEastAsia" w:cstheme="minorEastAsia"/>
          <w:bCs/>
          <w:color w:val="auto"/>
          <w:sz w:val="24"/>
          <w:highlight w:val="none"/>
        </w:rPr>
        <w:t>重庆招标采购（集团）有限责任公司</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 xml:space="preserve">     日期：</w:t>
      </w:r>
    </w:p>
    <w:p>
      <w:pPr>
        <w:rPr>
          <w:rFonts w:hint="default" w:eastAsiaTheme="minorEastAsia"/>
          <w:lang w:val="en-US" w:eastAsia="zh-CN"/>
        </w:rPr>
      </w:pPr>
    </w:p>
    <w:p>
      <w:pPr>
        <w:pStyle w:val="2"/>
        <w:kinsoku/>
        <w:wordWrap/>
        <w:overflowPunct/>
        <w:topLinePunct w:val="0"/>
        <w:autoSpaceDE/>
        <w:autoSpaceDN/>
        <w:bidi w:val="0"/>
        <w:snapToGrid/>
        <w:spacing w:after="0" w:line="360" w:lineRule="auto"/>
        <w:textAlignment w:val="auto"/>
        <w:rPr>
          <w:rFonts w:hint="eastAsia" w:asciiTheme="minorEastAsia" w:hAnsiTheme="minorEastAsia" w:eastAsiaTheme="minorEastAsia" w:cstheme="minorEastAsia"/>
          <w:color w:val="auto"/>
          <w:highlight w:val="none"/>
        </w:rPr>
        <w:sectPr>
          <w:pgSz w:w="11907" w:h="16840"/>
          <w:pgMar w:top="1440" w:right="1247" w:bottom="1440" w:left="1814" w:header="964" w:footer="992" w:gutter="0"/>
          <w:pgNumType w:fmt="numberInDash"/>
          <w:cols w:space="0" w:num="1"/>
          <w:rtlGutter w:val="0"/>
          <w:docGrid w:linePitch="381" w:charSpace="0"/>
        </w:sectPr>
      </w:pPr>
    </w:p>
    <w:p>
      <w:pPr>
        <w:pStyle w:val="4"/>
        <w:kinsoku/>
        <w:wordWrap/>
        <w:overflowPunct/>
        <w:topLinePunct w:val="0"/>
        <w:autoSpaceDE/>
        <w:autoSpaceDN/>
        <w:bidi w:val="0"/>
        <w:adjustRightInd w:val="0"/>
        <w:snapToGrid/>
        <w:spacing w:before="0" w:after="0" w:line="360" w:lineRule="auto"/>
        <w:jc w:val="center"/>
        <w:textAlignment w:val="auto"/>
        <w:rPr>
          <w:rFonts w:hint="eastAsia" w:asciiTheme="minorEastAsia" w:hAnsiTheme="minorEastAsia" w:eastAsiaTheme="minorEastAsia" w:cstheme="minorEastAsia"/>
          <w:b w:val="0"/>
          <w:color w:val="auto"/>
          <w:sz w:val="36"/>
          <w:szCs w:val="36"/>
          <w:highlight w:val="none"/>
        </w:rPr>
      </w:pPr>
      <w:bookmarkStart w:id="44" w:name="_Toc76462324"/>
      <w:bookmarkStart w:id="45" w:name="_Toc26662"/>
      <w:bookmarkStart w:id="46" w:name="_Toc125896804"/>
      <w:bookmarkStart w:id="47" w:name="_Toc106030878"/>
      <w:r>
        <w:rPr>
          <w:rFonts w:hint="eastAsia" w:asciiTheme="minorEastAsia" w:hAnsiTheme="minorEastAsia" w:eastAsiaTheme="minorEastAsia" w:cstheme="minorEastAsia"/>
          <w:b w:val="0"/>
          <w:color w:val="auto"/>
          <w:sz w:val="36"/>
          <w:szCs w:val="36"/>
          <w:highlight w:val="none"/>
        </w:rPr>
        <w:t>第二篇  项目服务需求</w:t>
      </w:r>
      <w:bookmarkEnd w:id="44"/>
      <w:bookmarkEnd w:id="45"/>
      <w:bookmarkEnd w:id="46"/>
      <w:bookmarkEnd w:id="47"/>
    </w:p>
    <w:p>
      <w:pPr>
        <w:pStyle w:val="4"/>
        <w:kinsoku/>
        <w:wordWrap/>
        <w:overflowPunct/>
        <w:topLinePunct w:val="0"/>
        <w:autoSpaceDE/>
        <w:autoSpaceDN/>
        <w:bidi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highlight w:val="none"/>
        </w:rPr>
      </w:pPr>
      <w:bookmarkStart w:id="48" w:name="_Toc125896805"/>
      <w:bookmarkStart w:id="49" w:name="_Toc106030879"/>
      <w:bookmarkStart w:id="50" w:name="_Toc12789058"/>
      <w:r>
        <w:rPr>
          <w:rFonts w:hint="eastAsia" w:asciiTheme="minorEastAsia" w:hAnsiTheme="minorEastAsia" w:eastAsiaTheme="minorEastAsia" w:cstheme="minorEastAsia"/>
          <w:color w:val="auto"/>
          <w:sz w:val="24"/>
          <w:szCs w:val="24"/>
          <w:highlight w:val="none"/>
          <w:lang w:val="en-US" w:eastAsia="zh-CN"/>
        </w:rPr>
        <w:t>以下服务</w:t>
      </w:r>
      <w:r>
        <w:rPr>
          <w:rFonts w:hint="eastAsia" w:asciiTheme="minorEastAsia" w:hAnsiTheme="minorEastAsia" w:eastAsiaTheme="minorEastAsia" w:cstheme="minorEastAsia"/>
          <w:color w:val="auto"/>
          <w:sz w:val="24"/>
          <w:szCs w:val="24"/>
          <w:highlight w:val="none"/>
        </w:rPr>
        <w:t>需求为符合性审查中的实质性要求，响应文件若</w:t>
      </w:r>
      <w:r>
        <w:rPr>
          <w:rFonts w:hint="eastAsia" w:asciiTheme="minorEastAsia" w:hAnsiTheme="minorEastAsia" w:eastAsiaTheme="minorEastAsia" w:cstheme="minorEastAsia"/>
          <w:color w:val="auto"/>
          <w:sz w:val="24"/>
          <w:szCs w:val="24"/>
          <w:highlight w:val="none"/>
          <w:lang w:val="en-US" w:eastAsia="zh-CN"/>
        </w:rPr>
        <w:t>有一条</w:t>
      </w:r>
      <w:r>
        <w:rPr>
          <w:rFonts w:hint="eastAsia" w:asciiTheme="minorEastAsia" w:hAnsiTheme="minorEastAsia" w:eastAsiaTheme="minorEastAsia" w:cstheme="minorEastAsia"/>
          <w:color w:val="auto"/>
          <w:sz w:val="24"/>
          <w:szCs w:val="24"/>
          <w:highlight w:val="none"/>
        </w:rPr>
        <w:t>不满足</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按无效响应处理。</w:t>
      </w:r>
    </w:p>
    <w:p>
      <w:pPr>
        <w:pStyle w:val="4"/>
        <w:kinsoku/>
        <w:wordWrap/>
        <w:overflowPunct/>
        <w:topLinePunct w:val="0"/>
        <w:autoSpaceDE/>
        <w:autoSpaceDN/>
        <w:bidi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一、项目基本概况介绍</w:t>
      </w:r>
      <w:bookmarkEnd w:id="48"/>
      <w:bookmarkEnd w:id="49"/>
    </w:p>
    <w:tbl>
      <w:tblPr>
        <w:tblStyle w:val="57"/>
        <w:tblW w:w="813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6"/>
        <w:gridCol w:w="1574"/>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508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项目名称</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标的名称</w:t>
            </w:r>
            <w:r>
              <w:rPr>
                <w:rFonts w:hint="eastAsia" w:asciiTheme="minorEastAsia" w:hAnsiTheme="minorEastAsia" w:eastAsiaTheme="minorEastAsia" w:cstheme="minorEastAsia"/>
                <w:color w:val="auto"/>
                <w:sz w:val="21"/>
                <w:szCs w:val="21"/>
                <w:highlight w:val="none"/>
                <w:lang w:eastAsia="zh-CN"/>
              </w:rPr>
              <w:t>）</w:t>
            </w:r>
          </w:p>
        </w:tc>
        <w:tc>
          <w:tcPr>
            <w:tcW w:w="157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数量/单位</w:t>
            </w:r>
          </w:p>
        </w:tc>
        <w:tc>
          <w:tcPr>
            <w:tcW w:w="14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508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《重庆市工会条例（修订）》立法起草服务</w:t>
            </w:r>
          </w:p>
        </w:tc>
        <w:tc>
          <w:tcPr>
            <w:tcW w:w="157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1项</w:t>
            </w:r>
          </w:p>
        </w:tc>
        <w:tc>
          <w:tcPr>
            <w:tcW w:w="14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p>
        </w:tc>
      </w:tr>
    </w:tbl>
    <w:p>
      <w:pPr>
        <w:pStyle w:val="4"/>
        <w:kinsoku/>
        <w:wordWrap/>
        <w:overflowPunct/>
        <w:topLinePunct w:val="0"/>
        <w:autoSpaceDE/>
        <w:autoSpaceDN/>
        <w:bidi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highlight w:val="none"/>
        </w:rPr>
      </w:pPr>
      <w:bookmarkStart w:id="51" w:name="_Toc106030880"/>
      <w:bookmarkStart w:id="52" w:name="_Toc125896806"/>
      <w:r>
        <w:rPr>
          <w:rFonts w:hint="eastAsia" w:asciiTheme="minorEastAsia" w:hAnsiTheme="minorEastAsia" w:eastAsiaTheme="minorEastAsia" w:cstheme="minorEastAsia"/>
          <w:color w:val="auto"/>
          <w:sz w:val="24"/>
          <w:highlight w:val="none"/>
        </w:rPr>
        <w:t>二、服务内容</w:t>
      </w:r>
      <w:bookmarkEnd w:id="51"/>
      <w:r>
        <w:rPr>
          <w:rFonts w:hint="eastAsia" w:asciiTheme="minorEastAsia" w:hAnsiTheme="minorEastAsia" w:eastAsiaTheme="minorEastAsia" w:cstheme="minorEastAsia"/>
          <w:color w:val="auto"/>
          <w:sz w:val="24"/>
          <w:highlight w:val="none"/>
        </w:rPr>
        <w:t>及成果</w:t>
      </w:r>
      <w:bookmarkEnd w:id="52"/>
    </w:p>
    <w:p>
      <w:pPr>
        <w:kinsoku/>
        <w:wordWrap/>
        <w:overflowPunct/>
        <w:topLinePunct w:val="0"/>
        <w:autoSpaceDE/>
        <w:autoSpaceDN/>
        <w:bidi w:val="0"/>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深入贯彻落实</w:t>
      </w:r>
      <w:r>
        <w:rPr>
          <w:rFonts w:hint="eastAsia" w:asciiTheme="minorEastAsia" w:hAnsiTheme="minorEastAsia" w:eastAsiaTheme="minorEastAsia" w:cstheme="minorEastAsia"/>
          <w:color w:val="auto"/>
          <w:sz w:val="24"/>
          <w:szCs w:val="24"/>
          <w:highlight w:val="none"/>
          <w:lang w:eastAsia="zh-CN"/>
        </w:rPr>
        <w:t>全国人大常委会工会法执法检查组</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重庆</w:t>
      </w:r>
      <w:r>
        <w:rPr>
          <w:rFonts w:hint="eastAsia" w:asciiTheme="minorEastAsia" w:hAnsiTheme="minorEastAsia" w:eastAsiaTheme="minorEastAsia" w:cstheme="minorEastAsia"/>
          <w:color w:val="auto"/>
          <w:sz w:val="24"/>
          <w:szCs w:val="24"/>
          <w:highlight w:val="none"/>
        </w:rPr>
        <w:t>市人大常委会</w:t>
      </w:r>
      <w:r>
        <w:rPr>
          <w:rFonts w:hint="eastAsia" w:asciiTheme="minorEastAsia" w:hAnsiTheme="minorEastAsia" w:eastAsiaTheme="minorEastAsia" w:cstheme="minorEastAsia"/>
          <w:color w:val="auto"/>
          <w:sz w:val="24"/>
          <w:szCs w:val="24"/>
          <w:highlight w:val="none"/>
          <w:lang w:eastAsia="zh-CN"/>
        </w:rPr>
        <w:t>工会“一法一条例”</w:t>
      </w:r>
      <w:r>
        <w:rPr>
          <w:rFonts w:hint="eastAsia" w:asciiTheme="minorEastAsia" w:hAnsiTheme="minorEastAsia" w:eastAsiaTheme="minorEastAsia" w:cstheme="minorEastAsia"/>
          <w:color w:val="auto"/>
          <w:sz w:val="24"/>
          <w:szCs w:val="24"/>
          <w:highlight w:val="none"/>
        </w:rPr>
        <w:t>执法检查组关于工会工作的相关要求，根据国家相关法律法规和政策文件，结合重庆市工会工作实际，开展《重庆市工会条例（修订）》（以下简称《条例》）的立法调研、文本起草、研究论证等立法起草相关工作。具体包括：</w:t>
      </w:r>
    </w:p>
    <w:p>
      <w:pPr>
        <w:kinsoku/>
        <w:wordWrap/>
        <w:overflowPunct/>
        <w:topLinePunct w:val="0"/>
        <w:autoSpaceDE/>
        <w:autoSpaceDN/>
        <w:bidi w:val="0"/>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1.搜集整理国内相关立法资料，结合重庆市工会工作实际，在深入研究、分析和论证的基础上，明确立法方向、思路和框架。</w:t>
      </w:r>
    </w:p>
    <w:p>
      <w:pPr>
        <w:kinsoku/>
        <w:wordWrap/>
        <w:overflowPunct/>
        <w:topLinePunct w:val="0"/>
        <w:autoSpaceDE/>
        <w:autoSpaceDN/>
        <w:bidi w:val="0"/>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2.结合调研、研究、论证情况，起草形成资料汇编、立法调研报告、立法论证材料（含专题报告、征求意见汇总梳理表）、《条例》修订送审稿（含条文及理由）及起草说明等立法材料。</w:t>
      </w:r>
    </w:p>
    <w:p>
      <w:pPr>
        <w:kinsoku/>
        <w:wordWrap/>
        <w:overflowPunct/>
        <w:topLinePunct w:val="0"/>
        <w:autoSpaceDE/>
        <w:autoSpaceDN/>
        <w:bidi w:val="0"/>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根据市人大常委会、市政府的立法工作计划安排，在采购人的指导下，科学、合理制定部门立法起草工作计划，并视情组织开展市内外实地考察、调研等活动，组织召开立法研讨会、座谈会、论证会、改稿会等会议。</w:t>
      </w:r>
    </w:p>
    <w:p>
      <w:pPr>
        <w:kinsoku/>
        <w:wordWrap/>
        <w:overflowPunct/>
        <w:topLinePunct w:val="0"/>
        <w:autoSpaceDE/>
        <w:autoSpaceDN/>
        <w:bidi w:val="0"/>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4.协助采购人完成《条例》立法文本的网络舆情风险评估、社会稳定风险评估、社会主义核心价值观审查、公平竞争审查工作，协助开展立法起草过程中涉及的工作汇报、组织协调、意见征求、材料修改等工作。</w:t>
      </w:r>
    </w:p>
    <w:p>
      <w:pPr>
        <w:kinsoku/>
        <w:wordWrap/>
        <w:overflowPunct/>
        <w:topLinePunct w:val="0"/>
        <w:autoSpaceDE/>
        <w:autoSpaceDN/>
        <w:bidi w:val="0"/>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5.提供《条例》修订立法工作所需的其他必要服务。</w:t>
      </w:r>
    </w:p>
    <w:p>
      <w:pPr>
        <w:pStyle w:val="4"/>
        <w:kinsoku/>
        <w:wordWrap/>
        <w:overflowPunct/>
        <w:topLinePunct w:val="0"/>
        <w:autoSpaceDE/>
        <w:autoSpaceDN/>
        <w:bidi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53" w:name="_Toc313536013"/>
      <w:bookmarkStart w:id="54" w:name="_Toc344475116"/>
      <w:bookmarkStart w:id="55" w:name="_Toc125896807"/>
      <w:bookmarkStart w:id="56" w:name="_Toc76462326"/>
      <w:bookmarkStart w:id="57" w:name="_Toc106030881"/>
      <w:r>
        <w:rPr>
          <w:rFonts w:hint="eastAsia" w:asciiTheme="minorEastAsia" w:hAnsiTheme="minorEastAsia" w:eastAsiaTheme="minorEastAsia" w:cstheme="minorEastAsia"/>
          <w:color w:val="auto"/>
          <w:sz w:val="24"/>
          <w:szCs w:val="24"/>
          <w:highlight w:val="none"/>
        </w:rPr>
        <w:t>三、服务质量</w:t>
      </w:r>
      <w:bookmarkEnd w:id="53"/>
      <w:bookmarkEnd w:id="54"/>
      <w:r>
        <w:rPr>
          <w:rFonts w:hint="eastAsia" w:asciiTheme="minorEastAsia" w:hAnsiTheme="minorEastAsia" w:eastAsiaTheme="minorEastAsia" w:cstheme="minorEastAsia"/>
          <w:color w:val="auto"/>
          <w:sz w:val="24"/>
          <w:szCs w:val="24"/>
          <w:highlight w:val="none"/>
        </w:rPr>
        <w:t>需求</w:t>
      </w:r>
      <w:bookmarkEnd w:id="55"/>
      <w:bookmarkEnd w:id="56"/>
      <w:bookmarkEnd w:id="57"/>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（一）主要成果质量要求</w:t>
      </w:r>
    </w:p>
    <w:p>
      <w:pPr>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1.资料汇编。负责将搜集整理的中央及地方的法律、法规、规章及规范性文件，重要理论文献，执法司法案例，实践经验做法，实证研究数据等汇编成册。</w:t>
      </w:r>
    </w:p>
    <w:p>
      <w:pPr>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立法调研报告。起草的立法调研报告应当说明《条例》实施现状及存在问题、外地经验做法、立法制度设计理由和依据等；调研报告内容应当详实充分，查找问题应当准确全面，立法制度设计应当清晰、完备、协调、合法，理由和依据应当严谨、充分、可靠。</w:t>
      </w:r>
    </w:p>
    <w:p>
      <w:pPr>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立法论证材料。立法论证资料包括征求意见情况、听证会情况、专家论证情况以及理论依据等立法资料，要求完整、准确、符合相关格式要求；对社会关注度高、矛盾争议大的问题进行的专项研究，根据需要形成专题报告，要求论述充分，论据严谨、准确，结论鲜明、合理、可靠；针对立法起草过程中征求的各方意见建议，梳理形成征求意见汇总梳理表，并说明采纳与否及相应理由。</w:t>
      </w:r>
    </w:p>
    <w:p>
      <w:pPr>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4.《条例》修订送审稿（含条文及理由）。起草的《条例》修订送审稿（含条文及理由）应达到如下标准：</w:t>
      </w:r>
      <w:r>
        <w:rPr>
          <w:rFonts w:hint="eastAsia" w:asciiTheme="minorEastAsia" w:hAnsiTheme="minorEastAsia" w:eastAsiaTheme="minorEastAsia" w:cstheme="minorEastAsia"/>
          <w:b/>
          <w:color w:val="auto"/>
          <w:sz w:val="24"/>
          <w:szCs w:val="24"/>
          <w:highlight w:val="none"/>
        </w:rPr>
        <w:t>一是</w:t>
      </w:r>
      <w:r>
        <w:rPr>
          <w:rFonts w:hint="eastAsia" w:asciiTheme="minorEastAsia" w:hAnsiTheme="minorEastAsia" w:eastAsiaTheme="minorEastAsia" w:cstheme="minorEastAsia"/>
          <w:color w:val="auto"/>
          <w:sz w:val="24"/>
          <w:szCs w:val="24"/>
          <w:highlight w:val="none"/>
        </w:rPr>
        <w:t>体现政策指引；</w:t>
      </w:r>
      <w:r>
        <w:rPr>
          <w:rFonts w:hint="eastAsia" w:asciiTheme="minorEastAsia" w:hAnsiTheme="minorEastAsia" w:eastAsiaTheme="minorEastAsia" w:cstheme="minorEastAsia"/>
          <w:b/>
          <w:color w:val="auto"/>
          <w:sz w:val="24"/>
          <w:szCs w:val="24"/>
          <w:highlight w:val="none"/>
        </w:rPr>
        <w:t>二是</w:t>
      </w:r>
      <w:r>
        <w:rPr>
          <w:rFonts w:hint="eastAsia" w:asciiTheme="minorEastAsia" w:hAnsiTheme="minorEastAsia" w:eastAsiaTheme="minorEastAsia" w:cstheme="minorEastAsia"/>
          <w:color w:val="auto"/>
          <w:sz w:val="24"/>
          <w:szCs w:val="24"/>
          <w:highlight w:val="none"/>
        </w:rPr>
        <w:t>突出问题导向；</w:t>
      </w:r>
      <w:r>
        <w:rPr>
          <w:rFonts w:hint="eastAsia" w:asciiTheme="minorEastAsia" w:hAnsiTheme="minorEastAsia" w:eastAsiaTheme="minorEastAsia" w:cstheme="minorEastAsia"/>
          <w:b/>
          <w:color w:val="auto"/>
          <w:sz w:val="24"/>
          <w:szCs w:val="24"/>
          <w:highlight w:val="none"/>
        </w:rPr>
        <w:t>三是</w:t>
      </w:r>
      <w:r>
        <w:rPr>
          <w:rFonts w:hint="eastAsia" w:asciiTheme="minorEastAsia" w:hAnsiTheme="minorEastAsia" w:eastAsiaTheme="minorEastAsia" w:cstheme="minorEastAsia"/>
          <w:color w:val="auto"/>
          <w:sz w:val="24"/>
          <w:szCs w:val="24"/>
          <w:highlight w:val="none"/>
        </w:rPr>
        <w:t>制度设计合理；</w:t>
      </w:r>
      <w:r>
        <w:rPr>
          <w:rFonts w:hint="eastAsia" w:asciiTheme="minorEastAsia" w:hAnsiTheme="minorEastAsia" w:eastAsiaTheme="minorEastAsia" w:cstheme="minorEastAsia"/>
          <w:b/>
          <w:color w:val="auto"/>
          <w:sz w:val="24"/>
          <w:szCs w:val="24"/>
          <w:highlight w:val="none"/>
        </w:rPr>
        <w:t>四是</w:t>
      </w:r>
      <w:r>
        <w:rPr>
          <w:rFonts w:hint="eastAsia" w:asciiTheme="minorEastAsia" w:hAnsiTheme="minorEastAsia" w:eastAsiaTheme="minorEastAsia" w:cstheme="minorEastAsia"/>
          <w:color w:val="auto"/>
          <w:sz w:val="24"/>
          <w:szCs w:val="24"/>
          <w:highlight w:val="none"/>
        </w:rPr>
        <w:t>内容合法合规；</w:t>
      </w:r>
      <w:r>
        <w:rPr>
          <w:rFonts w:hint="eastAsia" w:asciiTheme="minorEastAsia" w:hAnsiTheme="minorEastAsia" w:eastAsiaTheme="minorEastAsia" w:cstheme="minorEastAsia"/>
          <w:b/>
          <w:color w:val="auto"/>
          <w:sz w:val="24"/>
          <w:szCs w:val="24"/>
          <w:highlight w:val="none"/>
        </w:rPr>
        <w:t>五是</w:t>
      </w:r>
      <w:r>
        <w:rPr>
          <w:rFonts w:hint="eastAsia" w:asciiTheme="minorEastAsia" w:hAnsiTheme="minorEastAsia" w:eastAsiaTheme="minorEastAsia" w:cstheme="minorEastAsia"/>
          <w:color w:val="auto"/>
          <w:sz w:val="24"/>
          <w:szCs w:val="24"/>
          <w:highlight w:val="none"/>
        </w:rPr>
        <w:t>具有地方特色；</w:t>
      </w:r>
      <w:r>
        <w:rPr>
          <w:rFonts w:hint="eastAsia" w:asciiTheme="minorEastAsia" w:hAnsiTheme="minorEastAsia" w:eastAsiaTheme="minorEastAsia" w:cstheme="minorEastAsia"/>
          <w:b/>
          <w:color w:val="auto"/>
          <w:sz w:val="24"/>
          <w:szCs w:val="24"/>
          <w:highlight w:val="none"/>
        </w:rPr>
        <w:t>六是</w:t>
      </w:r>
      <w:r>
        <w:rPr>
          <w:rFonts w:hint="eastAsia" w:asciiTheme="minorEastAsia" w:hAnsiTheme="minorEastAsia" w:eastAsiaTheme="minorEastAsia" w:cstheme="minorEastAsia"/>
          <w:color w:val="auto"/>
          <w:sz w:val="24"/>
          <w:szCs w:val="24"/>
          <w:highlight w:val="none"/>
        </w:rPr>
        <w:t>语言表述规范。</w:t>
      </w:r>
    </w:p>
    <w:p>
      <w:pPr>
        <w:pStyle w:val="23"/>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5.起草说明。起草说明应当从多层面清晰、准确阐述《条例》修订的必要性和重要性，说明《条例》修订过程、立法依据、立法文本的主要内容以及立法总体思路，并对立法过程中涉及的疑难问题、重点亮点制度设计以及其他需特别说明的情况进行详细阐释、说明。</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（二）工作要求</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在项目实施过程中，需对项目进行规范化管理，要有项目管理组织、管理计划和工作进度计划，确保立法质量。供应商应成立相应的项目组，并指定一名项目组组长，主要负责人力调度、项目总体计划、项目调度、与采购人协调对接等工作；供应商项目组核心成员应能及时到现场参加立法预备项目相关的座谈会、论证会、调研会、改稿会等会议、活动；项目总体计划中要明确实地调研、文献研究、意见征求、专家论证、提交研究成果、项目验收的时间节点要求，任务进度要按周推进，应定期与采购人沟通对接立法进展情况。</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2.供应商要深入开展研究。学习外省市立法中的先进经验，开展实地调研，充分征求社会各界意见建议，形成对立法预备项目具有操作性和可行性的措施建议和相关研究成果。</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供应商应加强本项目资料的保密管控。针对本项目建立项目纸质、声音、影像、图像、电子等各种形态资料及其载体的保密管控措施；加强本项目在工作场所使用设备，特别是笔记本电脑、移动存储介质等便携设备使用的保密管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4.未经采购人同意，成交供应商严禁将本项目转包和分包。</w:t>
      </w:r>
    </w:p>
    <w:p>
      <w:pPr>
        <w:pStyle w:val="4"/>
        <w:kinsoku/>
        <w:wordWrap/>
        <w:overflowPunct/>
        <w:topLinePunct w:val="0"/>
        <w:autoSpaceDE/>
        <w:autoSpaceDN/>
        <w:bidi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58" w:name="_Toc125896808"/>
      <w:r>
        <w:rPr>
          <w:rFonts w:hint="eastAsia" w:asciiTheme="minorEastAsia" w:hAnsiTheme="minorEastAsia" w:eastAsiaTheme="minorEastAsia" w:cstheme="minorEastAsia"/>
          <w:color w:val="auto"/>
          <w:sz w:val="24"/>
          <w:szCs w:val="24"/>
          <w:highlight w:val="none"/>
        </w:rPr>
        <w:t>四、项目组要求</w:t>
      </w:r>
      <w:bookmarkEnd w:id="58"/>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国内科研院校（所）、咨询机构、律师事务所及其他经审查符合下列条件的组织或机构：</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1.拥有较好的研究团队和较强的综合研究实力；</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2.具有相关工作经验，研究团队与本项目需求契合，并在行业内具有较好信誉。</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sectPr>
          <w:footerReference r:id="rId8" w:type="default"/>
          <w:footerReference r:id="rId9" w:type="even"/>
          <w:pgSz w:w="11907" w:h="16840"/>
          <w:pgMar w:top="1440" w:right="1247" w:bottom="1440" w:left="1814" w:header="964" w:footer="992" w:gutter="0"/>
          <w:pgNumType w:fmt="numberInDash"/>
          <w:cols w:space="0" w:num="1"/>
          <w:rtlGutter w:val="0"/>
          <w:docGrid w:linePitch="312" w:charSpace="0"/>
        </w:sectPr>
      </w:pPr>
    </w:p>
    <w:p>
      <w:pPr>
        <w:pStyle w:val="4"/>
        <w:kinsoku/>
        <w:wordWrap/>
        <w:overflowPunct/>
        <w:topLinePunct w:val="0"/>
        <w:autoSpaceDE/>
        <w:autoSpaceDN/>
        <w:bidi w:val="0"/>
        <w:adjustRightInd w:val="0"/>
        <w:snapToGrid/>
        <w:spacing w:before="0" w:after="0" w:line="360" w:lineRule="auto"/>
        <w:jc w:val="center"/>
        <w:textAlignment w:val="auto"/>
        <w:rPr>
          <w:rFonts w:hint="eastAsia" w:asciiTheme="minorEastAsia" w:hAnsiTheme="minorEastAsia" w:eastAsiaTheme="minorEastAsia" w:cstheme="minorEastAsia"/>
          <w:b w:val="0"/>
          <w:color w:val="auto"/>
          <w:sz w:val="36"/>
          <w:szCs w:val="36"/>
          <w:highlight w:val="none"/>
        </w:rPr>
      </w:pPr>
      <w:bookmarkStart w:id="59" w:name="_Toc125896809"/>
      <w:bookmarkStart w:id="60" w:name="_Toc76462327"/>
      <w:bookmarkStart w:id="61" w:name="_Toc106030882"/>
      <w:bookmarkStart w:id="62" w:name="_Toc24567"/>
      <w:r>
        <w:rPr>
          <w:rFonts w:hint="eastAsia" w:asciiTheme="minorEastAsia" w:hAnsiTheme="minorEastAsia" w:eastAsiaTheme="minorEastAsia" w:cstheme="minorEastAsia"/>
          <w:b w:val="0"/>
          <w:color w:val="auto"/>
          <w:sz w:val="36"/>
          <w:szCs w:val="36"/>
          <w:highlight w:val="none"/>
        </w:rPr>
        <w:t xml:space="preserve">第三篇  </w:t>
      </w:r>
      <w:bookmarkEnd w:id="50"/>
      <w:r>
        <w:rPr>
          <w:rFonts w:hint="eastAsia" w:asciiTheme="minorEastAsia" w:hAnsiTheme="minorEastAsia" w:eastAsiaTheme="minorEastAsia" w:cstheme="minorEastAsia"/>
          <w:b w:val="0"/>
          <w:color w:val="auto"/>
          <w:sz w:val="36"/>
          <w:szCs w:val="36"/>
          <w:highlight w:val="none"/>
        </w:rPr>
        <w:t>项目商务需求</w:t>
      </w:r>
      <w:bookmarkEnd w:id="59"/>
      <w:bookmarkEnd w:id="60"/>
      <w:bookmarkEnd w:id="61"/>
      <w:bookmarkEnd w:id="62"/>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63" w:name="_Toc11787"/>
      <w:bookmarkStart w:id="64" w:name="_Toc106030883"/>
      <w:bookmarkStart w:id="65" w:name="_Toc125896810"/>
      <w:bookmarkStart w:id="66" w:name="_Toc344475120"/>
      <w:bookmarkStart w:id="67" w:name="_Toc76462328"/>
      <w:r>
        <w:rPr>
          <w:rFonts w:hint="eastAsia" w:asciiTheme="minorEastAsia" w:hAnsiTheme="minorEastAsia" w:eastAsiaTheme="minorEastAsia" w:cstheme="minorEastAsia"/>
          <w:color w:val="auto"/>
          <w:sz w:val="24"/>
          <w:szCs w:val="24"/>
          <w:highlight w:val="none"/>
          <w:lang w:val="en-US" w:eastAsia="zh-CN"/>
        </w:rPr>
        <w:t>以下</w:t>
      </w:r>
      <w:r>
        <w:rPr>
          <w:rFonts w:hint="eastAsia" w:asciiTheme="minorEastAsia" w:hAnsiTheme="minorEastAsia" w:eastAsiaTheme="minorEastAsia" w:cstheme="minorEastAsia"/>
          <w:color w:val="auto"/>
          <w:sz w:val="24"/>
          <w:szCs w:val="24"/>
          <w:highlight w:val="none"/>
        </w:rPr>
        <w:t>商务需求为符合性审查中的实质性要求，响应文件若</w:t>
      </w:r>
      <w:r>
        <w:rPr>
          <w:rFonts w:hint="eastAsia" w:asciiTheme="minorEastAsia" w:hAnsiTheme="minorEastAsia" w:eastAsiaTheme="minorEastAsia" w:cstheme="minorEastAsia"/>
          <w:color w:val="auto"/>
          <w:sz w:val="24"/>
          <w:szCs w:val="24"/>
          <w:highlight w:val="none"/>
          <w:lang w:val="en-US" w:eastAsia="zh-CN"/>
        </w:rPr>
        <w:t>有一条</w:t>
      </w:r>
      <w:r>
        <w:rPr>
          <w:rFonts w:hint="eastAsia" w:asciiTheme="minorEastAsia" w:hAnsiTheme="minorEastAsia" w:eastAsiaTheme="minorEastAsia" w:cstheme="minorEastAsia"/>
          <w:color w:val="auto"/>
          <w:sz w:val="24"/>
          <w:szCs w:val="24"/>
          <w:highlight w:val="none"/>
        </w:rPr>
        <w:t>不满足</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按无效响应处理</w:t>
      </w:r>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一、服务期、地点、验收方式</w:t>
      </w:r>
      <w:bookmarkEnd w:id="63"/>
      <w:bookmarkEnd w:id="64"/>
      <w:bookmarkEnd w:id="65"/>
      <w:bookmarkEnd w:id="66"/>
      <w:bookmarkEnd w:id="67"/>
      <w:r>
        <w:rPr>
          <w:rFonts w:hint="eastAsia" w:asciiTheme="minorEastAsia" w:hAnsiTheme="minorEastAsia" w:eastAsiaTheme="minorEastAsia" w:cstheme="minorEastAsia"/>
          <w:color w:val="auto"/>
          <w:sz w:val="24"/>
          <w:szCs w:val="24"/>
          <w:highlight w:val="none"/>
        </w:rPr>
        <w:t>及验收标准要求</w:t>
      </w:r>
    </w:p>
    <w:p>
      <w:pPr>
        <w:pStyle w:val="34"/>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（一）服务期：签订合同之日起至《重庆市工会条例（修订）》送审稿报送市人大审查之日止。</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（二）服务地点：采购人指定地点。</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（三）验收方式：服务全部完成后由采购人组织最终验收。</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（四）验收标准要求：</w:t>
      </w:r>
    </w:p>
    <w:tbl>
      <w:tblPr>
        <w:tblStyle w:val="57"/>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2462"/>
        <w:gridCol w:w="6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469" w:type="dxa"/>
            <w:vAlign w:val="center"/>
          </w:tcPr>
          <w:p>
            <w:pPr>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2462" w:type="dxa"/>
            <w:vAlign w:val="center"/>
          </w:tcPr>
          <w:p>
            <w:pPr>
              <w:pStyle w:val="3"/>
              <w:keepLines w:val="0"/>
              <w:pageBreakBefore w:val="0"/>
              <w:widowControl w:val="0"/>
              <w:suppressLineNumbers/>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color w:val="auto"/>
                <w:sz w:val="21"/>
                <w:szCs w:val="21"/>
                <w:highlight w:val="none"/>
              </w:rPr>
            </w:pPr>
            <w:bookmarkStart w:id="68" w:name="_Toc125896811"/>
            <w:r>
              <w:rPr>
                <w:rFonts w:hint="eastAsia" w:asciiTheme="minorEastAsia" w:hAnsiTheme="minorEastAsia" w:eastAsiaTheme="minorEastAsia" w:cstheme="minorEastAsia"/>
                <w:b/>
                <w:color w:val="auto"/>
                <w:sz w:val="21"/>
                <w:szCs w:val="21"/>
                <w:highlight w:val="none"/>
              </w:rPr>
              <w:t>完成时限</w:t>
            </w:r>
            <w:bookmarkEnd w:id="68"/>
          </w:p>
        </w:tc>
        <w:tc>
          <w:tcPr>
            <w:tcW w:w="6326" w:type="dxa"/>
            <w:vAlign w:val="center"/>
          </w:tcPr>
          <w:p>
            <w:pPr>
              <w:pStyle w:val="3"/>
              <w:keepLines w:val="0"/>
              <w:pageBreakBefore w:val="0"/>
              <w:widowControl w:val="0"/>
              <w:suppressLineNumbers/>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color w:val="auto"/>
                <w:sz w:val="21"/>
                <w:szCs w:val="21"/>
                <w:highlight w:val="none"/>
              </w:rPr>
            </w:pPr>
            <w:bookmarkStart w:id="69" w:name="_Toc63224601"/>
            <w:bookmarkStart w:id="70" w:name="_Toc20945659"/>
            <w:bookmarkStart w:id="71" w:name="_Toc125896812"/>
            <w:bookmarkStart w:id="72" w:name="_Toc40805686"/>
            <w:r>
              <w:rPr>
                <w:rFonts w:hint="eastAsia" w:asciiTheme="minorEastAsia" w:hAnsiTheme="minorEastAsia" w:eastAsiaTheme="minorEastAsia" w:cstheme="minorEastAsia"/>
                <w:b/>
                <w:color w:val="auto"/>
                <w:sz w:val="21"/>
                <w:szCs w:val="21"/>
                <w:highlight w:val="none"/>
              </w:rPr>
              <w:t>验收内容及标准</w:t>
            </w:r>
            <w:bookmarkEnd w:id="69"/>
            <w:bookmarkEnd w:id="70"/>
            <w:bookmarkEnd w:id="71"/>
            <w:bookmarkEnd w:id="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4" w:hRule="atLeast"/>
          <w:jc w:val="center"/>
        </w:trPr>
        <w:tc>
          <w:tcPr>
            <w:tcW w:w="469" w:type="dxa"/>
            <w:vAlign w:val="center"/>
          </w:tcPr>
          <w:p>
            <w:pPr>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w:t>
            </w:r>
          </w:p>
        </w:tc>
        <w:tc>
          <w:tcPr>
            <w:tcW w:w="2462" w:type="dxa"/>
            <w:vAlign w:val="center"/>
          </w:tcPr>
          <w:p>
            <w:pPr>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委托合同签订之日起的三个月内</w:t>
            </w:r>
          </w:p>
        </w:tc>
        <w:tc>
          <w:tcPr>
            <w:tcW w:w="6326" w:type="dxa"/>
            <w:vAlign w:val="center"/>
          </w:tcPr>
          <w:p>
            <w:pPr>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制定工作方案，收集有关资料，开展必要的调查调研、研究论证，通过与采购人深入沟通，进行必要的意见征求，明确立法需求，提出立法预备项目的基本立法思路，并形成资料汇编、立法调研报告、立法论证材料、《条例》修订送审稿和起草说明（均为初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1" w:hRule="atLeast"/>
          <w:jc w:val="center"/>
        </w:trPr>
        <w:tc>
          <w:tcPr>
            <w:tcW w:w="469" w:type="dxa"/>
            <w:vAlign w:val="center"/>
          </w:tcPr>
          <w:p>
            <w:pPr>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w:t>
            </w:r>
          </w:p>
        </w:tc>
        <w:tc>
          <w:tcPr>
            <w:tcW w:w="2462" w:type="dxa"/>
            <w:vAlign w:val="center"/>
          </w:tcPr>
          <w:p>
            <w:pPr>
              <w:pStyle w:val="3"/>
              <w:keepLines w:val="0"/>
              <w:pageBreakBefore w:val="0"/>
              <w:widowControl w:val="0"/>
              <w:suppressLineNumbers/>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Cs/>
                <w:color w:val="auto"/>
                <w:sz w:val="21"/>
                <w:szCs w:val="21"/>
                <w:highlight w:val="none"/>
              </w:rPr>
            </w:pPr>
            <w:bookmarkStart w:id="73" w:name="OLE_LINK3"/>
            <w:r>
              <w:rPr>
                <w:rFonts w:hint="eastAsia" w:asciiTheme="minorEastAsia" w:hAnsiTheme="minorEastAsia" w:eastAsiaTheme="minorEastAsia" w:cstheme="minorEastAsia"/>
                <w:bCs/>
                <w:color w:val="auto"/>
                <w:sz w:val="21"/>
                <w:szCs w:val="21"/>
                <w:highlight w:val="none"/>
                <w:lang w:val="en"/>
              </w:rPr>
              <w:t>市人大将《重庆市工会条例》的修订列为立法预备项目</w:t>
            </w:r>
            <w:bookmarkEnd w:id="73"/>
            <w:r>
              <w:rPr>
                <w:rFonts w:hint="eastAsia" w:asciiTheme="minorEastAsia" w:hAnsiTheme="minorEastAsia" w:eastAsiaTheme="minorEastAsia" w:cstheme="minorEastAsia"/>
                <w:bCs/>
                <w:color w:val="auto"/>
                <w:sz w:val="21"/>
                <w:szCs w:val="21"/>
                <w:highlight w:val="none"/>
                <w:lang w:val="en"/>
              </w:rPr>
              <w:t>之前</w:t>
            </w:r>
            <w:r>
              <w:rPr>
                <w:rFonts w:hint="eastAsia" w:asciiTheme="minorEastAsia" w:hAnsiTheme="minorEastAsia" w:eastAsiaTheme="minorEastAsia" w:cstheme="minorEastAsia"/>
                <w:color w:val="auto"/>
                <w:sz w:val="21"/>
                <w:szCs w:val="21"/>
                <w:highlight w:val="none"/>
              </w:rPr>
              <w:t>（以市人大要求的时间为准）</w:t>
            </w:r>
          </w:p>
        </w:tc>
        <w:tc>
          <w:tcPr>
            <w:tcW w:w="6326" w:type="dxa"/>
            <w:vAlign w:val="center"/>
          </w:tcPr>
          <w:p>
            <w:pPr>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采购人的指导下，组织召开立法专题改稿会、专题研讨会、立法意见征求座谈会、专家论证会等会议，并根据收集的修改意见和建议对《条例》修订送审稿等立法材料作进一步修改完善，形成资料汇编、立法调研报告、立法论证材料（含专题报告、征求意见汇总梳理表）、修改前后的条文对照表、《条例》修订送审稿（含条文及理由）和起草说明（均为送审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469" w:type="dxa"/>
            <w:vAlign w:val="center"/>
          </w:tcPr>
          <w:p>
            <w:pPr>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w:t>
            </w:r>
          </w:p>
        </w:tc>
        <w:tc>
          <w:tcPr>
            <w:tcW w:w="2462" w:type="dxa"/>
            <w:vAlign w:val="center"/>
          </w:tcPr>
          <w:p>
            <w:pPr>
              <w:pStyle w:val="3"/>
              <w:keepLines w:val="0"/>
              <w:pageBreakBefore w:val="0"/>
              <w:widowControl w:val="0"/>
              <w:suppressLineNumbers/>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
              </w:rPr>
              <w:t>市人大对《重庆市工会条例》提起审议之前</w:t>
            </w:r>
            <w:r>
              <w:rPr>
                <w:rFonts w:hint="eastAsia" w:asciiTheme="minorEastAsia" w:hAnsiTheme="minorEastAsia" w:eastAsiaTheme="minorEastAsia" w:cstheme="minorEastAsia"/>
                <w:color w:val="auto"/>
                <w:sz w:val="21"/>
                <w:szCs w:val="21"/>
                <w:highlight w:val="none"/>
              </w:rPr>
              <w:t>（以市人大要求的时间为准）</w:t>
            </w:r>
          </w:p>
        </w:tc>
        <w:tc>
          <w:tcPr>
            <w:tcW w:w="6326" w:type="dxa"/>
            <w:vAlign w:val="center"/>
          </w:tcPr>
          <w:p>
            <w:pPr>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配合采购人开展网络舆情风险评估、社会稳定风险评估、社会主义核心价值观审查、公平竞争审查等工作。协助采购人整理相关立法材料，并提交至市人大进行立法审查。</w:t>
            </w:r>
          </w:p>
        </w:tc>
      </w:tr>
    </w:tbl>
    <w:p>
      <w:pPr>
        <w:pStyle w:val="4"/>
        <w:kinsoku/>
        <w:wordWrap/>
        <w:overflowPunct/>
        <w:topLinePunct w:val="0"/>
        <w:autoSpaceDE/>
        <w:autoSpaceDN/>
        <w:bidi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74" w:name="_Toc344475121"/>
      <w:bookmarkStart w:id="75" w:name="_Toc106030884"/>
      <w:bookmarkStart w:id="76" w:name="_Toc125896815"/>
      <w:bookmarkStart w:id="77" w:name="_Toc29964"/>
      <w:bookmarkStart w:id="78" w:name="_Toc76462329"/>
      <w:r>
        <w:rPr>
          <w:rFonts w:hint="eastAsia" w:asciiTheme="minorEastAsia" w:hAnsiTheme="minorEastAsia" w:eastAsiaTheme="minorEastAsia" w:cstheme="minorEastAsia"/>
          <w:color w:val="auto"/>
          <w:sz w:val="24"/>
          <w:szCs w:val="24"/>
          <w:highlight w:val="none"/>
        </w:rPr>
        <w:t>二、</w:t>
      </w:r>
      <w:bookmarkEnd w:id="74"/>
      <w:r>
        <w:rPr>
          <w:rFonts w:hint="eastAsia" w:asciiTheme="minorEastAsia" w:hAnsiTheme="minorEastAsia" w:eastAsiaTheme="minorEastAsia" w:cstheme="minorEastAsia"/>
          <w:color w:val="auto"/>
          <w:sz w:val="24"/>
          <w:szCs w:val="24"/>
          <w:highlight w:val="none"/>
        </w:rPr>
        <w:t>报价要求</w:t>
      </w:r>
      <w:bookmarkEnd w:id="75"/>
      <w:bookmarkEnd w:id="76"/>
      <w:bookmarkEnd w:id="77"/>
      <w:bookmarkEnd w:id="78"/>
    </w:p>
    <w:p>
      <w:pPr>
        <w:kinsoku/>
        <w:wordWrap/>
        <w:overflowPunct/>
        <w:topLinePunct w:val="0"/>
        <w:autoSpaceDE/>
        <w:autoSpaceDN/>
        <w:bidi w:val="0"/>
        <w:snapToGrid/>
        <w:spacing w:line="360" w:lineRule="auto"/>
        <w:ind w:firstLine="54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磋商报价</w:t>
      </w:r>
      <w:bookmarkStart w:id="79" w:name="_Toc495592648"/>
      <w:bookmarkStart w:id="80" w:name="_Toc24985583"/>
      <w:bookmarkStart w:id="81" w:name="_Toc530694353"/>
      <w:r>
        <w:rPr>
          <w:rFonts w:hint="eastAsia" w:asciiTheme="minorEastAsia" w:hAnsiTheme="minorEastAsia" w:eastAsiaTheme="minorEastAsia" w:cstheme="minorEastAsia"/>
          <w:color w:val="auto"/>
          <w:sz w:val="24"/>
          <w:szCs w:val="24"/>
          <w:highlight w:val="none"/>
        </w:rPr>
        <w:t>采用</w:t>
      </w:r>
      <w:bookmarkEnd w:id="79"/>
      <w:bookmarkEnd w:id="80"/>
      <w:bookmarkEnd w:id="81"/>
      <w:r>
        <w:rPr>
          <w:rFonts w:hint="eastAsia" w:asciiTheme="minorEastAsia" w:hAnsiTheme="minorEastAsia" w:eastAsiaTheme="minorEastAsia" w:cstheme="minorEastAsia"/>
          <w:color w:val="auto"/>
          <w:sz w:val="24"/>
          <w:szCs w:val="24"/>
          <w:highlight w:val="none"/>
          <w:lang w:val="en-US" w:eastAsia="zh-CN"/>
        </w:rPr>
        <w:t>综合包干价，报价为</w:t>
      </w:r>
      <w:r>
        <w:rPr>
          <w:rFonts w:hint="eastAsia" w:asciiTheme="minorEastAsia" w:hAnsiTheme="minorEastAsia" w:eastAsiaTheme="minorEastAsia" w:cstheme="minorEastAsia"/>
          <w:color w:val="auto"/>
          <w:sz w:val="24"/>
          <w:szCs w:val="24"/>
          <w:highlight w:val="none"/>
        </w:rPr>
        <w:t>人民币</w:t>
      </w:r>
      <w:r>
        <w:rPr>
          <w:rFonts w:hint="eastAsia" w:asciiTheme="minorEastAsia" w:hAnsiTheme="minorEastAsia" w:eastAsiaTheme="minorEastAsia" w:cstheme="minorEastAsia"/>
          <w:color w:val="auto"/>
          <w:sz w:val="24"/>
          <w:szCs w:val="24"/>
          <w:highlight w:val="none"/>
          <w:lang w:val="en-US" w:eastAsia="zh-CN"/>
        </w:rPr>
        <w:t>，报价</w:t>
      </w:r>
      <w:r>
        <w:rPr>
          <w:rFonts w:hint="eastAsia" w:asciiTheme="minorEastAsia" w:hAnsiTheme="minorEastAsia" w:eastAsiaTheme="minorEastAsia" w:cstheme="minorEastAsia"/>
          <w:color w:val="auto"/>
          <w:sz w:val="24"/>
          <w:szCs w:val="24"/>
          <w:highlight w:val="none"/>
        </w:rPr>
        <w:t>包括完成</w:t>
      </w:r>
      <w:r>
        <w:rPr>
          <w:rFonts w:hint="eastAsia" w:asciiTheme="minorEastAsia" w:hAnsiTheme="minorEastAsia" w:eastAsiaTheme="minorEastAsia" w:cstheme="minorEastAsia"/>
          <w:color w:val="auto"/>
          <w:sz w:val="24"/>
          <w:szCs w:val="24"/>
          <w:highlight w:val="none"/>
          <w:lang w:val="en-US" w:eastAsia="zh-CN"/>
        </w:rPr>
        <w:t>本</w:t>
      </w:r>
      <w:r>
        <w:rPr>
          <w:rFonts w:hint="eastAsia" w:asciiTheme="minorEastAsia" w:hAnsiTheme="minorEastAsia" w:eastAsiaTheme="minorEastAsia" w:cstheme="minorEastAsia"/>
          <w:color w:val="auto"/>
          <w:sz w:val="24"/>
          <w:szCs w:val="24"/>
          <w:highlight w:val="none"/>
        </w:rPr>
        <w:t>项目实施和服务</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lang w:val="en-US" w:eastAsia="zh-CN"/>
        </w:rPr>
        <w:t>包括但不限于</w:t>
      </w:r>
      <w:r>
        <w:rPr>
          <w:rFonts w:hint="eastAsia" w:asciiTheme="minorEastAsia" w:hAnsiTheme="minorEastAsia" w:eastAsiaTheme="minorEastAsia" w:cstheme="minorEastAsia"/>
          <w:color w:val="auto"/>
          <w:sz w:val="24"/>
          <w:szCs w:val="24"/>
          <w:highlight w:val="none"/>
          <w:lang w:eastAsia="zh-CN"/>
        </w:rPr>
        <w:t>单位管理费、</w:t>
      </w:r>
      <w:r>
        <w:rPr>
          <w:rFonts w:hint="eastAsia" w:asciiTheme="minorEastAsia" w:hAnsiTheme="minorEastAsia" w:eastAsiaTheme="minorEastAsia" w:cstheme="minorEastAsia"/>
          <w:color w:val="auto"/>
          <w:sz w:val="24"/>
          <w:szCs w:val="24"/>
          <w:highlight w:val="none"/>
          <w:lang w:val="en-US" w:eastAsia="zh-CN"/>
        </w:rPr>
        <w:t>人员报酬、人员交通费、</w:t>
      </w:r>
      <w:r>
        <w:rPr>
          <w:rFonts w:hint="eastAsia" w:asciiTheme="minorEastAsia" w:hAnsiTheme="minorEastAsia" w:eastAsiaTheme="minorEastAsia" w:cstheme="minorEastAsia"/>
          <w:color w:val="auto"/>
          <w:sz w:val="24"/>
          <w:szCs w:val="24"/>
          <w:highlight w:val="none"/>
          <w:lang w:eastAsia="zh-CN"/>
        </w:rPr>
        <w:t>利润、税费、</w:t>
      </w:r>
      <w:r>
        <w:rPr>
          <w:rFonts w:hint="eastAsia" w:asciiTheme="minorEastAsia" w:hAnsiTheme="minorEastAsia" w:eastAsiaTheme="minorEastAsia" w:cstheme="minorEastAsia"/>
          <w:color w:val="auto"/>
          <w:sz w:val="24"/>
          <w:szCs w:val="24"/>
          <w:highlight w:val="none"/>
          <w:lang w:val="en-US" w:eastAsia="zh-CN"/>
        </w:rPr>
        <w:t>采购代理服务费</w:t>
      </w:r>
      <w:r>
        <w:rPr>
          <w:rFonts w:hint="eastAsia" w:asciiTheme="minorEastAsia" w:hAnsiTheme="minorEastAsia" w:eastAsiaTheme="minorEastAsia" w:cstheme="minorEastAsia"/>
          <w:color w:val="auto"/>
          <w:sz w:val="24"/>
          <w:szCs w:val="24"/>
          <w:highlight w:val="none"/>
          <w:lang w:eastAsia="zh-CN"/>
        </w:rPr>
        <w:t>等</w:t>
      </w:r>
      <w:r>
        <w:rPr>
          <w:rFonts w:hint="eastAsia" w:asciiTheme="minorEastAsia" w:hAnsiTheme="minorEastAsia" w:eastAsiaTheme="minorEastAsia" w:cstheme="minorEastAsia"/>
          <w:color w:val="auto"/>
          <w:sz w:val="24"/>
          <w:szCs w:val="24"/>
          <w:highlight w:val="none"/>
        </w:rPr>
        <w:t>一切与项目相关的全部费用。因供应商自身原因造成漏报、少报皆由其自行承担责任，采购人不再补偿。</w:t>
      </w:r>
    </w:p>
    <w:p>
      <w:pPr>
        <w:pStyle w:val="4"/>
        <w:kinsoku/>
        <w:wordWrap/>
        <w:overflowPunct/>
        <w:topLinePunct w:val="0"/>
        <w:autoSpaceDE/>
        <w:autoSpaceDN/>
        <w:bidi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82" w:name="_Toc125896816"/>
      <w:bookmarkStart w:id="83" w:name="_Toc344475122"/>
      <w:bookmarkStart w:id="84" w:name="_Toc3774"/>
      <w:bookmarkStart w:id="85" w:name="_Toc76462330"/>
      <w:bookmarkStart w:id="86" w:name="_Toc106030885"/>
      <w:r>
        <w:rPr>
          <w:rFonts w:hint="eastAsia" w:asciiTheme="minorEastAsia" w:hAnsiTheme="minorEastAsia" w:eastAsiaTheme="minorEastAsia" w:cstheme="minorEastAsia"/>
          <w:color w:val="auto"/>
          <w:sz w:val="24"/>
          <w:szCs w:val="24"/>
          <w:highlight w:val="none"/>
        </w:rPr>
        <w:t>三、付款方式</w:t>
      </w:r>
      <w:bookmarkEnd w:id="82"/>
      <w:bookmarkEnd w:id="83"/>
      <w:bookmarkEnd w:id="84"/>
      <w:bookmarkEnd w:id="85"/>
      <w:bookmarkEnd w:id="86"/>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合同签订15日内，采购人向成交供应商支付合同总金额</w:t>
      </w:r>
      <w:r>
        <w:rPr>
          <w:rFonts w:hint="eastAsia" w:asciiTheme="minorEastAsia" w:hAnsiTheme="minorEastAsia" w:eastAsiaTheme="minorEastAsia" w:cstheme="minorEastAsia"/>
          <w:color w:val="auto"/>
          <w:sz w:val="24"/>
          <w:szCs w:val="24"/>
          <w:highlight w:val="none"/>
        </w:rPr>
        <w:t>50%作为预付款；</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2.成交供应商完成资料汇编、立法调研报告、立法论证材料、立法文本送审稿（含条文及理由）、起草说明等立法材料（均为正式送审稿），</w:t>
      </w:r>
      <w:r>
        <w:rPr>
          <w:rFonts w:hint="eastAsia" w:asciiTheme="minorEastAsia" w:hAnsiTheme="minorEastAsia" w:eastAsiaTheme="minorEastAsia" w:cstheme="minorEastAsia"/>
          <w:color w:val="auto"/>
          <w:sz w:val="24"/>
          <w:szCs w:val="24"/>
          <w:highlight w:val="none"/>
          <w:lang w:eastAsia="zh-CN"/>
        </w:rPr>
        <w:t>采购人向成交供应商支付合同总金额</w:t>
      </w:r>
      <w:r>
        <w:rPr>
          <w:rFonts w:hint="eastAsia" w:asciiTheme="minorEastAsia" w:hAnsiTheme="minorEastAsia" w:eastAsiaTheme="minorEastAsia" w:cstheme="minorEastAsia"/>
          <w:color w:val="auto"/>
          <w:sz w:val="24"/>
          <w:szCs w:val="24"/>
          <w:highlight w:val="none"/>
        </w:rPr>
        <w:t>30%</w:t>
      </w:r>
      <w:r>
        <w:rPr>
          <w:rFonts w:hint="eastAsia" w:asciiTheme="minorEastAsia" w:hAnsiTheme="minorEastAsia" w:eastAsiaTheme="minorEastAsia" w:cstheme="minorEastAsia"/>
          <w:color w:val="auto"/>
          <w:sz w:val="24"/>
          <w:szCs w:val="24"/>
          <w:highlight w:val="none"/>
          <w:lang w:val="en-US" w:eastAsia="zh-CN"/>
        </w:rPr>
        <w:t>进度款</w:t>
      </w:r>
      <w:r>
        <w:rPr>
          <w:rFonts w:hint="eastAsia" w:asciiTheme="minorEastAsia" w:hAnsiTheme="minorEastAsia" w:eastAsiaTheme="minorEastAsia" w:cstheme="minorEastAsia"/>
          <w:color w:val="auto"/>
          <w:sz w:val="24"/>
          <w:szCs w:val="24"/>
          <w:highlight w:val="none"/>
        </w:rPr>
        <w:t>；</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3.配合采购人开展网络舆情风险评估、社会稳定风险评估、社会主义核心价值观审查、公平竞争审查等工作，并协助采购人将所有立法材料提交市人大进行审查后，</w:t>
      </w:r>
      <w:r>
        <w:rPr>
          <w:rFonts w:hint="eastAsia" w:asciiTheme="minorEastAsia" w:hAnsiTheme="minorEastAsia" w:eastAsiaTheme="minorEastAsia" w:cstheme="minorEastAsia"/>
          <w:color w:val="auto"/>
          <w:sz w:val="24"/>
          <w:szCs w:val="24"/>
          <w:highlight w:val="none"/>
          <w:lang w:eastAsia="zh-CN"/>
        </w:rPr>
        <w:t>采购人向</w:t>
      </w:r>
      <w:r>
        <w:rPr>
          <w:rFonts w:hint="eastAsia" w:asciiTheme="minorEastAsia" w:hAnsiTheme="minorEastAsia" w:eastAsiaTheme="minorEastAsia" w:cstheme="minorEastAsia"/>
          <w:color w:val="auto"/>
          <w:sz w:val="24"/>
          <w:szCs w:val="24"/>
          <w:highlight w:val="none"/>
          <w:lang w:val="en-US" w:eastAsia="zh-CN"/>
        </w:rPr>
        <w:t>成交供应商</w:t>
      </w:r>
      <w:r>
        <w:rPr>
          <w:rFonts w:hint="eastAsia" w:asciiTheme="minorEastAsia" w:hAnsiTheme="minorEastAsia" w:eastAsiaTheme="minorEastAsia" w:cstheme="minorEastAsia"/>
          <w:color w:val="auto"/>
          <w:sz w:val="24"/>
          <w:szCs w:val="24"/>
          <w:highlight w:val="none"/>
        </w:rPr>
        <w:t>支付剩余合同总</w:t>
      </w:r>
      <w:r>
        <w:rPr>
          <w:rFonts w:hint="eastAsia" w:asciiTheme="minorEastAsia" w:hAnsiTheme="minorEastAsia" w:eastAsiaTheme="minorEastAsia" w:cstheme="minorEastAsia"/>
          <w:color w:val="auto"/>
          <w:sz w:val="24"/>
          <w:szCs w:val="24"/>
          <w:highlight w:val="none"/>
          <w:lang w:val="en-US" w:eastAsia="zh-CN"/>
        </w:rPr>
        <w:t>金额</w:t>
      </w:r>
      <w:r>
        <w:rPr>
          <w:rFonts w:hint="eastAsia" w:asciiTheme="minorEastAsia" w:hAnsiTheme="minorEastAsia" w:eastAsiaTheme="minorEastAsia" w:cstheme="minorEastAsia"/>
          <w:color w:val="auto"/>
          <w:sz w:val="24"/>
          <w:szCs w:val="24"/>
          <w:highlight w:val="none"/>
        </w:rPr>
        <w:t>20%</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lang w:val="en-US" w:eastAsia="zh-CN"/>
        </w:rPr>
        <w:t>尾款</w:t>
      </w:r>
      <w:r>
        <w:rPr>
          <w:rFonts w:hint="eastAsia" w:asciiTheme="minorEastAsia" w:hAnsiTheme="minorEastAsia" w:eastAsiaTheme="minorEastAsia" w:cstheme="minorEastAsia"/>
          <w:color w:val="auto"/>
          <w:sz w:val="24"/>
          <w:szCs w:val="24"/>
          <w:highlight w:val="none"/>
        </w:rPr>
        <w:t>。</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注：在采购人支付任意一期款项前，成交供应商</w:t>
      </w:r>
      <w:r>
        <w:rPr>
          <w:rFonts w:hint="eastAsia" w:asciiTheme="minorEastAsia" w:hAnsiTheme="minorEastAsia" w:eastAsiaTheme="minorEastAsia" w:cstheme="minorEastAsia"/>
          <w:color w:val="auto"/>
          <w:sz w:val="24"/>
          <w:szCs w:val="24"/>
          <w:highlight w:val="none"/>
          <w:lang w:val="en-US" w:eastAsia="zh-CN"/>
        </w:rPr>
        <w:t>需</w:t>
      </w:r>
      <w:r>
        <w:rPr>
          <w:rFonts w:hint="eastAsia" w:asciiTheme="minorEastAsia" w:hAnsiTheme="minorEastAsia" w:eastAsiaTheme="minorEastAsia" w:cstheme="minorEastAsia"/>
          <w:color w:val="auto"/>
          <w:sz w:val="24"/>
          <w:szCs w:val="24"/>
          <w:highlight w:val="none"/>
        </w:rPr>
        <w:t>出具征税机关开具</w:t>
      </w:r>
      <w:r>
        <w:rPr>
          <w:rFonts w:hint="eastAsia" w:asciiTheme="minorEastAsia" w:hAnsiTheme="minorEastAsia" w:eastAsiaTheme="minorEastAsia" w:cstheme="minorEastAsia"/>
          <w:color w:val="auto"/>
          <w:sz w:val="24"/>
          <w:szCs w:val="24"/>
          <w:highlight w:val="none"/>
          <w:lang w:val="en-US" w:eastAsia="zh-CN"/>
        </w:rPr>
        <w:t>等额</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rPr>
        <w:t>发票，由采购人采用银行转账的方式支付至成交供应商银行基本账户。若成交供应商延迟提供发票的，采购人支付款项的期限顺延。</w:t>
      </w:r>
    </w:p>
    <w:p>
      <w:pPr>
        <w:pStyle w:val="4"/>
        <w:kinsoku/>
        <w:wordWrap/>
        <w:overflowPunct/>
        <w:topLinePunct w:val="0"/>
        <w:autoSpaceDE/>
        <w:autoSpaceDN/>
        <w:bidi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87" w:name="_Toc344475124"/>
      <w:bookmarkStart w:id="88" w:name="_Toc11829"/>
      <w:bookmarkStart w:id="89" w:name="_Toc125896817"/>
      <w:bookmarkStart w:id="90" w:name="_Toc106030886"/>
      <w:bookmarkStart w:id="91" w:name="_Toc76462331"/>
      <w:r>
        <w:rPr>
          <w:rFonts w:hint="eastAsia" w:asciiTheme="minorEastAsia" w:hAnsiTheme="minorEastAsia" w:eastAsiaTheme="minorEastAsia" w:cstheme="minorEastAsia"/>
          <w:color w:val="auto"/>
          <w:sz w:val="24"/>
          <w:szCs w:val="24"/>
          <w:highlight w:val="none"/>
        </w:rPr>
        <w:t>四、</w:t>
      </w:r>
      <w:bookmarkEnd w:id="87"/>
      <w:bookmarkStart w:id="92" w:name="_Toc344475125"/>
      <w:r>
        <w:rPr>
          <w:rFonts w:hint="eastAsia" w:asciiTheme="minorEastAsia" w:hAnsiTheme="minorEastAsia" w:eastAsiaTheme="minorEastAsia" w:cstheme="minorEastAsia"/>
          <w:color w:val="auto"/>
          <w:sz w:val="24"/>
          <w:szCs w:val="24"/>
          <w:highlight w:val="none"/>
        </w:rPr>
        <w:t>知识产权</w:t>
      </w:r>
      <w:bookmarkEnd w:id="88"/>
      <w:bookmarkEnd w:id="89"/>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采购人在中华人民共和国境内使用成交供应商提供的货物及服务时免受第三方提出的侵犯其专利权或其他知识产权的起诉。如果第三方提出侵权指控，成交供应商应承担由此而引起的一切法律责任和费用。</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sz w:val="24"/>
          <w:szCs w:val="24"/>
          <w:highlight w:val="none"/>
        </w:rPr>
        <w:t>本项目知识产权归采购人所有。</w:t>
      </w:r>
    </w:p>
    <w:p>
      <w:pPr>
        <w:pStyle w:val="4"/>
        <w:numPr>
          <w:ilvl w:val="0"/>
          <w:numId w:val="13"/>
        </w:numPr>
        <w:kinsoku/>
        <w:wordWrap/>
        <w:overflowPunct/>
        <w:topLinePunct w:val="0"/>
        <w:autoSpaceDE/>
        <w:autoSpaceDN/>
        <w:bidi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93" w:name="_Toc8218"/>
      <w:bookmarkStart w:id="94" w:name="_Toc13514"/>
      <w:bookmarkStart w:id="95" w:name="_Toc125896818"/>
      <w:r>
        <w:rPr>
          <w:rFonts w:hint="eastAsia" w:asciiTheme="minorEastAsia" w:hAnsiTheme="minorEastAsia" w:eastAsiaTheme="minorEastAsia" w:cstheme="minorEastAsia"/>
          <w:color w:val="auto"/>
          <w:sz w:val="24"/>
          <w:szCs w:val="24"/>
          <w:highlight w:val="none"/>
        </w:rPr>
        <w:t>其他</w:t>
      </w:r>
      <w:bookmarkEnd w:id="93"/>
      <w:bookmarkEnd w:id="94"/>
      <w:bookmarkEnd w:id="95"/>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其他未尽事宜、违约责任等由采购人与成交供应商双方在采购合同中详细约定</w:t>
      </w:r>
      <w:r>
        <w:rPr>
          <w:rFonts w:hint="eastAsia" w:asciiTheme="minorEastAsia" w:hAnsiTheme="minorEastAsia" w:eastAsiaTheme="minorEastAsia" w:cstheme="minorEastAsia"/>
          <w:color w:val="auto"/>
          <w:kern w:val="0"/>
          <w:sz w:val="24"/>
          <w:szCs w:val="24"/>
          <w:highlight w:val="none"/>
          <w:lang w:eastAsia="zh-CN"/>
        </w:rPr>
        <w:t>。</w:t>
      </w:r>
    </w:p>
    <w:bookmarkEnd w:id="90"/>
    <w:bookmarkEnd w:id="91"/>
    <w:bookmarkEnd w:id="92"/>
    <w:p>
      <w:pPr>
        <w:pStyle w:val="4"/>
        <w:pageBreakBefore/>
        <w:kinsoku/>
        <w:wordWrap/>
        <w:overflowPunct/>
        <w:topLinePunct w:val="0"/>
        <w:autoSpaceDE/>
        <w:autoSpaceDN/>
        <w:bidi w:val="0"/>
        <w:adjustRightInd w:val="0"/>
        <w:snapToGrid/>
        <w:spacing w:before="0" w:after="0" w:line="360" w:lineRule="auto"/>
        <w:jc w:val="center"/>
        <w:textAlignment w:val="auto"/>
        <w:rPr>
          <w:rFonts w:hint="eastAsia" w:asciiTheme="minorEastAsia" w:hAnsiTheme="minorEastAsia" w:eastAsiaTheme="minorEastAsia" w:cstheme="minorEastAsia"/>
          <w:b w:val="0"/>
          <w:color w:val="auto"/>
          <w:sz w:val="36"/>
          <w:szCs w:val="36"/>
          <w:highlight w:val="none"/>
        </w:rPr>
      </w:pPr>
      <w:bookmarkStart w:id="96" w:name="_Toc76462332"/>
      <w:bookmarkStart w:id="97" w:name="_Toc22463"/>
      <w:bookmarkStart w:id="98" w:name="_Toc106030887"/>
      <w:bookmarkStart w:id="99" w:name="_Toc125896819"/>
      <w:r>
        <w:rPr>
          <w:rFonts w:hint="eastAsia" w:asciiTheme="minorEastAsia" w:hAnsiTheme="minorEastAsia" w:eastAsiaTheme="minorEastAsia" w:cstheme="minorEastAsia"/>
          <w:b w:val="0"/>
          <w:color w:val="auto"/>
          <w:sz w:val="36"/>
          <w:szCs w:val="36"/>
          <w:highlight w:val="none"/>
        </w:rPr>
        <w:t>第四篇  磋商程序及方法、评审标准、无效响应和采购终止</w:t>
      </w:r>
      <w:bookmarkEnd w:id="96"/>
      <w:bookmarkEnd w:id="97"/>
      <w:bookmarkEnd w:id="98"/>
      <w:bookmarkEnd w:id="99"/>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00" w:name="_Toc106030888"/>
      <w:bookmarkStart w:id="101" w:name="_Toc125896820"/>
      <w:bookmarkStart w:id="102" w:name="_Toc20040"/>
      <w:bookmarkStart w:id="103" w:name="_Toc76462333"/>
      <w:r>
        <w:rPr>
          <w:rFonts w:hint="eastAsia" w:asciiTheme="minorEastAsia" w:hAnsiTheme="minorEastAsia" w:eastAsiaTheme="minorEastAsia" w:cstheme="minorEastAsia"/>
          <w:color w:val="auto"/>
          <w:sz w:val="24"/>
          <w:szCs w:val="24"/>
          <w:highlight w:val="none"/>
        </w:rPr>
        <w:t>一、磋商程序及方法</w:t>
      </w:r>
      <w:bookmarkEnd w:id="100"/>
      <w:bookmarkEnd w:id="101"/>
      <w:bookmarkEnd w:id="102"/>
      <w:bookmarkEnd w:id="103"/>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磋商按竞争性磋商文件规定的时间和地点进行，供应商须有法定代表人或授权代表或自然人参加并签到。竞争性磋商以抽签的形式确定磋商顺序，由本项目依法组建的竞争性磋商小组（以下简称磋商小组）分别与各供应商进行磋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（二）磋商小组对各供应商的资格条件、响应文件的有效性、完整性和响应程度进行审查。各供应商只有在完全符合要求的前提下，才能参与正式磋商。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1.资格性审查。依据法律法规和竞争性磋商文件的规定，对响应文件中的资格证明等进行审查，以确定供应商是否具备磋商资格。资格性审查资料表如下：</w:t>
      </w:r>
    </w:p>
    <w:tbl>
      <w:tblPr>
        <w:tblStyle w:val="5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w:t>
            </w:r>
          </w:p>
        </w:tc>
        <w:tc>
          <w:tcPr>
            <w:tcW w:w="70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《中华人民共和国政府采购法》第二十二条规定</w:t>
            </w:r>
          </w:p>
        </w:tc>
        <w:tc>
          <w:tcPr>
            <w:tcW w:w="31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1.具有独立承担民事责任的能力</w:t>
            </w:r>
          </w:p>
        </w:tc>
        <w:tc>
          <w:tcPr>
            <w:tcW w:w="498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供应商法人营业执照（副本）或事业单位法人证书（副本）或个体工商户营业执照或有效的自然人身份证明或社会团体法人登记证书（提供复印件）；</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2.</w:t>
            </w:r>
            <w:r>
              <w:rPr>
                <w:rFonts w:hint="eastAsia" w:asciiTheme="minorEastAsia" w:hAnsiTheme="minorEastAsia" w:eastAsiaTheme="minorEastAsia" w:cstheme="minorEastAsia"/>
                <w:color w:val="auto"/>
                <w:sz w:val="21"/>
                <w:szCs w:val="21"/>
                <w:highlight w:val="none"/>
              </w:rPr>
              <w:t>具有良好的商业信誉和健全的财务会计制度</w:t>
            </w:r>
          </w:p>
        </w:tc>
        <w:tc>
          <w:tcPr>
            <w:tcW w:w="4984"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3.具有履行合同所必需的设备和专业技术能力</w:t>
            </w:r>
          </w:p>
        </w:tc>
        <w:tc>
          <w:tcPr>
            <w:tcW w:w="498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4.有依法缴纳税收和社会保障金的良好纪录</w:t>
            </w:r>
          </w:p>
        </w:tc>
        <w:tc>
          <w:tcPr>
            <w:tcW w:w="498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eastAsia="zh-CN"/>
              </w:rPr>
            </w:pPr>
            <w:r>
              <w:rPr>
                <w:rFonts w:hint="eastAsia" w:asciiTheme="minorEastAsia" w:hAnsiTheme="minorEastAsia" w:eastAsiaTheme="minorEastAsia" w:cstheme="minorEastAsia"/>
                <w:color w:val="auto"/>
                <w:sz w:val="21"/>
                <w:szCs w:val="21"/>
                <w:highlight w:val="none"/>
              </w:rPr>
              <w:t>5.参加政府采购活动前三年内，在经营活动中没有重大违法记录</w:t>
            </w:r>
          </w:p>
        </w:tc>
        <w:tc>
          <w:tcPr>
            <w:tcW w:w="498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6.法律、行政法规规定的其他条件</w:t>
            </w:r>
          </w:p>
        </w:tc>
        <w:tc>
          <w:tcPr>
            <w:tcW w:w="498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p>
        </w:tc>
        <w:tc>
          <w:tcPr>
            <w:tcW w:w="31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7.本项目的特定资格要求</w:t>
            </w:r>
          </w:p>
        </w:tc>
        <w:tc>
          <w:tcPr>
            <w:tcW w:w="498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按“第一篇三、供应商资格要求（三）本项目的特定资格要求”的要求提交（如果有）。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w:t>
            </w:r>
          </w:p>
        </w:tc>
        <w:tc>
          <w:tcPr>
            <w:tcW w:w="3827"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落实政府采购政策需满足的资格要求</w:t>
            </w:r>
          </w:p>
        </w:tc>
        <w:tc>
          <w:tcPr>
            <w:tcW w:w="498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按“第一篇三、供应商资格要求（二）落实政府采购政策需满足的资格要求”的要求提交（如果有）。</w:t>
            </w:r>
          </w:p>
        </w:tc>
      </w:tr>
    </w:tbl>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供应商可于响应文件递交截止时间前通过“信用中国”网站(www.creditchina.gov.cn)、"中国政府采购网"(www.ccgp.gov.cn)等渠道查询信用记录。</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5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54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评审因素</w:t>
            </w:r>
          </w:p>
        </w:tc>
        <w:tc>
          <w:tcPr>
            <w:tcW w:w="540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156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有效性审查</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响应文件签署或盖章</w:t>
            </w:r>
          </w:p>
        </w:tc>
        <w:tc>
          <w:tcPr>
            <w:tcW w:w="5409"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按竞争性磋商文件“第七篇响应文件编制要求”要求签署或盖章。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法定代表人身份证明或授权委托书</w:t>
            </w:r>
          </w:p>
        </w:tc>
        <w:tc>
          <w:tcPr>
            <w:tcW w:w="5409"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法定代表人身份证明或授权委托书有效，符合竞争性磋商文件规定的格式，签署或盖章齐全。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c>
          <w:tcPr>
            <w:tcW w:w="5409"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zh-CN"/>
              </w:rPr>
              <w:t>只能有一个</w:t>
            </w: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报价唯一</w:t>
            </w:r>
          </w:p>
        </w:tc>
        <w:tc>
          <w:tcPr>
            <w:tcW w:w="5409"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完整性审查</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文件份数</w:t>
            </w:r>
          </w:p>
        </w:tc>
        <w:tc>
          <w:tcPr>
            <w:tcW w:w="5409"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文件正、副本数量（含电子文档）符合</w:t>
            </w:r>
            <w:r>
              <w:rPr>
                <w:rFonts w:hint="eastAsia" w:asciiTheme="minorEastAsia" w:hAnsiTheme="minorEastAsia" w:eastAsiaTheme="minorEastAsia" w:cstheme="minorEastAsia"/>
                <w:color w:val="auto"/>
                <w:sz w:val="21"/>
                <w:szCs w:val="21"/>
                <w:highlight w:val="none"/>
              </w:rPr>
              <w:t>竞争性磋商</w:t>
            </w:r>
            <w:r>
              <w:rPr>
                <w:rFonts w:hint="eastAsia" w:asciiTheme="minorEastAsia" w:hAnsiTheme="minorEastAsia" w:eastAsiaTheme="minorEastAsia" w:cstheme="minorEastAsia"/>
                <w:color w:val="auto"/>
                <w:sz w:val="21"/>
                <w:szCs w:val="21"/>
                <w:highlight w:val="none"/>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156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kern w:val="0"/>
                <w:sz w:val="21"/>
                <w:szCs w:val="21"/>
                <w:highlight w:val="none"/>
              </w:rPr>
              <w:t>响应程度审查</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实质性响应</w:t>
            </w:r>
          </w:p>
        </w:tc>
        <w:tc>
          <w:tcPr>
            <w:tcW w:w="5409" w:type="dxa"/>
            <w:vAlign w:val="center"/>
          </w:tcPr>
          <w:p>
            <w:pPr>
              <w:pStyle w:val="33"/>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竞争性磋商文件第二篇、第三篇</w:t>
            </w:r>
            <w:r>
              <w:rPr>
                <w:rFonts w:hint="eastAsia" w:asciiTheme="minorEastAsia" w:hAnsiTheme="minorEastAsia" w:eastAsiaTheme="minorEastAsia" w:cstheme="minorEastAsia"/>
                <w:color w:val="auto"/>
                <w:kern w:val="0"/>
                <w:sz w:val="21"/>
                <w:szCs w:val="21"/>
                <w:highlight w:val="none"/>
                <w:lang w:val="en-US" w:eastAsia="zh-CN"/>
              </w:rPr>
              <w:t>所有内容</w:t>
            </w:r>
            <w:r>
              <w:rPr>
                <w:rFonts w:hint="eastAsia" w:asciiTheme="minorEastAsia" w:hAnsiTheme="minorEastAsia" w:eastAsiaTheme="minorEastAsia" w:cstheme="minorEastAsia"/>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磋商有效期</w:t>
            </w:r>
          </w:p>
        </w:tc>
        <w:tc>
          <w:tcPr>
            <w:tcW w:w="5409"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响应文件及有关承诺文件有效期为提交响应文件截止时间起90天。</w:t>
            </w:r>
          </w:p>
        </w:tc>
      </w:tr>
    </w:tbl>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（五）在磋商过程中磋商的任何一方不得向他人透露与磋商有关的</w:t>
      </w:r>
      <w:r>
        <w:rPr>
          <w:rFonts w:hint="eastAsia" w:asciiTheme="minorEastAsia" w:hAnsiTheme="minorEastAsia" w:eastAsiaTheme="minorEastAsia" w:cstheme="minorEastAsia"/>
          <w:color w:val="auto"/>
          <w:sz w:val="24"/>
          <w:szCs w:val="24"/>
          <w:highlight w:val="none"/>
          <w:lang w:val="en-US" w:eastAsia="zh-CN"/>
        </w:rPr>
        <w:t>技术（服务）</w:t>
      </w:r>
      <w:r>
        <w:rPr>
          <w:rFonts w:hint="eastAsia" w:asciiTheme="minorEastAsia" w:hAnsiTheme="minorEastAsia" w:eastAsiaTheme="minorEastAsia" w:cstheme="minorEastAsia"/>
          <w:color w:val="auto"/>
          <w:sz w:val="24"/>
          <w:szCs w:val="24"/>
          <w:highlight w:val="none"/>
        </w:rPr>
        <w:t>资料、价格或其他信息。</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（六）在磋商过程中，磋商小组可以根据竞争性磋商文件和磋商情况实质性变动采购需求中的</w:t>
      </w:r>
      <w:r>
        <w:rPr>
          <w:rFonts w:hint="eastAsia" w:asciiTheme="minorEastAsia" w:hAnsiTheme="minorEastAsia" w:eastAsiaTheme="minorEastAsia" w:cstheme="minorEastAsia"/>
          <w:color w:val="auto"/>
          <w:sz w:val="24"/>
          <w:szCs w:val="24"/>
          <w:highlight w:val="none"/>
          <w:lang w:val="en-US" w:eastAsia="zh-CN"/>
        </w:rPr>
        <w:t>技术（服务）</w:t>
      </w:r>
      <w:r>
        <w:rPr>
          <w:rFonts w:hint="eastAsia" w:asciiTheme="minorEastAsia" w:hAnsiTheme="minorEastAsia" w:eastAsiaTheme="minorEastAsia" w:cstheme="minorEastAsia"/>
          <w:color w:val="auto"/>
          <w:sz w:val="24"/>
          <w:szCs w:val="24"/>
          <w:highlight w:val="none"/>
        </w:rPr>
        <w:t>、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（七）供应商在磋商时作出的所有书面承诺须由法定代表人（或其授权代表）或自然人（供应商为自然人）签署。</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、商务等评定因素分别按照相应权重值计算分项得分后相加，满分为100分。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十）磋商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指标优劣顺序排列推荐。以上都相同的，按商务条款的优劣顺序排列推荐。</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部分得分为0分的</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，将失去成为</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候选人的资格</w:t>
      </w:r>
      <w:r>
        <w:rPr>
          <w:rFonts w:hint="eastAsia" w:asciiTheme="minorEastAsia" w:hAnsiTheme="minorEastAsia" w:eastAsiaTheme="minorEastAsia" w:cstheme="minorEastAsia"/>
          <w:color w:val="auto"/>
          <w:sz w:val="24"/>
          <w:szCs w:val="24"/>
          <w:highlight w:val="none"/>
          <w:lang w:eastAsia="zh-CN"/>
        </w:rPr>
        <w:t>。</w:t>
      </w:r>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04" w:name="_Toc125896821"/>
      <w:bookmarkStart w:id="105" w:name="_Toc106030889"/>
      <w:bookmarkStart w:id="106" w:name="_Toc498"/>
      <w:bookmarkStart w:id="107" w:name="_Toc76462334"/>
      <w:r>
        <w:rPr>
          <w:rFonts w:hint="eastAsia" w:asciiTheme="minorEastAsia" w:hAnsiTheme="minorEastAsia" w:eastAsiaTheme="minorEastAsia" w:cstheme="minorEastAsia"/>
          <w:color w:val="auto"/>
          <w:sz w:val="24"/>
          <w:szCs w:val="24"/>
          <w:highlight w:val="none"/>
        </w:rPr>
        <w:t>二、</w:t>
      </w:r>
      <w:bookmarkStart w:id="108" w:name="_Toc102227320"/>
      <w:bookmarkStart w:id="109" w:name="_Toc342913394"/>
      <w:r>
        <w:rPr>
          <w:rFonts w:hint="eastAsia" w:asciiTheme="minorEastAsia" w:hAnsiTheme="minorEastAsia" w:eastAsiaTheme="minorEastAsia" w:cstheme="minorEastAsia"/>
          <w:color w:val="auto"/>
          <w:sz w:val="24"/>
          <w:szCs w:val="24"/>
          <w:highlight w:val="none"/>
        </w:rPr>
        <w:t>评审标准</w:t>
      </w:r>
      <w:bookmarkEnd w:id="104"/>
      <w:bookmarkEnd w:id="105"/>
      <w:bookmarkEnd w:id="106"/>
      <w:bookmarkEnd w:id="107"/>
    </w:p>
    <w:tbl>
      <w:tblPr>
        <w:tblStyle w:val="57"/>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1230"/>
        <w:gridCol w:w="747"/>
        <w:gridCol w:w="4855"/>
        <w:gridCol w:w="2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1230" w:type="dxa"/>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评分因素及权值</w:t>
            </w:r>
          </w:p>
        </w:tc>
        <w:tc>
          <w:tcPr>
            <w:tcW w:w="747" w:type="dxa"/>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分值</w:t>
            </w:r>
          </w:p>
        </w:tc>
        <w:tc>
          <w:tcPr>
            <w:tcW w:w="4855" w:type="dxa"/>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评分标准</w:t>
            </w:r>
          </w:p>
        </w:tc>
        <w:tc>
          <w:tcPr>
            <w:tcW w:w="2499" w:type="dxa"/>
            <w:vAlign w:val="center"/>
          </w:tcPr>
          <w:p>
            <w:pPr>
              <w:pStyle w:val="235"/>
              <w:keepNext w:val="0"/>
              <w:keepLines w:val="0"/>
              <w:pageBreakBefore w:val="0"/>
              <w:kinsoku/>
              <w:wordWrap/>
              <w:overflowPunct/>
              <w:topLinePunct w:val="0"/>
              <w:autoSpaceDE/>
              <w:autoSpaceDN/>
              <w:bidi w:val="0"/>
              <w:adjustRightInd/>
              <w:snapToGrid/>
              <w:spacing w:before="0" w:after="0" w:line="320" w:lineRule="exact"/>
              <w:ind w:firstLine="632" w:firstLineChars="3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dxa"/>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230" w:type="dxa"/>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磋商报价</w:t>
            </w:r>
          </w:p>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w:t>
            </w:r>
          </w:p>
        </w:tc>
        <w:tc>
          <w:tcPr>
            <w:tcW w:w="747" w:type="dxa"/>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20分</w:t>
            </w:r>
          </w:p>
        </w:tc>
        <w:tc>
          <w:tcPr>
            <w:tcW w:w="4855" w:type="dxa"/>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满足资格性、符合性要求且最后报价最低的供应商的价格为磋商基准价，其价格分为满分。其他供应商的价格分统一按照下列公式计算：</w:t>
            </w:r>
          </w:p>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磋商报价得分=（磋商基准价/最后磋商报价）×价格权值×100</w:t>
            </w:r>
          </w:p>
        </w:tc>
        <w:tc>
          <w:tcPr>
            <w:tcW w:w="2499" w:type="dxa"/>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对小微企业的价格用扣除后的价格参与评审，详见“注：关于小微企业报价扣除比例说明”。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dxa"/>
            <w:vMerge w:val="restart"/>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230" w:type="dxa"/>
            <w:vMerge w:val="restart"/>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服务部分</w:t>
            </w:r>
          </w:p>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（50%）</w:t>
            </w:r>
          </w:p>
        </w:tc>
        <w:tc>
          <w:tcPr>
            <w:tcW w:w="747"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20分</w:t>
            </w:r>
          </w:p>
        </w:tc>
        <w:tc>
          <w:tcPr>
            <w:tcW w:w="4855"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总体工作方案</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按照“第二篇 项目服务需求”“三、服务质量需求”中的“（二）工作要求”，制定总体工作方案，包含以下内容:</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①项目总体计划；</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②项目人员安排；</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③项目进度安排；</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④项目具体内容。</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方案内容不存在瑕疵的得20分； </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方案内容存在1处瑕疵的得15分； </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方案内容存在2处瑕疵的得10分； </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方案内容存在3处瑕疵的得5分；</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方案内容存在4处瑕疵的得1分；</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方案内容存在5处</w:t>
            </w:r>
            <w:r>
              <w:rPr>
                <w:rFonts w:hint="eastAsia" w:asciiTheme="minorEastAsia" w:hAnsiTheme="minorEastAsia" w:eastAsiaTheme="minorEastAsia" w:cstheme="minorEastAsia"/>
                <w:color w:val="auto"/>
                <w:sz w:val="21"/>
                <w:szCs w:val="21"/>
                <w:highlight w:val="none"/>
                <w:lang w:val="en-US" w:eastAsia="zh-CN"/>
              </w:rPr>
              <w:t>及以上</w:t>
            </w:r>
            <w:r>
              <w:rPr>
                <w:rFonts w:hint="eastAsia" w:asciiTheme="minorEastAsia" w:hAnsiTheme="minorEastAsia" w:eastAsiaTheme="minorEastAsia" w:cstheme="minorEastAsia"/>
                <w:color w:val="auto"/>
                <w:sz w:val="21"/>
                <w:szCs w:val="21"/>
                <w:highlight w:val="none"/>
              </w:rPr>
              <w:t>瑕疵或未提供的得0分。</w:t>
            </w:r>
          </w:p>
        </w:tc>
        <w:tc>
          <w:tcPr>
            <w:tcW w:w="2499" w:type="dxa"/>
            <w:vMerge w:val="restart"/>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1.供应商自行提供方案（格式自拟）。</w:t>
            </w:r>
          </w:p>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方案内容中所称的“瑕疵”指：（1）方案内容缺项或内容表述不完整，（2）缺少任意一项内容的针对性描述分析或缺少关键分析点，（3）方案内容表述前后矛盾、无连贯性，（4）内容存在逻辑漏洞或内容存在常识错误，（5）措施保障安排并不适用本项目特性或非专门针对本项目制定，（6）方案中提出的措施举措不利于本项目目标的实现，（7）现有技术条件下不可能出现的情形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dxa"/>
            <w:vMerge w:val="continue"/>
            <w:tcBorders>
              <w:top w:val="nil"/>
              <w:bottom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color w:val="auto"/>
                <w:sz w:val="21"/>
                <w:szCs w:val="21"/>
                <w:highlight w:val="none"/>
              </w:rPr>
            </w:pPr>
          </w:p>
        </w:tc>
        <w:tc>
          <w:tcPr>
            <w:tcW w:w="1230" w:type="dxa"/>
            <w:vMerge w:val="continue"/>
            <w:tcBorders>
              <w:top w:val="nil"/>
              <w:bottom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color w:val="auto"/>
                <w:sz w:val="21"/>
                <w:szCs w:val="21"/>
                <w:highlight w:val="none"/>
              </w:rPr>
            </w:pPr>
          </w:p>
        </w:tc>
        <w:tc>
          <w:tcPr>
            <w:tcW w:w="747" w:type="dxa"/>
            <w:tcBorders>
              <w:top w:val="nil"/>
              <w:bottom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20分</w:t>
            </w:r>
          </w:p>
        </w:tc>
        <w:tc>
          <w:tcPr>
            <w:tcW w:w="4855" w:type="dxa"/>
            <w:tcBorders>
              <w:top w:val="nil"/>
              <w:bottom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研究思路</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国家关于工会的法律法规规定，结合重庆市总工会工作实际，参考外省市立法经验，提出立法预备项目的立法必要性和重要性，梳理实践中存在的问题，阐释立法总体思路，提出符合地方立法权限的措施构想：</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①对现状和问题理解到位；</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②对整体思路的把握切合实际；</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③提出的措施针对性、可操作性强；</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④提出的措施符合地方立法权限；</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⑤研究思路明确完整。</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方案内容不存在瑕疵的得20分； </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方案内容存在1处瑕疵的得15分； </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方案内容存在2处瑕疵的得10分； </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方案内容存在3处瑕疵的得5分；</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方案内容存在4处瑕疵的得1分；</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方案内容存在5处</w:t>
            </w:r>
            <w:r>
              <w:rPr>
                <w:rFonts w:hint="eastAsia" w:asciiTheme="minorEastAsia" w:hAnsiTheme="minorEastAsia" w:eastAsiaTheme="minorEastAsia" w:cstheme="minorEastAsia"/>
                <w:color w:val="auto"/>
                <w:sz w:val="21"/>
                <w:szCs w:val="21"/>
                <w:highlight w:val="none"/>
                <w:lang w:val="en-US" w:eastAsia="zh-CN"/>
              </w:rPr>
              <w:t>及以上</w:t>
            </w:r>
            <w:r>
              <w:rPr>
                <w:rFonts w:hint="eastAsia" w:asciiTheme="minorEastAsia" w:hAnsiTheme="minorEastAsia" w:eastAsiaTheme="minorEastAsia" w:cstheme="minorEastAsia"/>
                <w:color w:val="auto"/>
                <w:sz w:val="21"/>
                <w:szCs w:val="21"/>
                <w:highlight w:val="none"/>
              </w:rPr>
              <w:t>瑕疵或未提供的得0分。</w:t>
            </w:r>
          </w:p>
        </w:tc>
        <w:tc>
          <w:tcPr>
            <w:tcW w:w="2499"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dxa"/>
            <w:vMerge w:val="continue"/>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color w:val="auto"/>
                <w:sz w:val="21"/>
                <w:szCs w:val="21"/>
                <w:highlight w:val="none"/>
              </w:rPr>
            </w:pPr>
          </w:p>
        </w:tc>
        <w:tc>
          <w:tcPr>
            <w:tcW w:w="1230" w:type="dxa"/>
            <w:vMerge w:val="continue"/>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color w:val="auto"/>
                <w:sz w:val="21"/>
                <w:szCs w:val="21"/>
                <w:highlight w:val="none"/>
              </w:rPr>
            </w:pPr>
          </w:p>
        </w:tc>
        <w:tc>
          <w:tcPr>
            <w:tcW w:w="747"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10分</w:t>
            </w:r>
          </w:p>
        </w:tc>
        <w:tc>
          <w:tcPr>
            <w:tcW w:w="4855"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进度安排及保障措施</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根据本项目“第三篇 项目商务需求”“一、服务期、地点、验收方式及验收标准要求”“（四）验收标准要求”中的“完成时限”内容，制定科学、合理的立法进度计划，提出确保计划高效、优质、如期完成的对应保证措施，包含以下内容：</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①总体工作计划；</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②立法进度计划；</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③对应质量保障措施。</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方案内容不存在瑕疵的得10分； </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方案内容存在1处瑕疵的得7分； </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方案内容存在2处瑕疵的得5分； </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方案内容存在3处瑕疵的得3分；</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方案内容存在4处瑕疵的得1分；</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方案内容存在5处</w:t>
            </w:r>
            <w:r>
              <w:rPr>
                <w:rFonts w:hint="eastAsia" w:asciiTheme="minorEastAsia" w:hAnsiTheme="minorEastAsia" w:eastAsiaTheme="minorEastAsia" w:cstheme="minorEastAsia"/>
                <w:color w:val="auto"/>
                <w:sz w:val="21"/>
                <w:szCs w:val="21"/>
                <w:highlight w:val="none"/>
                <w:lang w:val="en-US" w:eastAsia="zh-CN"/>
              </w:rPr>
              <w:t>及以上</w:t>
            </w:r>
            <w:r>
              <w:rPr>
                <w:rFonts w:hint="eastAsia" w:asciiTheme="minorEastAsia" w:hAnsiTheme="minorEastAsia" w:eastAsiaTheme="minorEastAsia" w:cstheme="minorEastAsia"/>
                <w:color w:val="auto"/>
                <w:sz w:val="21"/>
                <w:szCs w:val="21"/>
                <w:highlight w:val="none"/>
              </w:rPr>
              <w:t>瑕疵或未提供的得0分。</w:t>
            </w:r>
          </w:p>
        </w:tc>
        <w:tc>
          <w:tcPr>
            <w:tcW w:w="2499" w:type="dxa"/>
            <w:vMerge w:val="continue"/>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p>
        </w:tc>
        <w:tc>
          <w:tcPr>
            <w:tcW w:w="1230"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商务部分</w:t>
            </w:r>
          </w:p>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（30%）</w:t>
            </w:r>
          </w:p>
        </w:tc>
        <w:tc>
          <w:tcPr>
            <w:tcW w:w="747"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15分</w:t>
            </w:r>
          </w:p>
        </w:tc>
        <w:tc>
          <w:tcPr>
            <w:tcW w:w="4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业绩</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2020年1月1日至</w:t>
            </w:r>
            <w:r>
              <w:rPr>
                <w:rFonts w:hint="eastAsia" w:asciiTheme="minorEastAsia" w:hAnsiTheme="minorEastAsia" w:eastAsiaTheme="minorEastAsia" w:cstheme="minorEastAsia"/>
                <w:color w:val="auto"/>
                <w:sz w:val="21"/>
                <w:szCs w:val="21"/>
                <w:highlight w:val="none"/>
                <w:lang w:val="en-US" w:eastAsia="zh-CN"/>
              </w:rPr>
              <w:t>磋商日止（以合同（协议书）签订时间为准）</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承担</w:t>
            </w:r>
            <w:r>
              <w:rPr>
                <w:rFonts w:hint="eastAsia" w:asciiTheme="minorEastAsia" w:hAnsiTheme="minorEastAsia" w:eastAsiaTheme="minorEastAsia" w:cstheme="minorEastAsia"/>
                <w:color w:val="auto"/>
                <w:sz w:val="21"/>
                <w:szCs w:val="21"/>
                <w:highlight w:val="none"/>
                <w:lang w:val="en-US" w:eastAsia="zh-CN"/>
              </w:rPr>
              <w:t>过类似</w:t>
            </w:r>
            <w:r>
              <w:rPr>
                <w:rFonts w:hint="eastAsia" w:asciiTheme="minorEastAsia" w:hAnsiTheme="minorEastAsia" w:eastAsiaTheme="minorEastAsia" w:cstheme="minorEastAsia"/>
                <w:color w:val="auto"/>
                <w:sz w:val="21"/>
                <w:szCs w:val="21"/>
                <w:highlight w:val="none"/>
              </w:rPr>
              <w:t>立法起草工作业绩的，每</w:t>
            </w:r>
            <w:r>
              <w:rPr>
                <w:rFonts w:hint="eastAsia" w:asciiTheme="minorEastAsia" w:hAnsiTheme="minorEastAsia" w:eastAsiaTheme="minorEastAsia" w:cstheme="minorEastAsia"/>
                <w:color w:val="auto"/>
                <w:sz w:val="21"/>
                <w:szCs w:val="21"/>
                <w:highlight w:val="none"/>
                <w:lang w:val="en-US" w:eastAsia="zh-CN"/>
              </w:rPr>
              <w:t>具</w:t>
            </w:r>
            <w:r>
              <w:rPr>
                <w:rFonts w:hint="eastAsia" w:asciiTheme="minorEastAsia" w:hAnsiTheme="minorEastAsia" w:eastAsiaTheme="minorEastAsia" w:cstheme="minorEastAsia"/>
                <w:color w:val="auto"/>
                <w:sz w:val="21"/>
                <w:szCs w:val="21"/>
                <w:highlight w:val="none"/>
              </w:rPr>
              <w:t>有1个得5分，</w:t>
            </w:r>
            <w:r>
              <w:rPr>
                <w:rFonts w:hint="eastAsia" w:asciiTheme="minorEastAsia" w:hAnsiTheme="minorEastAsia" w:eastAsiaTheme="minorEastAsia" w:cstheme="minorEastAsia"/>
                <w:color w:val="auto"/>
                <w:sz w:val="21"/>
                <w:szCs w:val="21"/>
                <w:highlight w:val="none"/>
                <w:lang w:val="en-US" w:eastAsia="zh-CN"/>
              </w:rPr>
              <w:t>本项</w:t>
            </w:r>
            <w:r>
              <w:rPr>
                <w:rFonts w:hint="eastAsia" w:asciiTheme="minorEastAsia" w:hAnsiTheme="minorEastAsia" w:eastAsiaTheme="minorEastAsia" w:cstheme="minorEastAsia"/>
                <w:color w:val="auto"/>
                <w:sz w:val="21"/>
                <w:szCs w:val="21"/>
                <w:highlight w:val="none"/>
              </w:rPr>
              <w:t>最多得15分。</w:t>
            </w:r>
          </w:p>
        </w:tc>
        <w:tc>
          <w:tcPr>
            <w:tcW w:w="2499"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提供合同或委托协议等复印件并加盖供应商公章。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color w:val="auto"/>
                <w:sz w:val="21"/>
                <w:szCs w:val="21"/>
                <w:highlight w:val="none"/>
              </w:rPr>
            </w:pPr>
          </w:p>
        </w:tc>
        <w:tc>
          <w:tcPr>
            <w:tcW w:w="123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color w:val="auto"/>
                <w:sz w:val="21"/>
                <w:szCs w:val="21"/>
                <w:highlight w:val="none"/>
              </w:rPr>
            </w:pPr>
          </w:p>
        </w:tc>
        <w:tc>
          <w:tcPr>
            <w:tcW w:w="747"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15分</w:t>
            </w:r>
          </w:p>
        </w:tc>
        <w:tc>
          <w:tcPr>
            <w:tcW w:w="485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项目团队人员配备：</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供应商投入本项目的服务团队人员中，</w:t>
            </w:r>
            <w:r>
              <w:rPr>
                <w:rFonts w:hint="eastAsia" w:asciiTheme="minorEastAsia" w:hAnsiTheme="minorEastAsia" w:eastAsiaTheme="minorEastAsia" w:cstheme="minorEastAsia"/>
                <w:color w:val="auto"/>
                <w:sz w:val="21"/>
                <w:szCs w:val="21"/>
                <w:highlight w:val="none"/>
              </w:rPr>
              <w:t>每</w:t>
            </w:r>
            <w:r>
              <w:rPr>
                <w:rFonts w:hint="eastAsia" w:asciiTheme="minorEastAsia" w:hAnsiTheme="minorEastAsia" w:eastAsiaTheme="minorEastAsia" w:cstheme="minorEastAsia"/>
                <w:color w:val="auto"/>
                <w:sz w:val="21"/>
                <w:szCs w:val="21"/>
                <w:highlight w:val="none"/>
                <w:lang w:val="en-US" w:eastAsia="zh-CN"/>
              </w:rPr>
              <w:t>拟派1人</w:t>
            </w:r>
            <w:r>
              <w:rPr>
                <w:rFonts w:hint="eastAsia" w:asciiTheme="minorEastAsia" w:hAnsiTheme="minorEastAsia" w:eastAsiaTheme="minorEastAsia" w:cstheme="minorEastAsia"/>
                <w:color w:val="auto"/>
                <w:sz w:val="21"/>
                <w:szCs w:val="21"/>
                <w:highlight w:val="none"/>
              </w:rPr>
              <w:t>具有法学专业高级职称或律师执业资格的得2分，</w:t>
            </w:r>
            <w:r>
              <w:rPr>
                <w:rFonts w:hint="eastAsia" w:asciiTheme="minorEastAsia" w:hAnsiTheme="minorEastAsia" w:eastAsiaTheme="minorEastAsia" w:cstheme="minorEastAsia"/>
                <w:color w:val="auto"/>
                <w:sz w:val="21"/>
                <w:szCs w:val="21"/>
                <w:highlight w:val="none"/>
                <w:lang w:val="en-US" w:eastAsia="zh-CN"/>
              </w:rPr>
              <w:t>本项</w:t>
            </w:r>
            <w:r>
              <w:rPr>
                <w:rFonts w:hint="eastAsia" w:asciiTheme="minorEastAsia" w:hAnsiTheme="minorEastAsia" w:eastAsiaTheme="minorEastAsia" w:cstheme="minorEastAsia"/>
                <w:color w:val="auto"/>
                <w:sz w:val="21"/>
                <w:szCs w:val="21"/>
                <w:highlight w:val="none"/>
              </w:rPr>
              <w:t>最多</w:t>
            </w:r>
            <w:r>
              <w:rPr>
                <w:rFonts w:hint="eastAsia" w:asciiTheme="minorEastAsia" w:hAnsiTheme="minorEastAsia" w:eastAsiaTheme="minorEastAsia" w:cstheme="minorEastAsia"/>
                <w:color w:val="auto"/>
                <w:sz w:val="21"/>
                <w:szCs w:val="21"/>
                <w:highlight w:val="none"/>
                <w:lang w:val="en-US" w:eastAsia="zh-CN"/>
              </w:rPr>
              <w:t>得</w:t>
            </w:r>
            <w:r>
              <w:rPr>
                <w:rFonts w:hint="eastAsia" w:asciiTheme="minorEastAsia" w:hAnsiTheme="minorEastAsia" w:eastAsiaTheme="minorEastAsia" w:cstheme="minorEastAsia"/>
                <w:color w:val="auto"/>
                <w:sz w:val="21"/>
                <w:szCs w:val="21"/>
                <w:highlight w:val="none"/>
              </w:rPr>
              <w:t>4分；</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供应商投入本项目的服务团队人员中，该人员</w:t>
            </w:r>
            <w:r>
              <w:rPr>
                <w:rFonts w:hint="eastAsia" w:asciiTheme="minorEastAsia" w:hAnsiTheme="minorEastAsia" w:eastAsiaTheme="minorEastAsia" w:cstheme="minorEastAsia"/>
                <w:color w:val="auto"/>
                <w:sz w:val="21"/>
                <w:szCs w:val="21"/>
                <w:highlight w:val="none"/>
              </w:rPr>
              <w:t>2020年1月1日至</w:t>
            </w:r>
            <w:r>
              <w:rPr>
                <w:rFonts w:hint="eastAsia" w:asciiTheme="minorEastAsia" w:hAnsiTheme="minorEastAsia" w:eastAsiaTheme="minorEastAsia" w:cstheme="minorEastAsia"/>
                <w:color w:val="auto"/>
                <w:sz w:val="21"/>
                <w:szCs w:val="21"/>
                <w:highlight w:val="none"/>
                <w:lang w:val="en-US" w:eastAsia="zh-CN"/>
              </w:rPr>
              <w:t>磋商日止</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每有一次</w:t>
            </w:r>
            <w:r>
              <w:rPr>
                <w:rFonts w:hint="eastAsia" w:asciiTheme="minorEastAsia" w:hAnsiTheme="minorEastAsia" w:eastAsiaTheme="minorEastAsia" w:cstheme="minorEastAsia"/>
                <w:color w:val="auto"/>
                <w:sz w:val="21"/>
                <w:szCs w:val="21"/>
                <w:highlight w:val="none"/>
              </w:rPr>
              <w:t>主持或参加省部级（直辖市）及以上科研课题</w:t>
            </w:r>
            <w:r>
              <w:rPr>
                <w:rFonts w:hint="eastAsia" w:asciiTheme="minorEastAsia" w:hAnsiTheme="minorEastAsia" w:eastAsiaTheme="minorEastAsia" w:cstheme="minorEastAsia"/>
                <w:color w:val="auto"/>
                <w:sz w:val="21"/>
                <w:szCs w:val="21"/>
                <w:highlight w:val="none"/>
                <w:lang w:val="en-US" w:eastAsia="zh-CN"/>
              </w:rPr>
              <w:t>经历的</w:t>
            </w:r>
            <w:r>
              <w:rPr>
                <w:rFonts w:hint="eastAsia" w:asciiTheme="minorEastAsia" w:hAnsiTheme="minorEastAsia" w:eastAsiaTheme="minorEastAsia" w:cstheme="minorEastAsia"/>
                <w:color w:val="auto"/>
                <w:sz w:val="21"/>
                <w:szCs w:val="21"/>
                <w:highlight w:val="none"/>
              </w:rPr>
              <w:t>得2分，</w:t>
            </w:r>
            <w:r>
              <w:rPr>
                <w:rFonts w:hint="eastAsia" w:asciiTheme="minorEastAsia" w:hAnsiTheme="minorEastAsia" w:eastAsiaTheme="minorEastAsia" w:cstheme="minorEastAsia"/>
                <w:color w:val="auto"/>
                <w:sz w:val="21"/>
                <w:szCs w:val="21"/>
                <w:highlight w:val="none"/>
                <w:lang w:val="en-US" w:eastAsia="zh-CN"/>
              </w:rPr>
              <w:t>本项</w:t>
            </w:r>
            <w:r>
              <w:rPr>
                <w:rFonts w:hint="eastAsia" w:asciiTheme="minorEastAsia" w:hAnsiTheme="minorEastAsia" w:eastAsiaTheme="minorEastAsia" w:cstheme="minorEastAsia"/>
                <w:color w:val="auto"/>
                <w:sz w:val="21"/>
                <w:szCs w:val="21"/>
                <w:highlight w:val="none"/>
              </w:rPr>
              <w:t>最多得4分；</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en-US" w:eastAsia="zh-CN"/>
              </w:rPr>
              <w:t>供应商投入本项目的服务团队人员中，该人员</w:t>
            </w:r>
            <w:r>
              <w:rPr>
                <w:rFonts w:hint="eastAsia" w:asciiTheme="minorEastAsia" w:hAnsiTheme="minorEastAsia" w:eastAsiaTheme="minorEastAsia" w:cstheme="minorEastAsia"/>
                <w:color w:val="auto"/>
                <w:sz w:val="21"/>
                <w:szCs w:val="21"/>
                <w:highlight w:val="none"/>
              </w:rPr>
              <w:t>2020年1月1日至</w:t>
            </w:r>
            <w:r>
              <w:rPr>
                <w:rFonts w:hint="eastAsia" w:asciiTheme="minorEastAsia" w:hAnsiTheme="minorEastAsia" w:eastAsiaTheme="minorEastAsia" w:cstheme="minorEastAsia"/>
                <w:color w:val="auto"/>
                <w:sz w:val="21"/>
                <w:szCs w:val="21"/>
                <w:highlight w:val="none"/>
                <w:lang w:val="en-US" w:eastAsia="zh-CN"/>
              </w:rPr>
              <w:t>磋商日止</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每有一次</w:t>
            </w:r>
            <w:r>
              <w:rPr>
                <w:rFonts w:hint="eastAsia" w:asciiTheme="minorEastAsia" w:hAnsiTheme="minorEastAsia" w:eastAsiaTheme="minorEastAsia" w:cstheme="minorEastAsia"/>
                <w:color w:val="auto"/>
                <w:sz w:val="21"/>
                <w:szCs w:val="21"/>
                <w:highlight w:val="none"/>
              </w:rPr>
              <w:t>作为成员参加并完成省级（直辖市）及以上行政机关立法起草项目</w:t>
            </w:r>
            <w:r>
              <w:rPr>
                <w:rFonts w:hint="eastAsia" w:asciiTheme="minorEastAsia" w:hAnsiTheme="minorEastAsia" w:eastAsiaTheme="minorEastAsia" w:cstheme="minorEastAsia"/>
                <w:color w:val="auto"/>
                <w:sz w:val="21"/>
                <w:szCs w:val="21"/>
                <w:highlight w:val="none"/>
                <w:lang w:val="en-US" w:eastAsia="zh-CN"/>
              </w:rPr>
              <w:t>经历的</w:t>
            </w:r>
            <w:r>
              <w:rPr>
                <w:rFonts w:hint="eastAsia" w:asciiTheme="minorEastAsia" w:hAnsiTheme="minorEastAsia" w:eastAsiaTheme="minorEastAsia" w:cstheme="minorEastAsia"/>
                <w:color w:val="auto"/>
                <w:sz w:val="21"/>
                <w:szCs w:val="21"/>
                <w:highlight w:val="none"/>
              </w:rPr>
              <w:t>得2分，</w:t>
            </w:r>
            <w:r>
              <w:rPr>
                <w:rFonts w:hint="eastAsia" w:asciiTheme="minorEastAsia" w:hAnsiTheme="minorEastAsia" w:eastAsiaTheme="minorEastAsia" w:cstheme="minorEastAsia"/>
                <w:color w:val="auto"/>
                <w:sz w:val="21"/>
                <w:szCs w:val="21"/>
                <w:highlight w:val="none"/>
                <w:lang w:val="en-US" w:eastAsia="zh-CN"/>
              </w:rPr>
              <w:t>本项</w:t>
            </w:r>
            <w:r>
              <w:rPr>
                <w:rFonts w:hint="eastAsia" w:asciiTheme="minorEastAsia" w:hAnsiTheme="minorEastAsia" w:eastAsiaTheme="minorEastAsia" w:cstheme="minorEastAsia"/>
                <w:color w:val="auto"/>
                <w:sz w:val="21"/>
                <w:szCs w:val="21"/>
                <w:highlight w:val="none"/>
              </w:rPr>
              <w:t>最多得4分；</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val="en-US" w:eastAsia="zh-CN"/>
              </w:rPr>
              <w:t>供应商投入本项目的服务团队人员中，该人员每有一次</w:t>
            </w:r>
            <w:r>
              <w:rPr>
                <w:rFonts w:hint="eastAsia" w:asciiTheme="minorEastAsia" w:hAnsiTheme="minorEastAsia" w:eastAsiaTheme="minorEastAsia" w:cstheme="minorEastAsia"/>
                <w:color w:val="auto"/>
                <w:sz w:val="21"/>
                <w:szCs w:val="21"/>
                <w:highlight w:val="none"/>
              </w:rPr>
              <w:t>担任省级及以上学术组织或团体理事及以上学术职务的得1分，</w:t>
            </w:r>
            <w:r>
              <w:rPr>
                <w:rFonts w:hint="eastAsia" w:asciiTheme="minorEastAsia" w:hAnsiTheme="minorEastAsia" w:eastAsiaTheme="minorEastAsia" w:cstheme="minorEastAsia"/>
                <w:color w:val="auto"/>
                <w:sz w:val="21"/>
                <w:szCs w:val="21"/>
                <w:highlight w:val="none"/>
                <w:lang w:val="en-US" w:eastAsia="zh-CN"/>
              </w:rPr>
              <w:t>本项</w:t>
            </w:r>
            <w:r>
              <w:rPr>
                <w:rFonts w:hint="eastAsia" w:asciiTheme="minorEastAsia" w:hAnsiTheme="minorEastAsia" w:eastAsiaTheme="minorEastAsia" w:cstheme="minorEastAsia"/>
                <w:color w:val="auto"/>
                <w:sz w:val="21"/>
                <w:szCs w:val="21"/>
                <w:highlight w:val="none"/>
              </w:rPr>
              <w:t>最多得3分。</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注：以上人员不得重复得分。</w:t>
            </w:r>
          </w:p>
        </w:tc>
        <w:tc>
          <w:tcPr>
            <w:tcW w:w="2499"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评分项</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提供</w:t>
            </w:r>
            <w:r>
              <w:rPr>
                <w:rFonts w:hint="eastAsia" w:asciiTheme="minorEastAsia" w:hAnsiTheme="minorEastAsia" w:eastAsiaTheme="minorEastAsia" w:cstheme="minorEastAsia"/>
                <w:color w:val="auto"/>
                <w:sz w:val="21"/>
                <w:szCs w:val="21"/>
                <w:highlight w:val="none"/>
                <w:lang w:val="en-US" w:eastAsia="zh-CN"/>
              </w:rPr>
              <w:t>人员</w:t>
            </w:r>
            <w:r>
              <w:rPr>
                <w:rFonts w:hint="eastAsia" w:asciiTheme="minorEastAsia" w:hAnsiTheme="minorEastAsia" w:eastAsiaTheme="minorEastAsia" w:cstheme="minorEastAsia"/>
                <w:color w:val="auto"/>
                <w:sz w:val="21"/>
                <w:szCs w:val="21"/>
                <w:highlight w:val="none"/>
              </w:rPr>
              <w:t>职称</w:t>
            </w:r>
            <w:r>
              <w:rPr>
                <w:rFonts w:hint="eastAsia" w:asciiTheme="minorEastAsia" w:hAnsiTheme="minorEastAsia" w:eastAsiaTheme="minorEastAsia" w:cstheme="minorEastAsia"/>
                <w:color w:val="auto"/>
                <w:sz w:val="21"/>
                <w:szCs w:val="21"/>
                <w:highlight w:val="none"/>
                <w:lang w:val="en-US" w:eastAsia="zh-CN"/>
              </w:rPr>
              <w:t>证</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或执业资格证</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、学历复印件并加盖供应商公章。</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评分项</w:t>
            </w: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提供</w:t>
            </w:r>
            <w:r>
              <w:rPr>
                <w:rFonts w:hint="eastAsia" w:asciiTheme="minorEastAsia" w:hAnsiTheme="minorEastAsia" w:eastAsiaTheme="minorEastAsia" w:cstheme="minorEastAsia"/>
                <w:color w:val="auto"/>
                <w:sz w:val="21"/>
                <w:szCs w:val="21"/>
                <w:highlight w:val="none"/>
                <w:lang w:val="en-US" w:eastAsia="zh-CN"/>
              </w:rPr>
              <w:t>能证明该人员经历的证明材料，证明材料包括但不限于专家</w:t>
            </w:r>
            <w:r>
              <w:rPr>
                <w:rFonts w:hint="eastAsia" w:asciiTheme="minorEastAsia" w:hAnsiTheme="minorEastAsia" w:eastAsiaTheme="minorEastAsia" w:cstheme="minorEastAsia"/>
                <w:color w:val="auto"/>
                <w:sz w:val="21"/>
                <w:szCs w:val="21"/>
                <w:highlight w:val="none"/>
              </w:rPr>
              <w:t>成员的有关文件复印件、官网文件截图、聘任书、证书等并加盖供应商公章。</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评分项3：</w:t>
            </w:r>
            <w:r>
              <w:rPr>
                <w:rFonts w:hint="eastAsia" w:asciiTheme="minorEastAsia" w:hAnsiTheme="minorEastAsia" w:eastAsiaTheme="minorEastAsia" w:cstheme="minorEastAsia"/>
                <w:color w:val="auto"/>
                <w:sz w:val="21"/>
                <w:szCs w:val="21"/>
                <w:highlight w:val="none"/>
              </w:rPr>
              <w:t>提供</w:t>
            </w:r>
            <w:r>
              <w:rPr>
                <w:rFonts w:hint="eastAsia" w:asciiTheme="minorEastAsia" w:hAnsiTheme="minorEastAsia" w:eastAsiaTheme="minorEastAsia" w:cstheme="minorEastAsia"/>
                <w:color w:val="auto"/>
                <w:sz w:val="21"/>
                <w:szCs w:val="21"/>
                <w:highlight w:val="none"/>
                <w:lang w:val="en-US" w:eastAsia="zh-CN"/>
              </w:rPr>
              <w:t>能证明该人员经历的证明材料，证明材料包括但不限于</w:t>
            </w:r>
            <w:r>
              <w:rPr>
                <w:rFonts w:hint="eastAsia" w:asciiTheme="minorEastAsia" w:hAnsiTheme="minorEastAsia" w:eastAsiaTheme="minorEastAsia" w:cstheme="minorEastAsia"/>
                <w:color w:val="auto"/>
                <w:sz w:val="21"/>
                <w:szCs w:val="21"/>
                <w:highlight w:val="none"/>
              </w:rPr>
              <w:t>学术职务的任职文件、聘任书、证书等</w:t>
            </w:r>
            <w:r>
              <w:rPr>
                <w:rFonts w:hint="eastAsia" w:asciiTheme="minorEastAsia" w:hAnsiTheme="minorEastAsia" w:eastAsiaTheme="minorEastAsia" w:cstheme="minorEastAsia"/>
                <w:color w:val="auto"/>
                <w:sz w:val="21"/>
                <w:szCs w:val="21"/>
                <w:highlight w:val="none"/>
                <w:lang w:val="en-US" w:eastAsia="zh-CN"/>
              </w:rPr>
              <w:t>复印件</w:t>
            </w:r>
            <w:r>
              <w:rPr>
                <w:rFonts w:hint="eastAsia" w:asciiTheme="minorEastAsia" w:hAnsiTheme="minorEastAsia" w:eastAsiaTheme="minorEastAsia" w:cstheme="minorEastAsia"/>
                <w:color w:val="auto"/>
                <w:sz w:val="21"/>
                <w:szCs w:val="21"/>
                <w:highlight w:val="none"/>
              </w:rPr>
              <w:t>并加盖供应商公章。</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评分项</w:t>
            </w: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提供委托起草单位出具的书面证明或佐证材料，或者能够反映</w:t>
            </w:r>
            <w:r>
              <w:rPr>
                <w:rFonts w:hint="eastAsia" w:asciiTheme="minorEastAsia" w:hAnsiTheme="minorEastAsia" w:eastAsiaTheme="minorEastAsia" w:cstheme="minorEastAsia"/>
                <w:color w:val="auto"/>
                <w:sz w:val="21"/>
                <w:szCs w:val="21"/>
                <w:highlight w:val="none"/>
                <w:lang w:val="en-US" w:eastAsia="zh-CN"/>
              </w:rPr>
              <w:t>该人员</w:t>
            </w:r>
            <w:r>
              <w:rPr>
                <w:rFonts w:hint="eastAsia" w:asciiTheme="minorEastAsia" w:hAnsiTheme="minorEastAsia" w:eastAsiaTheme="minorEastAsia" w:cstheme="minorEastAsia"/>
                <w:color w:val="auto"/>
                <w:sz w:val="21"/>
                <w:szCs w:val="21"/>
                <w:highlight w:val="none"/>
              </w:rPr>
              <w:t>参与立法起草项目的相关合同或委托协议等复印件并加盖供应商公章。</w:t>
            </w:r>
          </w:p>
        </w:tc>
      </w:tr>
    </w:tbl>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注：关于小微企业报价扣除比例说明</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1.供应商为非联合体参与磋商的，对小微型企业给予</w:t>
      </w:r>
      <w:r>
        <w:rPr>
          <w:rFonts w:hint="eastAsia" w:asciiTheme="minorEastAsia" w:hAnsiTheme="minorEastAsia" w:eastAsiaTheme="minorEastAsia" w:cstheme="minorEastAsia"/>
          <w:color w:val="auto"/>
          <w:sz w:val="24"/>
          <w:szCs w:val="24"/>
          <w:highlight w:val="none"/>
          <w:u w:val="single"/>
        </w:rPr>
        <w:t>10%</w:t>
      </w:r>
      <w:r>
        <w:rPr>
          <w:rFonts w:hint="eastAsia" w:asciiTheme="minorEastAsia" w:hAnsiTheme="minorEastAsia" w:eastAsiaTheme="minorEastAsia" w:cstheme="minorEastAsia"/>
          <w:color w:val="auto"/>
          <w:sz w:val="24"/>
          <w:szCs w:val="24"/>
          <w:highlight w:val="none"/>
        </w:rPr>
        <w:t>的扣除，以扣除后的报价参与评审。</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2.监狱企业、残疾人福利性单位视同小型、微型企业。</w:t>
      </w:r>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10" w:name="_Toc106030890"/>
      <w:bookmarkStart w:id="111" w:name="_Toc4622"/>
      <w:bookmarkStart w:id="112" w:name="_Toc125896822"/>
      <w:bookmarkStart w:id="113" w:name="_Toc76462335"/>
      <w:r>
        <w:rPr>
          <w:rFonts w:hint="eastAsia" w:asciiTheme="minorEastAsia" w:hAnsiTheme="minorEastAsia" w:eastAsiaTheme="minorEastAsia" w:cstheme="minorEastAsia"/>
          <w:color w:val="auto"/>
          <w:sz w:val="24"/>
          <w:szCs w:val="24"/>
          <w:highlight w:val="none"/>
        </w:rPr>
        <w:t>三、无效响应</w:t>
      </w:r>
      <w:bookmarkEnd w:id="110"/>
      <w:bookmarkEnd w:id="111"/>
      <w:bookmarkEnd w:id="112"/>
      <w:bookmarkEnd w:id="113"/>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供应商发生以下条款情况之一者，视为无效响应，其响应文件将被拒绝：</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（一）供应商不符合规定的资格条件的；</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（二）供应商的法定代表人（或其授权代表）或自然人未参加磋商；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（三）供应商所提交的响应文件不按“第七篇响应文件编制要求”要求签署或盖章；</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（四）供应商的最后报价超过采购预算或最高限价的；</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（五）法定代表人为同一个人的两个及两个以上法人，母公司、全资子公司及其控股公司，在同一采购中同时参与磋商；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（六）单位负责人为同一人或者存在直接控股、管理关系的不同供应商，参加同一合同项下的政府采购活动的；</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（七）为采购项目提供整体设计、规范编制或者项目管理、监理、检测等服务的供应商，再参加该采购项目的其他采购活动；</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（八）供应商磋商有效期不满足竞争性磋商文件要求的；</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（九）供应商响应文件内容有与国家现行法律法规相违背的内容，或附有采购人无法接受的条件；</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（十）法律、法规和竞争性磋商文件规定的其他无效情形。</w:t>
      </w:r>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14" w:name="_Toc106030891"/>
      <w:bookmarkStart w:id="115" w:name="_Toc125896823"/>
      <w:bookmarkStart w:id="116" w:name="_Toc19871"/>
      <w:bookmarkStart w:id="117" w:name="_Toc76462336"/>
      <w:r>
        <w:rPr>
          <w:rFonts w:hint="eastAsia" w:asciiTheme="minorEastAsia" w:hAnsiTheme="minorEastAsia" w:eastAsiaTheme="minorEastAsia" w:cstheme="minorEastAsia"/>
          <w:color w:val="auto"/>
          <w:sz w:val="24"/>
          <w:szCs w:val="24"/>
          <w:highlight w:val="none"/>
        </w:rPr>
        <w:t>四、</w:t>
      </w:r>
      <w:bookmarkEnd w:id="108"/>
      <w:bookmarkEnd w:id="109"/>
      <w:r>
        <w:rPr>
          <w:rFonts w:hint="eastAsia" w:asciiTheme="minorEastAsia" w:hAnsiTheme="minorEastAsia" w:eastAsiaTheme="minorEastAsia" w:cstheme="minorEastAsia"/>
          <w:color w:val="auto"/>
          <w:sz w:val="24"/>
          <w:szCs w:val="24"/>
          <w:highlight w:val="none"/>
        </w:rPr>
        <w:t>采购终止</w:t>
      </w:r>
      <w:bookmarkEnd w:id="114"/>
      <w:bookmarkEnd w:id="115"/>
      <w:bookmarkEnd w:id="116"/>
      <w:bookmarkEnd w:id="117"/>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出现下列情形之一的，采购人或者采购代理机构应当终止竞争性磋商采购活动，发布项目终止公告并说明原因，重新开展采购活动：</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（一）因情况变化，不再符合规定的竞争性磋商采购方式适用情形的；</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（二）出现影响采购公正的违法、违规行为的；</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sectPr>
          <w:pgSz w:w="11907" w:h="16840"/>
          <w:pgMar w:top="1440" w:right="1247" w:bottom="1440" w:left="1814" w:header="964" w:footer="992" w:gutter="0"/>
          <w:pgNumType w:fmt="numberInDash"/>
          <w:cols w:space="0" w:num="1"/>
          <w:rtlGutter w:val="0"/>
          <w:docGrid w:linePitch="312" w:charSpace="0"/>
        </w:sectPr>
      </w:pPr>
    </w:p>
    <w:p>
      <w:pPr>
        <w:pStyle w:val="4"/>
        <w:pageBreakBefore/>
        <w:kinsoku/>
        <w:wordWrap/>
        <w:overflowPunct/>
        <w:topLinePunct w:val="0"/>
        <w:autoSpaceDE/>
        <w:autoSpaceDN/>
        <w:bidi w:val="0"/>
        <w:adjustRightInd w:val="0"/>
        <w:snapToGrid/>
        <w:spacing w:before="0" w:after="0" w:line="360" w:lineRule="auto"/>
        <w:ind w:firstLine="720" w:firstLineChars="200"/>
        <w:jc w:val="center"/>
        <w:textAlignment w:val="auto"/>
        <w:rPr>
          <w:rFonts w:hint="eastAsia" w:asciiTheme="minorEastAsia" w:hAnsiTheme="minorEastAsia" w:eastAsiaTheme="minorEastAsia" w:cstheme="minorEastAsia"/>
          <w:b w:val="0"/>
          <w:bCs/>
          <w:color w:val="auto"/>
          <w:sz w:val="36"/>
          <w:szCs w:val="36"/>
          <w:highlight w:val="none"/>
        </w:rPr>
      </w:pPr>
      <w:bookmarkStart w:id="118" w:name="_Toc20402"/>
      <w:bookmarkStart w:id="119" w:name="_Toc125896824"/>
      <w:bookmarkStart w:id="120" w:name="_Toc102227313"/>
      <w:bookmarkStart w:id="121" w:name="_Toc76462337"/>
      <w:bookmarkStart w:id="122" w:name="_Toc106030892"/>
      <w:r>
        <w:rPr>
          <w:rFonts w:hint="eastAsia" w:asciiTheme="minorEastAsia" w:hAnsiTheme="minorEastAsia" w:eastAsiaTheme="minorEastAsia" w:cstheme="minorEastAsia"/>
          <w:b w:val="0"/>
          <w:bCs/>
          <w:color w:val="auto"/>
          <w:sz w:val="36"/>
          <w:szCs w:val="36"/>
          <w:highlight w:val="none"/>
        </w:rPr>
        <w:t>第五篇  供应商须知</w:t>
      </w:r>
      <w:bookmarkEnd w:id="118"/>
      <w:bookmarkEnd w:id="119"/>
      <w:bookmarkEnd w:id="120"/>
      <w:bookmarkEnd w:id="121"/>
      <w:bookmarkEnd w:id="122"/>
    </w:p>
    <w:p>
      <w:pPr>
        <w:pStyle w:val="4"/>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23" w:name="_Toc106030893"/>
      <w:bookmarkStart w:id="124" w:name="_Toc76462338"/>
      <w:bookmarkStart w:id="125" w:name="_Toc342913389"/>
      <w:bookmarkStart w:id="126" w:name="_Toc470"/>
      <w:bookmarkStart w:id="127" w:name="_Toc125896825"/>
      <w:r>
        <w:rPr>
          <w:rFonts w:hint="eastAsia" w:asciiTheme="minorEastAsia" w:hAnsiTheme="minorEastAsia" w:eastAsiaTheme="minorEastAsia" w:cstheme="minorEastAsia"/>
          <w:color w:val="auto"/>
          <w:sz w:val="24"/>
          <w:szCs w:val="24"/>
          <w:highlight w:val="none"/>
        </w:rPr>
        <w:t>一、磋商费用</w:t>
      </w:r>
      <w:bookmarkEnd w:id="123"/>
      <w:bookmarkEnd w:id="124"/>
      <w:bookmarkEnd w:id="125"/>
      <w:bookmarkEnd w:id="126"/>
      <w:bookmarkEnd w:id="127"/>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pPr>
        <w:pStyle w:val="4"/>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28" w:name="_Toc125896826"/>
      <w:bookmarkStart w:id="129" w:name="_Toc32321"/>
      <w:bookmarkStart w:id="130" w:name="_Toc106030894"/>
      <w:bookmarkStart w:id="131" w:name="_Toc342913391"/>
      <w:bookmarkStart w:id="132" w:name="_Toc76462339"/>
      <w:r>
        <w:rPr>
          <w:rFonts w:hint="eastAsia" w:asciiTheme="minorEastAsia" w:hAnsiTheme="minorEastAsia" w:eastAsiaTheme="minorEastAsia" w:cstheme="minorEastAsia"/>
          <w:color w:val="auto"/>
          <w:sz w:val="24"/>
          <w:szCs w:val="24"/>
          <w:highlight w:val="none"/>
        </w:rPr>
        <w:t>二、竞争性磋商文件</w:t>
      </w:r>
      <w:bookmarkEnd w:id="128"/>
      <w:bookmarkEnd w:id="129"/>
      <w:bookmarkEnd w:id="130"/>
      <w:bookmarkEnd w:id="131"/>
      <w:bookmarkEnd w:id="13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（一）竞争性磋商文件由采购邀请书；项目服务需求；项目商务需求；磋商程序及方法、评审标准、无效响应和采购终止；供应商须知；政府采购合同；响应文件编制要求七部分组成。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（二）采购人（或采购代理机构）所作的一切有效的书面通知、修改及补充，都是竞争性磋商文件不可分割的部分。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（三）竞争性磋商文件的解释</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133" w:name="_Toc318159349"/>
      <w:bookmarkStart w:id="134" w:name="_Toc318159780"/>
      <w:bookmarkStart w:id="135" w:name="_Toc318159160"/>
      <w:bookmarkStart w:id="136" w:name="_Toc318166429"/>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（四）本竞争性磋商文件中，磋商小组根据与供应商进行磋商可能实质性变动的内容为竞争性磋商文件第二、三篇全部内容。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133"/>
    <w:bookmarkEnd w:id="134"/>
    <w:bookmarkEnd w:id="135"/>
    <w:bookmarkEnd w:id="136"/>
    <w:p>
      <w:pPr>
        <w:pStyle w:val="4"/>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37" w:name="_Toc179714297"/>
      <w:bookmarkStart w:id="138" w:name="_Toc106030895"/>
      <w:bookmarkStart w:id="139" w:name="_Toc102227318"/>
      <w:bookmarkStart w:id="140" w:name="_Toc125896827"/>
      <w:bookmarkStart w:id="141" w:name="_Toc76462340"/>
      <w:bookmarkStart w:id="142" w:name="_Toc23726"/>
      <w:bookmarkStart w:id="143" w:name="_Toc342913392"/>
      <w:r>
        <w:rPr>
          <w:rFonts w:hint="eastAsia" w:asciiTheme="minorEastAsia" w:hAnsiTheme="minorEastAsia" w:eastAsiaTheme="minorEastAsia" w:cstheme="minorEastAsia"/>
          <w:color w:val="auto"/>
          <w:sz w:val="24"/>
          <w:szCs w:val="24"/>
          <w:highlight w:val="none"/>
        </w:rPr>
        <w:t>三、磋商要求</w:t>
      </w:r>
      <w:bookmarkEnd w:id="137"/>
      <w:bookmarkEnd w:id="138"/>
      <w:bookmarkEnd w:id="139"/>
      <w:bookmarkEnd w:id="140"/>
      <w:bookmarkEnd w:id="141"/>
      <w:bookmarkEnd w:id="142"/>
      <w:bookmarkEnd w:id="143"/>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（一）响应文件</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2.响应文件组成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（二）联合体</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本项目不接受联合体投标。</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（三）磋商有效期：响应文件及有关承诺文件有效期为提交响应文件截止时间起90天。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（四）修正错误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1.若供应商所递交的响应文件或最后报价中的价格出现大写金额和小写金额不一致的错误，以大写金额修正为准。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（五）提交响应文件的份数和签署</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2.响应文件按竞争性磋商文件“第七篇响应文件编制要求”要求签署或盖章。</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（六）响应文件的递交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（七）供应商参与人员</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各个供应商应当派1-2名代表参与磋商，至少1人应为供应商法定代表人或授权代表或自然人（供应商为自然人）。</w:t>
      </w:r>
    </w:p>
    <w:p>
      <w:pPr>
        <w:pStyle w:val="4"/>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44" w:name="_Toc106030896"/>
      <w:bookmarkStart w:id="145" w:name="_Toc25030"/>
      <w:bookmarkStart w:id="146" w:name="_Toc125896828"/>
      <w:bookmarkStart w:id="147" w:name="_Toc76462341"/>
      <w:r>
        <w:rPr>
          <w:rFonts w:hint="eastAsia" w:asciiTheme="minorEastAsia" w:hAnsiTheme="minorEastAsia" w:eastAsiaTheme="minorEastAsia" w:cstheme="minorEastAsia"/>
          <w:color w:val="auto"/>
          <w:sz w:val="24"/>
          <w:szCs w:val="24"/>
          <w:highlight w:val="none"/>
        </w:rPr>
        <w:t>四、成交供应商的确认和变更</w:t>
      </w:r>
      <w:bookmarkEnd w:id="144"/>
      <w:bookmarkEnd w:id="145"/>
      <w:bookmarkEnd w:id="146"/>
      <w:bookmarkEnd w:id="147"/>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（一）成交供应商的确认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（二）成交供应商的变更</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成交供应商拒绝与采购人签订合同的，采购人可以按照评标报告推荐的成交候选供应商顺序，确定排名下一位的候选人为成交供应商，也可以重新开展政府采购活动。</w:t>
      </w:r>
    </w:p>
    <w:p>
      <w:pPr>
        <w:pStyle w:val="4"/>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48" w:name="_Toc24336"/>
      <w:bookmarkStart w:id="149" w:name="_Toc125896829"/>
      <w:bookmarkStart w:id="150" w:name="_Toc342913395"/>
      <w:bookmarkStart w:id="151" w:name="_Toc102227321"/>
      <w:bookmarkStart w:id="152" w:name="_Toc76462342"/>
      <w:bookmarkStart w:id="153" w:name="_Toc106030897"/>
      <w:r>
        <w:rPr>
          <w:rFonts w:hint="eastAsia" w:asciiTheme="minorEastAsia" w:hAnsiTheme="minorEastAsia" w:eastAsiaTheme="minorEastAsia" w:cstheme="minorEastAsia"/>
          <w:color w:val="auto"/>
          <w:sz w:val="24"/>
          <w:szCs w:val="24"/>
          <w:highlight w:val="none"/>
        </w:rPr>
        <w:t>五、成交通知</w:t>
      </w:r>
      <w:bookmarkEnd w:id="148"/>
      <w:bookmarkEnd w:id="149"/>
      <w:bookmarkEnd w:id="150"/>
      <w:bookmarkEnd w:id="151"/>
      <w:bookmarkEnd w:id="152"/>
      <w:bookmarkEnd w:id="153"/>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（一）成交供应商确定后，采购代理机构将在“行采家”平台（http://www.gec123.com）</w:t>
      </w:r>
      <w:r>
        <w:rPr>
          <w:rFonts w:hint="eastAsia" w:asciiTheme="minorEastAsia" w:hAnsiTheme="minorEastAsia" w:eastAsiaTheme="minorEastAsia" w:cstheme="minorEastAsia"/>
          <w:color w:val="auto"/>
          <w:sz w:val="24"/>
          <w:szCs w:val="24"/>
          <w:highlight w:val="none"/>
          <w:lang w:eastAsia="zh-CN"/>
        </w:rPr>
        <w:t>、重庆市总工会（https://www.cqgh.org/）</w:t>
      </w:r>
      <w:r>
        <w:rPr>
          <w:rFonts w:hint="eastAsia" w:asciiTheme="minorEastAsia" w:hAnsiTheme="minorEastAsia" w:eastAsiaTheme="minorEastAsia" w:cstheme="minorEastAsia"/>
          <w:color w:val="auto"/>
          <w:sz w:val="24"/>
          <w:szCs w:val="24"/>
          <w:highlight w:val="none"/>
        </w:rPr>
        <w:t>上发布成交结果公告。</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（二）结果公告发出同时，采购代理机构将以书面形式发出《成交通知书》。《成交通知书》一经发出即发生法律效力。</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（三）《成交通知书》将作为签订合同的依据。</w:t>
      </w:r>
    </w:p>
    <w:p>
      <w:pPr>
        <w:pStyle w:val="4"/>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54" w:name="_Toc14447"/>
      <w:bookmarkStart w:id="155" w:name="_Toc125896830"/>
      <w:bookmarkStart w:id="156" w:name="_Toc106030898"/>
      <w:bookmarkStart w:id="157" w:name="_Toc76462343"/>
      <w:r>
        <w:rPr>
          <w:rFonts w:hint="eastAsia" w:asciiTheme="minorEastAsia" w:hAnsiTheme="minorEastAsia" w:eastAsiaTheme="minorEastAsia" w:cstheme="minorEastAsia"/>
          <w:color w:val="auto"/>
          <w:sz w:val="24"/>
          <w:szCs w:val="24"/>
          <w:highlight w:val="none"/>
        </w:rPr>
        <w:t>六、关于质疑</w:t>
      </w:r>
      <w:bookmarkEnd w:id="154"/>
      <w:bookmarkEnd w:id="155"/>
      <w:bookmarkEnd w:id="156"/>
      <w:bookmarkEnd w:id="157"/>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（一）质疑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供应商认为采购文件、采购过程和成交结果使自己的权益</w:t>
      </w:r>
      <w:r>
        <w:rPr>
          <w:rFonts w:hint="eastAsia" w:asciiTheme="minorEastAsia" w:hAnsiTheme="minorEastAsia" w:eastAsiaTheme="minorEastAsia" w:cstheme="minorEastAsia"/>
          <w:color w:val="auto"/>
          <w:sz w:val="24"/>
          <w:szCs w:val="24"/>
          <w:highlight w:val="none"/>
          <w:lang w:val="en-US" w:eastAsia="zh-CN"/>
        </w:rPr>
        <w:t>受到</w:t>
      </w:r>
      <w:r>
        <w:rPr>
          <w:rFonts w:hint="eastAsia" w:asciiTheme="minorEastAsia" w:hAnsiTheme="minorEastAsia" w:eastAsiaTheme="minorEastAsia" w:cstheme="minorEastAsia"/>
          <w:color w:val="auto"/>
          <w:sz w:val="24"/>
          <w:szCs w:val="24"/>
          <w:highlight w:val="none"/>
        </w:rPr>
        <w:t>伤害的，可向采购人或采购代理机构以书面形式提出质疑。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提出质疑的应当是参与所质疑项目采购活动的供应商。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1.质疑时限、内容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供应商认为采购文件、采购过程、成交结果使自己的权益受到损害的，可以在知道或者应知其权益受到损害之日起7个工作日内，以书面形式向采购人、采购代理机构提出质疑。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1.2供应商提出质疑应当提交质疑函和必要的证明材料，质疑函应当包括下列内容：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1.2.1供应商的姓名或者名称、地址、邮编、联系人及联系电话；</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1.2.2质疑项目的名称、项目号以及采购执行编号；</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1.2.3具体、明确的质疑事项和与质疑事项相关的请求；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1.2.4事实依据；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1.2.5必要的法律依据；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1.2.6提出质疑的日期；</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1.2.7营业执照（或事业单位法人证书，或个体工商户营业执照或有效的自然人身份证明）复印件；</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1.2.8法定代表人授权委托书原件、法定代表人身份证复印件和其授权代表的身份证复印件（供应商为自然人的提供自然人身份证复印件）；</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1.3供应商为自然人的，质疑函应当由本人签字；供应商为法人或者其他组织的，质疑函应当由法定代表人、主要负责人，或者其授权代表签字或者盖章，并加盖公章。</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2.质疑答复</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采购人、采购代理机构应当在收到供应商的书面质疑后七个工作日内作出答复，并以书面形式通知质疑供应商和其他有关供应商。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3.其他</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3.1供应商应按照《政府采购质疑和投诉办法》（财政部令第94号）及相关法律法规要求，在法定质疑期内一次性提出针对同一采购程序环节的质疑。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3.2质疑函范本可在财政部门户网站和中国政府采购网下载。</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（二）投诉</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1.供应商对采购人、采购代理机构的答复不满意，或者采购人、采购代理机构未在规定时间内作出答复的，可以在答复期满后15个工作日内按照相关法律法规向财政部门提起投诉。</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2.供应商应按照《政府采购质疑和投诉办法》（财政部令第94号）及相关法律法规要求递交投诉书和必要的证明材料。投诉书范本可在财政部门户网站和中国政府采购网下载。</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4.在确定受理投诉后，财政部门自受理投诉之日起30个工作日内（需要检验、检测、鉴定、专家评审以及需要投诉人补正材料的，所需时间不计算在投诉处理期限内）对投诉事项做出处理决定。</w:t>
      </w:r>
    </w:p>
    <w:p>
      <w:pPr>
        <w:pStyle w:val="4"/>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58" w:name="_Toc5068"/>
      <w:bookmarkStart w:id="159" w:name="_Toc76462344"/>
      <w:bookmarkStart w:id="160" w:name="_Toc125896831"/>
      <w:bookmarkStart w:id="161" w:name="_Toc106030899"/>
      <w:r>
        <w:rPr>
          <w:rFonts w:hint="eastAsia" w:asciiTheme="minorEastAsia" w:hAnsiTheme="minorEastAsia" w:eastAsiaTheme="minorEastAsia" w:cstheme="minorEastAsia"/>
          <w:color w:val="auto"/>
          <w:sz w:val="24"/>
          <w:szCs w:val="24"/>
          <w:highlight w:val="none"/>
        </w:rPr>
        <w:t>七、采购代理服务费</w:t>
      </w:r>
      <w:bookmarkEnd w:id="158"/>
      <w:bookmarkEnd w:id="159"/>
      <w:bookmarkEnd w:id="160"/>
      <w:bookmarkEnd w:id="16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162" w:name="OLE_LINK7"/>
      <w:bookmarkStart w:id="163" w:name="OLE_LINK8"/>
      <w:r>
        <w:rPr>
          <w:rFonts w:hint="eastAsia" w:asciiTheme="minorEastAsia" w:hAnsiTheme="minorEastAsia" w:eastAsiaTheme="minorEastAsia" w:cstheme="minorEastAsia"/>
          <w:color w:val="auto"/>
          <w:sz w:val="24"/>
          <w:szCs w:val="24"/>
          <w:highlight w:val="none"/>
        </w:rPr>
        <w:t>供应商成交后在领取成交通知书前向采购代理机构缴纳采购代理服务费</w:t>
      </w:r>
      <w:r>
        <w:rPr>
          <w:rFonts w:hint="eastAsia" w:asciiTheme="minorEastAsia" w:hAnsiTheme="minorEastAsia" w:eastAsiaTheme="minorEastAsia" w:cstheme="minorEastAsia"/>
          <w:color w:val="auto"/>
          <w:sz w:val="24"/>
          <w:szCs w:val="24"/>
          <w:highlight w:val="none"/>
          <w:lang w:val="en-US" w:eastAsia="zh-CN"/>
        </w:rPr>
        <w:t>5000</w:t>
      </w:r>
      <w:r>
        <w:rPr>
          <w:rFonts w:hint="eastAsia" w:asciiTheme="minorEastAsia" w:hAnsiTheme="minorEastAsia" w:eastAsiaTheme="minorEastAsia" w:cstheme="minorEastAsia"/>
          <w:color w:val="auto"/>
          <w:sz w:val="24"/>
          <w:szCs w:val="24"/>
          <w:highlight w:val="none"/>
        </w:rPr>
        <w:t>元。</w:t>
      </w:r>
    </w:p>
    <w:bookmarkEnd w:id="162"/>
    <w:bookmarkEnd w:id="163"/>
    <w:p>
      <w:pPr>
        <w:pStyle w:val="4"/>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64" w:name="_Toc106030900"/>
      <w:bookmarkStart w:id="165" w:name="_Toc125896832"/>
      <w:bookmarkStart w:id="166" w:name="_Toc31161"/>
      <w:bookmarkStart w:id="167" w:name="_Toc76462345"/>
      <w:r>
        <w:rPr>
          <w:rFonts w:hint="eastAsia" w:asciiTheme="minorEastAsia" w:hAnsiTheme="minorEastAsia" w:eastAsiaTheme="minorEastAsia" w:cstheme="minorEastAsia"/>
          <w:color w:val="auto"/>
          <w:sz w:val="24"/>
          <w:szCs w:val="24"/>
          <w:highlight w:val="none"/>
        </w:rPr>
        <w:t>八、签订合同</w:t>
      </w:r>
      <w:bookmarkEnd w:id="164"/>
      <w:bookmarkEnd w:id="165"/>
      <w:bookmarkEnd w:id="166"/>
      <w:bookmarkEnd w:id="167"/>
      <w:bookmarkStart w:id="168" w:name="_Toc12789059"/>
      <w:bookmarkStart w:id="169" w:name="_Toc11641055"/>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采购人原则上应在成交通知书发出之日起二十日内和成交供应商签订政府采购合同，无正当理由不得拒绝或拖延合同签订。所签订的合同不得对竞争性磋商文件和供应商的响应文件作实质性修改。其他未尽事宜由采购人和成交供应商在采购合同中详细约定。</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（二）竞争性磋商文件、供应商的响应文件及澄清文件等，均为签订政府采购合同的依据。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（三）合同原则上应按照《重庆市政府采购合同》签订，相关单位要求适用合同通用格式版本的，应按其要求另行签订其他合同。</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（四）采购人要求成交供应商提供履约保证金的，应当在竞争性磋商文件中予以约定。成交供应商履约完毕后，采购人根据采购文件规定无息退还其履约保证金。</w:t>
      </w:r>
    </w:p>
    <w:p>
      <w:pPr>
        <w:pStyle w:val="4"/>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70" w:name="_Toc125896833"/>
      <w:bookmarkStart w:id="171" w:name="_Toc106030902"/>
      <w:bookmarkStart w:id="172" w:name="_Toc5266"/>
      <w:r>
        <w:rPr>
          <w:rFonts w:hint="eastAsia" w:asciiTheme="minorEastAsia" w:hAnsiTheme="minorEastAsia" w:eastAsiaTheme="minorEastAsia" w:cstheme="minorEastAsia"/>
          <w:color w:val="auto"/>
          <w:sz w:val="24"/>
          <w:szCs w:val="24"/>
          <w:highlight w:val="none"/>
        </w:rPr>
        <w:t>九、项目验收</w:t>
      </w:r>
      <w:bookmarkEnd w:id="170"/>
      <w:bookmarkEnd w:id="171"/>
      <w:bookmarkEnd w:id="17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合同执行完毕，采购人或采购代理机构原则上应在7个工作日内组织履约情况验收，不得无故拖延或附加额外条件。</w:t>
      </w:r>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73" w:name="_Toc14780"/>
      <w:bookmarkStart w:id="174" w:name="_Toc76462347"/>
      <w:bookmarkStart w:id="175" w:name="_Toc106030903"/>
    </w:p>
    <w:p>
      <w:pPr>
        <w:pStyle w:val="38"/>
        <w:kinsoku/>
        <w:wordWrap/>
        <w:overflowPunct/>
        <w:topLinePunct w:val="0"/>
        <w:autoSpaceDE/>
        <w:autoSpaceDN/>
        <w:bidi w:val="0"/>
        <w:snapToGrid/>
        <w:spacing w:line="360" w:lineRule="auto"/>
        <w:jc w:val="both"/>
        <w:textAlignment w:val="auto"/>
        <w:rPr>
          <w:rFonts w:hint="eastAsia" w:asciiTheme="minorEastAsia" w:hAnsiTheme="minorEastAsia" w:eastAsiaTheme="minorEastAsia" w:cstheme="minorEastAsia"/>
          <w:color w:val="auto"/>
          <w:highlight w:val="none"/>
        </w:rPr>
      </w:pPr>
    </w:p>
    <w:bookmarkEnd w:id="173"/>
    <w:bookmarkEnd w:id="174"/>
    <w:bookmarkEnd w:id="175"/>
    <w:p>
      <w:pPr>
        <w:pStyle w:val="4"/>
        <w:kinsoku/>
        <w:wordWrap/>
        <w:overflowPunct/>
        <w:topLinePunct w:val="0"/>
        <w:autoSpaceDE/>
        <w:autoSpaceDN/>
        <w:bidi w:val="0"/>
        <w:snapToGrid/>
        <w:spacing w:before="0" w:after="0" w:line="360" w:lineRule="auto"/>
        <w:jc w:val="center"/>
        <w:textAlignment w:val="auto"/>
        <w:rPr>
          <w:rFonts w:hint="eastAsia" w:asciiTheme="minorEastAsia" w:hAnsiTheme="minorEastAsia" w:eastAsiaTheme="minorEastAsia" w:cstheme="minorEastAsia"/>
          <w:b w:val="0"/>
          <w:color w:val="auto"/>
          <w:sz w:val="36"/>
          <w:szCs w:val="36"/>
          <w:highlight w:val="none"/>
        </w:rPr>
        <w:sectPr>
          <w:footerReference r:id="rId10" w:type="default"/>
          <w:footerReference r:id="rId11" w:type="even"/>
          <w:pgSz w:w="11907" w:h="16840"/>
          <w:pgMar w:top="1440" w:right="1247" w:bottom="1440" w:left="1814" w:header="964" w:footer="992" w:gutter="0"/>
          <w:pgNumType w:fmt="numberInDash"/>
          <w:cols w:space="0" w:num="1"/>
          <w:rtlGutter w:val="0"/>
          <w:docGrid w:linePitch="312" w:charSpace="0"/>
        </w:sectPr>
      </w:pPr>
      <w:bookmarkStart w:id="176" w:name="_Toc125896834"/>
      <w:bookmarkStart w:id="177" w:name="_Toc23"/>
      <w:bookmarkStart w:id="178" w:name="_Toc106030904"/>
      <w:bookmarkStart w:id="179" w:name="_Toc76462348"/>
    </w:p>
    <w:p>
      <w:pPr>
        <w:pStyle w:val="4"/>
        <w:kinsoku/>
        <w:wordWrap/>
        <w:overflowPunct/>
        <w:topLinePunct w:val="0"/>
        <w:autoSpaceDE/>
        <w:autoSpaceDN/>
        <w:bidi w:val="0"/>
        <w:snapToGrid/>
        <w:spacing w:before="0" w:after="0" w:line="360" w:lineRule="auto"/>
        <w:jc w:val="center"/>
        <w:textAlignment w:val="auto"/>
        <w:rPr>
          <w:rFonts w:hint="eastAsia" w:asciiTheme="minorEastAsia" w:hAnsiTheme="minorEastAsia" w:eastAsiaTheme="minorEastAsia" w:cstheme="minorEastAsia"/>
          <w:b w:val="0"/>
          <w:color w:val="auto"/>
          <w:sz w:val="36"/>
          <w:szCs w:val="36"/>
          <w:highlight w:val="none"/>
        </w:rPr>
      </w:pPr>
      <w:r>
        <w:rPr>
          <w:rFonts w:hint="eastAsia" w:asciiTheme="minorEastAsia" w:hAnsiTheme="minorEastAsia" w:eastAsiaTheme="minorEastAsia" w:cstheme="minorEastAsia"/>
          <w:b w:val="0"/>
          <w:color w:val="auto"/>
          <w:sz w:val="36"/>
          <w:szCs w:val="36"/>
          <w:highlight w:val="none"/>
        </w:rPr>
        <w:t xml:space="preserve">第六篇  </w:t>
      </w:r>
      <w:bookmarkEnd w:id="168"/>
      <w:bookmarkEnd w:id="169"/>
      <w:r>
        <w:rPr>
          <w:rFonts w:hint="eastAsia" w:asciiTheme="minorEastAsia" w:hAnsiTheme="minorEastAsia" w:eastAsiaTheme="minorEastAsia" w:cstheme="minorEastAsia"/>
          <w:b w:val="0"/>
          <w:color w:val="auto"/>
          <w:sz w:val="36"/>
          <w:szCs w:val="36"/>
          <w:highlight w:val="none"/>
        </w:rPr>
        <w:t>政府采购合同</w:t>
      </w:r>
      <w:bookmarkEnd w:id="176"/>
      <w:bookmarkEnd w:id="177"/>
      <w:bookmarkEnd w:id="178"/>
      <w:bookmarkEnd w:id="179"/>
    </w:p>
    <w:p>
      <w:pPr>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重庆市政府采购合同</w:t>
      </w:r>
    </w:p>
    <w:p>
      <w:pPr>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     ）</w:t>
      </w: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甲方（需方）：___________________________      </w:t>
      </w: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乙方（供方）：___________________________     </w:t>
      </w: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经双方协商一致，达成以下合同：</w:t>
      </w:r>
    </w:p>
    <w:tbl>
      <w:tblPr>
        <w:tblStyle w:val="5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30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磋商项目名称</w:t>
            </w:r>
          </w:p>
        </w:tc>
        <w:tc>
          <w:tcPr>
            <w:tcW w:w="98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1298" w:type="dxa"/>
            <w:gridSpan w:val="2"/>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综合单价</w:t>
            </w:r>
          </w:p>
        </w:tc>
        <w:tc>
          <w:tcPr>
            <w:tcW w:w="113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总价</w:t>
            </w:r>
          </w:p>
        </w:tc>
        <w:tc>
          <w:tcPr>
            <w:tcW w:w="1559"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服务时间</w:t>
            </w:r>
          </w:p>
        </w:tc>
        <w:tc>
          <w:tcPr>
            <w:tcW w:w="1567"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30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98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1298" w:type="dxa"/>
            <w:gridSpan w:val="2"/>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113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1559"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1567"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30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98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1298" w:type="dxa"/>
            <w:gridSpan w:val="2"/>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113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1559"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1567"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9613" w:type="dxa"/>
            <w:gridSpan w:val="7"/>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9613" w:type="dxa"/>
            <w:gridSpan w:val="7"/>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jc w:val="center"/>
        </w:trPr>
        <w:tc>
          <w:tcPr>
            <w:tcW w:w="9613" w:type="dxa"/>
            <w:gridSpan w:val="7"/>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628" w:type="dxa"/>
            <w:gridSpan w:val="8"/>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628" w:type="dxa"/>
            <w:gridSpan w:val="8"/>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三、付款方式：</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9628" w:type="dxa"/>
            <w:gridSpan w:val="8"/>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X、履约保证金：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8"/>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四、违约责任：</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按《中华人民共和国民法典》《中华人民共和国政府采购法》执行，或按双方约定。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8"/>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五、其他约定事项：</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1.采购文件及其澄清文件、响应文件和承诺是本合同不可分割的部分。</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2.本合同如发生争议由双方协商解决，协商不成向需方所在人民法院提请诉讼。</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3.本合同一式__份， 需方__份，供方__份，具同等法律效力。</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4" w:type="dxa"/>
            <w:gridSpan w:val="3"/>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需方：</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w:t>
            </w:r>
          </w:p>
        </w:tc>
        <w:tc>
          <w:tcPr>
            <w:tcW w:w="4984" w:type="dxa"/>
            <w:gridSpan w:val="5"/>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供方：</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传真：</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8"/>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p>
        </w:tc>
      </w:tr>
    </w:tbl>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签约时间：           年   月   日      签约地点：</w:t>
      </w:r>
    </w:p>
    <w:p>
      <w:pPr>
        <w:tabs>
          <w:tab w:val="left" w:pos="9000"/>
        </w:tabs>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color w:val="auto"/>
          <w:sz w:val="21"/>
          <w:szCs w:val="21"/>
          <w:highlight w:val="none"/>
        </w:rPr>
        <w:sectPr>
          <w:pgSz w:w="11907" w:h="16840"/>
          <w:pgMar w:top="1440" w:right="1247" w:bottom="1440" w:left="1814" w:header="964" w:footer="992" w:gutter="0"/>
          <w:pgNumType w:fmt="numberInDash"/>
          <w:cols w:space="0" w:num="1"/>
          <w:rtlGutter w:val="0"/>
          <w:docGrid w:linePitch="312" w:charSpace="0"/>
        </w:sectPr>
      </w:pPr>
    </w:p>
    <w:p>
      <w:pPr>
        <w:pStyle w:val="4"/>
        <w:kinsoku/>
        <w:wordWrap/>
        <w:overflowPunct/>
        <w:topLinePunct w:val="0"/>
        <w:autoSpaceDE/>
        <w:autoSpaceDN/>
        <w:bidi w:val="0"/>
        <w:snapToGrid/>
        <w:spacing w:before="0" w:after="0" w:line="360" w:lineRule="auto"/>
        <w:jc w:val="center"/>
        <w:textAlignment w:val="auto"/>
        <w:rPr>
          <w:rFonts w:hint="eastAsia" w:asciiTheme="minorEastAsia" w:hAnsiTheme="minorEastAsia" w:eastAsiaTheme="minorEastAsia" w:cstheme="minorEastAsia"/>
          <w:b w:val="0"/>
          <w:color w:val="auto"/>
          <w:sz w:val="36"/>
          <w:szCs w:val="36"/>
          <w:highlight w:val="none"/>
        </w:rPr>
      </w:pPr>
      <w:bookmarkStart w:id="180" w:name="_Hlt41879464"/>
      <w:bookmarkEnd w:id="180"/>
      <w:bookmarkStart w:id="181" w:name="_Toc125896835"/>
      <w:bookmarkStart w:id="182" w:name="_Toc106030905"/>
      <w:bookmarkStart w:id="183" w:name="_Toc76462349"/>
      <w:bookmarkStart w:id="184" w:name="_Toc25478"/>
      <w:r>
        <w:rPr>
          <w:rFonts w:hint="eastAsia" w:asciiTheme="minorEastAsia" w:hAnsiTheme="minorEastAsia" w:eastAsiaTheme="minorEastAsia" w:cstheme="minorEastAsia"/>
          <w:b w:val="0"/>
          <w:color w:val="auto"/>
          <w:sz w:val="36"/>
          <w:szCs w:val="36"/>
          <w:highlight w:val="none"/>
        </w:rPr>
        <w:t>第七篇  响应文件编制要求</w:t>
      </w:r>
      <w:bookmarkEnd w:id="181"/>
      <w:bookmarkEnd w:id="182"/>
      <w:bookmarkEnd w:id="183"/>
      <w:bookmarkEnd w:id="184"/>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一、经济部分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（一）竞争性磋商报价函</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二、服务部分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（一）服务响应偏离表</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（二）其他资料（格式自定）</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三、商务部分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（一）商务响应偏离表</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（二）其他优惠服务承诺（格式自定）</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其他资料（格式自定）</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四、资格条件及其他</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（一）营业执照（副本）或事业单位法人证书（副本）或个体工商户营业执照或有效的自然人身份证明或社会团体法人登记证书复印件</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（二）法定代表人身份证明书（格式）</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（三）法定代表人授权委托书（格式）</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（四）基本资格条件承诺函（格式）</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五、其他资料</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（一）中小企业声明函、监狱企业证明文件、残疾人福利性单位声明函</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（二）其他与项目有关的资料</w:t>
      </w: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 w:val="32"/>
          <w:szCs w:val="32"/>
          <w:highlight w:val="none"/>
          <w:bdr w:val="single" w:color="auto" w:sz="4" w:space="0"/>
        </w:rPr>
        <w:sectPr>
          <w:pgSz w:w="11907" w:h="16840"/>
          <w:pgMar w:top="1440" w:right="1247" w:bottom="1440" w:left="1814" w:header="964" w:footer="992" w:gutter="0"/>
          <w:pgNumType w:fmt="numberInDash"/>
          <w:cols w:space="0" w:num="1"/>
          <w:rtlGutter w:val="0"/>
          <w:docGrid w:linePitch="380" w:charSpace="0"/>
        </w:sectPr>
      </w:pPr>
    </w:p>
    <w:p>
      <w:pPr>
        <w:pStyle w:val="4"/>
        <w:kinsoku/>
        <w:wordWrap/>
        <w:overflowPunct/>
        <w:topLinePunct w:val="0"/>
        <w:autoSpaceDE/>
        <w:autoSpaceDN/>
        <w:bidi w:val="0"/>
        <w:adjustRightInd w:val="0"/>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highlight w:val="none"/>
        </w:rPr>
      </w:pPr>
      <w:bookmarkStart w:id="185" w:name="_Toc313888360"/>
      <w:bookmarkStart w:id="186" w:name="_Toc125896836"/>
      <w:bookmarkStart w:id="187" w:name="_Toc342913419"/>
      <w:bookmarkStart w:id="188" w:name="_Toc30896"/>
      <w:bookmarkStart w:id="189" w:name="_Toc76462350"/>
      <w:bookmarkStart w:id="190" w:name="_Toc313008356"/>
      <w:bookmarkStart w:id="191" w:name="_Toc106030906"/>
      <w:bookmarkStart w:id="192" w:name="_Toc12789073"/>
      <w:bookmarkStart w:id="193" w:name="_Toc283382454"/>
      <w:r>
        <w:rPr>
          <w:rFonts w:hint="eastAsia" w:asciiTheme="minorEastAsia" w:hAnsiTheme="minorEastAsia" w:eastAsiaTheme="minorEastAsia" w:cstheme="minorEastAsia"/>
          <w:color w:val="auto"/>
          <w:sz w:val="28"/>
          <w:szCs w:val="28"/>
          <w:highlight w:val="none"/>
        </w:rPr>
        <w:t>一、经济部分</w:t>
      </w:r>
      <w:bookmarkEnd w:id="185"/>
      <w:bookmarkEnd w:id="186"/>
      <w:bookmarkEnd w:id="187"/>
      <w:bookmarkEnd w:id="188"/>
      <w:bookmarkEnd w:id="189"/>
      <w:bookmarkEnd w:id="190"/>
      <w:bookmarkEnd w:id="191"/>
    </w:p>
    <w:bookmarkEnd w:id="192"/>
    <w:bookmarkEnd w:id="193"/>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（一）竞争性磋商报价函</w:t>
      </w:r>
    </w:p>
    <w:p>
      <w:pPr>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竞争性磋商报价函</w:t>
      </w:r>
    </w:p>
    <w:p>
      <w:pPr>
        <w:tabs>
          <w:tab w:val="left" w:pos="6300"/>
        </w:tabs>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（采购代理机构名称）</w:t>
      </w:r>
      <w:r>
        <w:rPr>
          <w:rFonts w:hint="eastAsia" w:asciiTheme="minorEastAsia" w:hAnsiTheme="minorEastAsia" w:eastAsiaTheme="minorEastAsia" w:cstheme="minorEastAsia"/>
          <w:color w:val="auto"/>
          <w:sz w:val="24"/>
          <w:szCs w:val="24"/>
          <w:highlight w:val="none"/>
        </w:rPr>
        <w:t>：</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我方收到____________________________（磋商项目名称）的竞争性磋商文件，经详细研究，决定参加该项目的磋商。</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1.愿意按照竞争性磋商文件中的一切要求，提供本项目的服务，初始报价为人民币大写：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元整；人民币小写：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元。以我公司最后报价为准。</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2.我方现提交的响应文件为：响应文件正本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份，电子文档</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3.我方承诺：本次磋商的有效期为提交响应文件截止时间起90天。</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4.我方完全理解和接受贵方竞争性磋商文件的一切规定和要求及评审办法。</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5.在整个竞争性磋商过程中，我方若有违规行为，接受按照《中华人民共和国政府采购法》和《竞争性磋商文件》之规定给予惩罚。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6.我方若成为成交供应商，将按照最终磋商结果签订合同，并且严格履行合同义务。本承诺函将成为合同不可分割的一部分，与合同具有同等的法律效力。</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7.如果我方成为成交供应商，保证在接到成交通知书后，向采购代理机构缴纳竞争性磋商文件规定的采购代理服务费。</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8.我方未为采购项目提供整体设计、规范编制或者项目管理、监理、检测等服务。</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供应商（公章）或自然人签署：</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                                             传真：</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网址：                                             邮编：</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sectPr>
          <w:pgSz w:w="11907" w:h="16840"/>
          <w:pgMar w:top="1440" w:right="1247" w:bottom="1440" w:left="1814" w:header="964" w:footer="992" w:gutter="0"/>
          <w:pgNumType w:fmt="numberInDash"/>
          <w:cols w:space="0" w:num="1"/>
          <w:rtlGutter w:val="0"/>
          <w:docGrid w:linePitch="380" w:charSpace="0"/>
        </w:sectPr>
      </w:pPr>
      <w:r>
        <w:rPr>
          <w:rFonts w:hint="eastAsia" w:asciiTheme="minorEastAsia" w:hAnsiTheme="minorEastAsia" w:eastAsiaTheme="minorEastAsia" w:cstheme="minorEastAsia"/>
          <w:color w:val="auto"/>
          <w:sz w:val="24"/>
          <w:szCs w:val="24"/>
          <w:highlight w:val="none"/>
        </w:rPr>
        <w:t xml:space="preserve">                                                  年   月   日</w:t>
      </w:r>
    </w:p>
    <w:p>
      <w:pPr>
        <w:pStyle w:val="4"/>
        <w:kinsoku/>
        <w:wordWrap/>
        <w:overflowPunct/>
        <w:topLinePunct w:val="0"/>
        <w:autoSpaceDE/>
        <w:autoSpaceDN/>
        <w:bidi w:val="0"/>
        <w:adjustRightInd w:val="0"/>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highlight w:val="none"/>
        </w:rPr>
      </w:pPr>
      <w:bookmarkStart w:id="194" w:name="_Toc76462351"/>
      <w:bookmarkStart w:id="195" w:name="_Toc313888361"/>
      <w:bookmarkStart w:id="196" w:name="_Toc313008357"/>
      <w:bookmarkStart w:id="197" w:name="_Toc106030907"/>
      <w:bookmarkStart w:id="198" w:name="_Toc9854"/>
      <w:bookmarkStart w:id="199" w:name="_Toc342913420"/>
      <w:bookmarkStart w:id="200" w:name="_Toc125896837"/>
      <w:r>
        <w:rPr>
          <w:rFonts w:hint="eastAsia" w:asciiTheme="minorEastAsia" w:hAnsiTheme="minorEastAsia" w:eastAsiaTheme="minorEastAsia" w:cstheme="minorEastAsia"/>
          <w:color w:val="auto"/>
          <w:sz w:val="28"/>
          <w:szCs w:val="28"/>
          <w:highlight w:val="none"/>
        </w:rPr>
        <w:t>二、服务部分</w:t>
      </w:r>
      <w:bookmarkEnd w:id="194"/>
      <w:bookmarkEnd w:id="195"/>
      <w:bookmarkEnd w:id="196"/>
      <w:bookmarkEnd w:id="197"/>
      <w:bookmarkEnd w:id="198"/>
      <w:bookmarkEnd w:id="199"/>
      <w:bookmarkEnd w:id="200"/>
    </w:p>
    <w:p>
      <w:pPr>
        <w:tabs>
          <w:tab w:val="left" w:pos="6300"/>
        </w:tabs>
        <w:kinsoku/>
        <w:wordWrap/>
        <w:overflowPunct/>
        <w:topLinePunct w:val="0"/>
        <w:autoSpaceDE/>
        <w:autoSpaceDN/>
        <w:bidi w:val="0"/>
        <w:snapToGrid/>
        <w:spacing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（一）服务响应偏离表</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磋商项目编号：                                </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磋商项目名称：</w:t>
      </w:r>
    </w:p>
    <w:tbl>
      <w:tblPr>
        <w:tblStyle w:val="5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2967"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采购需求</w:t>
            </w:r>
          </w:p>
        </w:tc>
        <w:tc>
          <w:tcPr>
            <w:tcW w:w="308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响应情况</w:t>
            </w:r>
          </w:p>
        </w:tc>
        <w:tc>
          <w:tcPr>
            <w:tcW w:w="230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pPr>
              <w:tabs>
                <w:tab w:val="left" w:pos="6300"/>
              </w:tabs>
              <w:kinsoku/>
              <w:wordWrap/>
              <w:overflowPunct/>
              <w:topLinePunct w:val="0"/>
              <w:autoSpaceDE/>
              <w:autoSpaceDN/>
              <w:bidi w:val="0"/>
              <w:snapToGrid/>
              <w:spacing w:line="360" w:lineRule="auto"/>
              <w:textAlignment w:val="auto"/>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提醒：请注明技术参数或具体内容以及响应文件中技术参数或具体内容的位置（页码）</w:t>
            </w:r>
          </w:p>
        </w:tc>
        <w:tc>
          <w:tcPr>
            <w:tcW w:w="230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0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0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0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0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0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0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0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0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0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bl>
    <w:p>
      <w:pPr>
        <w:kinsoku/>
        <w:wordWrap/>
        <w:overflowPunct/>
        <w:topLinePunct w:val="0"/>
        <w:autoSpaceDE/>
        <w:autoSpaceDN/>
        <w:bidi w:val="0"/>
        <w:snapToGrid/>
        <w:spacing w:line="360" w:lineRule="auto"/>
        <w:ind w:firstLine="600" w:firstLineChars="2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                            法定代表人（或其授权代表）或自然人：</w:t>
      </w: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kinsoku/>
        <w:wordWrap/>
        <w:overflowPunct/>
        <w:topLinePunct w:val="0"/>
        <w:autoSpaceDE/>
        <w:autoSpaceDN/>
        <w:bidi w:val="0"/>
        <w:snapToGrid/>
        <w:spacing w:line="360" w:lineRule="auto"/>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                               （签署或盖章）</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1.本表即为对本项目“第二篇  项目服务需求”中所列条款进行比较和响应；</w:t>
      </w:r>
    </w:p>
    <w:p>
      <w:pPr>
        <w:kinsoku/>
        <w:wordWrap/>
        <w:overflowPunct/>
        <w:topLinePunct w:val="0"/>
        <w:autoSpaceDE/>
        <w:autoSpaceDN/>
        <w:bidi w:val="0"/>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2.本表可扩展。</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（二）其他资料（格式自定）</w:t>
      </w:r>
    </w:p>
    <w:p>
      <w:pPr>
        <w:pStyle w:val="4"/>
        <w:kinsoku/>
        <w:wordWrap/>
        <w:overflowPunct/>
        <w:topLinePunct w:val="0"/>
        <w:autoSpaceDE/>
        <w:autoSpaceDN/>
        <w:bidi w:val="0"/>
        <w:adjustRightInd w:val="0"/>
        <w:snapToGrid/>
        <w:spacing w:before="0" w:after="0" w:line="360" w:lineRule="auto"/>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val="0"/>
          <w:color w:val="auto"/>
          <w:sz w:val="28"/>
          <w:szCs w:val="28"/>
          <w:highlight w:val="none"/>
        </w:rPr>
        <w:br w:type="page"/>
      </w:r>
      <w:bookmarkStart w:id="201" w:name="_Toc313888362"/>
      <w:bookmarkStart w:id="202" w:name="_Toc342913421"/>
      <w:bookmarkStart w:id="203" w:name="_Toc125896838"/>
      <w:bookmarkStart w:id="204" w:name="_Toc4644"/>
      <w:bookmarkStart w:id="205" w:name="_Toc313008358"/>
      <w:bookmarkStart w:id="206" w:name="_Toc106030908"/>
      <w:bookmarkStart w:id="207" w:name="_Toc76462352"/>
      <w:r>
        <w:rPr>
          <w:rFonts w:hint="eastAsia" w:asciiTheme="minorEastAsia" w:hAnsiTheme="minorEastAsia" w:eastAsiaTheme="minorEastAsia" w:cstheme="minorEastAsia"/>
          <w:color w:val="auto"/>
          <w:sz w:val="28"/>
          <w:szCs w:val="28"/>
          <w:highlight w:val="none"/>
        </w:rPr>
        <w:t>三、商务部分</w:t>
      </w:r>
      <w:bookmarkEnd w:id="201"/>
      <w:bookmarkEnd w:id="202"/>
      <w:bookmarkEnd w:id="203"/>
      <w:bookmarkEnd w:id="204"/>
      <w:bookmarkEnd w:id="205"/>
      <w:bookmarkEnd w:id="206"/>
      <w:bookmarkEnd w:id="207"/>
    </w:p>
    <w:p>
      <w:pPr>
        <w:kinsoku/>
        <w:wordWrap/>
        <w:overflowPunct/>
        <w:topLinePunct w:val="0"/>
        <w:autoSpaceDE/>
        <w:autoSpaceDN/>
        <w:bidi w:val="0"/>
        <w:snapToGrid/>
        <w:spacing w:line="360" w:lineRule="auto"/>
        <w:ind w:firstLine="480" w:firstLineChars="200"/>
        <w:jc w:val="center"/>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 w:val="24"/>
          <w:szCs w:val="24"/>
          <w:highlight w:val="none"/>
        </w:rPr>
        <w:t>（一）商务响应偏离表</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磋商项目编号：                                </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磋商项目名称： </w:t>
      </w:r>
    </w:p>
    <w:tbl>
      <w:tblPr>
        <w:tblStyle w:val="57"/>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510" w:type="dxa"/>
            <w:vAlign w:val="center"/>
          </w:tcPr>
          <w:p>
            <w:pPr>
              <w:kinsoku/>
              <w:wordWrap/>
              <w:overflowPunct/>
              <w:topLinePunct w:val="0"/>
              <w:autoSpaceDE/>
              <w:autoSpaceDN/>
              <w:bidi w:val="0"/>
              <w:snapToGrid/>
              <w:spacing w:line="360" w:lineRule="auto"/>
              <w:ind w:firstLine="465"/>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317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磋商项目商务需求</w:t>
            </w:r>
          </w:p>
        </w:tc>
        <w:tc>
          <w:tcPr>
            <w:tcW w:w="2434"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响应情况</w:t>
            </w:r>
          </w:p>
        </w:tc>
        <w:tc>
          <w:tcPr>
            <w:tcW w:w="2355"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17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434" w:type="dxa"/>
            <w:vAlign w:val="center"/>
          </w:tcPr>
          <w:p>
            <w:pPr>
              <w:tabs>
                <w:tab w:val="left" w:pos="6300"/>
              </w:tabs>
              <w:kinsoku/>
              <w:wordWrap/>
              <w:overflowPunct/>
              <w:topLinePunct w:val="0"/>
              <w:autoSpaceDE/>
              <w:autoSpaceDN/>
              <w:bidi w:val="0"/>
              <w:snapToGrid/>
              <w:spacing w:line="360" w:lineRule="auto"/>
              <w:textAlignment w:val="auto"/>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提醒：请注明具体内容以及响应文件中具体内容的位置（页码）</w:t>
            </w:r>
          </w:p>
        </w:tc>
        <w:tc>
          <w:tcPr>
            <w:tcW w:w="2355"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17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434"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55"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17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434"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55"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17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434"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55"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17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434"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55"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17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434"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55"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bl>
    <w:p>
      <w:pPr>
        <w:kinsoku/>
        <w:wordWrap/>
        <w:overflowPunct/>
        <w:topLinePunct w:val="0"/>
        <w:autoSpaceDE/>
        <w:autoSpaceDN/>
        <w:bidi w:val="0"/>
        <w:snapToGrid/>
        <w:spacing w:line="360" w:lineRule="auto"/>
        <w:ind w:firstLine="465"/>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600" w:firstLineChars="2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                   法定代表人（或其授权代表）或自然人：</w:t>
      </w: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kinsoku/>
        <w:wordWrap/>
        <w:overflowPunct/>
        <w:topLinePunct w:val="0"/>
        <w:autoSpaceDE/>
        <w:autoSpaceDN/>
        <w:bidi w:val="0"/>
        <w:snapToGrid/>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                                 （签署或盖章）</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1.本表即为对本项目“第三篇  项目商务需求”中所列条款进行比较和响应；</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b/>
          <w:color w:val="auto"/>
          <w:sz w:val="24"/>
          <w:szCs w:val="24"/>
          <w:highlight w:val="none"/>
        </w:rPr>
        <w:sectPr>
          <w:headerReference r:id="rId12" w:type="default"/>
          <w:pgSz w:w="11907" w:h="16840"/>
          <w:pgMar w:top="1440" w:right="1247" w:bottom="1440" w:left="1814" w:header="964" w:footer="992" w:gutter="0"/>
          <w:pgNumType w:fmt="numberInDash"/>
          <w:cols w:space="0" w:num="1"/>
          <w:rtlGutter w:val="0"/>
          <w:docGrid w:linePitch="380" w:charSpace="0"/>
        </w:sectPr>
      </w:pPr>
      <w:r>
        <w:rPr>
          <w:rFonts w:hint="eastAsia" w:asciiTheme="minorEastAsia" w:hAnsiTheme="minorEastAsia" w:eastAsiaTheme="minorEastAsia" w:cstheme="minorEastAsia"/>
          <w:color w:val="auto"/>
          <w:sz w:val="24"/>
          <w:szCs w:val="24"/>
          <w:highlight w:val="none"/>
        </w:rPr>
        <w:t>2.本表可扩展。</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sectPr>
          <w:pgSz w:w="11907" w:h="16840"/>
          <w:pgMar w:top="1440" w:right="1247" w:bottom="1440" w:left="1814" w:header="964" w:footer="992" w:gutter="0"/>
          <w:pgNumType w:fmt="numberInDash"/>
          <w:cols w:space="0" w:num="1"/>
          <w:rtlGutter w:val="0"/>
          <w:docGrid w:linePitch="380" w:charSpace="0"/>
        </w:sectPr>
      </w:pPr>
      <w:bookmarkStart w:id="208" w:name="_Toc283382459"/>
      <w:r>
        <w:rPr>
          <w:rFonts w:hint="eastAsia" w:asciiTheme="minorEastAsia" w:hAnsiTheme="minorEastAsia" w:eastAsiaTheme="minorEastAsia" w:cstheme="minorEastAsia"/>
          <w:color w:val="auto"/>
          <w:sz w:val="24"/>
          <w:szCs w:val="24"/>
          <w:highlight w:val="none"/>
        </w:rPr>
        <w:t>（二）其他优惠承诺（格式自定）</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其他资料（格式自定）</w:t>
      </w:r>
    </w:p>
    <w:p>
      <w:pPr>
        <w:pStyle w:val="2"/>
        <w:kinsoku/>
        <w:wordWrap/>
        <w:overflowPunct/>
        <w:topLinePunct w:val="0"/>
        <w:autoSpaceDE/>
        <w:autoSpaceDN/>
        <w:bidi w:val="0"/>
        <w:snapToGrid/>
        <w:spacing w:after="0" w:line="360" w:lineRule="auto"/>
        <w:textAlignment w:val="auto"/>
        <w:rPr>
          <w:rFonts w:hint="eastAsia" w:asciiTheme="minorEastAsia" w:hAnsiTheme="minorEastAsia" w:eastAsiaTheme="minorEastAsia" w:cstheme="minorEastAsia"/>
          <w:color w:val="auto"/>
          <w:highlight w:val="none"/>
        </w:rPr>
      </w:pPr>
    </w:p>
    <w:p>
      <w:pPr>
        <w:kinsoku/>
        <w:wordWrap/>
        <w:overflowPunct/>
        <w:topLinePunct w:val="0"/>
        <w:autoSpaceDE/>
        <w:autoSpaceDN/>
        <w:bidi w:val="0"/>
        <w:snapToGri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p>
    <w:p>
      <w:pPr>
        <w:pStyle w:val="4"/>
        <w:kinsoku/>
        <w:wordWrap/>
        <w:overflowPunct/>
        <w:topLinePunct w:val="0"/>
        <w:autoSpaceDE/>
        <w:autoSpaceDN/>
        <w:bidi w:val="0"/>
        <w:adjustRightInd w:val="0"/>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bookmarkEnd w:id="208"/>
      <w:bookmarkStart w:id="209" w:name="_Toc76462353"/>
      <w:bookmarkStart w:id="210" w:name="_Toc106030909"/>
      <w:bookmarkStart w:id="211" w:name="_Toc125896839"/>
      <w:bookmarkStart w:id="212" w:name="_Toc313008359"/>
      <w:bookmarkStart w:id="213" w:name="_Toc313888363"/>
      <w:bookmarkStart w:id="214" w:name="_Toc342913422"/>
      <w:bookmarkStart w:id="215" w:name="_Toc31024"/>
      <w:r>
        <w:rPr>
          <w:rFonts w:hint="eastAsia" w:asciiTheme="minorEastAsia" w:hAnsiTheme="minorEastAsia" w:eastAsiaTheme="minorEastAsia" w:cstheme="minorEastAsia"/>
          <w:color w:val="auto"/>
          <w:sz w:val="28"/>
          <w:szCs w:val="28"/>
          <w:highlight w:val="none"/>
        </w:rPr>
        <w:t>四、资格条件</w:t>
      </w:r>
      <w:bookmarkEnd w:id="209"/>
      <w:bookmarkEnd w:id="210"/>
      <w:bookmarkEnd w:id="211"/>
      <w:bookmarkEnd w:id="212"/>
      <w:bookmarkEnd w:id="213"/>
      <w:bookmarkEnd w:id="214"/>
      <w:bookmarkEnd w:id="215"/>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Cs w:val="28"/>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（一）营业执照（副本）或事业单位法人证书（副本）或个体工商户营业执照或有效的自然人身份证明或社会团体法人登记证书复印件</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Cs w:val="28"/>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Cs w:val="28"/>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Cs w:val="28"/>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Cs w:val="28"/>
          <w:highlight w:val="none"/>
        </w:rPr>
      </w:pPr>
    </w:p>
    <w:p>
      <w:pPr>
        <w:widowControl/>
        <w:kinsoku/>
        <w:wordWrap/>
        <w:overflowPunct/>
        <w:topLinePunct w:val="0"/>
        <w:autoSpaceDE/>
        <w:autoSpaceDN/>
        <w:bidi w:val="0"/>
        <w:snapToGrid/>
        <w:spacing w:line="360" w:lineRule="auto"/>
        <w:ind w:firstLine="56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Cs w:val="28"/>
          <w:highlight w:val="none"/>
        </w:rPr>
        <w:br w:type="page"/>
      </w:r>
      <w:r>
        <w:rPr>
          <w:rFonts w:hint="eastAsia" w:asciiTheme="minorEastAsia" w:hAnsiTheme="minorEastAsia" w:eastAsiaTheme="minorEastAsia" w:cstheme="minorEastAsia"/>
          <w:color w:val="auto"/>
          <w:sz w:val="24"/>
          <w:szCs w:val="24"/>
          <w:highlight w:val="none"/>
        </w:rPr>
        <w:t>（二）法定代表人身份证明书（格式）</w:t>
      </w:r>
    </w:p>
    <w:p>
      <w:pPr>
        <w:tabs>
          <w:tab w:val="left" w:pos="6300"/>
        </w:tabs>
        <w:kinsoku/>
        <w:wordWrap/>
        <w:overflowPunct/>
        <w:topLinePunct w:val="0"/>
        <w:autoSpaceDE/>
        <w:autoSpaceDN/>
        <w:bidi w:val="0"/>
        <w:snapToGrid/>
        <w:spacing w:line="360" w:lineRule="auto"/>
        <w:ind w:firstLine="570"/>
        <w:jc w:val="left"/>
        <w:textAlignment w:val="auto"/>
        <w:rPr>
          <w:rFonts w:hint="eastAsia" w:asciiTheme="minorEastAsia" w:hAnsiTheme="minorEastAsia" w:eastAsiaTheme="minorEastAsia" w:cstheme="minorEastAsia"/>
          <w:color w:val="auto"/>
          <w:szCs w:val="28"/>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（采购代理机构名称）：</w:t>
      </w:r>
    </w:p>
    <w:p>
      <w:pPr>
        <w:tabs>
          <w:tab w:val="left" w:pos="6300"/>
        </w:tabs>
        <w:kinsoku/>
        <w:wordWrap/>
        <w:overflowPunct/>
        <w:topLinePunct w:val="0"/>
        <w:autoSpaceDE/>
        <w:autoSpaceDN/>
        <w:bidi w:val="0"/>
        <w:snapToGrid/>
        <w:spacing w:line="360" w:lineRule="auto"/>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（法定代表人姓名）在</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（供应商名称）任</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（职务名称）职务，是</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（供应商名称）的法定代表人。</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特此证明。</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（供应商公章）</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（附：法定代表人身份证正反面复印件）</w:t>
      </w:r>
    </w:p>
    <w:p>
      <w:pPr>
        <w:tabs>
          <w:tab w:val="left" w:pos="6300"/>
        </w:tabs>
        <w:kinsoku/>
        <w:wordWrap/>
        <w:overflowPunct/>
        <w:topLinePunct w:val="0"/>
        <w:autoSpaceDE/>
        <w:autoSpaceDN/>
        <w:bidi w:val="0"/>
        <w:snapToGrid/>
        <w:spacing w:line="360" w:lineRule="auto"/>
        <w:ind w:firstLine="570"/>
        <w:jc w:val="left"/>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 w:val="24"/>
          <w:szCs w:val="24"/>
          <w:highlight w:val="none"/>
        </w:rPr>
        <w:br w:type="column"/>
      </w:r>
      <w:r>
        <w:rPr>
          <w:rFonts w:hint="eastAsia" w:asciiTheme="minorEastAsia" w:hAnsiTheme="minorEastAsia" w:eastAsiaTheme="minorEastAsia" w:cstheme="minorEastAsia"/>
          <w:color w:val="auto"/>
          <w:sz w:val="24"/>
          <w:szCs w:val="24"/>
          <w:highlight w:val="none"/>
        </w:rPr>
        <w:t>（三）法定代表人授权委托书（格式）</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Cs w:val="28"/>
          <w:highlight w:val="none"/>
        </w:rPr>
      </w:pP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szCs w:val="28"/>
          <w:highlight w:val="none"/>
        </w:rPr>
        <w:t>磋商项目名称</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lang w:val="en-US" w:eastAsia="zh-CN"/>
        </w:rPr>
        <w:t xml:space="preserve">                          </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（采购代理机构名称）：</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（供应商法定代表人名称）是</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（供应商名称）的法定代表人，特授权</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（被授权人姓名及身份证代码）代表我单位全权办理上述项目的磋商、签约等具体工作，并签署全部有关文件、协议及合同。</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我单位对被授权人的签字负全部责任。</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在撤销授权的书面通知以前，本授权书一直有效。被授权人在授权书有效期内签署的所有文件不因授权的撤销而失效。</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                                 供应商法定代表人：</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（签字或盖章）                                （签字或盖章）</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8"/>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（附：被授权人身份证正反面复印件）</w:t>
      </w:r>
    </w:p>
    <w:p>
      <w:pPr>
        <w:tabs>
          <w:tab w:val="left" w:pos="6300"/>
        </w:tabs>
        <w:kinsoku/>
        <w:wordWrap/>
        <w:overflowPunct/>
        <w:topLinePunct w:val="0"/>
        <w:autoSpaceDE/>
        <w:autoSpaceDN/>
        <w:bidi w:val="0"/>
        <w:snapToGrid/>
        <w:spacing w:line="360" w:lineRule="auto"/>
        <w:ind w:right="480" w:firstLine="57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被授权人电话：XXXXXXX     电子邮箱：XXXXXX@XXXXX（若法定代表人办理并签署响应文件的可不填写）</w:t>
      </w:r>
    </w:p>
    <w:p>
      <w:pPr>
        <w:tabs>
          <w:tab w:val="left" w:pos="6300"/>
        </w:tabs>
        <w:kinsoku/>
        <w:wordWrap/>
        <w:overflowPunct/>
        <w:topLinePunct w:val="0"/>
        <w:autoSpaceDE/>
        <w:autoSpaceDN/>
        <w:bidi w:val="0"/>
        <w:snapToGrid/>
        <w:spacing w:line="360" w:lineRule="auto"/>
        <w:ind w:right="480" w:firstLine="57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若为法定代表人办理并签署响应文件的，不提供此文件。</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highlight w:val="none"/>
        </w:rPr>
      </w:pPr>
    </w:p>
    <w:p>
      <w:pPr>
        <w:tabs>
          <w:tab w:val="left" w:pos="6300"/>
        </w:tabs>
        <w:kinsoku/>
        <w:wordWrap/>
        <w:overflowPunct/>
        <w:topLinePunct w:val="0"/>
        <w:autoSpaceDE/>
        <w:autoSpaceDN/>
        <w:bidi w:val="0"/>
        <w:snapToGrid/>
        <w:spacing w:line="360" w:lineRule="auto"/>
        <w:ind w:right="480" w:firstLine="570"/>
        <w:jc w:val="righ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pPr>
        <w:tabs>
          <w:tab w:val="left" w:pos="6300"/>
        </w:tabs>
        <w:kinsoku/>
        <w:wordWrap/>
        <w:overflowPunct/>
        <w:topLinePunct w:val="0"/>
        <w:autoSpaceDE/>
        <w:autoSpaceDN/>
        <w:bidi w:val="0"/>
        <w:snapToGrid/>
        <w:spacing w:line="360" w:lineRule="auto"/>
        <w:ind w:right="480" w:firstLine="570"/>
        <w:jc w:val="right"/>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 w:val="24"/>
          <w:highlight w:val="none"/>
        </w:rPr>
        <w:t>年   月   日</w:t>
      </w:r>
    </w:p>
    <w:p>
      <w:pPr>
        <w:kinsoku/>
        <w:wordWrap/>
        <w:overflowPunct/>
        <w:topLinePunct w:val="0"/>
        <w:autoSpaceDE/>
        <w:autoSpaceDN/>
        <w:bidi w:val="0"/>
        <w:snapToGri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Cs w:val="28"/>
          <w:highlight w:val="none"/>
        </w:rPr>
      </w:pPr>
    </w:p>
    <w:p>
      <w:pPr>
        <w:tabs>
          <w:tab w:val="left" w:pos="6300"/>
        </w:tabs>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Cs w:val="28"/>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sectPr>
          <w:pgSz w:w="11907" w:h="16840"/>
          <w:pgMar w:top="1440" w:right="1247" w:bottom="1440" w:left="1814" w:header="964" w:footer="992" w:gutter="0"/>
          <w:pgNumType w:fmt="numberInDash"/>
          <w:cols w:space="0" w:num="1"/>
          <w:rtlGutter w:val="0"/>
          <w:docGrid w:linePitch="380" w:charSpace="0"/>
        </w:sect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w:t>
      </w:r>
    </w:p>
    <w:p>
      <w:pPr>
        <w:tabs>
          <w:tab w:val="left" w:pos="6300"/>
        </w:tabs>
        <w:kinsoku/>
        <w:wordWrap/>
        <w:overflowPunct/>
        <w:topLinePunct w:val="0"/>
        <w:autoSpaceDE/>
        <w:autoSpaceDN/>
        <w:bidi w:val="0"/>
        <w:snapToGrid/>
        <w:spacing w:line="36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基本资格条件承诺函</w:t>
      </w:r>
    </w:p>
    <w:p>
      <w:pPr>
        <w:tabs>
          <w:tab w:val="left" w:pos="6300"/>
        </w:tabs>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Cs w:val="28"/>
          <w:highlight w:val="none"/>
        </w:rPr>
      </w:pP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（采购代理机构名称）：</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（供应商名称）郑重承诺：</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4"/>
          <w:szCs w:val="24"/>
          <w:highlight w:val="none"/>
          <w:lang w:val="zh-CN"/>
        </w:rPr>
        <w:t>有依法缴纳税收和社会保障金的良好纪录</w:t>
      </w:r>
      <w:r>
        <w:rPr>
          <w:rFonts w:hint="eastAsia" w:asciiTheme="minorEastAsia" w:hAnsiTheme="minorEastAsia" w:eastAsiaTheme="minorEastAsia" w:cstheme="minorEastAsia"/>
          <w:color w:val="auto"/>
          <w:sz w:val="24"/>
          <w:szCs w:val="24"/>
          <w:highlight w:val="none"/>
        </w:rPr>
        <w:t>，参加本项目采购活动前三年内无重大违法活动记录。</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我方对以上承诺负全部法律责任。</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特此承诺。</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tabs>
          <w:tab w:val="left" w:pos="6300"/>
        </w:tabs>
        <w:kinsoku/>
        <w:wordWrap/>
        <w:overflowPunct/>
        <w:topLinePunct w:val="0"/>
        <w:autoSpaceDE/>
        <w:autoSpaceDN/>
        <w:bidi w:val="0"/>
        <w:snapToGrid/>
        <w:spacing w:line="360" w:lineRule="auto"/>
        <w:ind w:firstLine="480" w:firstLineChars="20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w:t>
      </w:r>
    </w:p>
    <w:p>
      <w:pPr>
        <w:tabs>
          <w:tab w:val="left" w:pos="6300"/>
        </w:tabs>
        <w:kinsoku/>
        <w:wordWrap/>
        <w:overflowPunct/>
        <w:topLinePunct w:val="0"/>
        <w:autoSpaceDE/>
        <w:autoSpaceDN/>
        <w:bidi w:val="0"/>
        <w:snapToGrid/>
        <w:spacing w:line="360" w:lineRule="auto"/>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Cs w:val="28"/>
          <w:highlight w:val="none"/>
        </w:rPr>
      </w:pPr>
    </w:p>
    <w:p>
      <w:pPr>
        <w:pStyle w:val="4"/>
        <w:kinsoku/>
        <w:wordWrap/>
        <w:overflowPunct/>
        <w:topLinePunct w:val="0"/>
        <w:autoSpaceDE/>
        <w:autoSpaceDN/>
        <w:bidi w:val="0"/>
        <w:adjustRightInd w:val="0"/>
        <w:snapToGrid/>
        <w:spacing w:before="0" w:after="0" w:line="360" w:lineRule="auto"/>
        <w:ind w:firstLine="560" w:firstLineChars="200"/>
        <w:textAlignment w:val="auto"/>
        <w:rPr>
          <w:rFonts w:hint="eastAsia" w:asciiTheme="minorEastAsia" w:hAnsiTheme="minorEastAsia" w:eastAsiaTheme="minorEastAsia" w:cstheme="minorEastAsia"/>
          <w:color w:val="auto"/>
          <w:sz w:val="28"/>
          <w:szCs w:val="28"/>
          <w:highlight w:val="none"/>
        </w:rPr>
      </w:pPr>
      <w:bookmarkStart w:id="216" w:name="_Toc14422"/>
      <w:r>
        <w:rPr>
          <w:rFonts w:hint="eastAsia" w:asciiTheme="minorEastAsia" w:hAnsiTheme="minorEastAsia" w:eastAsiaTheme="minorEastAsia" w:cstheme="minorEastAsia"/>
          <w:b w:val="0"/>
          <w:color w:val="auto"/>
          <w:sz w:val="28"/>
          <w:szCs w:val="28"/>
          <w:highlight w:val="none"/>
        </w:rPr>
        <w:br w:type="page"/>
      </w:r>
      <w:bookmarkStart w:id="217" w:name="_Toc76462354"/>
      <w:bookmarkStart w:id="218" w:name="_Toc106030910"/>
      <w:bookmarkStart w:id="219" w:name="_Toc27266"/>
      <w:bookmarkStart w:id="220" w:name="_Toc125896840"/>
      <w:r>
        <w:rPr>
          <w:rFonts w:hint="eastAsia" w:asciiTheme="minorEastAsia" w:hAnsiTheme="minorEastAsia" w:eastAsiaTheme="minorEastAsia" w:cstheme="minorEastAsia"/>
          <w:color w:val="auto"/>
          <w:sz w:val="28"/>
          <w:szCs w:val="28"/>
          <w:highlight w:val="none"/>
        </w:rPr>
        <w:t>五、其他资料</w:t>
      </w:r>
      <w:bookmarkEnd w:id="216"/>
      <w:bookmarkEnd w:id="217"/>
      <w:bookmarkEnd w:id="218"/>
      <w:bookmarkEnd w:id="219"/>
      <w:bookmarkEnd w:id="220"/>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（一）中小企业声明函、监狱企业证明文件、残疾人福利性单位声明函</w:t>
      </w:r>
    </w:p>
    <w:p>
      <w:pPr>
        <w:tabs>
          <w:tab w:val="left" w:pos="6300"/>
        </w:tabs>
        <w:kinsoku/>
        <w:wordWrap/>
        <w:overflowPunct/>
        <w:topLinePunct w:val="0"/>
        <w:autoSpaceDE/>
        <w:autoSpaceDN/>
        <w:bidi w:val="0"/>
        <w:snapToGrid/>
        <w:spacing w:line="360" w:lineRule="auto"/>
        <w:ind w:firstLine="482" w:firstLineChars="200"/>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中小企业声明函</w:t>
      </w:r>
    </w:p>
    <w:p>
      <w:pPr>
        <w:pStyle w:val="38"/>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 w:val="24"/>
          <w:szCs w:val="24"/>
          <w:highlight w:val="none"/>
        </w:rPr>
      </w:pP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本公司郑重声明，根据《政府采购促进中小企业发展管理办法》（财库〔2020〕46号）的规定，本公司参加</w:t>
      </w:r>
      <w:r>
        <w:rPr>
          <w:rFonts w:hint="eastAsia" w:asciiTheme="minorEastAsia" w:hAnsiTheme="minorEastAsia" w:eastAsiaTheme="minorEastAsia" w:cstheme="minorEastAsia"/>
          <w:i/>
          <w:color w:val="auto"/>
          <w:sz w:val="24"/>
          <w:szCs w:val="24"/>
          <w:highlight w:val="none"/>
          <w:u w:val="single"/>
        </w:rPr>
        <w:t>（单位名称）</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i/>
          <w:color w:val="auto"/>
          <w:sz w:val="24"/>
          <w:szCs w:val="24"/>
          <w:highlight w:val="none"/>
          <w:u w:val="single"/>
        </w:rPr>
        <w:t>（项目名称）</w:t>
      </w:r>
      <w:r>
        <w:rPr>
          <w:rFonts w:hint="eastAsia" w:asciiTheme="minorEastAsia" w:hAnsiTheme="minorEastAsia" w:eastAsiaTheme="minorEastAsia" w:cstheme="minorEastAsia"/>
          <w:color w:val="auto"/>
          <w:sz w:val="24"/>
          <w:szCs w:val="24"/>
          <w:highlight w:val="none"/>
        </w:rPr>
        <w:t>采购活动，服务全部由符合政策要求的中小企业承接。相关企业（的具体情况如下：</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i/>
          <w:color w:val="auto"/>
          <w:sz w:val="24"/>
          <w:szCs w:val="24"/>
          <w:highlight w:val="none"/>
          <w:u w:val="single"/>
        </w:rPr>
        <w:t>（标的名称）</w:t>
      </w:r>
      <w:r>
        <w:rPr>
          <w:rFonts w:hint="eastAsia" w:asciiTheme="minorEastAsia" w:hAnsiTheme="minorEastAsia" w:eastAsiaTheme="minorEastAsia" w:cstheme="minorEastAsia"/>
          <w:color w:val="auto"/>
          <w:sz w:val="24"/>
          <w:szCs w:val="24"/>
          <w:highlight w:val="none"/>
        </w:rPr>
        <w:t>，属于</w:t>
      </w:r>
      <w:r>
        <w:rPr>
          <w:rFonts w:hint="eastAsia" w:asciiTheme="minorEastAsia" w:hAnsiTheme="minorEastAsia" w:eastAsiaTheme="minorEastAsia" w:cstheme="minorEastAsia"/>
          <w:i/>
          <w:color w:val="auto"/>
          <w:sz w:val="24"/>
          <w:szCs w:val="24"/>
          <w:highlight w:val="none"/>
          <w:u w:val="single"/>
        </w:rPr>
        <w:t>（采购文件中明确的所属行业）</w:t>
      </w:r>
      <w:r>
        <w:rPr>
          <w:rFonts w:hint="eastAsia" w:asciiTheme="minorEastAsia" w:hAnsiTheme="minorEastAsia" w:eastAsiaTheme="minorEastAsia" w:cstheme="minorEastAsia"/>
          <w:color w:val="auto"/>
          <w:sz w:val="24"/>
          <w:szCs w:val="24"/>
          <w:highlight w:val="none"/>
        </w:rPr>
        <w:t>；承接企业为</w:t>
      </w:r>
      <w:r>
        <w:rPr>
          <w:rFonts w:hint="eastAsia" w:asciiTheme="minorEastAsia" w:hAnsiTheme="minorEastAsia" w:eastAsiaTheme="minorEastAsia" w:cstheme="minorEastAsia"/>
          <w:i/>
          <w:color w:val="auto"/>
          <w:sz w:val="24"/>
          <w:szCs w:val="24"/>
          <w:highlight w:val="none"/>
          <w:u w:val="single"/>
        </w:rPr>
        <w:t>（企业名称）</w:t>
      </w:r>
      <w:r>
        <w:rPr>
          <w:rFonts w:hint="eastAsia" w:asciiTheme="minorEastAsia" w:hAnsiTheme="minorEastAsia" w:eastAsiaTheme="minorEastAsia" w:cstheme="minorEastAsia"/>
          <w:color w:val="auto"/>
          <w:sz w:val="24"/>
          <w:szCs w:val="24"/>
          <w:highlight w:val="none"/>
        </w:rPr>
        <w:t>，从业人员</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人，营业收入为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万元，资产总额为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万元，属于</w:t>
      </w:r>
      <w:r>
        <w:rPr>
          <w:rFonts w:hint="eastAsia" w:asciiTheme="minorEastAsia" w:hAnsiTheme="minorEastAsia" w:eastAsiaTheme="minorEastAsia" w:cstheme="minorEastAsia"/>
          <w:i/>
          <w:color w:val="auto"/>
          <w:sz w:val="24"/>
          <w:szCs w:val="24"/>
          <w:highlight w:val="none"/>
          <w:u w:val="single"/>
        </w:rPr>
        <w:t>（中型企业、小型企业、微型企业）</w:t>
      </w:r>
      <w:r>
        <w:rPr>
          <w:rFonts w:hint="eastAsia" w:asciiTheme="minorEastAsia" w:hAnsiTheme="minorEastAsia" w:eastAsiaTheme="minorEastAsia" w:cstheme="minorEastAsia"/>
          <w:color w:val="auto"/>
          <w:sz w:val="24"/>
          <w:szCs w:val="24"/>
          <w:highlight w:val="none"/>
        </w:rPr>
        <w:t>；</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i/>
          <w:color w:val="auto"/>
          <w:sz w:val="24"/>
          <w:szCs w:val="24"/>
          <w:highlight w:val="none"/>
          <w:u w:val="single"/>
        </w:rPr>
        <w:t xml:space="preserve"> （标的名称）</w:t>
      </w:r>
      <w:r>
        <w:rPr>
          <w:rFonts w:hint="eastAsia" w:asciiTheme="minorEastAsia" w:hAnsiTheme="minorEastAsia" w:eastAsiaTheme="minorEastAsia" w:cstheme="minorEastAsia"/>
          <w:color w:val="auto"/>
          <w:sz w:val="24"/>
          <w:szCs w:val="24"/>
          <w:highlight w:val="none"/>
        </w:rPr>
        <w:t>，属于</w:t>
      </w:r>
      <w:r>
        <w:rPr>
          <w:rFonts w:hint="eastAsia" w:asciiTheme="minorEastAsia" w:hAnsiTheme="minorEastAsia" w:eastAsiaTheme="minorEastAsia" w:cstheme="minorEastAsia"/>
          <w:i/>
          <w:color w:val="auto"/>
          <w:sz w:val="24"/>
          <w:szCs w:val="24"/>
          <w:highlight w:val="none"/>
          <w:u w:val="single"/>
        </w:rPr>
        <w:t>（采购文件中明确的所属行业）</w:t>
      </w:r>
      <w:r>
        <w:rPr>
          <w:rFonts w:hint="eastAsia" w:asciiTheme="minorEastAsia" w:hAnsiTheme="minorEastAsia" w:eastAsiaTheme="minorEastAsia" w:cstheme="minorEastAsia"/>
          <w:color w:val="auto"/>
          <w:sz w:val="24"/>
          <w:szCs w:val="24"/>
          <w:highlight w:val="none"/>
        </w:rPr>
        <w:t>；承接企业为</w:t>
      </w:r>
      <w:r>
        <w:rPr>
          <w:rFonts w:hint="eastAsia" w:asciiTheme="minorEastAsia" w:hAnsiTheme="minorEastAsia" w:eastAsiaTheme="minorEastAsia" w:cstheme="minorEastAsia"/>
          <w:i/>
          <w:color w:val="auto"/>
          <w:sz w:val="24"/>
          <w:szCs w:val="24"/>
          <w:highlight w:val="none"/>
          <w:u w:val="single"/>
        </w:rPr>
        <w:t>（企业名称）</w:t>
      </w:r>
      <w:r>
        <w:rPr>
          <w:rFonts w:hint="eastAsia" w:asciiTheme="minorEastAsia" w:hAnsiTheme="minorEastAsia" w:eastAsiaTheme="minorEastAsia" w:cstheme="minorEastAsia"/>
          <w:color w:val="auto"/>
          <w:sz w:val="24"/>
          <w:szCs w:val="24"/>
          <w:highlight w:val="none"/>
        </w:rPr>
        <w:t>，从业人员</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人，营业收入为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万元，资产总额为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万元，属于</w:t>
      </w:r>
      <w:r>
        <w:rPr>
          <w:rFonts w:hint="eastAsia" w:asciiTheme="minorEastAsia" w:hAnsiTheme="minorEastAsia" w:eastAsiaTheme="minorEastAsia" w:cstheme="minorEastAsia"/>
          <w:i/>
          <w:color w:val="auto"/>
          <w:sz w:val="24"/>
          <w:szCs w:val="24"/>
          <w:highlight w:val="none"/>
          <w:u w:val="single"/>
        </w:rPr>
        <w:t>（中型企业、小型企业、微型企业）</w:t>
      </w:r>
      <w:r>
        <w:rPr>
          <w:rFonts w:hint="eastAsia" w:asciiTheme="minorEastAsia" w:hAnsiTheme="minorEastAsia" w:eastAsiaTheme="minorEastAsia" w:cstheme="minorEastAsia"/>
          <w:color w:val="auto"/>
          <w:sz w:val="24"/>
          <w:szCs w:val="24"/>
          <w:highlight w:val="none"/>
        </w:rPr>
        <w:t>；</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为本标的提供的服务人员</w:t>
      </w:r>
      <w:r>
        <w:rPr>
          <w:rFonts w:hint="eastAsia" w:asciiTheme="minorEastAsia" w:hAnsiTheme="minorEastAsia" w:eastAsiaTheme="minorEastAsia" w:cstheme="minorEastAsia"/>
          <w:color w:val="auto"/>
          <w:sz w:val="24"/>
          <w:szCs w:val="28"/>
          <w:highlight w:val="none"/>
          <w:u w:val="single"/>
        </w:rPr>
        <w:t xml:space="preserve">   </w:t>
      </w:r>
      <w:r>
        <w:rPr>
          <w:rFonts w:hint="eastAsia" w:asciiTheme="minorEastAsia" w:hAnsiTheme="minorEastAsia" w:eastAsiaTheme="minorEastAsia" w:cstheme="minorEastAsia"/>
          <w:color w:val="auto"/>
          <w:sz w:val="24"/>
          <w:szCs w:val="28"/>
          <w:highlight w:val="none"/>
        </w:rPr>
        <w:t>人，其中与本企业签订劳动合同</w:t>
      </w:r>
      <w:r>
        <w:rPr>
          <w:rFonts w:hint="eastAsia" w:asciiTheme="minorEastAsia" w:hAnsiTheme="minorEastAsia" w:eastAsiaTheme="minorEastAsia" w:cstheme="minorEastAsia"/>
          <w:color w:val="auto"/>
          <w:sz w:val="24"/>
          <w:szCs w:val="28"/>
          <w:highlight w:val="none"/>
          <w:u w:val="single"/>
        </w:rPr>
        <w:t xml:space="preserve">   </w:t>
      </w:r>
      <w:r>
        <w:rPr>
          <w:rFonts w:hint="eastAsia" w:asciiTheme="minorEastAsia" w:hAnsiTheme="minorEastAsia" w:eastAsiaTheme="minorEastAsia" w:cstheme="minorEastAsia"/>
          <w:color w:val="auto"/>
          <w:sz w:val="24"/>
          <w:szCs w:val="28"/>
          <w:highlight w:val="none"/>
        </w:rPr>
        <w:t>人，其他人员</w:t>
      </w:r>
      <w:r>
        <w:rPr>
          <w:rFonts w:hint="eastAsia" w:asciiTheme="minorEastAsia" w:hAnsiTheme="minorEastAsia" w:eastAsiaTheme="minorEastAsia" w:cstheme="minorEastAsia"/>
          <w:color w:val="auto"/>
          <w:sz w:val="24"/>
          <w:szCs w:val="28"/>
          <w:highlight w:val="none"/>
          <w:u w:val="single"/>
        </w:rPr>
        <w:t xml:space="preserve">   </w:t>
      </w:r>
      <w:r>
        <w:rPr>
          <w:rFonts w:hint="eastAsia" w:asciiTheme="minorEastAsia" w:hAnsiTheme="minorEastAsia" w:eastAsiaTheme="minorEastAsia" w:cstheme="minorEastAsia"/>
          <w:color w:val="auto"/>
          <w:sz w:val="24"/>
          <w:szCs w:val="28"/>
          <w:highlight w:val="none"/>
        </w:rPr>
        <w:t>人。有其他人员的不符合中小企业扶持政策（适用于服务采购项目）;</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以上企业，不属于大企业的分支机构，不存在控股股东为大企业的情形，也不存在与大企业的负责人为同一人的情形。</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本企业对上述声明内容的真实性负责。如有虚假，将依法承担相应责任。</w:t>
      </w:r>
    </w:p>
    <w:p>
      <w:pPr>
        <w:tabs>
          <w:tab w:val="left" w:pos="6300"/>
        </w:tabs>
        <w:kinsoku/>
        <w:wordWrap/>
        <w:overflowPunct/>
        <w:topLinePunct w:val="0"/>
        <w:autoSpaceDE/>
        <w:autoSpaceDN/>
        <w:bidi w:val="0"/>
        <w:snapToGrid/>
        <w:spacing w:line="360" w:lineRule="auto"/>
        <w:ind w:firstLine="6120" w:firstLineChars="255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企业名称（盖章）： </w:t>
      </w:r>
    </w:p>
    <w:p>
      <w:pPr>
        <w:tabs>
          <w:tab w:val="left" w:pos="6300"/>
        </w:tabs>
        <w:kinsoku/>
        <w:wordWrap/>
        <w:overflowPunct/>
        <w:topLinePunct w:val="0"/>
        <w:autoSpaceDE/>
        <w:autoSpaceDN/>
        <w:bidi w:val="0"/>
        <w:snapToGrid/>
        <w:spacing w:line="360" w:lineRule="auto"/>
        <w:ind w:left="0" w:leftChars="0" w:right="784" w:firstLine="7298" w:firstLineChars="304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p>
      <w:pPr>
        <w:tabs>
          <w:tab w:val="left" w:pos="6300"/>
        </w:tabs>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kern w:val="0"/>
          <w:sz w:val="24"/>
          <w:szCs w:val="24"/>
          <w:highlight w:val="none"/>
        </w:rPr>
      </w:pPr>
    </w:p>
    <w:p>
      <w:pPr>
        <w:tabs>
          <w:tab w:val="left" w:pos="6300"/>
        </w:tabs>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填写时应注意以下事项：</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1.从业人员、营业收入、资产总额填报上一年度数据，无上一年度数据的新成立企业可不填报。</w:t>
      </w:r>
    </w:p>
    <w:p>
      <w:pPr>
        <w:tabs>
          <w:tab w:val="left" w:pos="6300"/>
        </w:tabs>
        <w:kinsoku/>
        <w:wordWrap/>
        <w:overflowPunct/>
        <w:topLinePunct w:val="0"/>
        <w:autoSpaceDE/>
        <w:autoSpaceDN/>
        <w:bidi w:val="0"/>
        <w:snapToGrid/>
        <w:spacing w:line="360" w:lineRule="auto"/>
        <w:ind w:firstLine="482" w:firstLineChars="200"/>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2.中小企业应当按照《中小企业划型标准规定》（工信部联企业〔2011〕300号），如实填写并提交《中小企业声明函》。</w:t>
      </w:r>
    </w:p>
    <w:p>
      <w:pPr>
        <w:tabs>
          <w:tab w:val="left" w:pos="6300"/>
        </w:tabs>
        <w:kinsoku/>
        <w:wordWrap/>
        <w:overflowPunct/>
        <w:topLinePunct w:val="0"/>
        <w:autoSpaceDE/>
        <w:autoSpaceDN/>
        <w:bidi w:val="0"/>
        <w:snapToGrid/>
        <w:spacing w:line="360" w:lineRule="auto"/>
        <w:ind w:firstLine="482" w:firstLineChars="200"/>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3.供应商填写《中小企业声明函》中所属行业时，应与采购文件第一篇“采购标的对应的中小企业划分标准所属行业”中填写的所属行业一致。</w:t>
      </w:r>
    </w:p>
    <w:p>
      <w:pPr>
        <w:tabs>
          <w:tab w:val="left" w:pos="6300"/>
        </w:tabs>
        <w:kinsoku/>
        <w:wordWrap/>
        <w:overflowPunct/>
        <w:topLinePunct w:val="0"/>
        <w:autoSpaceDE/>
        <w:autoSpaceDN/>
        <w:bidi w:val="0"/>
        <w:snapToGrid/>
        <w:spacing w:line="360" w:lineRule="auto"/>
        <w:ind w:firstLine="482" w:firstLineChars="200"/>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4.本声明函“企业名称（盖章）”处为供应商盖章。</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注：各行业划型标准：</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（十六）其他未列明行业。从业人员300人以下的为中小微型企业。其中，从业人员100人及以上的为中型企业；从业人员10人及以上的为小型企业；从业人员10人以下的为微型企业。</w:t>
      </w:r>
    </w:p>
    <w:p>
      <w:pPr>
        <w:tabs>
          <w:tab w:val="left" w:pos="6300"/>
        </w:tabs>
        <w:kinsoku/>
        <w:wordWrap/>
        <w:overflowPunct/>
        <w:topLinePunct w:val="0"/>
        <w:autoSpaceDE/>
        <w:autoSpaceDN/>
        <w:bidi w:val="0"/>
        <w:snapToGrid/>
        <w:spacing w:line="360" w:lineRule="auto"/>
        <w:ind w:firstLine="480" w:firstLineChars="200"/>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b/>
          <w:color w:val="auto"/>
          <w:sz w:val="24"/>
          <w:szCs w:val="24"/>
          <w:highlight w:val="none"/>
        </w:rPr>
        <w:t>监狱企业证明文件</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以省级以上监狱管理局、戒毒管理局（含新疆生产建设兵团）出具的属于监狱企业的证明文件为准。</w:t>
      </w:r>
    </w:p>
    <w:p>
      <w:pPr>
        <w:tabs>
          <w:tab w:val="left" w:pos="6300"/>
        </w:tabs>
        <w:kinsoku/>
        <w:wordWrap/>
        <w:overflowPunct/>
        <w:topLinePunct w:val="0"/>
        <w:autoSpaceDE/>
        <w:autoSpaceDN/>
        <w:bidi w:val="0"/>
        <w:snapToGrid/>
        <w:spacing w:line="360" w:lineRule="auto"/>
        <w:ind w:firstLine="480" w:firstLineChars="200"/>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b/>
          <w:color w:val="auto"/>
          <w:sz w:val="24"/>
          <w:szCs w:val="24"/>
          <w:highlight w:val="none"/>
        </w:rPr>
        <w:t>残疾人福利性单位声明函</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本单位对上述声明的真实性负责。如有虚假，将依法承担相应责任。</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供应商名称（盖章）：</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日  期：</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kern w:val="0"/>
          <w:sz w:val="24"/>
          <w:szCs w:val="24"/>
          <w:highlight w:val="none"/>
        </w:rPr>
        <w:t>若成交供应商为残疾人福利性单位的，将在结果公告时公告其《残疾人福利性单位声明函》。</w:t>
      </w:r>
    </w:p>
    <w:p>
      <w:pPr>
        <w:kinsoku/>
        <w:wordWrap/>
        <w:overflowPunct/>
        <w:topLinePunct w:val="0"/>
        <w:autoSpaceDE/>
        <w:autoSpaceDN/>
        <w:bidi w:val="0"/>
        <w:snapToGri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p>
    <w:p>
      <w:pPr>
        <w:kinsoku/>
        <w:wordWrap/>
        <w:overflowPunct/>
        <w:topLinePunct w:val="0"/>
        <w:autoSpaceDE/>
        <w:autoSpaceDN/>
        <w:bidi w:val="0"/>
        <w:snapToGri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br w:type="page"/>
      </w:r>
      <w:r>
        <w:rPr>
          <w:rFonts w:hint="eastAsia" w:asciiTheme="minorEastAsia" w:hAnsiTheme="minorEastAsia" w:eastAsiaTheme="minorEastAsia" w:cstheme="minorEastAsia"/>
          <w:color w:val="auto"/>
          <w:sz w:val="24"/>
          <w:szCs w:val="24"/>
          <w:highlight w:val="none"/>
        </w:rPr>
        <w:t>（二）其他与项目有关的资料</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其他与项目有关的资料（自附）：供应商总体情况介绍、其他与本项目有关的资料等。</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560" w:firstLineChars="200"/>
        <w:jc w:val="center"/>
        <w:textAlignment w:val="auto"/>
        <w:rPr>
          <w:rFonts w:hint="eastAsia" w:asciiTheme="minorEastAsia" w:hAnsiTheme="minorEastAsia" w:eastAsiaTheme="minorEastAsia" w:cstheme="minorEastAsia"/>
          <w:color w:val="auto"/>
          <w:szCs w:val="28"/>
          <w:highlight w:val="none"/>
        </w:rPr>
      </w:pPr>
    </w:p>
    <w:p>
      <w:pPr>
        <w:kinsoku/>
        <w:wordWrap/>
        <w:overflowPunct/>
        <w:topLinePunct w:val="0"/>
        <w:autoSpaceDE/>
        <w:autoSpaceDN/>
        <w:bidi w:val="0"/>
        <w:snapToGrid/>
        <w:spacing w:line="360" w:lineRule="auto"/>
        <w:ind w:firstLine="560" w:firstLineChars="200"/>
        <w:jc w:val="center"/>
        <w:textAlignment w:val="auto"/>
        <w:rPr>
          <w:rFonts w:hint="eastAsia" w:asciiTheme="minorEastAsia" w:hAnsiTheme="minorEastAsia" w:eastAsiaTheme="minorEastAsia" w:cstheme="minorEastAsia"/>
          <w:color w:val="auto"/>
          <w:szCs w:val="28"/>
          <w:highlight w:val="none"/>
        </w:rPr>
      </w:pPr>
    </w:p>
    <w:p>
      <w:pPr>
        <w:kinsoku/>
        <w:wordWrap/>
        <w:overflowPunct/>
        <w:topLinePunct w:val="0"/>
        <w:autoSpaceDE/>
        <w:autoSpaceDN/>
        <w:bidi w:val="0"/>
        <w:snapToGrid/>
        <w:spacing w:line="360" w:lineRule="auto"/>
        <w:ind w:firstLine="560" w:firstLineChars="200"/>
        <w:jc w:val="center"/>
        <w:textAlignment w:val="auto"/>
        <w:rPr>
          <w:rFonts w:hint="eastAsia" w:asciiTheme="minorEastAsia" w:hAnsiTheme="minorEastAsia" w:eastAsiaTheme="minorEastAsia" w:cstheme="minorEastAsia"/>
          <w:color w:val="auto"/>
          <w:szCs w:val="28"/>
          <w:highlight w:val="none"/>
        </w:rPr>
      </w:pPr>
    </w:p>
    <w:p>
      <w:pPr>
        <w:kinsoku/>
        <w:wordWrap/>
        <w:overflowPunct/>
        <w:topLinePunct w:val="0"/>
        <w:autoSpaceDE/>
        <w:autoSpaceDN/>
        <w:bidi w:val="0"/>
        <w:snapToGrid/>
        <w:spacing w:line="360" w:lineRule="auto"/>
        <w:ind w:firstLine="560" w:firstLineChars="200"/>
        <w:jc w:val="center"/>
        <w:textAlignment w:val="auto"/>
        <w:rPr>
          <w:rFonts w:hint="eastAsia" w:asciiTheme="minorEastAsia" w:hAnsiTheme="minorEastAsia" w:eastAsiaTheme="minorEastAsia" w:cstheme="minorEastAsia"/>
          <w:color w:val="auto"/>
          <w:szCs w:val="28"/>
          <w:highlight w:val="none"/>
        </w:rPr>
      </w:pPr>
    </w:p>
    <w:p>
      <w:pPr>
        <w:kinsoku/>
        <w:wordWrap/>
        <w:overflowPunct/>
        <w:topLinePunct w:val="0"/>
        <w:autoSpaceDE/>
        <w:autoSpaceDN/>
        <w:bidi w:val="0"/>
        <w:snapToGrid/>
        <w:spacing w:line="360" w:lineRule="auto"/>
        <w:ind w:firstLine="560" w:firstLineChars="200"/>
        <w:jc w:val="center"/>
        <w:textAlignment w:val="auto"/>
        <w:rPr>
          <w:rFonts w:hint="eastAsia" w:asciiTheme="minorEastAsia" w:hAnsiTheme="minorEastAsia" w:eastAsiaTheme="minorEastAsia" w:cstheme="minorEastAsia"/>
          <w:color w:val="auto"/>
          <w:szCs w:val="28"/>
          <w:highlight w:val="none"/>
        </w:rPr>
      </w:pPr>
    </w:p>
    <w:p>
      <w:pPr>
        <w:kinsoku/>
        <w:wordWrap/>
        <w:overflowPunct/>
        <w:topLinePunct w:val="0"/>
        <w:autoSpaceDE/>
        <w:autoSpaceDN/>
        <w:bidi w:val="0"/>
        <w:snapToGrid/>
        <w:spacing w:line="360" w:lineRule="auto"/>
        <w:ind w:firstLine="560" w:firstLineChars="200"/>
        <w:jc w:val="center"/>
        <w:textAlignment w:val="auto"/>
        <w:rPr>
          <w:rFonts w:hint="eastAsia" w:asciiTheme="minorEastAsia" w:hAnsiTheme="minorEastAsia" w:eastAsiaTheme="minorEastAsia" w:cstheme="minorEastAsia"/>
          <w:color w:val="auto"/>
          <w:szCs w:val="28"/>
          <w:highlight w:val="none"/>
        </w:rPr>
      </w:pPr>
    </w:p>
    <w:p>
      <w:pPr>
        <w:kinsoku/>
        <w:wordWrap/>
        <w:overflowPunct/>
        <w:topLinePunct w:val="0"/>
        <w:autoSpaceDE/>
        <w:autoSpaceDN/>
        <w:bidi w:val="0"/>
        <w:snapToGrid/>
        <w:spacing w:line="360" w:lineRule="auto"/>
        <w:ind w:firstLine="560" w:firstLineChars="200"/>
        <w:jc w:val="center"/>
        <w:textAlignment w:val="auto"/>
        <w:rPr>
          <w:rFonts w:hint="eastAsia" w:asciiTheme="minorEastAsia" w:hAnsiTheme="minorEastAsia" w:eastAsiaTheme="minorEastAsia" w:cstheme="minorEastAsia"/>
          <w:color w:val="auto"/>
          <w:szCs w:val="28"/>
          <w:highlight w:val="none"/>
        </w:rPr>
      </w:pPr>
    </w:p>
    <w:p>
      <w:pPr>
        <w:pStyle w:val="38"/>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pStyle w:val="38"/>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pStyle w:val="38"/>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pStyle w:val="38"/>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pStyle w:val="38"/>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pStyle w:val="38"/>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kinsoku/>
        <w:wordWrap/>
        <w:overflowPunct/>
        <w:topLinePunct w:val="0"/>
        <w:autoSpaceDE/>
        <w:autoSpaceDN/>
        <w:bidi w:val="0"/>
        <w:snapToGrid/>
        <w:spacing w:line="360" w:lineRule="auto"/>
        <w:ind w:firstLine="560" w:firstLineChars="200"/>
        <w:jc w:val="center"/>
        <w:textAlignment w:val="auto"/>
        <w:outlineLvl w:val="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（结束）</w:t>
      </w:r>
    </w:p>
    <w:sectPr>
      <w:pgSz w:w="11907" w:h="16840"/>
      <w:pgMar w:top="1440" w:right="1247" w:bottom="1440" w:left="1814" w:header="964" w:footer="992" w:gutter="0"/>
      <w:pgNumType w:fmt="numberInDash"/>
      <w:cols w:space="0" w:num="1"/>
      <w:rtlGutter w:val="0"/>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jc w:val="center"/>
      <w:rPr>
        <w:rStyle w:val="61"/>
        <w:rFonts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- 5 -</w:t>
    </w:r>
    <w:r>
      <w:rPr>
        <w:rFonts w:ascii="宋体"/>
        <w:sz w:val="21"/>
        <w:szCs w:val="21"/>
      </w:rPr>
      <w:fldChar w:fldCharType="end"/>
    </w:r>
  </w:p>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1"/>
      </w:rPr>
    </w:pPr>
    <w:r>
      <w:fldChar w:fldCharType="begin"/>
    </w:r>
    <w:r>
      <w:rPr>
        <w:rStyle w:val="61"/>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1"/>
      </w:rPr>
    </w:pPr>
  </w:p>
  <w:p>
    <w:pPr>
      <w:pStyle w:val="36"/>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- 13 -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1"/>
      </w:rPr>
    </w:pPr>
    <w:r>
      <w:fldChar w:fldCharType="begin"/>
    </w:r>
    <w:r>
      <w:rPr>
        <w:rStyle w:val="61"/>
      </w:rPr>
      <w:instrText xml:space="preserve">PAGE  </w:instrText>
    </w:r>
    <w:r>
      <w:fldChar w:fldCharType="end"/>
    </w:r>
  </w:p>
  <w:p>
    <w:pPr>
      <w:pStyle w:val="3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- 23 -</w:t>
    </w:r>
    <w:r>
      <w:rPr>
        <w:rFonts w:ascii="宋体" w:hAnsi="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1"/>
      </w:rPr>
    </w:pPr>
    <w:r>
      <w:fldChar w:fldCharType="begin"/>
    </w:r>
    <w:r>
      <w:rPr>
        <w:rStyle w:val="61"/>
      </w:rPr>
      <w:instrText xml:space="preserve">PAGE  </w:instrText>
    </w:r>
    <w: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right"/>
      <w:rPr>
        <w:rFonts w:hint="eastAsia" w:ascii="宋体" w:hAnsi="宋体"/>
        <w:sz w:val="21"/>
        <w:szCs w:val="21"/>
      </w:rPr>
    </w:pPr>
    <w:r>
      <w:rPr>
        <w:rFonts w:hint="eastAsia" w:ascii="方正仿宋_GBK" w:eastAsia="方正仿宋_GBK"/>
        <w:sz w:val="21"/>
        <w:szCs w:val="21"/>
      </w:rPr>
      <w:t xml:space="preserve">                             </w:t>
    </w:r>
    <w:r>
      <w:rPr>
        <w:rFonts w:hint="eastAsia" w:ascii="宋体" w:hAnsi="宋体"/>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right"/>
      <w:rPr>
        <w:rFonts w:hint="eastAsia" w:ascii="宋体" w:hAnsi="宋体"/>
        <w:sz w:val="21"/>
        <w:szCs w:val="21"/>
      </w:rPr>
    </w:pPr>
    <w:r>
      <w:rPr>
        <w:rFonts w:hint="eastAsia" w:ascii="方正仿宋_GBK" w:eastAsia="方正仿宋_GBK"/>
        <w:sz w:val="21"/>
        <w:szCs w:val="21"/>
      </w:rPr>
      <w:t xml:space="preserve">                                        </w:t>
    </w:r>
    <w:r>
      <w:rPr>
        <w:rFonts w:hint="eastAsia" w:ascii="宋体" w:hAnsi="宋体"/>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DFABE7"/>
    <w:multiLevelType w:val="singleLevel"/>
    <w:tmpl w:val="F7DFABE7"/>
    <w:lvl w:ilvl="0" w:tentative="0">
      <w:start w:val="5"/>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120"/>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46"/>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70"/>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20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13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8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232"/>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137"/>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6"/>
  </w:num>
  <w:num w:numId="3">
    <w:abstractNumId w:val="4"/>
  </w:num>
  <w:num w:numId="4">
    <w:abstractNumId w:val="10"/>
  </w:num>
  <w:num w:numId="5">
    <w:abstractNumId w:val="1"/>
  </w:num>
  <w:num w:numId="6">
    <w:abstractNumId w:val="7"/>
  </w:num>
  <w:num w:numId="7">
    <w:abstractNumId w:val="12"/>
  </w:num>
  <w:num w:numId="8">
    <w:abstractNumId w:val="2"/>
  </w:num>
  <w:num w:numId="9">
    <w:abstractNumId w:val="3"/>
  </w:num>
  <w:num w:numId="10">
    <w:abstractNumId w:val="8"/>
  </w:num>
  <w:num w:numId="11">
    <w:abstractNumId w:val="5"/>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hMTUzZDc2MDBjZmM4Yzk3NWE0MzY4MDUyNmFmMWUifQ=="/>
  </w:docVars>
  <w:rsids>
    <w:rsidRoot w:val="00172A27"/>
    <w:rsid w:val="000014C5"/>
    <w:rsid w:val="00002561"/>
    <w:rsid w:val="00002AE4"/>
    <w:rsid w:val="00002EF2"/>
    <w:rsid w:val="000032B6"/>
    <w:rsid w:val="00003626"/>
    <w:rsid w:val="00003E79"/>
    <w:rsid w:val="000040DE"/>
    <w:rsid w:val="000070F0"/>
    <w:rsid w:val="000075E8"/>
    <w:rsid w:val="00011B4B"/>
    <w:rsid w:val="000125EA"/>
    <w:rsid w:val="00014C6D"/>
    <w:rsid w:val="00016B79"/>
    <w:rsid w:val="00017816"/>
    <w:rsid w:val="000209F5"/>
    <w:rsid w:val="000241AD"/>
    <w:rsid w:val="00025AFF"/>
    <w:rsid w:val="000267B5"/>
    <w:rsid w:val="00026805"/>
    <w:rsid w:val="00032ACA"/>
    <w:rsid w:val="00033FCD"/>
    <w:rsid w:val="000342F1"/>
    <w:rsid w:val="000344E6"/>
    <w:rsid w:val="0003488A"/>
    <w:rsid w:val="0003632F"/>
    <w:rsid w:val="00043835"/>
    <w:rsid w:val="0004491C"/>
    <w:rsid w:val="0004739C"/>
    <w:rsid w:val="00051E02"/>
    <w:rsid w:val="000523C9"/>
    <w:rsid w:val="0005298B"/>
    <w:rsid w:val="0005382C"/>
    <w:rsid w:val="0005417C"/>
    <w:rsid w:val="000576E1"/>
    <w:rsid w:val="00061A7C"/>
    <w:rsid w:val="00061C74"/>
    <w:rsid w:val="00062FFE"/>
    <w:rsid w:val="00063981"/>
    <w:rsid w:val="00074C38"/>
    <w:rsid w:val="000773D1"/>
    <w:rsid w:val="000801DE"/>
    <w:rsid w:val="000816AD"/>
    <w:rsid w:val="00082CC1"/>
    <w:rsid w:val="00084BBE"/>
    <w:rsid w:val="00086498"/>
    <w:rsid w:val="00090C5A"/>
    <w:rsid w:val="000911C3"/>
    <w:rsid w:val="00091230"/>
    <w:rsid w:val="00091B1C"/>
    <w:rsid w:val="00091D22"/>
    <w:rsid w:val="00097194"/>
    <w:rsid w:val="000978EF"/>
    <w:rsid w:val="00097C0C"/>
    <w:rsid w:val="000A010F"/>
    <w:rsid w:val="000A164E"/>
    <w:rsid w:val="000A246D"/>
    <w:rsid w:val="000A3057"/>
    <w:rsid w:val="000A3E41"/>
    <w:rsid w:val="000A410B"/>
    <w:rsid w:val="000A5C91"/>
    <w:rsid w:val="000A6D35"/>
    <w:rsid w:val="000A770E"/>
    <w:rsid w:val="000B0E54"/>
    <w:rsid w:val="000B1068"/>
    <w:rsid w:val="000B1F13"/>
    <w:rsid w:val="000B3002"/>
    <w:rsid w:val="000B42F4"/>
    <w:rsid w:val="000B5993"/>
    <w:rsid w:val="000B7377"/>
    <w:rsid w:val="000B7B4D"/>
    <w:rsid w:val="000B7F54"/>
    <w:rsid w:val="000C08C1"/>
    <w:rsid w:val="000C1E0E"/>
    <w:rsid w:val="000C20E6"/>
    <w:rsid w:val="000C2C03"/>
    <w:rsid w:val="000C46F1"/>
    <w:rsid w:val="000C6D1F"/>
    <w:rsid w:val="000C6D89"/>
    <w:rsid w:val="000D2421"/>
    <w:rsid w:val="000D445A"/>
    <w:rsid w:val="000D4E87"/>
    <w:rsid w:val="000D776F"/>
    <w:rsid w:val="000E01C9"/>
    <w:rsid w:val="000E07A4"/>
    <w:rsid w:val="000E0AC1"/>
    <w:rsid w:val="000E0AC7"/>
    <w:rsid w:val="000E0DD7"/>
    <w:rsid w:val="000E3259"/>
    <w:rsid w:val="000E3B2A"/>
    <w:rsid w:val="000E3B93"/>
    <w:rsid w:val="000E4835"/>
    <w:rsid w:val="000E563F"/>
    <w:rsid w:val="000E5AB0"/>
    <w:rsid w:val="000E7075"/>
    <w:rsid w:val="000E75B6"/>
    <w:rsid w:val="000F302A"/>
    <w:rsid w:val="000F3D5B"/>
    <w:rsid w:val="000F64D7"/>
    <w:rsid w:val="000F7AFF"/>
    <w:rsid w:val="000F7CF9"/>
    <w:rsid w:val="000F7DBF"/>
    <w:rsid w:val="0010014A"/>
    <w:rsid w:val="00100639"/>
    <w:rsid w:val="0010088E"/>
    <w:rsid w:val="001008B3"/>
    <w:rsid w:val="001028FD"/>
    <w:rsid w:val="001034C1"/>
    <w:rsid w:val="00103AC8"/>
    <w:rsid w:val="001042CD"/>
    <w:rsid w:val="00105638"/>
    <w:rsid w:val="0010716D"/>
    <w:rsid w:val="00110BB2"/>
    <w:rsid w:val="00112A3D"/>
    <w:rsid w:val="00113BC4"/>
    <w:rsid w:val="001140DC"/>
    <w:rsid w:val="00114CFE"/>
    <w:rsid w:val="00115337"/>
    <w:rsid w:val="001166B8"/>
    <w:rsid w:val="0011683E"/>
    <w:rsid w:val="00116856"/>
    <w:rsid w:val="00116C42"/>
    <w:rsid w:val="0011780F"/>
    <w:rsid w:val="00117B26"/>
    <w:rsid w:val="00120259"/>
    <w:rsid w:val="00122A15"/>
    <w:rsid w:val="00122F9D"/>
    <w:rsid w:val="001260B9"/>
    <w:rsid w:val="001264A8"/>
    <w:rsid w:val="001266BF"/>
    <w:rsid w:val="00131E08"/>
    <w:rsid w:val="00133D16"/>
    <w:rsid w:val="00134037"/>
    <w:rsid w:val="001342AC"/>
    <w:rsid w:val="00135BAE"/>
    <w:rsid w:val="001370C0"/>
    <w:rsid w:val="00142672"/>
    <w:rsid w:val="00145157"/>
    <w:rsid w:val="00145224"/>
    <w:rsid w:val="00146EC3"/>
    <w:rsid w:val="00147FB4"/>
    <w:rsid w:val="0015011C"/>
    <w:rsid w:val="00150204"/>
    <w:rsid w:val="0015033B"/>
    <w:rsid w:val="00150429"/>
    <w:rsid w:val="001522CD"/>
    <w:rsid w:val="001523C5"/>
    <w:rsid w:val="00152AFC"/>
    <w:rsid w:val="00152B00"/>
    <w:rsid w:val="00152CAD"/>
    <w:rsid w:val="00153556"/>
    <w:rsid w:val="00156846"/>
    <w:rsid w:val="0016265A"/>
    <w:rsid w:val="001638A6"/>
    <w:rsid w:val="0016737B"/>
    <w:rsid w:val="00171E05"/>
    <w:rsid w:val="001727C0"/>
    <w:rsid w:val="00172A27"/>
    <w:rsid w:val="00172D92"/>
    <w:rsid w:val="00173F53"/>
    <w:rsid w:val="00180ACB"/>
    <w:rsid w:val="00181A6C"/>
    <w:rsid w:val="00183B60"/>
    <w:rsid w:val="00184E15"/>
    <w:rsid w:val="00185DBB"/>
    <w:rsid w:val="00186623"/>
    <w:rsid w:val="001879FD"/>
    <w:rsid w:val="001930DB"/>
    <w:rsid w:val="0019571D"/>
    <w:rsid w:val="001963A2"/>
    <w:rsid w:val="00196465"/>
    <w:rsid w:val="001A1B93"/>
    <w:rsid w:val="001A64A1"/>
    <w:rsid w:val="001A6DCC"/>
    <w:rsid w:val="001A773E"/>
    <w:rsid w:val="001B0396"/>
    <w:rsid w:val="001B1400"/>
    <w:rsid w:val="001B3DBD"/>
    <w:rsid w:val="001B4377"/>
    <w:rsid w:val="001B43A5"/>
    <w:rsid w:val="001B604D"/>
    <w:rsid w:val="001B7D44"/>
    <w:rsid w:val="001C3E57"/>
    <w:rsid w:val="001C6AAE"/>
    <w:rsid w:val="001D0DF7"/>
    <w:rsid w:val="001D1038"/>
    <w:rsid w:val="001D2205"/>
    <w:rsid w:val="001D2321"/>
    <w:rsid w:val="001D2651"/>
    <w:rsid w:val="001D2DCD"/>
    <w:rsid w:val="001D5055"/>
    <w:rsid w:val="001D5C37"/>
    <w:rsid w:val="001D60AE"/>
    <w:rsid w:val="001D617E"/>
    <w:rsid w:val="001D630C"/>
    <w:rsid w:val="001D6DCD"/>
    <w:rsid w:val="001E0A70"/>
    <w:rsid w:val="001E1467"/>
    <w:rsid w:val="001E1A2F"/>
    <w:rsid w:val="001E201B"/>
    <w:rsid w:val="001E5CAC"/>
    <w:rsid w:val="001E64A9"/>
    <w:rsid w:val="001E6841"/>
    <w:rsid w:val="001E725F"/>
    <w:rsid w:val="001F1AF5"/>
    <w:rsid w:val="001F1AF7"/>
    <w:rsid w:val="001F25D1"/>
    <w:rsid w:val="001F47B1"/>
    <w:rsid w:val="001F4964"/>
    <w:rsid w:val="001F4A96"/>
    <w:rsid w:val="001F5491"/>
    <w:rsid w:val="001F575D"/>
    <w:rsid w:val="001F7063"/>
    <w:rsid w:val="00202B04"/>
    <w:rsid w:val="00203052"/>
    <w:rsid w:val="00204936"/>
    <w:rsid w:val="002049D5"/>
    <w:rsid w:val="00205A4F"/>
    <w:rsid w:val="00206AE4"/>
    <w:rsid w:val="002100EE"/>
    <w:rsid w:val="00210168"/>
    <w:rsid w:val="00210ED7"/>
    <w:rsid w:val="00212A06"/>
    <w:rsid w:val="0021477E"/>
    <w:rsid w:val="00214E7A"/>
    <w:rsid w:val="00215460"/>
    <w:rsid w:val="00215DEE"/>
    <w:rsid w:val="0021618E"/>
    <w:rsid w:val="0021704D"/>
    <w:rsid w:val="002216C7"/>
    <w:rsid w:val="00222097"/>
    <w:rsid w:val="002222D5"/>
    <w:rsid w:val="002227DB"/>
    <w:rsid w:val="002227DF"/>
    <w:rsid w:val="00222B7E"/>
    <w:rsid w:val="00222ED7"/>
    <w:rsid w:val="00223CEE"/>
    <w:rsid w:val="00226B07"/>
    <w:rsid w:val="00227202"/>
    <w:rsid w:val="00227377"/>
    <w:rsid w:val="00227851"/>
    <w:rsid w:val="002339D3"/>
    <w:rsid w:val="00234257"/>
    <w:rsid w:val="00234320"/>
    <w:rsid w:val="002348E0"/>
    <w:rsid w:val="00234C47"/>
    <w:rsid w:val="002363B2"/>
    <w:rsid w:val="00241549"/>
    <w:rsid w:val="00247162"/>
    <w:rsid w:val="002516A5"/>
    <w:rsid w:val="0025412F"/>
    <w:rsid w:val="00254E1A"/>
    <w:rsid w:val="002554CB"/>
    <w:rsid w:val="0025566E"/>
    <w:rsid w:val="00260D27"/>
    <w:rsid w:val="00262555"/>
    <w:rsid w:val="002643C1"/>
    <w:rsid w:val="00265203"/>
    <w:rsid w:val="0026664B"/>
    <w:rsid w:val="00267C5D"/>
    <w:rsid w:val="00270223"/>
    <w:rsid w:val="002715BB"/>
    <w:rsid w:val="00271942"/>
    <w:rsid w:val="00271954"/>
    <w:rsid w:val="0027199E"/>
    <w:rsid w:val="00271D47"/>
    <w:rsid w:val="002721EA"/>
    <w:rsid w:val="002752BA"/>
    <w:rsid w:val="00280E8A"/>
    <w:rsid w:val="00283441"/>
    <w:rsid w:val="00284818"/>
    <w:rsid w:val="00285164"/>
    <w:rsid w:val="002855B0"/>
    <w:rsid w:val="00285D14"/>
    <w:rsid w:val="002861EC"/>
    <w:rsid w:val="00286959"/>
    <w:rsid w:val="00290CE8"/>
    <w:rsid w:val="00293449"/>
    <w:rsid w:val="00295FA5"/>
    <w:rsid w:val="00297053"/>
    <w:rsid w:val="00297A6F"/>
    <w:rsid w:val="00297A9C"/>
    <w:rsid w:val="002A22DE"/>
    <w:rsid w:val="002A3949"/>
    <w:rsid w:val="002A4956"/>
    <w:rsid w:val="002A5CC2"/>
    <w:rsid w:val="002A6710"/>
    <w:rsid w:val="002A7778"/>
    <w:rsid w:val="002B05EF"/>
    <w:rsid w:val="002B0BBE"/>
    <w:rsid w:val="002B159C"/>
    <w:rsid w:val="002B1FDA"/>
    <w:rsid w:val="002B238D"/>
    <w:rsid w:val="002B2ACF"/>
    <w:rsid w:val="002B42C6"/>
    <w:rsid w:val="002B578B"/>
    <w:rsid w:val="002B5ECC"/>
    <w:rsid w:val="002B72F2"/>
    <w:rsid w:val="002B76FD"/>
    <w:rsid w:val="002B7904"/>
    <w:rsid w:val="002C133B"/>
    <w:rsid w:val="002C24BE"/>
    <w:rsid w:val="002C2507"/>
    <w:rsid w:val="002C2E6E"/>
    <w:rsid w:val="002C3A3D"/>
    <w:rsid w:val="002C5507"/>
    <w:rsid w:val="002C657B"/>
    <w:rsid w:val="002C7927"/>
    <w:rsid w:val="002C7988"/>
    <w:rsid w:val="002D2C7C"/>
    <w:rsid w:val="002D41FF"/>
    <w:rsid w:val="002D608F"/>
    <w:rsid w:val="002D658F"/>
    <w:rsid w:val="002D68E1"/>
    <w:rsid w:val="002D7053"/>
    <w:rsid w:val="002D7208"/>
    <w:rsid w:val="002D7725"/>
    <w:rsid w:val="002E0CC2"/>
    <w:rsid w:val="002E3527"/>
    <w:rsid w:val="002E3824"/>
    <w:rsid w:val="002E3AFE"/>
    <w:rsid w:val="002E49A3"/>
    <w:rsid w:val="002E57D1"/>
    <w:rsid w:val="002E78F7"/>
    <w:rsid w:val="002F031F"/>
    <w:rsid w:val="002F0AA0"/>
    <w:rsid w:val="002F0ED3"/>
    <w:rsid w:val="002F3278"/>
    <w:rsid w:val="002F3DE3"/>
    <w:rsid w:val="002F418C"/>
    <w:rsid w:val="002F632E"/>
    <w:rsid w:val="002F6F81"/>
    <w:rsid w:val="002F70B4"/>
    <w:rsid w:val="00300180"/>
    <w:rsid w:val="003021BC"/>
    <w:rsid w:val="00303ECC"/>
    <w:rsid w:val="0030440F"/>
    <w:rsid w:val="00304CC5"/>
    <w:rsid w:val="00307BB0"/>
    <w:rsid w:val="00310AF9"/>
    <w:rsid w:val="00310DAA"/>
    <w:rsid w:val="00311328"/>
    <w:rsid w:val="0031465E"/>
    <w:rsid w:val="00315742"/>
    <w:rsid w:val="003163B3"/>
    <w:rsid w:val="003200C6"/>
    <w:rsid w:val="00320183"/>
    <w:rsid w:val="003213F6"/>
    <w:rsid w:val="00322409"/>
    <w:rsid w:val="00322A7A"/>
    <w:rsid w:val="0032675A"/>
    <w:rsid w:val="00326C5B"/>
    <w:rsid w:val="0032799B"/>
    <w:rsid w:val="00327C3A"/>
    <w:rsid w:val="003336F0"/>
    <w:rsid w:val="00333A73"/>
    <w:rsid w:val="00335794"/>
    <w:rsid w:val="00335992"/>
    <w:rsid w:val="0033663D"/>
    <w:rsid w:val="003366D9"/>
    <w:rsid w:val="00340777"/>
    <w:rsid w:val="00340E7A"/>
    <w:rsid w:val="00341D8A"/>
    <w:rsid w:val="00341DEB"/>
    <w:rsid w:val="00343F32"/>
    <w:rsid w:val="00345581"/>
    <w:rsid w:val="00346A3D"/>
    <w:rsid w:val="00350510"/>
    <w:rsid w:val="00350C20"/>
    <w:rsid w:val="0035270B"/>
    <w:rsid w:val="003548FA"/>
    <w:rsid w:val="00355643"/>
    <w:rsid w:val="00355A74"/>
    <w:rsid w:val="00355C16"/>
    <w:rsid w:val="00355FB8"/>
    <w:rsid w:val="0035764D"/>
    <w:rsid w:val="003611D5"/>
    <w:rsid w:val="00361427"/>
    <w:rsid w:val="00361876"/>
    <w:rsid w:val="00363702"/>
    <w:rsid w:val="0036458B"/>
    <w:rsid w:val="00364B6F"/>
    <w:rsid w:val="0036687F"/>
    <w:rsid w:val="003703E8"/>
    <w:rsid w:val="00371BD6"/>
    <w:rsid w:val="00371D2F"/>
    <w:rsid w:val="00373122"/>
    <w:rsid w:val="00374ECF"/>
    <w:rsid w:val="003759AF"/>
    <w:rsid w:val="0037612E"/>
    <w:rsid w:val="0038033A"/>
    <w:rsid w:val="003816ED"/>
    <w:rsid w:val="003840E9"/>
    <w:rsid w:val="00384161"/>
    <w:rsid w:val="00387610"/>
    <w:rsid w:val="00390D27"/>
    <w:rsid w:val="003911A8"/>
    <w:rsid w:val="00391FC2"/>
    <w:rsid w:val="0039432A"/>
    <w:rsid w:val="00394A41"/>
    <w:rsid w:val="00394A6A"/>
    <w:rsid w:val="003953EA"/>
    <w:rsid w:val="003957F1"/>
    <w:rsid w:val="00395C2F"/>
    <w:rsid w:val="00396336"/>
    <w:rsid w:val="00397026"/>
    <w:rsid w:val="003973D3"/>
    <w:rsid w:val="00397F89"/>
    <w:rsid w:val="003A0495"/>
    <w:rsid w:val="003A0892"/>
    <w:rsid w:val="003A13F4"/>
    <w:rsid w:val="003A1B6C"/>
    <w:rsid w:val="003A1C61"/>
    <w:rsid w:val="003A3162"/>
    <w:rsid w:val="003A3E97"/>
    <w:rsid w:val="003A422B"/>
    <w:rsid w:val="003A449E"/>
    <w:rsid w:val="003A52D5"/>
    <w:rsid w:val="003A5EEB"/>
    <w:rsid w:val="003A71F3"/>
    <w:rsid w:val="003A7BC1"/>
    <w:rsid w:val="003A7F21"/>
    <w:rsid w:val="003B19F5"/>
    <w:rsid w:val="003B35AF"/>
    <w:rsid w:val="003B3CB8"/>
    <w:rsid w:val="003B479C"/>
    <w:rsid w:val="003B55C5"/>
    <w:rsid w:val="003B5D48"/>
    <w:rsid w:val="003B6B21"/>
    <w:rsid w:val="003B7D81"/>
    <w:rsid w:val="003C2A9A"/>
    <w:rsid w:val="003D0E0A"/>
    <w:rsid w:val="003D3B22"/>
    <w:rsid w:val="003D6BD3"/>
    <w:rsid w:val="003D7B3D"/>
    <w:rsid w:val="003E0348"/>
    <w:rsid w:val="003E512B"/>
    <w:rsid w:val="003E7A8C"/>
    <w:rsid w:val="003F3DB1"/>
    <w:rsid w:val="003F451E"/>
    <w:rsid w:val="003F4939"/>
    <w:rsid w:val="003F626F"/>
    <w:rsid w:val="003F6794"/>
    <w:rsid w:val="003F71B8"/>
    <w:rsid w:val="003F7953"/>
    <w:rsid w:val="00402B32"/>
    <w:rsid w:val="004034C7"/>
    <w:rsid w:val="0040519F"/>
    <w:rsid w:val="00406300"/>
    <w:rsid w:val="0040781E"/>
    <w:rsid w:val="00407E76"/>
    <w:rsid w:val="00410C93"/>
    <w:rsid w:val="004115FB"/>
    <w:rsid w:val="00411B4A"/>
    <w:rsid w:val="004134DD"/>
    <w:rsid w:val="0041560E"/>
    <w:rsid w:val="00417E99"/>
    <w:rsid w:val="004208D8"/>
    <w:rsid w:val="00421507"/>
    <w:rsid w:val="0042167B"/>
    <w:rsid w:val="0042199D"/>
    <w:rsid w:val="004225C1"/>
    <w:rsid w:val="00422B80"/>
    <w:rsid w:val="00422F19"/>
    <w:rsid w:val="00424D02"/>
    <w:rsid w:val="0042525A"/>
    <w:rsid w:val="00425F9A"/>
    <w:rsid w:val="00426ECA"/>
    <w:rsid w:val="0042733C"/>
    <w:rsid w:val="00430AAA"/>
    <w:rsid w:val="0043268B"/>
    <w:rsid w:val="0044185A"/>
    <w:rsid w:val="0044193A"/>
    <w:rsid w:val="004436C0"/>
    <w:rsid w:val="0044757D"/>
    <w:rsid w:val="004522C5"/>
    <w:rsid w:val="00453B8F"/>
    <w:rsid w:val="004556B7"/>
    <w:rsid w:val="004570F9"/>
    <w:rsid w:val="00460489"/>
    <w:rsid w:val="004608C7"/>
    <w:rsid w:val="00462878"/>
    <w:rsid w:val="00462936"/>
    <w:rsid w:val="00464ABF"/>
    <w:rsid w:val="00465B7A"/>
    <w:rsid w:val="00466B38"/>
    <w:rsid w:val="00471121"/>
    <w:rsid w:val="00472AA2"/>
    <w:rsid w:val="00473B39"/>
    <w:rsid w:val="00474175"/>
    <w:rsid w:val="00475605"/>
    <w:rsid w:val="00475A40"/>
    <w:rsid w:val="00476DB8"/>
    <w:rsid w:val="00481174"/>
    <w:rsid w:val="00481309"/>
    <w:rsid w:val="0048181C"/>
    <w:rsid w:val="00491CAA"/>
    <w:rsid w:val="004928A2"/>
    <w:rsid w:val="00494610"/>
    <w:rsid w:val="004953EC"/>
    <w:rsid w:val="00495E27"/>
    <w:rsid w:val="00497ADD"/>
    <w:rsid w:val="004A024E"/>
    <w:rsid w:val="004A0D29"/>
    <w:rsid w:val="004A0DE1"/>
    <w:rsid w:val="004A1874"/>
    <w:rsid w:val="004A1E3C"/>
    <w:rsid w:val="004A213F"/>
    <w:rsid w:val="004A2410"/>
    <w:rsid w:val="004A27AC"/>
    <w:rsid w:val="004A3995"/>
    <w:rsid w:val="004A74D3"/>
    <w:rsid w:val="004B0D71"/>
    <w:rsid w:val="004B3AB3"/>
    <w:rsid w:val="004B5F67"/>
    <w:rsid w:val="004C1DD0"/>
    <w:rsid w:val="004C2685"/>
    <w:rsid w:val="004C3167"/>
    <w:rsid w:val="004C593B"/>
    <w:rsid w:val="004C64E4"/>
    <w:rsid w:val="004C65DF"/>
    <w:rsid w:val="004C6673"/>
    <w:rsid w:val="004C79B4"/>
    <w:rsid w:val="004C7C9B"/>
    <w:rsid w:val="004D1559"/>
    <w:rsid w:val="004D1C22"/>
    <w:rsid w:val="004D2334"/>
    <w:rsid w:val="004D433D"/>
    <w:rsid w:val="004D4410"/>
    <w:rsid w:val="004D4AF9"/>
    <w:rsid w:val="004D7A09"/>
    <w:rsid w:val="004D7BEE"/>
    <w:rsid w:val="004E156F"/>
    <w:rsid w:val="004E2F88"/>
    <w:rsid w:val="004E3841"/>
    <w:rsid w:val="004E550E"/>
    <w:rsid w:val="004E55DB"/>
    <w:rsid w:val="004E67C6"/>
    <w:rsid w:val="004F14AC"/>
    <w:rsid w:val="004F5959"/>
    <w:rsid w:val="004F670C"/>
    <w:rsid w:val="005010F5"/>
    <w:rsid w:val="00502B2F"/>
    <w:rsid w:val="0050338D"/>
    <w:rsid w:val="005035E8"/>
    <w:rsid w:val="00511E47"/>
    <w:rsid w:val="00512D00"/>
    <w:rsid w:val="00512D44"/>
    <w:rsid w:val="00514179"/>
    <w:rsid w:val="00516243"/>
    <w:rsid w:val="005164D4"/>
    <w:rsid w:val="00517ADC"/>
    <w:rsid w:val="005203C9"/>
    <w:rsid w:val="00521218"/>
    <w:rsid w:val="00526AC9"/>
    <w:rsid w:val="005406A0"/>
    <w:rsid w:val="00540E03"/>
    <w:rsid w:val="00541D5F"/>
    <w:rsid w:val="00542C2A"/>
    <w:rsid w:val="00544BEA"/>
    <w:rsid w:val="005460D5"/>
    <w:rsid w:val="00551A9B"/>
    <w:rsid w:val="005539A7"/>
    <w:rsid w:val="00553CF0"/>
    <w:rsid w:val="005561BB"/>
    <w:rsid w:val="00557C75"/>
    <w:rsid w:val="00566A85"/>
    <w:rsid w:val="0056715D"/>
    <w:rsid w:val="00570C78"/>
    <w:rsid w:val="00571DD6"/>
    <w:rsid w:val="00573AE3"/>
    <w:rsid w:val="00577AC9"/>
    <w:rsid w:val="00581EF9"/>
    <w:rsid w:val="0058255E"/>
    <w:rsid w:val="00583690"/>
    <w:rsid w:val="00590136"/>
    <w:rsid w:val="005902D9"/>
    <w:rsid w:val="005903D7"/>
    <w:rsid w:val="0059075F"/>
    <w:rsid w:val="00590B1B"/>
    <w:rsid w:val="00592A68"/>
    <w:rsid w:val="00595317"/>
    <w:rsid w:val="00595D92"/>
    <w:rsid w:val="0059621D"/>
    <w:rsid w:val="00596AB7"/>
    <w:rsid w:val="00597463"/>
    <w:rsid w:val="005A1B5C"/>
    <w:rsid w:val="005A1EA7"/>
    <w:rsid w:val="005A6A12"/>
    <w:rsid w:val="005B0724"/>
    <w:rsid w:val="005B17C0"/>
    <w:rsid w:val="005B186A"/>
    <w:rsid w:val="005B1C91"/>
    <w:rsid w:val="005B1E46"/>
    <w:rsid w:val="005B3CF1"/>
    <w:rsid w:val="005B5AA4"/>
    <w:rsid w:val="005C1189"/>
    <w:rsid w:val="005C22D8"/>
    <w:rsid w:val="005C3F4B"/>
    <w:rsid w:val="005C42AC"/>
    <w:rsid w:val="005C4B1A"/>
    <w:rsid w:val="005C4F84"/>
    <w:rsid w:val="005C5E10"/>
    <w:rsid w:val="005C7446"/>
    <w:rsid w:val="005D2EC6"/>
    <w:rsid w:val="005D37D0"/>
    <w:rsid w:val="005D41E8"/>
    <w:rsid w:val="005D703E"/>
    <w:rsid w:val="005D772F"/>
    <w:rsid w:val="005E35E9"/>
    <w:rsid w:val="005E5525"/>
    <w:rsid w:val="005E64D5"/>
    <w:rsid w:val="005E705E"/>
    <w:rsid w:val="005F38BB"/>
    <w:rsid w:val="005F7895"/>
    <w:rsid w:val="0060003E"/>
    <w:rsid w:val="00601502"/>
    <w:rsid w:val="00602BBE"/>
    <w:rsid w:val="0060315D"/>
    <w:rsid w:val="00607212"/>
    <w:rsid w:val="00613410"/>
    <w:rsid w:val="006135C1"/>
    <w:rsid w:val="0061415E"/>
    <w:rsid w:val="006149C9"/>
    <w:rsid w:val="00614AEC"/>
    <w:rsid w:val="0061660A"/>
    <w:rsid w:val="0061661A"/>
    <w:rsid w:val="00617986"/>
    <w:rsid w:val="00623591"/>
    <w:rsid w:val="00623BC9"/>
    <w:rsid w:val="006242CB"/>
    <w:rsid w:val="006256CA"/>
    <w:rsid w:val="0062668F"/>
    <w:rsid w:val="00627729"/>
    <w:rsid w:val="00627F21"/>
    <w:rsid w:val="0063025A"/>
    <w:rsid w:val="00631147"/>
    <w:rsid w:val="00632722"/>
    <w:rsid w:val="00637E27"/>
    <w:rsid w:val="00641157"/>
    <w:rsid w:val="00643B59"/>
    <w:rsid w:val="0064583B"/>
    <w:rsid w:val="006468B8"/>
    <w:rsid w:val="00646CF7"/>
    <w:rsid w:val="0064789C"/>
    <w:rsid w:val="00650956"/>
    <w:rsid w:val="00651127"/>
    <w:rsid w:val="0065190C"/>
    <w:rsid w:val="006542F1"/>
    <w:rsid w:val="00654A48"/>
    <w:rsid w:val="0065651B"/>
    <w:rsid w:val="00660568"/>
    <w:rsid w:val="00660A06"/>
    <w:rsid w:val="00664607"/>
    <w:rsid w:val="00665941"/>
    <w:rsid w:val="00665E9D"/>
    <w:rsid w:val="00666729"/>
    <w:rsid w:val="0066755F"/>
    <w:rsid w:val="00670089"/>
    <w:rsid w:val="00670C89"/>
    <w:rsid w:val="00671233"/>
    <w:rsid w:val="00671708"/>
    <w:rsid w:val="006736F7"/>
    <w:rsid w:val="006763DC"/>
    <w:rsid w:val="0067653F"/>
    <w:rsid w:val="00680857"/>
    <w:rsid w:val="00680AE4"/>
    <w:rsid w:val="00682205"/>
    <w:rsid w:val="006822B0"/>
    <w:rsid w:val="00684E51"/>
    <w:rsid w:val="00685080"/>
    <w:rsid w:val="0068793C"/>
    <w:rsid w:val="00691D65"/>
    <w:rsid w:val="006920EC"/>
    <w:rsid w:val="00694288"/>
    <w:rsid w:val="00694F91"/>
    <w:rsid w:val="006952C0"/>
    <w:rsid w:val="0069729A"/>
    <w:rsid w:val="006A100B"/>
    <w:rsid w:val="006A11BF"/>
    <w:rsid w:val="006A143A"/>
    <w:rsid w:val="006A3285"/>
    <w:rsid w:val="006A4C56"/>
    <w:rsid w:val="006A4EAE"/>
    <w:rsid w:val="006A6304"/>
    <w:rsid w:val="006A663C"/>
    <w:rsid w:val="006B0567"/>
    <w:rsid w:val="006B4535"/>
    <w:rsid w:val="006B4D5B"/>
    <w:rsid w:val="006B661A"/>
    <w:rsid w:val="006B72DE"/>
    <w:rsid w:val="006B75CB"/>
    <w:rsid w:val="006C2D06"/>
    <w:rsid w:val="006C2E11"/>
    <w:rsid w:val="006C5FC1"/>
    <w:rsid w:val="006C641E"/>
    <w:rsid w:val="006D1FD1"/>
    <w:rsid w:val="006D22F2"/>
    <w:rsid w:val="006D2498"/>
    <w:rsid w:val="006D44E1"/>
    <w:rsid w:val="006D6350"/>
    <w:rsid w:val="006D6662"/>
    <w:rsid w:val="006E21FA"/>
    <w:rsid w:val="006E477D"/>
    <w:rsid w:val="006E4C29"/>
    <w:rsid w:val="006E6D5F"/>
    <w:rsid w:val="006F05C9"/>
    <w:rsid w:val="006F0FB7"/>
    <w:rsid w:val="006F58DC"/>
    <w:rsid w:val="006F5925"/>
    <w:rsid w:val="006F5E40"/>
    <w:rsid w:val="006F6923"/>
    <w:rsid w:val="006F6E4A"/>
    <w:rsid w:val="00700171"/>
    <w:rsid w:val="00704E5D"/>
    <w:rsid w:val="007050A8"/>
    <w:rsid w:val="00705739"/>
    <w:rsid w:val="00706A43"/>
    <w:rsid w:val="007073D6"/>
    <w:rsid w:val="0070749D"/>
    <w:rsid w:val="0071095A"/>
    <w:rsid w:val="00710AE5"/>
    <w:rsid w:val="00712E83"/>
    <w:rsid w:val="00712FF5"/>
    <w:rsid w:val="007132FC"/>
    <w:rsid w:val="0071464D"/>
    <w:rsid w:val="00714BF1"/>
    <w:rsid w:val="00715FB5"/>
    <w:rsid w:val="00716C50"/>
    <w:rsid w:val="007171A6"/>
    <w:rsid w:val="0071799D"/>
    <w:rsid w:val="00720764"/>
    <w:rsid w:val="00726088"/>
    <w:rsid w:val="00730B6A"/>
    <w:rsid w:val="00731195"/>
    <w:rsid w:val="00731B91"/>
    <w:rsid w:val="00731C6E"/>
    <w:rsid w:val="007366AD"/>
    <w:rsid w:val="00736D88"/>
    <w:rsid w:val="00736DD2"/>
    <w:rsid w:val="00736EE0"/>
    <w:rsid w:val="00737552"/>
    <w:rsid w:val="00741013"/>
    <w:rsid w:val="00742C37"/>
    <w:rsid w:val="007441A4"/>
    <w:rsid w:val="0074681C"/>
    <w:rsid w:val="00746EC2"/>
    <w:rsid w:val="007504C5"/>
    <w:rsid w:val="007504DE"/>
    <w:rsid w:val="007514C0"/>
    <w:rsid w:val="00753A03"/>
    <w:rsid w:val="0075654A"/>
    <w:rsid w:val="00757182"/>
    <w:rsid w:val="00762B70"/>
    <w:rsid w:val="00762D08"/>
    <w:rsid w:val="007636FE"/>
    <w:rsid w:val="0076746E"/>
    <w:rsid w:val="00772ED6"/>
    <w:rsid w:val="0077408E"/>
    <w:rsid w:val="00774EA0"/>
    <w:rsid w:val="00780577"/>
    <w:rsid w:val="00781AD3"/>
    <w:rsid w:val="00781BFB"/>
    <w:rsid w:val="00786FA7"/>
    <w:rsid w:val="0079177C"/>
    <w:rsid w:val="00794382"/>
    <w:rsid w:val="007959AC"/>
    <w:rsid w:val="00795D7D"/>
    <w:rsid w:val="00796323"/>
    <w:rsid w:val="0079671D"/>
    <w:rsid w:val="00796CD4"/>
    <w:rsid w:val="007A064A"/>
    <w:rsid w:val="007A20E0"/>
    <w:rsid w:val="007A29FC"/>
    <w:rsid w:val="007B2204"/>
    <w:rsid w:val="007B4B60"/>
    <w:rsid w:val="007B5163"/>
    <w:rsid w:val="007B7278"/>
    <w:rsid w:val="007C0708"/>
    <w:rsid w:val="007C1691"/>
    <w:rsid w:val="007C1D88"/>
    <w:rsid w:val="007C2796"/>
    <w:rsid w:val="007C59AA"/>
    <w:rsid w:val="007C6B0F"/>
    <w:rsid w:val="007C7424"/>
    <w:rsid w:val="007C7AC4"/>
    <w:rsid w:val="007D0625"/>
    <w:rsid w:val="007D2CAB"/>
    <w:rsid w:val="007D3540"/>
    <w:rsid w:val="007D4F9F"/>
    <w:rsid w:val="007D7A44"/>
    <w:rsid w:val="007D7E65"/>
    <w:rsid w:val="007E0593"/>
    <w:rsid w:val="007E19E0"/>
    <w:rsid w:val="007E2A2A"/>
    <w:rsid w:val="007E4858"/>
    <w:rsid w:val="007E4F13"/>
    <w:rsid w:val="007E517D"/>
    <w:rsid w:val="007E54B2"/>
    <w:rsid w:val="007E59EB"/>
    <w:rsid w:val="007E5C8F"/>
    <w:rsid w:val="007F0D19"/>
    <w:rsid w:val="007F1778"/>
    <w:rsid w:val="007F54BF"/>
    <w:rsid w:val="007F6769"/>
    <w:rsid w:val="008016EE"/>
    <w:rsid w:val="008041D4"/>
    <w:rsid w:val="0080615E"/>
    <w:rsid w:val="00806938"/>
    <w:rsid w:val="00807818"/>
    <w:rsid w:val="0081156A"/>
    <w:rsid w:val="00811F2A"/>
    <w:rsid w:val="00815964"/>
    <w:rsid w:val="0082134B"/>
    <w:rsid w:val="00821847"/>
    <w:rsid w:val="0082460A"/>
    <w:rsid w:val="00825691"/>
    <w:rsid w:val="00825E64"/>
    <w:rsid w:val="00827398"/>
    <w:rsid w:val="008275B6"/>
    <w:rsid w:val="00831124"/>
    <w:rsid w:val="0083205C"/>
    <w:rsid w:val="0083653E"/>
    <w:rsid w:val="008369DC"/>
    <w:rsid w:val="00836D15"/>
    <w:rsid w:val="00842974"/>
    <w:rsid w:val="00842F87"/>
    <w:rsid w:val="00843A56"/>
    <w:rsid w:val="00843A88"/>
    <w:rsid w:val="00843D2E"/>
    <w:rsid w:val="0084792F"/>
    <w:rsid w:val="00853320"/>
    <w:rsid w:val="00854E93"/>
    <w:rsid w:val="0085550A"/>
    <w:rsid w:val="0085639D"/>
    <w:rsid w:val="008616EF"/>
    <w:rsid w:val="008626CA"/>
    <w:rsid w:val="008634F4"/>
    <w:rsid w:val="00863C25"/>
    <w:rsid w:val="008641B7"/>
    <w:rsid w:val="00864D80"/>
    <w:rsid w:val="00864DC1"/>
    <w:rsid w:val="00870530"/>
    <w:rsid w:val="008705BC"/>
    <w:rsid w:val="00871999"/>
    <w:rsid w:val="00872E12"/>
    <w:rsid w:val="00872E27"/>
    <w:rsid w:val="0087402A"/>
    <w:rsid w:val="00875A42"/>
    <w:rsid w:val="008772D4"/>
    <w:rsid w:val="00877A4F"/>
    <w:rsid w:val="00880C1B"/>
    <w:rsid w:val="0088192C"/>
    <w:rsid w:val="00881BFC"/>
    <w:rsid w:val="00884063"/>
    <w:rsid w:val="008904A8"/>
    <w:rsid w:val="00891482"/>
    <w:rsid w:val="00891B2A"/>
    <w:rsid w:val="00891D94"/>
    <w:rsid w:val="0089357E"/>
    <w:rsid w:val="0089375F"/>
    <w:rsid w:val="0089481B"/>
    <w:rsid w:val="008950D7"/>
    <w:rsid w:val="00896589"/>
    <w:rsid w:val="008A0CEE"/>
    <w:rsid w:val="008A19AF"/>
    <w:rsid w:val="008A20FB"/>
    <w:rsid w:val="008A379B"/>
    <w:rsid w:val="008A49A5"/>
    <w:rsid w:val="008A4D88"/>
    <w:rsid w:val="008B3B17"/>
    <w:rsid w:val="008B3F47"/>
    <w:rsid w:val="008C1B22"/>
    <w:rsid w:val="008C2C5F"/>
    <w:rsid w:val="008C395C"/>
    <w:rsid w:val="008C4C84"/>
    <w:rsid w:val="008C510F"/>
    <w:rsid w:val="008C6E8E"/>
    <w:rsid w:val="008D067F"/>
    <w:rsid w:val="008D1B81"/>
    <w:rsid w:val="008D3283"/>
    <w:rsid w:val="008D48C0"/>
    <w:rsid w:val="008D4BF7"/>
    <w:rsid w:val="008E33C9"/>
    <w:rsid w:val="008E437B"/>
    <w:rsid w:val="008E4D3F"/>
    <w:rsid w:val="008E66B8"/>
    <w:rsid w:val="008F0A2E"/>
    <w:rsid w:val="008F15F0"/>
    <w:rsid w:val="008F1988"/>
    <w:rsid w:val="008F2B05"/>
    <w:rsid w:val="008F43D4"/>
    <w:rsid w:val="008F5E76"/>
    <w:rsid w:val="008F6252"/>
    <w:rsid w:val="009023F3"/>
    <w:rsid w:val="0090383C"/>
    <w:rsid w:val="00904CCB"/>
    <w:rsid w:val="00905D85"/>
    <w:rsid w:val="009068AF"/>
    <w:rsid w:val="009111D6"/>
    <w:rsid w:val="00911312"/>
    <w:rsid w:val="00912132"/>
    <w:rsid w:val="009122FB"/>
    <w:rsid w:val="00913CAA"/>
    <w:rsid w:val="0091584D"/>
    <w:rsid w:val="00916A94"/>
    <w:rsid w:val="00917672"/>
    <w:rsid w:val="009226D2"/>
    <w:rsid w:val="00922FAD"/>
    <w:rsid w:val="0092461E"/>
    <w:rsid w:val="00924F0A"/>
    <w:rsid w:val="00925082"/>
    <w:rsid w:val="009251AC"/>
    <w:rsid w:val="00925726"/>
    <w:rsid w:val="00925ABF"/>
    <w:rsid w:val="00926904"/>
    <w:rsid w:val="0092708B"/>
    <w:rsid w:val="00927D1A"/>
    <w:rsid w:val="0093049D"/>
    <w:rsid w:val="00930E47"/>
    <w:rsid w:val="00932DA5"/>
    <w:rsid w:val="00933403"/>
    <w:rsid w:val="00934FD5"/>
    <w:rsid w:val="00936A01"/>
    <w:rsid w:val="00936B75"/>
    <w:rsid w:val="00937713"/>
    <w:rsid w:val="00940439"/>
    <w:rsid w:val="009404E7"/>
    <w:rsid w:val="009409CD"/>
    <w:rsid w:val="00941E8E"/>
    <w:rsid w:val="009448FE"/>
    <w:rsid w:val="00946EFE"/>
    <w:rsid w:val="0094759E"/>
    <w:rsid w:val="00951921"/>
    <w:rsid w:val="00951DA6"/>
    <w:rsid w:val="00952C13"/>
    <w:rsid w:val="00953DF8"/>
    <w:rsid w:val="0095408A"/>
    <w:rsid w:val="0095455D"/>
    <w:rsid w:val="00955191"/>
    <w:rsid w:val="00956DE5"/>
    <w:rsid w:val="009619BE"/>
    <w:rsid w:val="00962A4F"/>
    <w:rsid w:val="00962BF1"/>
    <w:rsid w:val="00963237"/>
    <w:rsid w:val="00966820"/>
    <w:rsid w:val="00971E57"/>
    <w:rsid w:val="00972076"/>
    <w:rsid w:val="009723CF"/>
    <w:rsid w:val="00972F46"/>
    <w:rsid w:val="00973D3A"/>
    <w:rsid w:val="009741DC"/>
    <w:rsid w:val="0097652A"/>
    <w:rsid w:val="00980037"/>
    <w:rsid w:val="009813A4"/>
    <w:rsid w:val="009833AD"/>
    <w:rsid w:val="00983B43"/>
    <w:rsid w:val="00984742"/>
    <w:rsid w:val="00984F61"/>
    <w:rsid w:val="0098537E"/>
    <w:rsid w:val="0099066A"/>
    <w:rsid w:val="0099161D"/>
    <w:rsid w:val="00991B37"/>
    <w:rsid w:val="0099509C"/>
    <w:rsid w:val="009A0EAA"/>
    <w:rsid w:val="009A1CA2"/>
    <w:rsid w:val="009A764B"/>
    <w:rsid w:val="009B49F4"/>
    <w:rsid w:val="009B4FAE"/>
    <w:rsid w:val="009B6208"/>
    <w:rsid w:val="009B71FF"/>
    <w:rsid w:val="009B7732"/>
    <w:rsid w:val="009C0288"/>
    <w:rsid w:val="009C241E"/>
    <w:rsid w:val="009C3034"/>
    <w:rsid w:val="009C4BFF"/>
    <w:rsid w:val="009C7522"/>
    <w:rsid w:val="009D0FDD"/>
    <w:rsid w:val="009D17DF"/>
    <w:rsid w:val="009D3162"/>
    <w:rsid w:val="009D3181"/>
    <w:rsid w:val="009D6C55"/>
    <w:rsid w:val="009D6FFC"/>
    <w:rsid w:val="009D7B9B"/>
    <w:rsid w:val="009E067B"/>
    <w:rsid w:val="009E2209"/>
    <w:rsid w:val="009E28B3"/>
    <w:rsid w:val="009E6DA0"/>
    <w:rsid w:val="009E717E"/>
    <w:rsid w:val="009E737D"/>
    <w:rsid w:val="009F1845"/>
    <w:rsid w:val="009F18FA"/>
    <w:rsid w:val="009F2B98"/>
    <w:rsid w:val="009F3E75"/>
    <w:rsid w:val="009F4CD4"/>
    <w:rsid w:val="009F7C28"/>
    <w:rsid w:val="00A003CC"/>
    <w:rsid w:val="00A0197B"/>
    <w:rsid w:val="00A02768"/>
    <w:rsid w:val="00A03977"/>
    <w:rsid w:val="00A05511"/>
    <w:rsid w:val="00A06013"/>
    <w:rsid w:val="00A104A7"/>
    <w:rsid w:val="00A12904"/>
    <w:rsid w:val="00A15FBF"/>
    <w:rsid w:val="00A1616D"/>
    <w:rsid w:val="00A1710E"/>
    <w:rsid w:val="00A17283"/>
    <w:rsid w:val="00A1783B"/>
    <w:rsid w:val="00A224AC"/>
    <w:rsid w:val="00A22AE4"/>
    <w:rsid w:val="00A26FF7"/>
    <w:rsid w:val="00A27159"/>
    <w:rsid w:val="00A3145B"/>
    <w:rsid w:val="00A319D9"/>
    <w:rsid w:val="00A3231B"/>
    <w:rsid w:val="00A32A4F"/>
    <w:rsid w:val="00A37A20"/>
    <w:rsid w:val="00A40D8F"/>
    <w:rsid w:val="00A445DC"/>
    <w:rsid w:val="00A44BEA"/>
    <w:rsid w:val="00A467B6"/>
    <w:rsid w:val="00A47364"/>
    <w:rsid w:val="00A47C22"/>
    <w:rsid w:val="00A5239D"/>
    <w:rsid w:val="00A55B14"/>
    <w:rsid w:val="00A5689C"/>
    <w:rsid w:val="00A569E8"/>
    <w:rsid w:val="00A57FAF"/>
    <w:rsid w:val="00A601C4"/>
    <w:rsid w:val="00A60835"/>
    <w:rsid w:val="00A61D6E"/>
    <w:rsid w:val="00A648EB"/>
    <w:rsid w:val="00A70193"/>
    <w:rsid w:val="00A70E23"/>
    <w:rsid w:val="00A7109B"/>
    <w:rsid w:val="00A711C6"/>
    <w:rsid w:val="00A730F3"/>
    <w:rsid w:val="00A73AD9"/>
    <w:rsid w:val="00A74B68"/>
    <w:rsid w:val="00A77EE1"/>
    <w:rsid w:val="00A814BC"/>
    <w:rsid w:val="00A84863"/>
    <w:rsid w:val="00A8548E"/>
    <w:rsid w:val="00A8756E"/>
    <w:rsid w:val="00A9080D"/>
    <w:rsid w:val="00A91750"/>
    <w:rsid w:val="00A94065"/>
    <w:rsid w:val="00A95D95"/>
    <w:rsid w:val="00A97200"/>
    <w:rsid w:val="00A977EC"/>
    <w:rsid w:val="00A97E5B"/>
    <w:rsid w:val="00AA1A9D"/>
    <w:rsid w:val="00AA2211"/>
    <w:rsid w:val="00AA3BF7"/>
    <w:rsid w:val="00AA3FD1"/>
    <w:rsid w:val="00AA52DE"/>
    <w:rsid w:val="00AA5405"/>
    <w:rsid w:val="00AB11B3"/>
    <w:rsid w:val="00AB1DAF"/>
    <w:rsid w:val="00AB40EF"/>
    <w:rsid w:val="00AB43D9"/>
    <w:rsid w:val="00AB564D"/>
    <w:rsid w:val="00AB5ED3"/>
    <w:rsid w:val="00AB6B0C"/>
    <w:rsid w:val="00AB70CD"/>
    <w:rsid w:val="00AB7800"/>
    <w:rsid w:val="00AC1860"/>
    <w:rsid w:val="00AC378C"/>
    <w:rsid w:val="00AC4898"/>
    <w:rsid w:val="00AC48B3"/>
    <w:rsid w:val="00AC7369"/>
    <w:rsid w:val="00AC7893"/>
    <w:rsid w:val="00AC7AC9"/>
    <w:rsid w:val="00AD1C54"/>
    <w:rsid w:val="00AD2119"/>
    <w:rsid w:val="00AD388D"/>
    <w:rsid w:val="00AD39C3"/>
    <w:rsid w:val="00AE0608"/>
    <w:rsid w:val="00AE1255"/>
    <w:rsid w:val="00AE1920"/>
    <w:rsid w:val="00AE236F"/>
    <w:rsid w:val="00AE42CE"/>
    <w:rsid w:val="00AE56C6"/>
    <w:rsid w:val="00AE76F8"/>
    <w:rsid w:val="00AF01B3"/>
    <w:rsid w:val="00AF0F13"/>
    <w:rsid w:val="00AF15F2"/>
    <w:rsid w:val="00AF366A"/>
    <w:rsid w:val="00AF7054"/>
    <w:rsid w:val="00AF7992"/>
    <w:rsid w:val="00AF7CDD"/>
    <w:rsid w:val="00B00AB3"/>
    <w:rsid w:val="00B02619"/>
    <w:rsid w:val="00B07FF5"/>
    <w:rsid w:val="00B12526"/>
    <w:rsid w:val="00B14C52"/>
    <w:rsid w:val="00B1545F"/>
    <w:rsid w:val="00B156BF"/>
    <w:rsid w:val="00B200AA"/>
    <w:rsid w:val="00B203A9"/>
    <w:rsid w:val="00B21520"/>
    <w:rsid w:val="00B229A5"/>
    <w:rsid w:val="00B2488E"/>
    <w:rsid w:val="00B25EB3"/>
    <w:rsid w:val="00B30D5F"/>
    <w:rsid w:val="00B339BD"/>
    <w:rsid w:val="00B37977"/>
    <w:rsid w:val="00B4030F"/>
    <w:rsid w:val="00B4068F"/>
    <w:rsid w:val="00B42056"/>
    <w:rsid w:val="00B45184"/>
    <w:rsid w:val="00B4547E"/>
    <w:rsid w:val="00B478C3"/>
    <w:rsid w:val="00B51449"/>
    <w:rsid w:val="00B51DC2"/>
    <w:rsid w:val="00B52715"/>
    <w:rsid w:val="00B52C85"/>
    <w:rsid w:val="00B61348"/>
    <w:rsid w:val="00B6263F"/>
    <w:rsid w:val="00B67114"/>
    <w:rsid w:val="00B678C7"/>
    <w:rsid w:val="00B70368"/>
    <w:rsid w:val="00B7097C"/>
    <w:rsid w:val="00B720C6"/>
    <w:rsid w:val="00B72BCC"/>
    <w:rsid w:val="00B74808"/>
    <w:rsid w:val="00B75449"/>
    <w:rsid w:val="00B77073"/>
    <w:rsid w:val="00B77A3D"/>
    <w:rsid w:val="00B81284"/>
    <w:rsid w:val="00B8264F"/>
    <w:rsid w:val="00B83E40"/>
    <w:rsid w:val="00B86637"/>
    <w:rsid w:val="00B86910"/>
    <w:rsid w:val="00B86D2E"/>
    <w:rsid w:val="00B86DA1"/>
    <w:rsid w:val="00B87401"/>
    <w:rsid w:val="00B90ED1"/>
    <w:rsid w:val="00B924A3"/>
    <w:rsid w:val="00B9335C"/>
    <w:rsid w:val="00B93B5F"/>
    <w:rsid w:val="00B9685B"/>
    <w:rsid w:val="00B96B1E"/>
    <w:rsid w:val="00B97655"/>
    <w:rsid w:val="00B976AA"/>
    <w:rsid w:val="00BA2301"/>
    <w:rsid w:val="00BA527C"/>
    <w:rsid w:val="00BA5B9C"/>
    <w:rsid w:val="00BA7474"/>
    <w:rsid w:val="00BA7D51"/>
    <w:rsid w:val="00BA7F31"/>
    <w:rsid w:val="00BB4AD5"/>
    <w:rsid w:val="00BB7494"/>
    <w:rsid w:val="00BB76A5"/>
    <w:rsid w:val="00BC089B"/>
    <w:rsid w:val="00BC183F"/>
    <w:rsid w:val="00BC1C37"/>
    <w:rsid w:val="00BC1DE7"/>
    <w:rsid w:val="00BC2390"/>
    <w:rsid w:val="00BC2C49"/>
    <w:rsid w:val="00BC61DC"/>
    <w:rsid w:val="00BC775D"/>
    <w:rsid w:val="00BD0051"/>
    <w:rsid w:val="00BD06DD"/>
    <w:rsid w:val="00BD07CD"/>
    <w:rsid w:val="00BD2939"/>
    <w:rsid w:val="00BD5803"/>
    <w:rsid w:val="00BD5A75"/>
    <w:rsid w:val="00BD6BF7"/>
    <w:rsid w:val="00BE07A9"/>
    <w:rsid w:val="00BE119F"/>
    <w:rsid w:val="00BE15D1"/>
    <w:rsid w:val="00BE1700"/>
    <w:rsid w:val="00BE19EF"/>
    <w:rsid w:val="00BE1C60"/>
    <w:rsid w:val="00BE2E36"/>
    <w:rsid w:val="00BE3861"/>
    <w:rsid w:val="00BE48E9"/>
    <w:rsid w:val="00BE4D8F"/>
    <w:rsid w:val="00BF0A3E"/>
    <w:rsid w:val="00BF1579"/>
    <w:rsid w:val="00BF26AC"/>
    <w:rsid w:val="00BF46A7"/>
    <w:rsid w:val="00BF5230"/>
    <w:rsid w:val="00BF67B4"/>
    <w:rsid w:val="00BF6DA8"/>
    <w:rsid w:val="00C00289"/>
    <w:rsid w:val="00C02675"/>
    <w:rsid w:val="00C04DED"/>
    <w:rsid w:val="00C04F07"/>
    <w:rsid w:val="00C0530F"/>
    <w:rsid w:val="00C1090C"/>
    <w:rsid w:val="00C17869"/>
    <w:rsid w:val="00C201FC"/>
    <w:rsid w:val="00C235D9"/>
    <w:rsid w:val="00C240C8"/>
    <w:rsid w:val="00C2485D"/>
    <w:rsid w:val="00C249AF"/>
    <w:rsid w:val="00C250E5"/>
    <w:rsid w:val="00C25DF8"/>
    <w:rsid w:val="00C26513"/>
    <w:rsid w:val="00C2723B"/>
    <w:rsid w:val="00C3054E"/>
    <w:rsid w:val="00C328C9"/>
    <w:rsid w:val="00C32A69"/>
    <w:rsid w:val="00C3333B"/>
    <w:rsid w:val="00C339ED"/>
    <w:rsid w:val="00C3480B"/>
    <w:rsid w:val="00C34EB4"/>
    <w:rsid w:val="00C359BA"/>
    <w:rsid w:val="00C35BA8"/>
    <w:rsid w:val="00C37F72"/>
    <w:rsid w:val="00C40246"/>
    <w:rsid w:val="00C420C1"/>
    <w:rsid w:val="00C42293"/>
    <w:rsid w:val="00C43FEE"/>
    <w:rsid w:val="00C45963"/>
    <w:rsid w:val="00C45EBA"/>
    <w:rsid w:val="00C46DA8"/>
    <w:rsid w:val="00C472B8"/>
    <w:rsid w:val="00C50723"/>
    <w:rsid w:val="00C50C00"/>
    <w:rsid w:val="00C513B1"/>
    <w:rsid w:val="00C529FD"/>
    <w:rsid w:val="00C53124"/>
    <w:rsid w:val="00C53260"/>
    <w:rsid w:val="00C538A9"/>
    <w:rsid w:val="00C53B2E"/>
    <w:rsid w:val="00C5449E"/>
    <w:rsid w:val="00C5571E"/>
    <w:rsid w:val="00C57F27"/>
    <w:rsid w:val="00C60DA2"/>
    <w:rsid w:val="00C6160A"/>
    <w:rsid w:val="00C62B51"/>
    <w:rsid w:val="00C65711"/>
    <w:rsid w:val="00C66460"/>
    <w:rsid w:val="00C6767D"/>
    <w:rsid w:val="00C727D5"/>
    <w:rsid w:val="00C76ECD"/>
    <w:rsid w:val="00C80404"/>
    <w:rsid w:val="00C8221C"/>
    <w:rsid w:val="00C84B63"/>
    <w:rsid w:val="00C84E04"/>
    <w:rsid w:val="00C86DC6"/>
    <w:rsid w:val="00C910BE"/>
    <w:rsid w:val="00C922BE"/>
    <w:rsid w:val="00C92AD1"/>
    <w:rsid w:val="00CA10F9"/>
    <w:rsid w:val="00CA14F4"/>
    <w:rsid w:val="00CA583F"/>
    <w:rsid w:val="00CA5844"/>
    <w:rsid w:val="00CA6449"/>
    <w:rsid w:val="00CA73E9"/>
    <w:rsid w:val="00CA7415"/>
    <w:rsid w:val="00CB1AE2"/>
    <w:rsid w:val="00CB265C"/>
    <w:rsid w:val="00CB2BD1"/>
    <w:rsid w:val="00CB2BDD"/>
    <w:rsid w:val="00CB32BC"/>
    <w:rsid w:val="00CB3685"/>
    <w:rsid w:val="00CB4540"/>
    <w:rsid w:val="00CB492C"/>
    <w:rsid w:val="00CB4951"/>
    <w:rsid w:val="00CB7A07"/>
    <w:rsid w:val="00CC1621"/>
    <w:rsid w:val="00CC16E1"/>
    <w:rsid w:val="00CC229A"/>
    <w:rsid w:val="00CC59BB"/>
    <w:rsid w:val="00CD166D"/>
    <w:rsid w:val="00CD1B93"/>
    <w:rsid w:val="00CD30F2"/>
    <w:rsid w:val="00CD39B2"/>
    <w:rsid w:val="00CD3BD4"/>
    <w:rsid w:val="00CD3CC8"/>
    <w:rsid w:val="00CD4185"/>
    <w:rsid w:val="00CD4915"/>
    <w:rsid w:val="00CD555E"/>
    <w:rsid w:val="00CD60BD"/>
    <w:rsid w:val="00CD635D"/>
    <w:rsid w:val="00CD6DEE"/>
    <w:rsid w:val="00CD6DF0"/>
    <w:rsid w:val="00CD7C5B"/>
    <w:rsid w:val="00CD7CED"/>
    <w:rsid w:val="00CE04C7"/>
    <w:rsid w:val="00CE0981"/>
    <w:rsid w:val="00CE14D1"/>
    <w:rsid w:val="00CE2AC9"/>
    <w:rsid w:val="00CE2AFE"/>
    <w:rsid w:val="00CE2B61"/>
    <w:rsid w:val="00CE2D37"/>
    <w:rsid w:val="00CE5B28"/>
    <w:rsid w:val="00CE7B14"/>
    <w:rsid w:val="00CF156B"/>
    <w:rsid w:val="00CF1E02"/>
    <w:rsid w:val="00CF4BD6"/>
    <w:rsid w:val="00CF52CB"/>
    <w:rsid w:val="00CF597A"/>
    <w:rsid w:val="00CF7764"/>
    <w:rsid w:val="00CF7B91"/>
    <w:rsid w:val="00D00228"/>
    <w:rsid w:val="00D00DA0"/>
    <w:rsid w:val="00D0103F"/>
    <w:rsid w:val="00D03E34"/>
    <w:rsid w:val="00D05BAA"/>
    <w:rsid w:val="00D05D16"/>
    <w:rsid w:val="00D07F26"/>
    <w:rsid w:val="00D10966"/>
    <w:rsid w:val="00D10BE9"/>
    <w:rsid w:val="00D11A09"/>
    <w:rsid w:val="00D11BCD"/>
    <w:rsid w:val="00D12D0A"/>
    <w:rsid w:val="00D13B7A"/>
    <w:rsid w:val="00D15A85"/>
    <w:rsid w:val="00D17FD1"/>
    <w:rsid w:val="00D20260"/>
    <w:rsid w:val="00D22C4B"/>
    <w:rsid w:val="00D230C7"/>
    <w:rsid w:val="00D2314F"/>
    <w:rsid w:val="00D23583"/>
    <w:rsid w:val="00D23E7D"/>
    <w:rsid w:val="00D2405F"/>
    <w:rsid w:val="00D26C71"/>
    <w:rsid w:val="00D27BA8"/>
    <w:rsid w:val="00D306D8"/>
    <w:rsid w:val="00D30C7F"/>
    <w:rsid w:val="00D32906"/>
    <w:rsid w:val="00D32DFB"/>
    <w:rsid w:val="00D34F63"/>
    <w:rsid w:val="00D35C10"/>
    <w:rsid w:val="00D41421"/>
    <w:rsid w:val="00D41998"/>
    <w:rsid w:val="00D41BA9"/>
    <w:rsid w:val="00D44059"/>
    <w:rsid w:val="00D445B6"/>
    <w:rsid w:val="00D4511A"/>
    <w:rsid w:val="00D463F9"/>
    <w:rsid w:val="00D47D35"/>
    <w:rsid w:val="00D51813"/>
    <w:rsid w:val="00D519B3"/>
    <w:rsid w:val="00D52376"/>
    <w:rsid w:val="00D52C45"/>
    <w:rsid w:val="00D53182"/>
    <w:rsid w:val="00D53EE6"/>
    <w:rsid w:val="00D56201"/>
    <w:rsid w:val="00D600E8"/>
    <w:rsid w:val="00D60950"/>
    <w:rsid w:val="00D612C2"/>
    <w:rsid w:val="00D63612"/>
    <w:rsid w:val="00D64D38"/>
    <w:rsid w:val="00D652D7"/>
    <w:rsid w:val="00D745E0"/>
    <w:rsid w:val="00D76AA3"/>
    <w:rsid w:val="00D80604"/>
    <w:rsid w:val="00D82DE3"/>
    <w:rsid w:val="00D86529"/>
    <w:rsid w:val="00D86A86"/>
    <w:rsid w:val="00D8791E"/>
    <w:rsid w:val="00D92438"/>
    <w:rsid w:val="00D938BF"/>
    <w:rsid w:val="00D942BD"/>
    <w:rsid w:val="00D9481F"/>
    <w:rsid w:val="00D97228"/>
    <w:rsid w:val="00DA0040"/>
    <w:rsid w:val="00DA086B"/>
    <w:rsid w:val="00DA1D7A"/>
    <w:rsid w:val="00DA5E0A"/>
    <w:rsid w:val="00DA6834"/>
    <w:rsid w:val="00DA693C"/>
    <w:rsid w:val="00DA7145"/>
    <w:rsid w:val="00DA78D8"/>
    <w:rsid w:val="00DA7E05"/>
    <w:rsid w:val="00DB33DB"/>
    <w:rsid w:val="00DB4794"/>
    <w:rsid w:val="00DB5C3E"/>
    <w:rsid w:val="00DB628E"/>
    <w:rsid w:val="00DC1F3E"/>
    <w:rsid w:val="00DC2385"/>
    <w:rsid w:val="00DC4070"/>
    <w:rsid w:val="00DC4FA1"/>
    <w:rsid w:val="00DD3680"/>
    <w:rsid w:val="00DD6771"/>
    <w:rsid w:val="00DE1DE6"/>
    <w:rsid w:val="00DE1E39"/>
    <w:rsid w:val="00DE2F3C"/>
    <w:rsid w:val="00DE513D"/>
    <w:rsid w:val="00DE5A03"/>
    <w:rsid w:val="00DE5A9E"/>
    <w:rsid w:val="00DE5C27"/>
    <w:rsid w:val="00DE5F09"/>
    <w:rsid w:val="00DE6987"/>
    <w:rsid w:val="00DF235C"/>
    <w:rsid w:val="00DF2502"/>
    <w:rsid w:val="00DF426D"/>
    <w:rsid w:val="00DF45ED"/>
    <w:rsid w:val="00DF47D6"/>
    <w:rsid w:val="00DF4D5A"/>
    <w:rsid w:val="00DF5425"/>
    <w:rsid w:val="00DF771A"/>
    <w:rsid w:val="00DF782C"/>
    <w:rsid w:val="00E030A0"/>
    <w:rsid w:val="00E04F16"/>
    <w:rsid w:val="00E075A1"/>
    <w:rsid w:val="00E0797A"/>
    <w:rsid w:val="00E11A42"/>
    <w:rsid w:val="00E11D5D"/>
    <w:rsid w:val="00E124E3"/>
    <w:rsid w:val="00E12F81"/>
    <w:rsid w:val="00E14812"/>
    <w:rsid w:val="00E15231"/>
    <w:rsid w:val="00E15DDE"/>
    <w:rsid w:val="00E17B19"/>
    <w:rsid w:val="00E21516"/>
    <w:rsid w:val="00E231A5"/>
    <w:rsid w:val="00E2339E"/>
    <w:rsid w:val="00E265B3"/>
    <w:rsid w:val="00E300BB"/>
    <w:rsid w:val="00E31D0A"/>
    <w:rsid w:val="00E31E75"/>
    <w:rsid w:val="00E3245B"/>
    <w:rsid w:val="00E32DCD"/>
    <w:rsid w:val="00E32DF0"/>
    <w:rsid w:val="00E348F8"/>
    <w:rsid w:val="00E3707B"/>
    <w:rsid w:val="00E420A6"/>
    <w:rsid w:val="00E4211D"/>
    <w:rsid w:val="00E422B0"/>
    <w:rsid w:val="00E46A00"/>
    <w:rsid w:val="00E47906"/>
    <w:rsid w:val="00E50685"/>
    <w:rsid w:val="00E528C3"/>
    <w:rsid w:val="00E566FD"/>
    <w:rsid w:val="00E57F6B"/>
    <w:rsid w:val="00E609CE"/>
    <w:rsid w:val="00E6234F"/>
    <w:rsid w:val="00E64491"/>
    <w:rsid w:val="00E67AC7"/>
    <w:rsid w:val="00E70019"/>
    <w:rsid w:val="00E7134F"/>
    <w:rsid w:val="00E723DA"/>
    <w:rsid w:val="00E727FD"/>
    <w:rsid w:val="00E7342C"/>
    <w:rsid w:val="00E736E9"/>
    <w:rsid w:val="00E76363"/>
    <w:rsid w:val="00E77048"/>
    <w:rsid w:val="00E80204"/>
    <w:rsid w:val="00E83E92"/>
    <w:rsid w:val="00E8736E"/>
    <w:rsid w:val="00E90BE3"/>
    <w:rsid w:val="00E91374"/>
    <w:rsid w:val="00E91D81"/>
    <w:rsid w:val="00E92BC2"/>
    <w:rsid w:val="00EA010E"/>
    <w:rsid w:val="00EA28AB"/>
    <w:rsid w:val="00EA3003"/>
    <w:rsid w:val="00EA508F"/>
    <w:rsid w:val="00EA6840"/>
    <w:rsid w:val="00EA6A17"/>
    <w:rsid w:val="00EA6E02"/>
    <w:rsid w:val="00EA6FBF"/>
    <w:rsid w:val="00EA77B0"/>
    <w:rsid w:val="00EB01ED"/>
    <w:rsid w:val="00EB1AE5"/>
    <w:rsid w:val="00EB1E33"/>
    <w:rsid w:val="00EB32F0"/>
    <w:rsid w:val="00EB3499"/>
    <w:rsid w:val="00EB4D96"/>
    <w:rsid w:val="00EB4DA6"/>
    <w:rsid w:val="00EB52ED"/>
    <w:rsid w:val="00EB7B0A"/>
    <w:rsid w:val="00EC0881"/>
    <w:rsid w:val="00EC12DF"/>
    <w:rsid w:val="00EC4458"/>
    <w:rsid w:val="00EC4C2C"/>
    <w:rsid w:val="00EC6DFD"/>
    <w:rsid w:val="00EC74F9"/>
    <w:rsid w:val="00ED0D1B"/>
    <w:rsid w:val="00ED13DE"/>
    <w:rsid w:val="00ED1996"/>
    <w:rsid w:val="00ED2843"/>
    <w:rsid w:val="00ED2AE0"/>
    <w:rsid w:val="00ED2F55"/>
    <w:rsid w:val="00ED518B"/>
    <w:rsid w:val="00ED5AAB"/>
    <w:rsid w:val="00ED5ED8"/>
    <w:rsid w:val="00EE0C95"/>
    <w:rsid w:val="00EE3F0F"/>
    <w:rsid w:val="00EE40A9"/>
    <w:rsid w:val="00EE43E1"/>
    <w:rsid w:val="00EE7A09"/>
    <w:rsid w:val="00EF0199"/>
    <w:rsid w:val="00EF1035"/>
    <w:rsid w:val="00EF78C9"/>
    <w:rsid w:val="00EF7953"/>
    <w:rsid w:val="00F00D19"/>
    <w:rsid w:val="00F0263C"/>
    <w:rsid w:val="00F027F9"/>
    <w:rsid w:val="00F0402A"/>
    <w:rsid w:val="00F063EF"/>
    <w:rsid w:val="00F07188"/>
    <w:rsid w:val="00F07266"/>
    <w:rsid w:val="00F10032"/>
    <w:rsid w:val="00F12074"/>
    <w:rsid w:val="00F14AF8"/>
    <w:rsid w:val="00F150D8"/>
    <w:rsid w:val="00F16313"/>
    <w:rsid w:val="00F16522"/>
    <w:rsid w:val="00F1700E"/>
    <w:rsid w:val="00F175F1"/>
    <w:rsid w:val="00F20820"/>
    <w:rsid w:val="00F20FF1"/>
    <w:rsid w:val="00F2175E"/>
    <w:rsid w:val="00F24317"/>
    <w:rsid w:val="00F25BAC"/>
    <w:rsid w:val="00F27AC7"/>
    <w:rsid w:val="00F32641"/>
    <w:rsid w:val="00F33CC6"/>
    <w:rsid w:val="00F342D2"/>
    <w:rsid w:val="00F34974"/>
    <w:rsid w:val="00F35457"/>
    <w:rsid w:val="00F3595B"/>
    <w:rsid w:val="00F367F3"/>
    <w:rsid w:val="00F36A26"/>
    <w:rsid w:val="00F374AD"/>
    <w:rsid w:val="00F413AB"/>
    <w:rsid w:val="00F4192B"/>
    <w:rsid w:val="00F41F54"/>
    <w:rsid w:val="00F4234E"/>
    <w:rsid w:val="00F426A6"/>
    <w:rsid w:val="00F429FD"/>
    <w:rsid w:val="00F44878"/>
    <w:rsid w:val="00F4623C"/>
    <w:rsid w:val="00F46AD7"/>
    <w:rsid w:val="00F537C4"/>
    <w:rsid w:val="00F53AF8"/>
    <w:rsid w:val="00F543D8"/>
    <w:rsid w:val="00F55AD8"/>
    <w:rsid w:val="00F56399"/>
    <w:rsid w:val="00F606BB"/>
    <w:rsid w:val="00F61797"/>
    <w:rsid w:val="00F61DCB"/>
    <w:rsid w:val="00F6564D"/>
    <w:rsid w:val="00F67C17"/>
    <w:rsid w:val="00F70113"/>
    <w:rsid w:val="00F746E3"/>
    <w:rsid w:val="00F76C17"/>
    <w:rsid w:val="00F7709C"/>
    <w:rsid w:val="00F7750A"/>
    <w:rsid w:val="00F80006"/>
    <w:rsid w:val="00F80084"/>
    <w:rsid w:val="00F80187"/>
    <w:rsid w:val="00F836C6"/>
    <w:rsid w:val="00F937B8"/>
    <w:rsid w:val="00F94AE8"/>
    <w:rsid w:val="00F95676"/>
    <w:rsid w:val="00F95D70"/>
    <w:rsid w:val="00F95DB0"/>
    <w:rsid w:val="00F96401"/>
    <w:rsid w:val="00F96546"/>
    <w:rsid w:val="00F9690B"/>
    <w:rsid w:val="00FA20CE"/>
    <w:rsid w:val="00FA3F8B"/>
    <w:rsid w:val="00FA4AAA"/>
    <w:rsid w:val="00FA54DE"/>
    <w:rsid w:val="00FA56FF"/>
    <w:rsid w:val="00FA753C"/>
    <w:rsid w:val="00FA767D"/>
    <w:rsid w:val="00FB1498"/>
    <w:rsid w:val="00FB4EC9"/>
    <w:rsid w:val="00FB693B"/>
    <w:rsid w:val="00FC3C96"/>
    <w:rsid w:val="00FC4FD5"/>
    <w:rsid w:val="00FD046F"/>
    <w:rsid w:val="00FD2470"/>
    <w:rsid w:val="00FD34AD"/>
    <w:rsid w:val="00FD5823"/>
    <w:rsid w:val="00FD7BE0"/>
    <w:rsid w:val="00FE107A"/>
    <w:rsid w:val="00FE1C27"/>
    <w:rsid w:val="00FE27CA"/>
    <w:rsid w:val="00FE326F"/>
    <w:rsid w:val="00FE5C31"/>
    <w:rsid w:val="00FE7085"/>
    <w:rsid w:val="00FF0B1D"/>
    <w:rsid w:val="00FF0F20"/>
    <w:rsid w:val="00FF1B0E"/>
    <w:rsid w:val="00FF268A"/>
    <w:rsid w:val="00FF748B"/>
    <w:rsid w:val="022437FB"/>
    <w:rsid w:val="022E40FE"/>
    <w:rsid w:val="02301FCF"/>
    <w:rsid w:val="02744B44"/>
    <w:rsid w:val="03604B36"/>
    <w:rsid w:val="03802AE2"/>
    <w:rsid w:val="039E1987"/>
    <w:rsid w:val="03C84489"/>
    <w:rsid w:val="04974587"/>
    <w:rsid w:val="04BC6B25"/>
    <w:rsid w:val="04CE1278"/>
    <w:rsid w:val="05340028"/>
    <w:rsid w:val="054933A7"/>
    <w:rsid w:val="056401E1"/>
    <w:rsid w:val="05B253F0"/>
    <w:rsid w:val="05BA0CED"/>
    <w:rsid w:val="063F793B"/>
    <w:rsid w:val="06874187"/>
    <w:rsid w:val="06CA67FB"/>
    <w:rsid w:val="06DA075B"/>
    <w:rsid w:val="07852754"/>
    <w:rsid w:val="082A5712"/>
    <w:rsid w:val="086F75C9"/>
    <w:rsid w:val="08C01BD2"/>
    <w:rsid w:val="095648DE"/>
    <w:rsid w:val="09A92667"/>
    <w:rsid w:val="09F00295"/>
    <w:rsid w:val="0A3B3C06"/>
    <w:rsid w:val="0A913826"/>
    <w:rsid w:val="0A9B28F7"/>
    <w:rsid w:val="0AA7304A"/>
    <w:rsid w:val="0B3B3792"/>
    <w:rsid w:val="0C6A019F"/>
    <w:rsid w:val="0D054058"/>
    <w:rsid w:val="0D270472"/>
    <w:rsid w:val="0E937500"/>
    <w:rsid w:val="0EB775D4"/>
    <w:rsid w:val="102D3FF1"/>
    <w:rsid w:val="103233B6"/>
    <w:rsid w:val="10FD39C4"/>
    <w:rsid w:val="11890CE5"/>
    <w:rsid w:val="12483364"/>
    <w:rsid w:val="126D4B79"/>
    <w:rsid w:val="1274580C"/>
    <w:rsid w:val="133E2072"/>
    <w:rsid w:val="137D2B9A"/>
    <w:rsid w:val="13AE2B6C"/>
    <w:rsid w:val="147A5E14"/>
    <w:rsid w:val="14832432"/>
    <w:rsid w:val="14926B19"/>
    <w:rsid w:val="156277FD"/>
    <w:rsid w:val="16534086"/>
    <w:rsid w:val="166D15EC"/>
    <w:rsid w:val="1675224E"/>
    <w:rsid w:val="170B2BB3"/>
    <w:rsid w:val="17A1211B"/>
    <w:rsid w:val="17DD00AB"/>
    <w:rsid w:val="184D3CDB"/>
    <w:rsid w:val="18510A99"/>
    <w:rsid w:val="18770500"/>
    <w:rsid w:val="18934C0E"/>
    <w:rsid w:val="18E92A80"/>
    <w:rsid w:val="18ED7A84"/>
    <w:rsid w:val="18F97167"/>
    <w:rsid w:val="19632832"/>
    <w:rsid w:val="197F21E6"/>
    <w:rsid w:val="1A1D0C33"/>
    <w:rsid w:val="1A267CB6"/>
    <w:rsid w:val="1B59213E"/>
    <w:rsid w:val="1BE62358"/>
    <w:rsid w:val="1C36422E"/>
    <w:rsid w:val="1C8E7BC6"/>
    <w:rsid w:val="1D4B1F5B"/>
    <w:rsid w:val="1D4C2506"/>
    <w:rsid w:val="1D8D2573"/>
    <w:rsid w:val="1E6250B5"/>
    <w:rsid w:val="1EF6322B"/>
    <w:rsid w:val="1F1840BF"/>
    <w:rsid w:val="204437FE"/>
    <w:rsid w:val="20D83B05"/>
    <w:rsid w:val="20D93DDC"/>
    <w:rsid w:val="21864056"/>
    <w:rsid w:val="21903353"/>
    <w:rsid w:val="21BD57B8"/>
    <w:rsid w:val="22AF4D3A"/>
    <w:rsid w:val="22F866E1"/>
    <w:rsid w:val="23621DAC"/>
    <w:rsid w:val="236B0C61"/>
    <w:rsid w:val="24CF3471"/>
    <w:rsid w:val="24E862E1"/>
    <w:rsid w:val="24F33068"/>
    <w:rsid w:val="25514301"/>
    <w:rsid w:val="255319AC"/>
    <w:rsid w:val="25D22A7E"/>
    <w:rsid w:val="25E20140"/>
    <w:rsid w:val="26681488"/>
    <w:rsid w:val="2677755A"/>
    <w:rsid w:val="267E514F"/>
    <w:rsid w:val="26977FBF"/>
    <w:rsid w:val="26B50445"/>
    <w:rsid w:val="27595274"/>
    <w:rsid w:val="276E2805"/>
    <w:rsid w:val="27982240"/>
    <w:rsid w:val="27DD0335"/>
    <w:rsid w:val="288D1679"/>
    <w:rsid w:val="28BE70E9"/>
    <w:rsid w:val="292F2731"/>
    <w:rsid w:val="295D104C"/>
    <w:rsid w:val="29622B06"/>
    <w:rsid w:val="29A70519"/>
    <w:rsid w:val="29D15596"/>
    <w:rsid w:val="29E67538"/>
    <w:rsid w:val="29F85218"/>
    <w:rsid w:val="2A241B69"/>
    <w:rsid w:val="2AA01F44"/>
    <w:rsid w:val="2AA607D0"/>
    <w:rsid w:val="2AA9169F"/>
    <w:rsid w:val="2B3F1EC7"/>
    <w:rsid w:val="2B6A7A50"/>
    <w:rsid w:val="2C4E7372"/>
    <w:rsid w:val="2C7C7A3B"/>
    <w:rsid w:val="2CCB451E"/>
    <w:rsid w:val="2CF572D9"/>
    <w:rsid w:val="2CFA4E04"/>
    <w:rsid w:val="2DFD4BAB"/>
    <w:rsid w:val="2E0F2B31"/>
    <w:rsid w:val="2E666BF4"/>
    <w:rsid w:val="2E960B5C"/>
    <w:rsid w:val="2F3740ED"/>
    <w:rsid w:val="2F8A6913"/>
    <w:rsid w:val="2FC547FA"/>
    <w:rsid w:val="30375685"/>
    <w:rsid w:val="308725A7"/>
    <w:rsid w:val="308A097E"/>
    <w:rsid w:val="31701B38"/>
    <w:rsid w:val="31D85E36"/>
    <w:rsid w:val="31F2079F"/>
    <w:rsid w:val="320F30FF"/>
    <w:rsid w:val="32250B75"/>
    <w:rsid w:val="326A6587"/>
    <w:rsid w:val="32D3237F"/>
    <w:rsid w:val="33B2468A"/>
    <w:rsid w:val="33E16D1D"/>
    <w:rsid w:val="342A4220"/>
    <w:rsid w:val="3434509F"/>
    <w:rsid w:val="344828F8"/>
    <w:rsid w:val="35DA1C76"/>
    <w:rsid w:val="364A2958"/>
    <w:rsid w:val="3687595A"/>
    <w:rsid w:val="369D517D"/>
    <w:rsid w:val="36AF3103"/>
    <w:rsid w:val="37164F30"/>
    <w:rsid w:val="37B725FD"/>
    <w:rsid w:val="37F24930"/>
    <w:rsid w:val="3881462B"/>
    <w:rsid w:val="3891221D"/>
    <w:rsid w:val="39445D84"/>
    <w:rsid w:val="395835DE"/>
    <w:rsid w:val="3A810912"/>
    <w:rsid w:val="3AB331C1"/>
    <w:rsid w:val="3AC735B9"/>
    <w:rsid w:val="3B4B4335"/>
    <w:rsid w:val="3B8916C6"/>
    <w:rsid w:val="3B936CF5"/>
    <w:rsid w:val="3BBD3BCC"/>
    <w:rsid w:val="3C071AC0"/>
    <w:rsid w:val="3C335C3C"/>
    <w:rsid w:val="3C3A521C"/>
    <w:rsid w:val="3D617264"/>
    <w:rsid w:val="3D6615D2"/>
    <w:rsid w:val="3DBF25E0"/>
    <w:rsid w:val="3DD4070D"/>
    <w:rsid w:val="3DD551FD"/>
    <w:rsid w:val="3DD673A5"/>
    <w:rsid w:val="3DD75419"/>
    <w:rsid w:val="3DDE41F5"/>
    <w:rsid w:val="3E760CCA"/>
    <w:rsid w:val="402E5098"/>
    <w:rsid w:val="406334F2"/>
    <w:rsid w:val="406E566B"/>
    <w:rsid w:val="40E440F0"/>
    <w:rsid w:val="40FE4A6B"/>
    <w:rsid w:val="440305EA"/>
    <w:rsid w:val="44BA6EFA"/>
    <w:rsid w:val="45114D02"/>
    <w:rsid w:val="452C7897"/>
    <w:rsid w:val="4574193D"/>
    <w:rsid w:val="46483314"/>
    <w:rsid w:val="46707D70"/>
    <w:rsid w:val="468A0B4E"/>
    <w:rsid w:val="468D6EF5"/>
    <w:rsid w:val="475E6263"/>
    <w:rsid w:val="478832E0"/>
    <w:rsid w:val="47B40579"/>
    <w:rsid w:val="48403A5C"/>
    <w:rsid w:val="48981C49"/>
    <w:rsid w:val="48FC5E39"/>
    <w:rsid w:val="492139EC"/>
    <w:rsid w:val="495A5150"/>
    <w:rsid w:val="497B7CB3"/>
    <w:rsid w:val="4A1D0657"/>
    <w:rsid w:val="4A5B2F2E"/>
    <w:rsid w:val="4A655B5A"/>
    <w:rsid w:val="4A745D9D"/>
    <w:rsid w:val="4B2D12E0"/>
    <w:rsid w:val="4B70524C"/>
    <w:rsid w:val="4B8B15F1"/>
    <w:rsid w:val="4BD05255"/>
    <w:rsid w:val="4BEB6B31"/>
    <w:rsid w:val="4C516396"/>
    <w:rsid w:val="4C7F7D81"/>
    <w:rsid w:val="4C8147A2"/>
    <w:rsid w:val="4DB90697"/>
    <w:rsid w:val="4DD36371"/>
    <w:rsid w:val="4DF23BA9"/>
    <w:rsid w:val="4E7520E4"/>
    <w:rsid w:val="4F304F15"/>
    <w:rsid w:val="4F367AC5"/>
    <w:rsid w:val="4FD5281E"/>
    <w:rsid w:val="50175B49"/>
    <w:rsid w:val="51EB2DE9"/>
    <w:rsid w:val="52A116FA"/>
    <w:rsid w:val="52C00F33"/>
    <w:rsid w:val="52D45164"/>
    <w:rsid w:val="52D92ACB"/>
    <w:rsid w:val="53762B86"/>
    <w:rsid w:val="53915C12"/>
    <w:rsid w:val="53A45945"/>
    <w:rsid w:val="53B4776F"/>
    <w:rsid w:val="53F94B65"/>
    <w:rsid w:val="54DD44F0"/>
    <w:rsid w:val="554A7E27"/>
    <w:rsid w:val="55F83D27"/>
    <w:rsid w:val="566E587E"/>
    <w:rsid w:val="56D402F0"/>
    <w:rsid w:val="57AF24E5"/>
    <w:rsid w:val="585316E8"/>
    <w:rsid w:val="58A96C1F"/>
    <w:rsid w:val="58BE1257"/>
    <w:rsid w:val="58F22FCA"/>
    <w:rsid w:val="59973856"/>
    <w:rsid w:val="59A56589"/>
    <w:rsid w:val="59AD1333"/>
    <w:rsid w:val="5A86537B"/>
    <w:rsid w:val="5AA61FA3"/>
    <w:rsid w:val="5C084598"/>
    <w:rsid w:val="5C6543FB"/>
    <w:rsid w:val="5CA42512"/>
    <w:rsid w:val="5CA67F0E"/>
    <w:rsid w:val="5CE947BE"/>
    <w:rsid w:val="5CF53963"/>
    <w:rsid w:val="5D1D7255"/>
    <w:rsid w:val="5D431D2B"/>
    <w:rsid w:val="5D5E0913"/>
    <w:rsid w:val="5DDE1A54"/>
    <w:rsid w:val="5F062996"/>
    <w:rsid w:val="606F72DB"/>
    <w:rsid w:val="60AA20C1"/>
    <w:rsid w:val="60EB2F5D"/>
    <w:rsid w:val="62487DE4"/>
    <w:rsid w:val="6270495E"/>
    <w:rsid w:val="630A5464"/>
    <w:rsid w:val="63186CD2"/>
    <w:rsid w:val="63440AA4"/>
    <w:rsid w:val="6377272F"/>
    <w:rsid w:val="637FEF6B"/>
    <w:rsid w:val="639D5682"/>
    <w:rsid w:val="63B70D7D"/>
    <w:rsid w:val="63CC656D"/>
    <w:rsid w:val="641A130C"/>
    <w:rsid w:val="64A760BC"/>
    <w:rsid w:val="64E7573F"/>
    <w:rsid w:val="64E77440"/>
    <w:rsid w:val="651D10B4"/>
    <w:rsid w:val="65982BDD"/>
    <w:rsid w:val="65F429CF"/>
    <w:rsid w:val="66061B48"/>
    <w:rsid w:val="66CF2882"/>
    <w:rsid w:val="6723497B"/>
    <w:rsid w:val="675B5EC3"/>
    <w:rsid w:val="67E83D66"/>
    <w:rsid w:val="682E35D8"/>
    <w:rsid w:val="685C1EF3"/>
    <w:rsid w:val="69071485"/>
    <w:rsid w:val="69A73642"/>
    <w:rsid w:val="69C57D51"/>
    <w:rsid w:val="6A3A2708"/>
    <w:rsid w:val="6A6D43F3"/>
    <w:rsid w:val="6A7554EE"/>
    <w:rsid w:val="6AD96303"/>
    <w:rsid w:val="6B2036AC"/>
    <w:rsid w:val="6C0C1E82"/>
    <w:rsid w:val="6D17288C"/>
    <w:rsid w:val="6D350F65"/>
    <w:rsid w:val="6D8141AA"/>
    <w:rsid w:val="6DF130DE"/>
    <w:rsid w:val="6E296D1B"/>
    <w:rsid w:val="6EB6403A"/>
    <w:rsid w:val="6F0B041B"/>
    <w:rsid w:val="6F257FC9"/>
    <w:rsid w:val="6FBB39A3"/>
    <w:rsid w:val="6FD66A2F"/>
    <w:rsid w:val="6FDC44C4"/>
    <w:rsid w:val="6FE969BF"/>
    <w:rsid w:val="6FEF189F"/>
    <w:rsid w:val="6FFFF924"/>
    <w:rsid w:val="705067E1"/>
    <w:rsid w:val="708F063B"/>
    <w:rsid w:val="70F96E79"/>
    <w:rsid w:val="7113780F"/>
    <w:rsid w:val="7135696F"/>
    <w:rsid w:val="71614A1E"/>
    <w:rsid w:val="71926986"/>
    <w:rsid w:val="71BC1C54"/>
    <w:rsid w:val="72086C48"/>
    <w:rsid w:val="72086C6B"/>
    <w:rsid w:val="72231B12"/>
    <w:rsid w:val="728869AD"/>
    <w:rsid w:val="72DB610A"/>
    <w:rsid w:val="745A5E80"/>
    <w:rsid w:val="74A83830"/>
    <w:rsid w:val="74D70DF7"/>
    <w:rsid w:val="750E6C6B"/>
    <w:rsid w:val="75363ACC"/>
    <w:rsid w:val="76213442"/>
    <w:rsid w:val="765A2274"/>
    <w:rsid w:val="774B20BC"/>
    <w:rsid w:val="776E579F"/>
    <w:rsid w:val="779276DF"/>
    <w:rsid w:val="77BBD931"/>
    <w:rsid w:val="789F3DA6"/>
    <w:rsid w:val="78A52377"/>
    <w:rsid w:val="79342FFF"/>
    <w:rsid w:val="795B7FA5"/>
    <w:rsid w:val="79BC0A44"/>
    <w:rsid w:val="79BC4EE7"/>
    <w:rsid w:val="79C36276"/>
    <w:rsid w:val="79FF53D5"/>
    <w:rsid w:val="7A1572D4"/>
    <w:rsid w:val="7A1757F6"/>
    <w:rsid w:val="7A637111"/>
    <w:rsid w:val="7AC21B43"/>
    <w:rsid w:val="7B02692A"/>
    <w:rsid w:val="7B5B7497"/>
    <w:rsid w:val="7B9EDCBB"/>
    <w:rsid w:val="7BA06143"/>
    <w:rsid w:val="7BBF176E"/>
    <w:rsid w:val="7BDD2EF3"/>
    <w:rsid w:val="7BE73D72"/>
    <w:rsid w:val="7D4551F4"/>
    <w:rsid w:val="7EC64112"/>
    <w:rsid w:val="7ECF2FC7"/>
    <w:rsid w:val="7EFA56BF"/>
    <w:rsid w:val="7F0B7D77"/>
    <w:rsid w:val="7F1F237E"/>
    <w:rsid w:val="7FA75CF2"/>
    <w:rsid w:val="8EBF14A6"/>
    <w:rsid w:val="954212B1"/>
    <w:rsid w:val="99FFAF4D"/>
    <w:rsid w:val="D1FFFCFB"/>
    <w:rsid w:val="DBFC64AA"/>
    <w:rsid w:val="DFBC1176"/>
    <w:rsid w:val="E6FFFA61"/>
    <w:rsid w:val="E7F50E67"/>
    <w:rsid w:val="EF2B490C"/>
    <w:rsid w:val="EFBEEEB7"/>
    <w:rsid w:val="EFFA708A"/>
    <w:rsid w:val="F39B0C2B"/>
    <w:rsid w:val="FA7F9480"/>
    <w:rsid w:val="FB7272BF"/>
    <w:rsid w:val="FCFF50D3"/>
    <w:rsid w:val="FDAD5D1B"/>
    <w:rsid w:val="FFC755D4"/>
    <w:rsid w:val="FFFBF8C2"/>
    <w:rsid w:val="FFFEA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67"/>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68"/>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numPr>
        <w:ilvl w:val="0"/>
        <w:numId w:val="2"/>
      </w:numPr>
      <w:tabs>
        <w:tab w:val="left" w:pos="1134"/>
        <w:tab w:val="clear" w:pos="1620"/>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69"/>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3"/>
      </w:numPr>
      <w:adjustRightInd w:val="0"/>
      <w:snapToGrid w:val="0"/>
      <w:spacing w:line="360" w:lineRule="auto"/>
    </w:pPr>
    <w:rPr>
      <w:sz w:val="24"/>
    </w:rPr>
  </w:style>
  <w:style w:type="paragraph" w:styleId="23">
    <w:name w:val="Body Text"/>
    <w:basedOn w:val="1"/>
    <w:next w:val="1"/>
    <w:qFormat/>
    <w:uiPriority w:val="0"/>
    <w:rPr>
      <w:rFonts w:ascii="仿宋_GB2312" w:eastAsia="仿宋_GB2312"/>
      <w:sz w:val="32"/>
    </w:rPr>
  </w:style>
  <w:style w:type="paragraph" w:styleId="24">
    <w:name w:val="Body Text Indent"/>
    <w:basedOn w:val="1"/>
    <w:link w:val="70"/>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numPr>
        <w:ilvl w:val="0"/>
        <w:numId w:val="4"/>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link w:val="72"/>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39"/>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73"/>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annotation subject"/>
    <w:basedOn w:val="20"/>
    <w:next w:val="20"/>
    <w:link w:val="74"/>
    <w:qFormat/>
    <w:uiPriority w:val="0"/>
    <w:pPr>
      <w:adjustRightInd/>
      <w:spacing w:line="240" w:lineRule="auto"/>
      <w:textAlignment w:val="auto"/>
    </w:pPr>
  </w:style>
  <w:style w:type="paragraph" w:styleId="55">
    <w:name w:val="Body Text First Indent"/>
    <w:basedOn w:val="23"/>
    <w:qFormat/>
    <w:uiPriority w:val="0"/>
    <w:pPr>
      <w:spacing w:line="360" w:lineRule="auto"/>
      <w:ind w:firstLine="420"/>
    </w:pPr>
    <w:rPr>
      <w:rFonts w:ascii="宋体" w:hAnsi="宋体"/>
      <w:sz w:val="24"/>
    </w:rPr>
  </w:style>
  <w:style w:type="paragraph" w:styleId="56">
    <w:name w:val="Body Text First Indent 2"/>
    <w:basedOn w:val="24"/>
    <w:link w:val="75"/>
    <w:qFormat/>
    <w:uiPriority w:val="0"/>
    <w:pPr>
      <w:spacing w:after="120" w:line="240" w:lineRule="auto"/>
      <w:ind w:left="420" w:leftChars="200" w:firstLine="420" w:firstLineChars="200"/>
    </w:pPr>
  </w:style>
  <w:style w:type="table" w:styleId="58">
    <w:name w:val="Table Grid"/>
    <w:basedOn w:val="5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character" w:customStyle="1" w:styleId="67">
    <w:name w:val="标题 2 字符"/>
    <w:link w:val="4"/>
    <w:qFormat/>
    <w:uiPriority w:val="0"/>
    <w:rPr>
      <w:rFonts w:ascii="Arial" w:hAnsi="Arial" w:eastAsia="黑体"/>
      <w:b/>
      <w:kern w:val="2"/>
      <w:sz w:val="32"/>
    </w:rPr>
  </w:style>
  <w:style w:type="character" w:customStyle="1" w:styleId="68">
    <w:name w:val="标题 3 字符"/>
    <w:link w:val="5"/>
    <w:qFormat/>
    <w:uiPriority w:val="0"/>
    <w:rPr>
      <w:rFonts w:eastAsia="宋体"/>
      <w:b/>
      <w:kern w:val="2"/>
      <w:sz w:val="32"/>
      <w:lang w:val="en-US" w:eastAsia="zh-CN"/>
    </w:rPr>
  </w:style>
  <w:style w:type="character" w:customStyle="1" w:styleId="69">
    <w:name w:val="批注文字 字符"/>
    <w:link w:val="20"/>
    <w:qFormat/>
    <w:uiPriority w:val="0"/>
    <w:rPr>
      <w:sz w:val="24"/>
    </w:rPr>
  </w:style>
  <w:style w:type="character" w:customStyle="1" w:styleId="70">
    <w:name w:val="正文文本缩进 字符"/>
    <w:link w:val="24"/>
    <w:qFormat/>
    <w:uiPriority w:val="0"/>
    <w:rPr>
      <w:kern w:val="2"/>
      <w:sz w:val="44"/>
    </w:rPr>
  </w:style>
  <w:style w:type="character" w:customStyle="1" w:styleId="71">
    <w:name w:val="日期 字符"/>
    <w:link w:val="33"/>
    <w:qFormat/>
    <w:uiPriority w:val="0"/>
    <w:rPr>
      <w:kern w:val="2"/>
      <w:sz w:val="28"/>
    </w:rPr>
  </w:style>
  <w:style w:type="character" w:customStyle="1" w:styleId="72">
    <w:name w:val="正文文本缩进 2 字符"/>
    <w:link w:val="34"/>
    <w:qFormat/>
    <w:uiPriority w:val="0"/>
    <w:rPr>
      <w:kern w:val="2"/>
      <w:sz w:val="28"/>
    </w:rPr>
  </w:style>
  <w:style w:type="character" w:customStyle="1" w:styleId="73">
    <w:name w:val="脚注文本 字符"/>
    <w:link w:val="41"/>
    <w:qFormat/>
    <w:uiPriority w:val="0"/>
    <w:rPr>
      <w:kern w:val="2"/>
      <w:sz w:val="18"/>
    </w:rPr>
  </w:style>
  <w:style w:type="character" w:customStyle="1" w:styleId="74">
    <w:name w:val="批注主题 字符"/>
    <w:link w:val="54"/>
    <w:qFormat/>
    <w:uiPriority w:val="0"/>
  </w:style>
  <w:style w:type="character" w:customStyle="1" w:styleId="75">
    <w:name w:val="正文文本首行缩进 2 字符"/>
    <w:link w:val="56"/>
    <w:qFormat/>
    <w:uiPriority w:val="0"/>
  </w:style>
  <w:style w:type="character" w:customStyle="1" w:styleId="76">
    <w:name w:val="v151"/>
    <w:qFormat/>
    <w:uiPriority w:val="0"/>
    <w:rPr>
      <w:sz w:val="18"/>
    </w:rPr>
  </w:style>
  <w:style w:type="character" w:customStyle="1" w:styleId="77">
    <w:name w:val="Char Char7"/>
    <w:qFormat/>
    <w:uiPriority w:val="0"/>
    <w:rPr>
      <w:rFonts w:ascii="宋体" w:hAnsi="宋体" w:eastAsia="宋体"/>
      <w:kern w:val="2"/>
      <w:sz w:val="28"/>
    </w:rPr>
  </w:style>
  <w:style w:type="character" w:customStyle="1" w:styleId="78">
    <w:name w:val="小 Char"/>
    <w:qFormat/>
    <w:uiPriority w:val="0"/>
    <w:rPr>
      <w:rFonts w:ascii="宋体" w:hAnsi="Courier New" w:eastAsia="宋体"/>
      <w:kern w:val="2"/>
      <w:sz w:val="21"/>
      <w:lang w:val="en-US" w:eastAsia="zh-CN" w:bidi="ar-SA"/>
    </w:rPr>
  </w:style>
  <w:style w:type="character" w:customStyle="1" w:styleId="79">
    <w:name w:val="文字 Char"/>
    <w:link w:val="80"/>
    <w:qFormat/>
    <w:uiPriority w:val="0"/>
    <w:rPr>
      <w:rFonts w:ascii="宋体"/>
      <w:kern w:val="2"/>
      <w:sz w:val="28"/>
    </w:rPr>
  </w:style>
  <w:style w:type="paragraph" w:customStyle="1" w:styleId="80">
    <w:name w:val="文字"/>
    <w:basedOn w:val="1"/>
    <w:link w:val="79"/>
    <w:qFormat/>
    <w:uiPriority w:val="0"/>
    <w:pPr>
      <w:tabs>
        <w:tab w:val="left" w:pos="8520"/>
      </w:tabs>
      <w:spacing w:line="312" w:lineRule="auto"/>
      <w:ind w:right="-210" w:firstLine="556"/>
    </w:pPr>
    <w:rPr>
      <w:rFonts w:ascii="宋体"/>
    </w:rPr>
  </w:style>
  <w:style w:type="character" w:customStyle="1" w:styleId="81">
    <w:name w:val="content-white1"/>
    <w:qFormat/>
    <w:uiPriority w:val="0"/>
    <w:rPr>
      <w:rFonts w:ascii="_x000B__x000C_" w:hAnsi="_x000B__x000C_"/>
      <w:color w:val="auto"/>
      <w:sz w:val="18"/>
      <w:u w:val="none"/>
    </w:rPr>
  </w:style>
  <w:style w:type="character" w:customStyle="1" w:styleId="82">
    <w:name w:val="正文 + 三号 Char"/>
    <w:qFormat/>
    <w:uiPriority w:val="0"/>
    <w:rPr>
      <w:rFonts w:eastAsia="宋体"/>
      <w:kern w:val="2"/>
      <w:sz w:val="21"/>
      <w:lang w:val="en-US" w:eastAsia="zh-CN"/>
    </w:rPr>
  </w:style>
  <w:style w:type="character" w:customStyle="1" w:styleId="83">
    <w:name w:val="H2 Char"/>
    <w:qFormat/>
    <w:uiPriority w:val="0"/>
    <w:rPr>
      <w:rFonts w:ascii="Arial" w:hAnsi="Arial" w:eastAsia="宋体"/>
      <w:kern w:val="2"/>
      <w:sz w:val="28"/>
      <w:lang w:val="en-US" w:eastAsia="zh-CN"/>
    </w:rPr>
  </w:style>
  <w:style w:type="character" w:customStyle="1" w:styleId="84">
    <w:name w:val="Char Char3"/>
    <w:qFormat/>
    <w:uiPriority w:val="0"/>
    <w:rPr>
      <w:rFonts w:eastAsia="宋体"/>
      <w:kern w:val="2"/>
      <w:sz w:val="18"/>
      <w:lang w:val="en-US" w:eastAsia="zh-CN"/>
    </w:rPr>
  </w:style>
  <w:style w:type="character" w:customStyle="1" w:styleId="85">
    <w:name w:val="Char Char4"/>
    <w:qFormat/>
    <w:uiPriority w:val="0"/>
    <w:rPr>
      <w:rFonts w:eastAsia="宋体"/>
      <w:b/>
      <w:kern w:val="2"/>
      <w:sz w:val="21"/>
      <w:lang w:val="en-US" w:eastAsia="zh-CN"/>
    </w:rPr>
  </w:style>
  <w:style w:type="character" w:customStyle="1" w:styleId="86">
    <w:name w:val="Table Text Char1 Char"/>
    <w:qFormat/>
    <w:uiPriority w:val="0"/>
    <w:rPr>
      <w:rFonts w:ascii="Arial" w:hAnsi="Arial"/>
      <w:kern w:val="2"/>
      <w:sz w:val="18"/>
      <w:lang w:val="en-US" w:eastAsia="zh-CN" w:bidi="ar-SA"/>
    </w:rPr>
  </w:style>
  <w:style w:type="character" w:customStyle="1" w:styleId="87">
    <w:name w:val="Char Char5"/>
    <w:qFormat/>
    <w:uiPriority w:val="0"/>
    <w:rPr>
      <w:rFonts w:ascii="Arial" w:hAnsi="Arial" w:eastAsia="宋体"/>
      <w:b/>
      <w:smallCaps/>
      <w:kern w:val="28"/>
      <w:sz w:val="36"/>
      <w:lang w:val="en-US" w:eastAsia="en-US"/>
    </w:rPr>
  </w:style>
  <w:style w:type="character" w:customStyle="1" w:styleId="88">
    <w:name w:val="Char Char"/>
    <w:qFormat/>
    <w:uiPriority w:val="0"/>
    <w:rPr>
      <w:rFonts w:ascii="宋体" w:hAnsi="宋体" w:eastAsia="宋体"/>
      <w:kern w:val="2"/>
      <w:sz w:val="24"/>
      <w:lang w:val="en-US" w:eastAsia="zh-CN" w:bidi="ar-SA"/>
    </w:rPr>
  </w:style>
  <w:style w:type="character" w:customStyle="1" w:styleId="89">
    <w:name w:val="Table Heading Char Char"/>
    <w:qFormat/>
    <w:uiPriority w:val="0"/>
    <w:rPr>
      <w:rFonts w:ascii="Arial" w:hAnsi="Arial" w:eastAsia="黑体"/>
      <w:kern w:val="2"/>
      <w:sz w:val="18"/>
      <w:lang w:val="en-US" w:eastAsia="zh-CN"/>
    </w:rPr>
  </w:style>
  <w:style w:type="character" w:customStyle="1" w:styleId="90">
    <w:name w:val="Table Text Char Char Char Char"/>
    <w:link w:val="91"/>
    <w:qFormat/>
    <w:uiPriority w:val="0"/>
    <w:rPr>
      <w:rFonts w:ascii="Arial" w:hAnsi="Arial"/>
      <w:kern w:val="2"/>
      <w:sz w:val="18"/>
      <w:lang w:val="en-US" w:eastAsia="zh-CN" w:bidi="ar-SA"/>
    </w:rPr>
  </w:style>
  <w:style w:type="paragraph" w:customStyle="1" w:styleId="91">
    <w:name w:val="Table Text Char Char Char"/>
    <w:link w:val="90"/>
    <w:qFormat/>
    <w:uiPriority w:val="0"/>
    <w:pPr>
      <w:snapToGrid w:val="0"/>
      <w:spacing w:before="80" w:after="80"/>
    </w:pPr>
    <w:rPr>
      <w:rFonts w:ascii="Arial" w:hAnsi="Arial" w:eastAsia="宋体" w:cs="Times New Roman"/>
      <w:kern w:val="2"/>
      <w:sz w:val="18"/>
      <w:lang w:val="en-US" w:eastAsia="zh-CN" w:bidi="ar-SA"/>
    </w:rPr>
  </w:style>
  <w:style w:type="character" w:customStyle="1" w:styleId="92">
    <w:name w:val="Table Text Char"/>
    <w:link w:val="93"/>
    <w:qFormat/>
    <w:uiPriority w:val="0"/>
    <w:rPr>
      <w:rFonts w:ascii="Arial" w:hAnsi="Arial"/>
      <w:kern w:val="2"/>
      <w:sz w:val="18"/>
      <w:lang w:val="en-US" w:eastAsia="zh-CN" w:bidi="ar-SA"/>
    </w:rPr>
  </w:style>
  <w:style w:type="paragraph" w:customStyle="1" w:styleId="93">
    <w:name w:val="Table Text"/>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Char Char2"/>
    <w:qFormat/>
    <w:uiPriority w:val="0"/>
    <w:rPr>
      <w:rFonts w:eastAsia="宋体"/>
      <w:kern w:val="2"/>
      <w:sz w:val="18"/>
      <w:lang w:val="en-US" w:eastAsia="zh-CN"/>
    </w:rPr>
  </w:style>
  <w:style w:type="character" w:customStyle="1" w:styleId="95">
    <w:name w:val="标书正文:  0.74 厘米 Char1"/>
    <w:qFormat/>
    <w:uiPriority w:val="0"/>
    <w:rPr>
      <w:rFonts w:eastAsia="宋体"/>
      <w:kern w:val="2"/>
      <w:sz w:val="24"/>
      <w:lang w:val="en-US" w:eastAsia="zh-CN"/>
    </w:rPr>
  </w:style>
  <w:style w:type="character" w:customStyle="1" w:styleId="96">
    <w:name w:val="样式 宋体"/>
    <w:qFormat/>
    <w:uiPriority w:val="0"/>
    <w:rPr>
      <w:rFonts w:ascii="宋体" w:hAnsi="宋体" w:eastAsia="宋体"/>
      <w:sz w:val="28"/>
    </w:rPr>
  </w:style>
  <w:style w:type="character" w:customStyle="1" w:styleId="97">
    <w:name w:val="未命名11"/>
    <w:qFormat/>
    <w:uiPriority w:val="0"/>
    <w:rPr>
      <w:color w:val="77FFFF"/>
      <w:sz w:val="24"/>
    </w:rPr>
  </w:style>
  <w:style w:type="character" w:customStyle="1" w:styleId="98">
    <w:name w:val="crowed11"/>
    <w:qFormat/>
    <w:uiPriority w:val="0"/>
    <w:rPr>
      <w:rFonts w:hint="default" w:ascii="_x000B__x000C_" w:hAnsi="_x000B__x000C_"/>
      <w:sz w:val="24"/>
    </w:rPr>
  </w:style>
  <w:style w:type="character" w:customStyle="1" w:styleId="99">
    <w:name w:val="Char Char6"/>
    <w:qFormat/>
    <w:uiPriority w:val="0"/>
    <w:rPr>
      <w:rFonts w:ascii="仿宋_GB2312" w:eastAsia="仿宋_GB2312"/>
      <w:kern w:val="2"/>
      <w:sz w:val="32"/>
    </w:rPr>
  </w:style>
  <w:style w:type="character" w:customStyle="1" w:styleId="100">
    <w:name w:val="title_emph1"/>
    <w:qFormat/>
    <w:uiPriority w:val="0"/>
    <w:rPr>
      <w:rFonts w:hint="default" w:ascii="Arial" w:hAnsi="Arial"/>
      <w:b/>
      <w:sz w:val="20"/>
    </w:rPr>
  </w:style>
  <w:style w:type="character" w:customStyle="1" w:styleId="101">
    <w:name w:val="font1"/>
    <w:qFormat/>
    <w:uiPriority w:val="0"/>
    <w:rPr>
      <w:color w:val="000000"/>
      <w:sz w:val="18"/>
    </w:rPr>
  </w:style>
  <w:style w:type="character" w:customStyle="1" w:styleId="102">
    <w:name w:val="Char Char11"/>
    <w:qFormat/>
    <w:uiPriority w:val="0"/>
    <w:rPr>
      <w:rFonts w:ascii="宋体"/>
      <w:kern w:val="2"/>
      <w:sz w:val="28"/>
    </w:rPr>
  </w:style>
  <w:style w:type="character" w:customStyle="1" w:styleId="103">
    <w:name w:val="top-det1"/>
    <w:qFormat/>
    <w:uiPriority w:val="0"/>
    <w:rPr>
      <w:b/>
      <w:color w:val="000000"/>
    </w:rPr>
  </w:style>
  <w:style w:type="paragraph" w:customStyle="1" w:styleId="104">
    <w:name w:val="二级列表"/>
    <w:basedOn w:val="105"/>
    <w:next w:val="105"/>
    <w:qFormat/>
    <w:uiPriority w:val="0"/>
    <w:pPr>
      <w:tabs>
        <w:tab w:val="left" w:pos="2120"/>
      </w:tabs>
      <w:ind w:firstLine="0" w:firstLineChars="0"/>
    </w:pPr>
    <w:rPr>
      <w:b/>
    </w:rPr>
  </w:style>
  <w:style w:type="paragraph" w:customStyle="1" w:styleId="105">
    <w:name w:val="段落正文"/>
    <w:basedOn w:val="1"/>
    <w:qFormat/>
    <w:uiPriority w:val="0"/>
    <w:pPr>
      <w:spacing w:before="156" w:beforeLines="50" w:line="360" w:lineRule="auto"/>
      <w:ind w:firstLine="200" w:firstLineChars="200"/>
    </w:pPr>
    <w:rPr>
      <w:spacing w:val="2"/>
      <w:sz w:val="24"/>
    </w:rPr>
  </w:style>
  <w:style w:type="paragraph" w:customStyle="1" w:styleId="106">
    <w:name w:val="标题3——2"/>
    <w:basedOn w:val="5"/>
    <w:next w:val="55"/>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07">
    <w:name w:val="文本1"/>
    <w:basedOn w:val="1"/>
    <w:qFormat/>
    <w:uiPriority w:val="0"/>
    <w:pPr>
      <w:adjustRightInd w:val="0"/>
      <w:spacing w:line="312" w:lineRule="atLeast"/>
      <w:jc w:val="center"/>
      <w:textAlignment w:val="baseline"/>
    </w:pPr>
    <w:rPr>
      <w:kern w:val="0"/>
      <w:sz w:val="18"/>
    </w:rPr>
  </w:style>
  <w:style w:type="paragraph" w:customStyle="1" w:styleId="108">
    <w:name w:val="Title - Revision"/>
    <w:basedOn w:val="2"/>
    <w:qFormat/>
    <w:uiPriority w:val="0"/>
    <w:pPr>
      <w:spacing w:before="720"/>
    </w:pPr>
  </w:style>
  <w:style w:type="paragraph" w:customStyle="1" w:styleId="10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0">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1">
    <w:name w:val="二级条标题"/>
    <w:basedOn w:val="112"/>
    <w:next w:val="114"/>
    <w:qFormat/>
    <w:uiPriority w:val="0"/>
    <w:pPr>
      <w:ind w:left="840"/>
      <w:outlineLvl w:val="3"/>
    </w:pPr>
  </w:style>
  <w:style w:type="paragraph" w:customStyle="1" w:styleId="112">
    <w:name w:val="一级条标题"/>
    <w:basedOn w:val="113"/>
    <w:next w:val="114"/>
    <w:qFormat/>
    <w:uiPriority w:val="0"/>
    <w:pPr>
      <w:numPr>
        <w:numId w:val="0"/>
      </w:numPr>
      <w:spacing w:before="0" w:beforeLines="0" w:after="0" w:afterLines="0"/>
      <w:ind w:left="525"/>
      <w:outlineLvl w:val="2"/>
    </w:pPr>
    <w:rPr>
      <w:sz w:val="21"/>
    </w:rPr>
  </w:style>
  <w:style w:type="paragraph" w:customStyle="1" w:styleId="113">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5">
    <w:name w:val="1.正文"/>
    <w:basedOn w:val="1"/>
    <w:qFormat/>
    <w:uiPriority w:val="0"/>
    <w:pPr>
      <w:spacing w:line="360" w:lineRule="auto"/>
      <w:ind w:left="540" w:leftChars="225" w:firstLine="540" w:firstLineChars="225"/>
    </w:pPr>
    <w:rPr>
      <w:sz w:val="24"/>
    </w:rPr>
  </w:style>
  <w:style w:type="paragraph" w:customStyle="1" w:styleId="116">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7">
    <w:name w:val="编号正文"/>
    <w:basedOn w:val="118"/>
    <w:qFormat/>
    <w:uiPriority w:val="0"/>
    <w:pPr>
      <w:snapToGrid/>
      <w:spacing w:line="360" w:lineRule="auto"/>
      <w:ind w:left="1407" w:hanging="1047"/>
      <w:jc w:val="left"/>
    </w:pPr>
    <w:rPr>
      <w:rFonts w:eastAsia="仿宋_GB2312"/>
    </w:rPr>
  </w:style>
  <w:style w:type="paragraph" w:customStyle="1" w:styleId="11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19">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20">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21">
    <w:name w:val="默认段落字体 Para Char Char Char Char Char Char Char Char Char1 Char Char Char Char"/>
    <w:basedOn w:val="1"/>
    <w:qFormat/>
    <w:uiPriority w:val="0"/>
    <w:rPr>
      <w:rFonts w:ascii="Tahoma" w:hAnsi="Tahoma"/>
      <w:sz w:val="24"/>
    </w:rPr>
  </w:style>
  <w:style w:type="paragraph" w:customStyle="1" w:styleId="12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3">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24">
    <w:name w:val="Char Char14 Char Char"/>
    <w:basedOn w:val="1"/>
    <w:qFormat/>
    <w:uiPriority w:val="0"/>
    <w:rPr>
      <w:sz w:val="21"/>
      <w:szCs w:val="24"/>
    </w:rPr>
  </w:style>
  <w:style w:type="paragraph" w:customStyle="1" w:styleId="125">
    <w:name w:val="Char Char Char Char Char"/>
    <w:basedOn w:val="1"/>
    <w:qFormat/>
    <w:uiPriority w:val="0"/>
    <w:pPr>
      <w:tabs>
        <w:tab w:val="left" w:pos="425"/>
      </w:tabs>
      <w:ind w:left="1620" w:hanging="360"/>
    </w:pPr>
    <w:rPr>
      <w:rFonts w:ascii="Tahoma" w:hAnsi="Tahoma"/>
      <w:sz w:val="24"/>
    </w:rPr>
  </w:style>
  <w:style w:type="paragraph" w:customStyle="1" w:styleId="126">
    <w:name w:val="Char2 Char Char Char Char Char Char"/>
    <w:basedOn w:val="1"/>
    <w:qFormat/>
    <w:uiPriority w:val="0"/>
    <w:rPr>
      <w:rFonts w:ascii="仿宋_GB2312"/>
      <w:b/>
      <w:sz w:val="30"/>
    </w:rPr>
  </w:style>
  <w:style w:type="paragraph" w:customStyle="1" w:styleId="127">
    <w:name w:val="_Style 126"/>
    <w:qFormat/>
    <w:uiPriority w:val="0"/>
    <w:rPr>
      <w:rFonts w:ascii="Times New Roman" w:hAnsi="Times New Roman" w:eastAsia="宋体" w:cs="Times New Roman"/>
      <w:kern w:val="2"/>
      <w:sz w:val="21"/>
      <w:lang w:val="en-US" w:eastAsia="zh-CN" w:bidi="ar-SA"/>
    </w:rPr>
  </w:style>
  <w:style w:type="paragraph" w:customStyle="1" w:styleId="128">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29">
    <w:name w:val="正文 + 三号"/>
    <w:basedOn w:val="1"/>
    <w:qFormat/>
    <w:uiPriority w:val="0"/>
    <w:rPr>
      <w:sz w:val="21"/>
    </w:rPr>
  </w:style>
  <w:style w:type="paragraph" w:customStyle="1" w:styleId="130">
    <w:name w:val="样式 首行缩进:  0.74 厘米"/>
    <w:basedOn w:val="1"/>
    <w:qFormat/>
    <w:uiPriority w:val="0"/>
    <w:pPr>
      <w:spacing w:line="360" w:lineRule="auto"/>
      <w:ind w:firstLine="420"/>
    </w:pPr>
    <w:rPr>
      <w:sz w:val="24"/>
    </w:rPr>
  </w:style>
  <w:style w:type="paragraph" w:customStyle="1" w:styleId="131">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32">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33">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4">
    <w:name w:val="Table Contents"/>
    <w:basedOn w:val="23"/>
    <w:qFormat/>
    <w:uiPriority w:val="0"/>
    <w:pPr>
      <w:suppressAutoHyphens/>
      <w:jc w:val="left"/>
    </w:pPr>
    <w:rPr>
      <w:rFonts w:ascii="Times New Roman" w:eastAsia="Times New Roman"/>
      <w:kern w:val="0"/>
      <w:sz w:val="24"/>
    </w:rPr>
  </w:style>
  <w:style w:type="paragraph" w:customStyle="1" w:styleId="135">
    <w:name w:val="表格文本"/>
    <w:qFormat/>
    <w:uiPriority w:val="0"/>
    <w:pPr>
      <w:tabs>
        <w:tab w:val="decimal" w:pos="0"/>
      </w:tabs>
    </w:pPr>
    <w:rPr>
      <w:rFonts w:ascii="Arial" w:hAnsi="Arial" w:eastAsia="宋体" w:cs="Times New Roman"/>
      <w:sz w:val="21"/>
      <w:lang w:val="en-US" w:eastAsia="zh-CN" w:bidi="ar-SA"/>
    </w:rPr>
  </w:style>
  <w:style w:type="paragraph" w:customStyle="1" w:styleId="136">
    <w:name w:val="Char Char Char Char Char Char Char"/>
    <w:basedOn w:val="1"/>
    <w:qFormat/>
    <w:uiPriority w:val="0"/>
    <w:rPr>
      <w:rFonts w:ascii="Tahoma" w:hAnsi="Tahoma"/>
      <w:sz w:val="24"/>
    </w:rPr>
  </w:style>
  <w:style w:type="paragraph" w:customStyle="1" w:styleId="137">
    <w:name w:val="样式2"/>
    <w:basedOn w:val="6"/>
    <w:qFormat/>
    <w:uiPriority w:val="0"/>
    <w:pPr>
      <w:numPr>
        <w:ilvl w:val="0"/>
        <w:numId w:val="7"/>
      </w:numPr>
      <w:spacing w:before="560" w:line="400" w:lineRule="exact"/>
      <w:jc w:val="center"/>
      <w:outlineLvl w:val="0"/>
    </w:pPr>
    <w:rPr>
      <w:b w:val="0"/>
      <w:sz w:val="44"/>
    </w:rPr>
  </w:style>
  <w:style w:type="paragraph" w:customStyle="1" w:styleId="138">
    <w:name w:val="内容标题"/>
    <w:basedOn w:val="18"/>
    <w:qFormat/>
    <w:uiPriority w:val="0"/>
    <w:rPr>
      <w:rFonts w:ascii="Tahoma" w:hAnsi="Tahoma"/>
      <w:sz w:val="24"/>
    </w:rPr>
  </w:style>
  <w:style w:type="paragraph" w:customStyle="1" w:styleId="139">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40">
    <w:name w:val="1"/>
    <w:basedOn w:val="1"/>
    <w:next w:val="31"/>
    <w:qFormat/>
    <w:uiPriority w:val="0"/>
    <w:rPr>
      <w:rFonts w:ascii="宋体" w:hAnsi="Courier New"/>
      <w:sz w:val="21"/>
    </w:rPr>
  </w:style>
  <w:style w:type="paragraph" w:customStyle="1" w:styleId="141">
    <w:name w:val="列表项目"/>
    <w:basedOn w:val="1"/>
    <w:qFormat/>
    <w:uiPriority w:val="0"/>
    <w:pPr>
      <w:tabs>
        <w:tab w:val="left" w:pos="420"/>
      </w:tabs>
      <w:spacing w:line="288" w:lineRule="auto"/>
      <w:ind w:left="840" w:leftChars="200" w:hanging="420" w:hangingChars="200"/>
    </w:pPr>
    <w:rPr>
      <w:sz w:val="21"/>
    </w:rPr>
  </w:style>
  <w:style w:type="paragraph" w:customStyle="1" w:styleId="142">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43">
    <w:name w:val="Char Char Char Char Char Char Char1"/>
    <w:basedOn w:val="18"/>
    <w:qFormat/>
    <w:uiPriority w:val="0"/>
    <w:rPr>
      <w:rFonts w:ascii="宋体" w:hAnsi="Tahoma"/>
    </w:rPr>
  </w:style>
  <w:style w:type="paragraph" w:customStyle="1" w:styleId="144">
    <w:name w:val="样式 标题 6第五层条 + 三号 段前: 0.5 行"/>
    <w:basedOn w:val="8"/>
    <w:qFormat/>
    <w:uiPriority w:val="0"/>
    <w:pPr>
      <w:widowControl/>
      <w:adjustRightInd/>
      <w:snapToGrid/>
      <w:spacing w:before="156" w:beforeLines="50"/>
      <w:jc w:val="left"/>
    </w:pPr>
    <w:rPr>
      <w:snapToGrid w:val="0"/>
      <w:kern w:val="24"/>
      <w:sz w:val="28"/>
    </w:rPr>
  </w:style>
  <w:style w:type="paragraph" w:customStyle="1" w:styleId="14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6">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47">
    <w:name w:val="样式 行距: 1.5 倍行距1"/>
    <w:basedOn w:val="1"/>
    <w:qFormat/>
    <w:uiPriority w:val="0"/>
    <w:pPr>
      <w:snapToGrid w:val="0"/>
    </w:pPr>
    <w:rPr>
      <w:sz w:val="21"/>
    </w:rPr>
  </w:style>
  <w:style w:type="paragraph" w:customStyle="1" w:styleId="148">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49">
    <w:name w:val="00"/>
    <w:basedOn w:val="1"/>
    <w:qFormat/>
    <w:uiPriority w:val="0"/>
    <w:pPr>
      <w:autoSpaceDE w:val="0"/>
      <w:autoSpaceDN w:val="0"/>
      <w:adjustRightInd w:val="0"/>
      <w:jc w:val="left"/>
    </w:pPr>
    <w:rPr>
      <w:rFonts w:ascii="黑体" w:eastAsia="黑体"/>
      <w:b/>
      <w:kern w:val="0"/>
      <w:sz w:val="20"/>
    </w:rPr>
  </w:style>
  <w:style w:type="paragraph" w:customStyle="1" w:styleId="15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51">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52">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53">
    <w:name w:val="标准正文"/>
    <w:basedOn w:val="24"/>
    <w:qFormat/>
    <w:uiPriority w:val="0"/>
    <w:pPr>
      <w:spacing w:before="60" w:after="60" w:line="360" w:lineRule="auto"/>
      <w:ind w:left="0" w:firstLine="482"/>
    </w:pPr>
    <w:rPr>
      <w:rFonts w:ascii="Arial" w:hAnsi="Arial"/>
      <w:sz w:val="24"/>
    </w:rPr>
  </w:style>
  <w:style w:type="paragraph" w:customStyle="1" w:styleId="154">
    <w:name w:val="正文文本 21"/>
    <w:basedOn w:val="1"/>
    <w:qFormat/>
    <w:uiPriority w:val="0"/>
    <w:pPr>
      <w:adjustRightInd w:val="0"/>
      <w:spacing w:before="120" w:line="360" w:lineRule="auto"/>
      <w:ind w:firstLine="480"/>
      <w:textAlignment w:val="baseline"/>
    </w:pPr>
    <w:rPr>
      <w:sz w:val="24"/>
    </w:rPr>
  </w:style>
  <w:style w:type="paragraph" w:customStyle="1" w:styleId="155">
    <w:name w:val="样式1"/>
    <w:basedOn w:val="6"/>
    <w:qFormat/>
    <w:uiPriority w:val="0"/>
    <w:pPr>
      <w:tabs>
        <w:tab w:val="left" w:pos="720"/>
      </w:tabs>
      <w:spacing w:before="500" w:after="260" w:line="560" w:lineRule="atLeast"/>
      <w:ind w:left="420" w:hanging="420"/>
    </w:pPr>
  </w:style>
  <w:style w:type="paragraph" w:customStyle="1" w:styleId="156">
    <w:name w:val="正文4"/>
    <w:basedOn w:val="1"/>
    <w:qFormat/>
    <w:uiPriority w:val="0"/>
    <w:pPr>
      <w:tabs>
        <w:tab w:val="left" w:pos="1275"/>
      </w:tabs>
      <w:spacing w:before="60" w:after="60" w:line="360" w:lineRule="auto"/>
      <w:ind w:left="820" w:leftChars="400" w:hanging="705"/>
    </w:pPr>
    <w:rPr>
      <w:sz w:val="24"/>
    </w:rPr>
  </w:style>
  <w:style w:type="paragraph" w:customStyle="1" w:styleId="157">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58">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9">
    <w:name w:val="文本框样式1"/>
    <w:basedOn w:val="1"/>
    <w:qFormat/>
    <w:uiPriority w:val="0"/>
    <w:pPr>
      <w:adjustRightInd w:val="0"/>
      <w:snapToGrid w:val="0"/>
      <w:spacing w:before="60" w:line="180" w:lineRule="exact"/>
      <w:jc w:val="center"/>
    </w:pPr>
    <w:rPr>
      <w:sz w:val="21"/>
    </w:rPr>
  </w:style>
  <w:style w:type="paragraph" w:customStyle="1" w:styleId="160">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2">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3">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65">
    <w:name w:val="关键词"/>
    <w:basedOn w:val="1"/>
    <w:next w:val="1"/>
    <w:qFormat/>
    <w:uiPriority w:val="0"/>
    <w:pPr>
      <w:spacing w:line="360" w:lineRule="auto"/>
    </w:pPr>
    <w:rPr>
      <w:rFonts w:eastAsia="黑体"/>
      <w:sz w:val="20"/>
    </w:rPr>
  </w:style>
  <w:style w:type="paragraph" w:customStyle="1" w:styleId="166">
    <w:name w:val="Title - Date"/>
    <w:basedOn w:val="2"/>
    <w:next w:val="1"/>
    <w:qFormat/>
    <w:uiPriority w:val="0"/>
    <w:pPr>
      <w:spacing w:before="240" w:after="720"/>
    </w:pPr>
    <w:rPr>
      <w:sz w:val="28"/>
    </w:rPr>
  </w:style>
  <w:style w:type="paragraph" w:customStyle="1" w:styleId="167">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6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6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0">
    <w:name w:val="表号"/>
    <w:basedOn w:val="1"/>
    <w:qFormat/>
    <w:uiPriority w:val="0"/>
    <w:pPr>
      <w:numPr>
        <w:ilvl w:val="0"/>
        <w:numId w:val="9"/>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7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2">
    <w:name w:val="Style Heading 3h3Heading 3 - oldLevel 3 HeadH3level_3PIM 3se..."/>
    <w:basedOn w:val="5"/>
    <w:qFormat/>
    <w:uiPriority w:val="0"/>
    <w:pPr>
      <w:tabs>
        <w:tab w:val="left" w:pos="709"/>
        <w:tab w:val="left" w:pos="1620"/>
      </w:tabs>
      <w:ind w:left="1620" w:hanging="360"/>
    </w:pPr>
  </w:style>
  <w:style w:type="paragraph" w:customStyle="1" w:styleId="173">
    <w:name w:val="样式4"/>
    <w:basedOn w:val="6"/>
    <w:qFormat/>
    <w:uiPriority w:val="0"/>
    <w:pPr>
      <w:adjustRightInd w:val="0"/>
      <w:snapToGrid w:val="0"/>
    </w:pPr>
  </w:style>
  <w:style w:type="paragraph" w:customStyle="1" w:styleId="174">
    <w:name w:val="摘要"/>
    <w:basedOn w:val="1"/>
    <w:next w:val="4"/>
    <w:qFormat/>
    <w:uiPriority w:val="0"/>
    <w:pPr>
      <w:spacing w:line="360" w:lineRule="auto"/>
    </w:pPr>
    <w:rPr>
      <w:rFonts w:eastAsia="黑体"/>
      <w:sz w:val="20"/>
    </w:rPr>
  </w:style>
  <w:style w:type="paragraph" w:customStyle="1" w:styleId="175">
    <w:name w:val="Char Char 字元 字元 字元 Char Char Char Char"/>
    <w:basedOn w:val="1"/>
    <w:qFormat/>
    <w:uiPriority w:val="0"/>
    <w:pPr>
      <w:adjustRightInd w:val="0"/>
      <w:spacing w:line="360" w:lineRule="auto"/>
    </w:pPr>
    <w:rPr>
      <w:kern w:val="0"/>
      <w:sz w:val="24"/>
    </w:rPr>
  </w:style>
  <w:style w:type="paragraph" w:customStyle="1" w:styleId="176">
    <w:name w:val="可研正文"/>
    <w:basedOn w:val="23"/>
    <w:qFormat/>
    <w:uiPriority w:val="0"/>
    <w:pPr>
      <w:adjustRightInd w:val="0"/>
      <w:snapToGrid w:val="0"/>
      <w:spacing w:line="440" w:lineRule="exact"/>
      <w:ind w:firstLine="567"/>
    </w:pPr>
    <w:rPr>
      <w:sz w:val="28"/>
    </w:rPr>
  </w:style>
  <w:style w:type="paragraph" w:customStyle="1" w:styleId="177">
    <w:name w:val="没有缩进（为图形使用）"/>
    <w:basedOn w:val="1"/>
    <w:qFormat/>
    <w:uiPriority w:val="0"/>
    <w:pPr>
      <w:spacing w:before="120" w:after="120" w:line="360" w:lineRule="auto"/>
    </w:pPr>
    <w:rPr>
      <w:sz w:val="24"/>
    </w:rPr>
  </w:style>
  <w:style w:type="paragraph" w:customStyle="1" w:styleId="178">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79">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0">
    <w:name w:val="标书正文:  0.74 厘米"/>
    <w:basedOn w:val="1"/>
    <w:qFormat/>
    <w:uiPriority w:val="0"/>
    <w:pPr>
      <w:snapToGrid w:val="0"/>
      <w:spacing w:line="360" w:lineRule="auto"/>
      <w:ind w:firstLine="420"/>
    </w:pPr>
    <w:rPr>
      <w:sz w:val="24"/>
    </w:rPr>
  </w:style>
  <w:style w:type="paragraph" w:customStyle="1" w:styleId="181">
    <w:name w:val="样式 正文缩进正文（首行缩进两字）表正文正文非缩进特点标题4段1 + 首行缩进:  2 字符"/>
    <w:basedOn w:val="16"/>
    <w:qFormat/>
    <w:uiPriority w:val="0"/>
    <w:pPr>
      <w:ind w:firstLine="480" w:firstLineChars="200"/>
    </w:pPr>
  </w:style>
  <w:style w:type="paragraph" w:customStyle="1" w:styleId="18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83">
    <w:name w:val="Char1 Char Char Char"/>
    <w:basedOn w:val="1"/>
    <w:qFormat/>
    <w:uiPriority w:val="0"/>
    <w:rPr>
      <w:rFonts w:ascii="Tahoma" w:hAnsi="Tahoma"/>
      <w:sz w:val="24"/>
    </w:rPr>
  </w:style>
  <w:style w:type="paragraph" w:customStyle="1" w:styleId="184">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85">
    <w:name w:val="文章正文"/>
    <w:basedOn w:val="1"/>
    <w:qFormat/>
    <w:uiPriority w:val="0"/>
    <w:pPr>
      <w:ind w:firstLine="560" w:firstLineChars="200"/>
    </w:pPr>
    <w:rPr>
      <w:rFonts w:ascii="仿宋_GB2312" w:hAnsi="宋体" w:eastAsia="仿宋_GB2312"/>
      <w:color w:val="000000"/>
    </w:rPr>
  </w:style>
  <w:style w:type="paragraph" w:customStyle="1" w:styleId="186">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88">
    <w:name w:val="Char Char1 Char"/>
    <w:basedOn w:val="1"/>
    <w:qFormat/>
    <w:uiPriority w:val="0"/>
    <w:rPr>
      <w:rFonts w:ascii="Tahoma" w:hAnsi="Tahoma"/>
      <w:sz w:val="24"/>
      <w:szCs w:val="24"/>
    </w:rPr>
  </w:style>
  <w:style w:type="paragraph" w:customStyle="1" w:styleId="189">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90">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91">
    <w:name w:val="Char"/>
    <w:basedOn w:val="1"/>
    <w:qFormat/>
    <w:uiPriority w:val="0"/>
    <w:pPr>
      <w:spacing w:line="240" w:lineRule="atLeast"/>
      <w:ind w:left="420" w:firstLine="420"/>
    </w:pPr>
    <w:rPr>
      <w:kern w:val="0"/>
      <w:sz w:val="21"/>
    </w:rPr>
  </w:style>
  <w:style w:type="paragraph" w:customStyle="1" w:styleId="19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3">
    <w:name w:val="Char1 Char Char Char1"/>
    <w:basedOn w:val="1"/>
    <w:qFormat/>
    <w:uiPriority w:val="0"/>
    <w:rPr>
      <w:rFonts w:ascii="Tahoma" w:hAnsi="Tahoma"/>
      <w:sz w:val="30"/>
    </w:rPr>
  </w:style>
  <w:style w:type="paragraph" w:customStyle="1" w:styleId="194">
    <w:name w:val="表头文本"/>
    <w:qFormat/>
    <w:uiPriority w:val="0"/>
    <w:pPr>
      <w:jc w:val="center"/>
    </w:pPr>
    <w:rPr>
      <w:rFonts w:ascii="Arial" w:hAnsi="Arial" w:eastAsia="宋体" w:cs="Times New Roman"/>
      <w:b/>
      <w:sz w:val="21"/>
      <w:lang w:val="en-US" w:eastAsia="zh-CN" w:bidi="ar-SA"/>
    </w:rPr>
  </w:style>
  <w:style w:type="paragraph" w:customStyle="1" w:styleId="195">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96">
    <w:name w:val="Char Char Char"/>
    <w:basedOn w:val="1"/>
    <w:qFormat/>
    <w:uiPriority w:val="0"/>
    <w:rPr>
      <w:rFonts w:ascii="Tahoma" w:hAnsi="Tahoma"/>
      <w:sz w:val="24"/>
    </w:rPr>
  </w:style>
  <w:style w:type="paragraph" w:customStyle="1" w:styleId="197">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98">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99">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00">
    <w:name w:val="默认段落字体 Para Char Char Char Char Char Char Char"/>
    <w:basedOn w:val="1"/>
    <w:qFormat/>
    <w:uiPriority w:val="0"/>
    <w:rPr>
      <w:rFonts w:ascii="Tahoma" w:hAnsi="Tahoma"/>
      <w:sz w:val="24"/>
    </w:rPr>
  </w:style>
  <w:style w:type="paragraph" w:customStyle="1" w:styleId="201">
    <w:name w:val="IN Feature"/>
    <w:next w:val="202"/>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3">
    <w:name w:val="首行缩进"/>
    <w:basedOn w:val="1"/>
    <w:qFormat/>
    <w:uiPriority w:val="0"/>
    <w:pPr>
      <w:numPr>
        <w:ilvl w:val="0"/>
        <w:numId w:val="11"/>
      </w:numPr>
      <w:spacing w:line="360" w:lineRule="auto"/>
    </w:pPr>
    <w:rPr>
      <w:rFonts w:eastAsia="仿宋_GB2312"/>
    </w:rPr>
  </w:style>
  <w:style w:type="paragraph" w:customStyle="1" w:styleId="204">
    <w:name w:val="正文字缩2字"/>
    <w:basedOn w:val="1"/>
    <w:qFormat/>
    <w:uiPriority w:val="0"/>
    <w:pPr>
      <w:spacing w:before="60" w:after="60" w:line="360" w:lineRule="auto"/>
      <w:ind w:left="200" w:leftChars="200" w:firstLine="200" w:firstLineChars="200"/>
    </w:pPr>
    <w:rPr>
      <w:sz w:val="24"/>
    </w:rPr>
  </w:style>
  <w:style w:type="paragraph" w:customStyle="1" w:styleId="205">
    <w:name w:val="正文表格"/>
    <w:basedOn w:val="1"/>
    <w:qFormat/>
    <w:uiPriority w:val="0"/>
    <w:pPr>
      <w:adjustRightInd w:val="0"/>
      <w:spacing w:before="40" w:after="40"/>
    </w:pPr>
    <w:rPr>
      <w:sz w:val="24"/>
    </w:rPr>
  </w:style>
  <w:style w:type="paragraph" w:customStyle="1" w:styleId="206">
    <w:name w:val="表文字"/>
    <w:qFormat/>
    <w:uiPriority w:val="0"/>
    <w:rPr>
      <w:rFonts w:ascii="宋体" w:hAnsi="Times New Roman" w:eastAsia="宋体" w:cs="Times New Roman"/>
      <w:kern w:val="2"/>
      <w:lang w:val="en-US" w:eastAsia="zh-CN" w:bidi="ar-SA"/>
    </w:rPr>
  </w:style>
  <w:style w:type="paragraph" w:customStyle="1" w:styleId="207">
    <w:name w:val="表格内文字"/>
    <w:basedOn w:val="31"/>
    <w:qFormat/>
    <w:uiPriority w:val="0"/>
    <w:pPr>
      <w:adjustRightInd w:val="0"/>
    </w:pPr>
    <w:rPr>
      <w:color w:val="000000"/>
      <w:lang w:val="en-GB"/>
    </w:rPr>
  </w:style>
  <w:style w:type="paragraph" w:customStyle="1" w:styleId="208">
    <w:name w:val="正文文本缩进 21"/>
    <w:basedOn w:val="1"/>
    <w:qFormat/>
    <w:uiPriority w:val="0"/>
    <w:pPr>
      <w:adjustRightInd w:val="0"/>
      <w:spacing w:before="120"/>
      <w:ind w:firstLine="420"/>
      <w:textAlignment w:val="baseline"/>
    </w:pPr>
    <w:rPr>
      <w:sz w:val="24"/>
    </w:rPr>
  </w:style>
  <w:style w:type="paragraph" w:customStyle="1" w:styleId="209">
    <w:name w:val="标题无"/>
    <w:basedOn w:val="1"/>
    <w:qFormat/>
    <w:uiPriority w:val="0"/>
    <w:pPr>
      <w:spacing w:line="360" w:lineRule="auto"/>
    </w:pPr>
    <w:rPr>
      <w:sz w:val="24"/>
    </w:rPr>
  </w:style>
  <w:style w:type="paragraph" w:customStyle="1" w:styleId="210">
    <w:name w:val="af"/>
    <w:basedOn w:val="1"/>
    <w:qFormat/>
    <w:uiPriority w:val="0"/>
    <w:pPr>
      <w:widowControl/>
      <w:spacing w:line="300" w:lineRule="atLeast"/>
      <w:jc w:val="left"/>
    </w:pPr>
    <w:rPr>
      <w:rFonts w:ascii="宋体" w:hAnsi="宋体"/>
      <w:kern w:val="0"/>
      <w:sz w:val="18"/>
    </w:rPr>
  </w:style>
  <w:style w:type="paragraph" w:customStyle="1" w:styleId="211">
    <w:name w:val="简单回函地址"/>
    <w:basedOn w:val="1"/>
    <w:qFormat/>
    <w:uiPriority w:val="0"/>
    <w:pPr>
      <w:adjustRightInd w:val="0"/>
      <w:snapToGrid w:val="0"/>
      <w:spacing w:line="360" w:lineRule="auto"/>
    </w:pPr>
    <w:rPr>
      <w:sz w:val="24"/>
    </w:rPr>
  </w:style>
  <w:style w:type="paragraph" w:customStyle="1" w:styleId="21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3">
    <w:name w:val="正文（首行不缩进）"/>
    <w:basedOn w:val="1"/>
    <w:qFormat/>
    <w:uiPriority w:val="0"/>
    <w:pPr>
      <w:autoSpaceDE w:val="0"/>
      <w:autoSpaceDN w:val="0"/>
      <w:adjustRightInd w:val="0"/>
      <w:spacing w:line="360" w:lineRule="auto"/>
      <w:jc w:val="left"/>
    </w:pPr>
    <w:rPr>
      <w:kern w:val="0"/>
      <w:sz w:val="21"/>
    </w:rPr>
  </w:style>
  <w:style w:type="paragraph" w:customStyle="1" w:styleId="214">
    <w:name w:val="正文1"/>
    <w:basedOn w:val="1"/>
    <w:qFormat/>
    <w:uiPriority w:val="0"/>
    <w:pPr>
      <w:spacing w:line="300" w:lineRule="auto"/>
      <w:ind w:firstLine="200" w:firstLineChars="200"/>
    </w:pPr>
    <w:rPr>
      <w:sz w:val="24"/>
    </w:rPr>
  </w:style>
  <w:style w:type="paragraph" w:customStyle="1" w:styleId="21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17">
    <w:name w:val="表头样式"/>
    <w:basedOn w:val="1"/>
    <w:qFormat/>
    <w:uiPriority w:val="0"/>
    <w:pPr>
      <w:autoSpaceDE w:val="0"/>
      <w:autoSpaceDN w:val="0"/>
      <w:adjustRightInd w:val="0"/>
      <w:spacing w:line="360" w:lineRule="auto"/>
      <w:jc w:val="left"/>
    </w:pPr>
    <w:rPr>
      <w:b/>
      <w:kern w:val="0"/>
      <w:sz w:val="21"/>
    </w:rPr>
  </w:style>
  <w:style w:type="paragraph" w:customStyle="1" w:styleId="218">
    <w:name w:val="图片文字"/>
    <w:basedOn w:val="1"/>
    <w:qFormat/>
    <w:uiPriority w:val="0"/>
    <w:pPr>
      <w:spacing w:line="240" w:lineRule="atLeast"/>
      <w:jc w:val="center"/>
    </w:pPr>
    <w:rPr>
      <w:sz w:val="21"/>
    </w:rPr>
  </w:style>
  <w:style w:type="paragraph" w:customStyle="1" w:styleId="219">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20">
    <w:name w:val="附录3"/>
    <w:basedOn w:val="1"/>
    <w:next w:val="1"/>
    <w:qFormat/>
    <w:uiPriority w:val="0"/>
    <w:pPr>
      <w:tabs>
        <w:tab w:val="left" w:pos="851"/>
      </w:tabs>
      <w:ind w:left="425" w:hanging="425"/>
      <w:outlineLvl w:val="2"/>
    </w:pPr>
    <w:rPr>
      <w:rFonts w:eastAsia="黑体"/>
      <w:b/>
      <w:sz w:val="32"/>
    </w:rPr>
  </w:style>
  <w:style w:type="paragraph" w:customStyle="1" w:styleId="22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2">
    <w:name w:val="首行缩进 1"/>
    <w:basedOn w:val="1"/>
    <w:qFormat/>
    <w:uiPriority w:val="0"/>
    <w:pPr>
      <w:spacing w:after="120" w:line="360" w:lineRule="auto"/>
      <w:ind w:firstLine="200" w:firstLineChars="200"/>
    </w:pPr>
    <w:rPr>
      <w:sz w:val="24"/>
    </w:rPr>
  </w:style>
  <w:style w:type="paragraph" w:customStyle="1" w:styleId="223">
    <w:name w:val="Char11"/>
    <w:basedOn w:val="1"/>
    <w:qFormat/>
    <w:uiPriority w:val="0"/>
    <w:pPr>
      <w:spacing w:line="240" w:lineRule="atLeast"/>
      <w:ind w:left="420" w:firstLine="420"/>
    </w:pPr>
    <w:rPr>
      <w:kern w:val="0"/>
      <w:sz w:val="21"/>
    </w:rPr>
  </w:style>
  <w:style w:type="paragraph" w:customStyle="1" w:styleId="224">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26">
    <w:name w:val="样式1xz"/>
    <w:basedOn w:val="1"/>
    <w:qFormat/>
    <w:uiPriority w:val="0"/>
    <w:pPr>
      <w:tabs>
        <w:tab w:val="left" w:pos="1050"/>
        <w:tab w:val="right" w:leader="dot" w:pos="8296"/>
      </w:tabs>
    </w:pPr>
    <w:rPr>
      <w:caps/>
      <w:spacing w:val="20"/>
      <w:sz w:val="24"/>
    </w:rPr>
  </w:style>
  <w:style w:type="paragraph" w:customStyle="1" w:styleId="22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28">
    <w:name w:val="Char1"/>
    <w:basedOn w:val="1"/>
    <w:qFormat/>
    <w:uiPriority w:val="0"/>
    <w:rPr>
      <w:sz w:val="21"/>
    </w:rPr>
  </w:style>
  <w:style w:type="paragraph" w:customStyle="1" w:styleId="229">
    <w:name w:val="Note"/>
    <w:basedOn w:val="1"/>
    <w:qFormat/>
    <w:uiPriority w:val="0"/>
    <w:pPr>
      <w:pBdr>
        <w:top w:val="single" w:color="auto" w:sz="12" w:space="3"/>
        <w:bottom w:val="single" w:color="auto" w:sz="12" w:space="3"/>
      </w:pBdr>
      <w:spacing w:line="360" w:lineRule="auto"/>
    </w:pPr>
    <w:rPr>
      <w:sz w:val="24"/>
    </w:rPr>
  </w:style>
  <w:style w:type="paragraph" w:customStyle="1" w:styleId="230">
    <w:name w:val="Char Char Char Char Char Char Char Char Char Char Char Char Char Char Char Char"/>
    <w:basedOn w:val="1"/>
    <w:qFormat/>
    <w:uiPriority w:val="0"/>
    <w:pPr>
      <w:tabs>
        <w:tab w:val="left" w:pos="360"/>
      </w:tabs>
    </w:pPr>
    <w:rPr>
      <w:sz w:val="24"/>
    </w:rPr>
  </w:style>
  <w:style w:type="paragraph" w:customStyle="1" w:styleId="231">
    <w:name w:val="样式 宋体 五号 行距: 单倍行距"/>
    <w:basedOn w:val="1"/>
    <w:qFormat/>
    <w:uiPriority w:val="0"/>
    <w:pPr>
      <w:adjustRightInd w:val="0"/>
      <w:jc w:val="left"/>
    </w:pPr>
    <w:rPr>
      <w:rFonts w:ascii="宋体" w:hAnsi="宋体"/>
      <w:kern w:val="0"/>
      <w:sz w:val="21"/>
    </w:rPr>
  </w:style>
  <w:style w:type="paragraph" w:customStyle="1" w:styleId="232">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3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4">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35">
    <w:name w:val="图例"/>
    <w:basedOn w:val="1"/>
    <w:qFormat/>
    <w:uiPriority w:val="0"/>
    <w:pPr>
      <w:spacing w:before="120" w:after="120" w:line="360" w:lineRule="auto"/>
      <w:jc w:val="center"/>
    </w:pPr>
    <w:rPr>
      <w:rFonts w:eastAsia="仿宋_GB2312"/>
      <w:b/>
      <w:sz w:val="24"/>
    </w:rPr>
  </w:style>
  <w:style w:type="paragraph" w:customStyle="1" w:styleId="236">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38</Pages>
  <Words>13571</Words>
  <Characters>14084</Characters>
  <Lines>163</Lines>
  <Paragraphs>45</Paragraphs>
  <TotalTime>15</TotalTime>
  <ScaleCrop>false</ScaleCrop>
  <LinksUpToDate>false</LinksUpToDate>
  <CharactersWithSpaces>14729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2023-01-30T00:07:00Z</dcterms:created>
  <dc:creator>周媛媛</dc:creator>
  <cp:lastModifiedBy>NTKO</cp:lastModifiedBy>
  <cp:lastPrinted>2024-03-15T19:04:00Z</cp:lastPrinted>
  <dcterms:modified xsi:type="dcterms:W3CDTF">2025-12-03T02:44:21Z</dcterms:modified>
  <dc:title>竞争性谈判文件</dc:title>
  <cp:revision>254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136285DC55B44CCE8040EDBD0FBBC22E</vt:lpwstr>
  </property>
  <property fmtid="{D5CDD505-2E9C-101B-9397-08002B2CF9AE}" pid="4" name="KSOTemplateDocerSaveRecord">
    <vt:lpwstr>eyJoZGlkIjoiNDM0NTkxNTExZDM2OGI0Nzg5ODY4NjU2YmJjMWIyZjMiLCJ1c2VySWQiOiI1MzcxMzk5MzEifQ==</vt:lpwstr>
  </property>
</Properties>
</file>