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06623A">
      <w:pPr>
        <w:spacing w:line="500" w:lineRule="exact"/>
        <w:jc w:val="center"/>
        <w:outlineLvl w:val="0"/>
        <w:rPr>
          <w:rFonts w:hint="eastAsia" w:ascii="微软雅黑" w:hAnsi="微软雅黑" w:eastAsia="微软雅黑" w:cs="微软雅黑"/>
          <w:bCs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微软雅黑" w:hAnsi="微软雅黑" w:eastAsia="微软雅黑" w:cs="微软雅黑"/>
          <w:bCs/>
          <w:color w:val="auto"/>
          <w:kern w:val="2"/>
          <w:sz w:val="32"/>
          <w:szCs w:val="32"/>
          <w:lang w:val="en-US" w:eastAsia="zh-CN" w:bidi="ar-SA"/>
        </w:rPr>
        <w:t>黔江区公安局一线执法执勤制式警车内部可视化建设</w:t>
      </w:r>
    </w:p>
    <w:p w14:paraId="37C7FC5C">
      <w:pPr>
        <w:pStyle w:val="9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left="0" w:leftChars="0" w:firstLine="0" w:firstLineChars="0"/>
        <w:jc w:val="center"/>
        <w:textAlignment w:val="auto"/>
        <w:outlineLvl w:val="0"/>
        <w:rPr>
          <w:rFonts w:hint="eastAsia" w:ascii="微软雅黑" w:hAnsi="微软雅黑" w:eastAsia="微软雅黑" w:cs="微软雅黑"/>
          <w:color w:val="auto"/>
          <w:sz w:val="32"/>
          <w:lang w:eastAsia="zh-CN"/>
        </w:rPr>
      </w:pPr>
      <w:r>
        <w:rPr>
          <w:rFonts w:hint="eastAsia" w:ascii="微软雅黑" w:hAnsi="微软雅黑" w:eastAsia="微软雅黑" w:cs="微软雅黑"/>
          <w:bCs/>
          <w:color w:val="auto"/>
          <w:sz w:val="32"/>
          <w:szCs w:val="32"/>
        </w:rPr>
        <w:t>补遗文件</w:t>
      </w:r>
    </w:p>
    <w:p w14:paraId="5628F2C4">
      <w:pPr>
        <w:spacing w:line="500" w:lineRule="exact"/>
        <w:jc w:val="both"/>
        <w:outlineLvl w:val="0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eastAsia="zh-CN"/>
        </w:rPr>
        <w:t>项目名称：黔江区公安局一线执法执勤制式警车内部可视化建设</w:t>
      </w:r>
    </w:p>
    <w:p w14:paraId="69AC84E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各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eastAsia="zh-CN"/>
        </w:rPr>
        <w:t>潜在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供应商：</w:t>
      </w:r>
    </w:p>
    <w:p w14:paraId="0229C31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firstLine="480" w:firstLineChars="200"/>
        <w:textAlignment w:val="auto"/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重庆复林招标代理有限公司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于20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25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日发布的“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  <w:lang w:eastAsia="zh-CN"/>
        </w:rPr>
        <w:t>黔江区公安局一线执法执勤制式警车内部可视化建设</w:t>
      </w:r>
      <w:r>
        <w:rPr>
          <w:rFonts w:hint="eastAsia" w:ascii="微软雅黑" w:hAnsi="微软雅黑" w:eastAsia="微软雅黑" w:cs="微软雅黑"/>
          <w:color w:val="auto"/>
          <w:kern w:val="0"/>
          <w:sz w:val="24"/>
          <w:szCs w:val="24"/>
        </w:rPr>
        <w:t>”项目采购文件内容作出如下修正、补充和说明：</w:t>
      </w:r>
    </w:p>
    <w:tbl>
      <w:tblPr>
        <w:tblStyle w:val="16"/>
        <w:tblW w:w="10319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368"/>
        <w:gridCol w:w="3933"/>
        <w:gridCol w:w="4199"/>
      </w:tblGrid>
      <w:tr w14:paraId="15FD5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" w:hRule="atLeast"/>
        </w:trPr>
        <w:tc>
          <w:tcPr>
            <w:tcW w:w="2187" w:type="dxa"/>
            <w:gridSpan w:val="2"/>
            <w:vAlign w:val="center"/>
          </w:tcPr>
          <w:p w14:paraId="12234E9F"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kern w:val="0"/>
                <w:sz w:val="22"/>
                <w:szCs w:val="22"/>
              </w:rPr>
              <w:t>页码</w:t>
            </w:r>
          </w:p>
        </w:tc>
        <w:tc>
          <w:tcPr>
            <w:tcW w:w="3933" w:type="dxa"/>
            <w:vAlign w:val="center"/>
          </w:tcPr>
          <w:p w14:paraId="52308FAE"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</w:rPr>
              <w:t>采购文件原内容</w:t>
            </w:r>
          </w:p>
        </w:tc>
        <w:tc>
          <w:tcPr>
            <w:tcW w:w="4199" w:type="dxa"/>
            <w:vAlign w:val="center"/>
          </w:tcPr>
          <w:p w14:paraId="042A1EE8"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</w:rPr>
            </w:pPr>
            <w:r>
              <w:rPr>
                <w:rFonts w:hint="eastAsia" w:ascii="微软雅黑" w:hAnsi="微软雅黑" w:eastAsia="微软雅黑" w:cs="微软雅黑"/>
                <w:b/>
                <w:color w:val="auto"/>
                <w:sz w:val="22"/>
                <w:szCs w:val="22"/>
              </w:rPr>
              <w:t>修改后内容</w:t>
            </w:r>
          </w:p>
        </w:tc>
      </w:tr>
      <w:tr w14:paraId="3C03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819" w:type="dxa"/>
            <w:vAlign w:val="center"/>
          </w:tcPr>
          <w:p w14:paraId="551830C0"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auto"/>
              <w:outlineLvl w:val="0"/>
              <w:rPr>
                <w:rFonts w:hint="eastAsia" w:ascii="微软雅黑" w:hAnsi="微软雅黑" w:eastAsia="微软雅黑" w:cs="微软雅黑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</w:rPr>
              <w:t>页码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</w:rPr>
              <w:t>P</w:t>
            </w:r>
            <w:r>
              <w:rPr>
                <w:rFonts w:hint="eastAsia" w:ascii="微软雅黑" w:hAnsi="微软雅黑" w:eastAsia="微软雅黑" w:cs="微软雅黑"/>
                <w:color w:val="auto"/>
                <w:sz w:val="21"/>
                <w:szCs w:val="21"/>
                <w:lang w:val="en-US" w:eastAsia="zh-CN"/>
              </w:rPr>
              <w:t>3-p4</w:t>
            </w:r>
          </w:p>
          <w:p w14:paraId="29864F33">
            <w:pPr>
              <w:pStyle w:val="9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ind w:left="0"/>
              <w:jc w:val="center"/>
              <w:textAlignment w:val="auto"/>
              <w:outlineLvl w:val="0"/>
              <w:rPr>
                <w:rFonts w:hint="default" w:ascii="微软雅黑" w:hAnsi="微软雅黑" w:eastAsia="微软雅黑" w:cs="微软雅黑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368" w:type="dxa"/>
            <w:vAlign w:val="center"/>
          </w:tcPr>
          <w:p w14:paraId="50080581"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bookmarkStart w:id="0" w:name="_Toc12789052"/>
            <w:bookmarkStart w:id="1" w:name="_Toc11641050"/>
            <w:bookmarkStart w:id="2" w:name="_Toc76462316"/>
            <w:bookmarkStart w:id="3" w:name="_Toc16254"/>
            <w:bookmarkStart w:id="4" w:name="_Toc4770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-SA"/>
              </w:rPr>
              <w:t>第一篇  竞争性谈判邀请书</w:t>
            </w:r>
            <w:bookmarkEnd w:id="0"/>
            <w:bookmarkEnd w:id="1"/>
            <w:bookmarkEnd w:id="2"/>
            <w:bookmarkEnd w:id="3"/>
          </w:p>
          <w:bookmarkEnd w:id="4"/>
          <w:p w14:paraId="2132709A"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  <w:bookmarkStart w:id="5" w:name="_Toc16145"/>
            <w:bookmarkStart w:id="6" w:name="_Toc24124"/>
            <w:bookmarkStart w:id="7" w:name="_Toc9632"/>
            <w:bookmarkStart w:id="8" w:name="_Toc12379"/>
            <w:bookmarkStart w:id="9" w:name="_Toc65682895"/>
            <w:bookmarkStart w:id="10" w:name="_Toc13251"/>
            <w:bookmarkStart w:id="11" w:name="_Toc12585"/>
            <w:bookmarkStart w:id="12" w:name="_Toc19822"/>
            <w:bookmarkStart w:id="13" w:name="_Toc10716"/>
            <w:bookmarkStart w:id="14" w:name="_Toc19767"/>
            <w:bookmarkStart w:id="15" w:name="_Toc25397"/>
            <w:bookmarkStart w:id="16" w:name="_Toc28150"/>
            <w:r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-SA"/>
              </w:rPr>
              <w:t>四、谈判有关说明</w:t>
            </w:r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  <w:bookmarkEnd w:id="15"/>
            <w:bookmarkEnd w:id="16"/>
          </w:p>
          <w:p w14:paraId="4766468A">
            <w:pPr>
              <w:pStyle w:val="5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uto"/>
              <w:jc w:val="center"/>
              <w:rPr>
                <w:rFonts w:hint="eastAsia" w:ascii="微软雅黑" w:hAnsi="微软雅黑" w:eastAsia="微软雅黑" w:cs="微软雅黑"/>
                <w:color w:val="auto"/>
                <w:sz w:val="22"/>
                <w:szCs w:val="22"/>
                <w:lang w:eastAsia="zh-CN"/>
              </w:rPr>
            </w:pPr>
            <w:bookmarkStart w:id="17" w:name="_GoBack"/>
            <w:bookmarkEnd w:id="17"/>
          </w:p>
        </w:tc>
        <w:tc>
          <w:tcPr>
            <w:tcW w:w="3933" w:type="dxa"/>
            <w:vAlign w:val="center"/>
          </w:tcPr>
          <w:p w14:paraId="155AB8C3"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）获取竞争性谈判文件期限：</w:t>
            </w:r>
          </w:p>
          <w:p w14:paraId="0D996A03"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1.报名和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谈判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文件发售期：20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日-20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日17:00（工作时间）。</w:t>
            </w:r>
          </w:p>
          <w:p w14:paraId="7E913167">
            <w:pPr>
              <w:pStyle w:val="10"/>
              <w:spacing w:line="40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（六）提交响应文件截止时间：20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日北京时间1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  <w:p w14:paraId="57A8B6F6">
            <w:pPr>
              <w:pStyle w:val="10"/>
              <w:spacing w:line="40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（七）谈判开始时间：202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日北京时间1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  <w:p w14:paraId="3FC11E41">
            <w:pPr>
              <w:spacing w:line="400" w:lineRule="exact"/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4199" w:type="dxa"/>
            <w:vAlign w:val="center"/>
          </w:tcPr>
          <w:p w14:paraId="4A00BEF8">
            <w:pPr>
              <w:spacing w:line="400" w:lineRule="exac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）获取竞争性谈判文件期限：</w:t>
            </w:r>
          </w:p>
          <w:p w14:paraId="4E791215">
            <w:pPr>
              <w:spacing w:line="40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1.报名和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eastAsia="zh-CN"/>
              </w:rPr>
              <w:t>谈判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文件发售期：20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日-20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日17:00（工作时间）。</w:t>
            </w:r>
          </w:p>
          <w:p w14:paraId="22F791C2">
            <w:pPr>
              <w:pStyle w:val="10"/>
              <w:spacing w:line="40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（六）提交响应文件截止时间：20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日北京时间1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  <w:p w14:paraId="3B9587A9">
            <w:pPr>
              <w:pStyle w:val="10"/>
              <w:spacing w:line="400" w:lineRule="exact"/>
              <w:ind w:firstLine="480" w:firstLineChars="200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（七）谈判开始时间：202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年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月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日北京时间1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: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</w:rPr>
              <w:t>0</w:t>
            </w:r>
          </w:p>
          <w:p w14:paraId="502C34F0">
            <w:pPr>
              <w:spacing w:line="400" w:lineRule="exact"/>
              <w:rPr>
                <w:rFonts w:hint="eastAsia" w:ascii="微软雅黑" w:hAnsi="微软雅黑" w:eastAsia="微软雅黑" w:cs="微软雅黑"/>
                <w:color w:val="auto"/>
                <w:kern w:val="0"/>
                <w:sz w:val="22"/>
                <w:szCs w:val="22"/>
                <w:lang w:val="en-US" w:eastAsia="zh-CN" w:bidi="ar-SA"/>
              </w:rPr>
            </w:pPr>
          </w:p>
        </w:tc>
      </w:tr>
    </w:tbl>
    <w:p w14:paraId="0AF63FA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right"/>
        <w:textAlignment w:val="auto"/>
        <w:outlineLvl w:val="0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 w14:paraId="3EFDF93F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jc w:val="right"/>
        <w:textAlignment w:val="auto"/>
        <w:outlineLvl w:val="0"/>
        <w:rPr>
          <w:rFonts w:hint="eastAsia" w:ascii="微软雅黑" w:hAnsi="微软雅黑" w:eastAsia="微软雅黑" w:cs="微软雅黑"/>
          <w:color w:val="auto"/>
          <w:sz w:val="24"/>
          <w:szCs w:val="24"/>
        </w:rPr>
      </w:pPr>
    </w:p>
    <w:p w14:paraId="53DBBE6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440" w:firstLineChars="1850"/>
        <w:jc w:val="right"/>
        <w:textAlignment w:val="auto"/>
        <w:outlineLvl w:val="0"/>
        <w:rPr>
          <w:rFonts w:hint="eastAsia" w:ascii="微软雅黑" w:hAnsi="微软雅黑" w:eastAsia="微软雅黑" w:cs="微软雅黑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sz w:val="24"/>
          <w:szCs w:val="24"/>
          <w:lang w:eastAsia="zh-CN"/>
        </w:rPr>
        <w:t>重庆复林招标代理有限公司</w:t>
      </w:r>
    </w:p>
    <w:p w14:paraId="1CF4829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ind w:firstLine="4440" w:firstLineChars="1850"/>
        <w:jc w:val="right"/>
        <w:textAlignment w:val="auto"/>
        <w:outlineLvl w:val="0"/>
        <w:rPr>
          <w:rFonts w:hint="eastAsia" w:ascii="微软雅黑" w:hAnsi="微软雅黑" w:eastAsia="微软雅黑" w:cs="微软雅黑"/>
          <w:color w:val="auto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2025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年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月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  <w:lang w:val="en-US" w:eastAsia="zh-CN"/>
        </w:rPr>
        <w:t>27</w:t>
      </w:r>
      <w:r>
        <w:rPr>
          <w:rFonts w:hint="eastAsia" w:ascii="微软雅黑" w:hAnsi="微软雅黑" w:eastAsia="微软雅黑" w:cs="微软雅黑"/>
          <w:color w:val="auto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PMingLiU">
    <w:altName w:val="Microsoft JhengHei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6C83AD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9FFC3">
                          <w:pPr>
                            <w:pStyle w:val="1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D9FFC3">
                    <w:pPr>
                      <w:pStyle w:val="1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k5ZmQxY2E5NzMxNTczOGEzYzNlNTUyOTQ5YjAzMmMifQ=="/>
  </w:docVars>
  <w:rsids>
    <w:rsidRoot w:val="434D4E57"/>
    <w:rsid w:val="00035B83"/>
    <w:rsid w:val="00073D9D"/>
    <w:rsid w:val="000835C9"/>
    <w:rsid w:val="000840BD"/>
    <w:rsid w:val="00084679"/>
    <w:rsid w:val="000A1FCB"/>
    <w:rsid w:val="000A3AB9"/>
    <w:rsid w:val="000B4DF3"/>
    <w:rsid w:val="000B690B"/>
    <w:rsid w:val="000D1851"/>
    <w:rsid w:val="000F7D6E"/>
    <w:rsid w:val="00106E68"/>
    <w:rsid w:val="00153FB0"/>
    <w:rsid w:val="001C4A82"/>
    <w:rsid w:val="001C716A"/>
    <w:rsid w:val="001C7280"/>
    <w:rsid w:val="001C7923"/>
    <w:rsid w:val="001D2DB7"/>
    <w:rsid w:val="001E39C4"/>
    <w:rsid w:val="002218C8"/>
    <w:rsid w:val="002252E3"/>
    <w:rsid w:val="00234ED4"/>
    <w:rsid w:val="002401B4"/>
    <w:rsid w:val="00240C39"/>
    <w:rsid w:val="002511A5"/>
    <w:rsid w:val="002513C3"/>
    <w:rsid w:val="002638F0"/>
    <w:rsid w:val="00293416"/>
    <w:rsid w:val="002B7BFA"/>
    <w:rsid w:val="002C1EF8"/>
    <w:rsid w:val="002C283D"/>
    <w:rsid w:val="00313C7D"/>
    <w:rsid w:val="0035385F"/>
    <w:rsid w:val="0036197D"/>
    <w:rsid w:val="00366D0B"/>
    <w:rsid w:val="00381C73"/>
    <w:rsid w:val="00393938"/>
    <w:rsid w:val="003B0E97"/>
    <w:rsid w:val="003C1B52"/>
    <w:rsid w:val="003C4AE9"/>
    <w:rsid w:val="0044309F"/>
    <w:rsid w:val="0045201C"/>
    <w:rsid w:val="00452CEF"/>
    <w:rsid w:val="00453011"/>
    <w:rsid w:val="004561E2"/>
    <w:rsid w:val="00470F17"/>
    <w:rsid w:val="00471B10"/>
    <w:rsid w:val="00474758"/>
    <w:rsid w:val="00481374"/>
    <w:rsid w:val="004819A3"/>
    <w:rsid w:val="00481DCB"/>
    <w:rsid w:val="004820E2"/>
    <w:rsid w:val="004D629F"/>
    <w:rsid w:val="004F40F1"/>
    <w:rsid w:val="005256E3"/>
    <w:rsid w:val="00530C85"/>
    <w:rsid w:val="005352A9"/>
    <w:rsid w:val="00584CD6"/>
    <w:rsid w:val="00591339"/>
    <w:rsid w:val="005B2BF0"/>
    <w:rsid w:val="005E2F24"/>
    <w:rsid w:val="005F1D7F"/>
    <w:rsid w:val="00606BAC"/>
    <w:rsid w:val="0061573A"/>
    <w:rsid w:val="00616F4E"/>
    <w:rsid w:val="00627F22"/>
    <w:rsid w:val="00630319"/>
    <w:rsid w:val="00653262"/>
    <w:rsid w:val="006742B2"/>
    <w:rsid w:val="00680581"/>
    <w:rsid w:val="00683426"/>
    <w:rsid w:val="006C3F98"/>
    <w:rsid w:val="006D3DDA"/>
    <w:rsid w:val="006F7A92"/>
    <w:rsid w:val="00723205"/>
    <w:rsid w:val="007611C0"/>
    <w:rsid w:val="007B7960"/>
    <w:rsid w:val="007F7351"/>
    <w:rsid w:val="00800867"/>
    <w:rsid w:val="00814A9F"/>
    <w:rsid w:val="00831026"/>
    <w:rsid w:val="0085683D"/>
    <w:rsid w:val="0087740C"/>
    <w:rsid w:val="008F25BA"/>
    <w:rsid w:val="00903972"/>
    <w:rsid w:val="00917E87"/>
    <w:rsid w:val="00937D1C"/>
    <w:rsid w:val="009414B2"/>
    <w:rsid w:val="00945426"/>
    <w:rsid w:val="00945B6B"/>
    <w:rsid w:val="00954703"/>
    <w:rsid w:val="00976AFB"/>
    <w:rsid w:val="00996BAE"/>
    <w:rsid w:val="00A037E5"/>
    <w:rsid w:val="00A167A1"/>
    <w:rsid w:val="00A50873"/>
    <w:rsid w:val="00A757B0"/>
    <w:rsid w:val="00A82B28"/>
    <w:rsid w:val="00A86E58"/>
    <w:rsid w:val="00AA2EB2"/>
    <w:rsid w:val="00AB1D1B"/>
    <w:rsid w:val="00AE1C50"/>
    <w:rsid w:val="00B376C5"/>
    <w:rsid w:val="00B47AE1"/>
    <w:rsid w:val="00B51810"/>
    <w:rsid w:val="00B751B6"/>
    <w:rsid w:val="00BB57B5"/>
    <w:rsid w:val="00C17D49"/>
    <w:rsid w:val="00C17F93"/>
    <w:rsid w:val="00C2786E"/>
    <w:rsid w:val="00C52C04"/>
    <w:rsid w:val="00C545BA"/>
    <w:rsid w:val="00C62C26"/>
    <w:rsid w:val="00C80D27"/>
    <w:rsid w:val="00C961CF"/>
    <w:rsid w:val="00CA36CE"/>
    <w:rsid w:val="00CD39D2"/>
    <w:rsid w:val="00CD577B"/>
    <w:rsid w:val="00CF7C06"/>
    <w:rsid w:val="00D23CA7"/>
    <w:rsid w:val="00D860E2"/>
    <w:rsid w:val="00DA5F38"/>
    <w:rsid w:val="00DA7034"/>
    <w:rsid w:val="00DB0005"/>
    <w:rsid w:val="00DB2F57"/>
    <w:rsid w:val="00DB4A63"/>
    <w:rsid w:val="00DC06A5"/>
    <w:rsid w:val="00DC34D4"/>
    <w:rsid w:val="00DE76ED"/>
    <w:rsid w:val="00DF2C1F"/>
    <w:rsid w:val="00E01605"/>
    <w:rsid w:val="00E05127"/>
    <w:rsid w:val="00E1235D"/>
    <w:rsid w:val="00E338E3"/>
    <w:rsid w:val="00E54212"/>
    <w:rsid w:val="00E65713"/>
    <w:rsid w:val="00EB1343"/>
    <w:rsid w:val="00ED2804"/>
    <w:rsid w:val="00F223ED"/>
    <w:rsid w:val="00F347A9"/>
    <w:rsid w:val="00F4383A"/>
    <w:rsid w:val="00F96D66"/>
    <w:rsid w:val="00FB21BF"/>
    <w:rsid w:val="00FE03CF"/>
    <w:rsid w:val="00FF070D"/>
    <w:rsid w:val="01862F71"/>
    <w:rsid w:val="04A2654E"/>
    <w:rsid w:val="05E956BD"/>
    <w:rsid w:val="079678F5"/>
    <w:rsid w:val="09044C47"/>
    <w:rsid w:val="0922264C"/>
    <w:rsid w:val="113D5DCD"/>
    <w:rsid w:val="15B62E01"/>
    <w:rsid w:val="1D6A273A"/>
    <w:rsid w:val="24FB4FDE"/>
    <w:rsid w:val="254056E2"/>
    <w:rsid w:val="2A052BB0"/>
    <w:rsid w:val="2BE07406"/>
    <w:rsid w:val="2F372B67"/>
    <w:rsid w:val="30A440FC"/>
    <w:rsid w:val="33483718"/>
    <w:rsid w:val="33A93BC4"/>
    <w:rsid w:val="35727BC7"/>
    <w:rsid w:val="38EF19B1"/>
    <w:rsid w:val="3ABA32B6"/>
    <w:rsid w:val="3B2054FC"/>
    <w:rsid w:val="422550ED"/>
    <w:rsid w:val="42BB7777"/>
    <w:rsid w:val="434D4E57"/>
    <w:rsid w:val="442E12DF"/>
    <w:rsid w:val="44BE673D"/>
    <w:rsid w:val="468871E6"/>
    <w:rsid w:val="46F6095F"/>
    <w:rsid w:val="47A91CBF"/>
    <w:rsid w:val="4AE4098D"/>
    <w:rsid w:val="4E2B5867"/>
    <w:rsid w:val="4EC9623C"/>
    <w:rsid w:val="4EF75F31"/>
    <w:rsid w:val="525D577B"/>
    <w:rsid w:val="537414BD"/>
    <w:rsid w:val="549F2D06"/>
    <w:rsid w:val="57D8184E"/>
    <w:rsid w:val="57F513FE"/>
    <w:rsid w:val="5A43707A"/>
    <w:rsid w:val="5DAE3618"/>
    <w:rsid w:val="60D7284E"/>
    <w:rsid w:val="65D00F3A"/>
    <w:rsid w:val="66DD6D5D"/>
    <w:rsid w:val="6E142450"/>
    <w:rsid w:val="731D2A6E"/>
    <w:rsid w:val="780C7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0" w:semiHidden="0" w:name="heading 2" w:locked="1"/>
    <w:lsdException w:qFormat="1" w:unhideWhenUsed="0" w:uiPriority="0" w:semiHidden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qFormat="1" w:unhideWhenUsed="0" w:uiPriority="0" w:semiHidden="0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paragraph" w:styleId="4">
    <w:name w:val="heading 1"/>
    <w:basedOn w:val="1"/>
    <w:next w:val="1"/>
    <w:qFormat/>
    <w:locked/>
    <w:uiPriority w:val="0"/>
    <w:pPr>
      <w:keepNext/>
      <w:tabs>
        <w:tab w:val="left" w:pos="3360"/>
      </w:tabs>
      <w:snapToGrid w:val="0"/>
      <w:spacing w:before="312" w:beforeLines="100" w:beforeAutospacing="0" w:after="156" w:afterLines="50" w:afterAutospacing="0" w:line="800" w:lineRule="atLeast"/>
      <w:jc w:val="center"/>
      <w:outlineLvl w:val="0"/>
    </w:pPr>
    <w:rPr>
      <w:rFonts w:eastAsia="黑体"/>
      <w:sz w:val="44"/>
    </w:rPr>
  </w:style>
  <w:style w:type="paragraph" w:styleId="5">
    <w:name w:val="heading 2"/>
    <w:basedOn w:val="1"/>
    <w:next w:val="1"/>
    <w:link w:val="23"/>
    <w:qFormat/>
    <w:locked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  <w:szCs w:val="20"/>
    </w:rPr>
  </w:style>
  <w:style w:type="paragraph" w:styleId="6">
    <w:name w:val="heading 3"/>
    <w:basedOn w:val="1"/>
    <w:next w:val="1"/>
    <w:qFormat/>
    <w:locked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8">
    <w:name w:val="Default Paragraph Font"/>
    <w:unhideWhenUsed/>
    <w:qFormat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"/>
    <w:basedOn w:val="1"/>
    <w:next w:val="3"/>
    <w:qFormat/>
    <w:uiPriority w:val="0"/>
    <w:pPr>
      <w:jc w:val="both"/>
      <w:textAlignment w:val="baseline"/>
    </w:pPr>
    <w:rPr>
      <w:rFonts w:ascii="仿宋_GB2312" w:eastAsia="仿宋_GB2312"/>
      <w:kern w:val="2"/>
      <w:sz w:val="32"/>
      <w:lang w:val="en-US" w:eastAsia="zh-CN" w:bidi="ar-SA"/>
    </w:rPr>
  </w:style>
  <w:style w:type="paragraph" w:customStyle="1" w:styleId="3">
    <w:name w:val="BodyTextIndent"/>
    <w:basedOn w:val="1"/>
    <w:qFormat/>
    <w:uiPriority w:val="0"/>
    <w:pPr>
      <w:spacing w:line="700" w:lineRule="exact"/>
      <w:ind w:left="960"/>
      <w:jc w:val="both"/>
      <w:textAlignment w:val="baseline"/>
    </w:pPr>
    <w:rPr>
      <w:rFonts w:ascii="Times New Roman" w:hAnsi="Times New Roman"/>
      <w:kern w:val="2"/>
      <w:sz w:val="44"/>
      <w:lang w:val="en-US" w:eastAsia="zh-CN" w:bidi="ar-SA"/>
    </w:rPr>
  </w:style>
  <w:style w:type="paragraph" w:styleId="7">
    <w:name w:val="annotation text"/>
    <w:basedOn w:val="1"/>
    <w:qFormat/>
    <w:uiPriority w:val="0"/>
    <w:pPr>
      <w:widowControl/>
      <w:tabs>
        <w:tab w:val="left" w:pos="1134"/>
      </w:tabs>
      <w:adjustRightInd w:val="0"/>
      <w:snapToGrid w:val="0"/>
      <w:spacing w:line="280" w:lineRule="atLeast"/>
      <w:jc w:val="left"/>
    </w:pPr>
    <w:rPr>
      <w:rFonts w:eastAsia="PMingLiU"/>
      <w:kern w:val="0"/>
      <w:sz w:val="24"/>
      <w:lang w:eastAsia="zh-TW"/>
    </w:rPr>
  </w:style>
  <w:style w:type="paragraph" w:styleId="8">
    <w:name w:val="Body Text"/>
    <w:basedOn w:val="1"/>
    <w:next w:val="1"/>
    <w:qFormat/>
    <w:uiPriority w:val="0"/>
    <w:rPr>
      <w:rFonts w:ascii="仿宋_GB2312" w:eastAsia="仿宋_GB2312"/>
      <w:sz w:val="32"/>
    </w:rPr>
  </w:style>
  <w:style w:type="paragraph" w:styleId="9">
    <w:name w:val="Body Text Indent"/>
    <w:basedOn w:val="1"/>
    <w:link w:val="25"/>
    <w:qFormat/>
    <w:uiPriority w:val="99"/>
    <w:pPr>
      <w:spacing w:line="700" w:lineRule="exact"/>
      <w:ind w:left="960"/>
    </w:pPr>
    <w:rPr>
      <w:sz w:val="44"/>
    </w:rPr>
  </w:style>
  <w:style w:type="paragraph" w:styleId="10">
    <w:name w:val="Body Text Indent 2"/>
    <w:basedOn w:val="1"/>
    <w:qFormat/>
    <w:uiPriority w:val="0"/>
    <w:pPr>
      <w:snapToGrid w:val="0"/>
      <w:spacing w:line="560" w:lineRule="atLeast"/>
      <w:ind w:firstLine="540"/>
    </w:pPr>
  </w:style>
  <w:style w:type="paragraph" w:styleId="11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12">
    <w:name w:val="footer"/>
    <w:basedOn w:val="1"/>
    <w:link w:val="24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2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5">
    <w:name w:val="Body Text First Indent"/>
    <w:basedOn w:val="8"/>
    <w:qFormat/>
    <w:uiPriority w:val="0"/>
    <w:pPr>
      <w:spacing w:line="360" w:lineRule="auto"/>
      <w:ind w:firstLine="420"/>
    </w:pPr>
    <w:rPr>
      <w:rFonts w:ascii="宋体" w:hAnsi="宋体"/>
      <w:sz w:val="24"/>
    </w:rPr>
  </w:style>
  <w:style w:type="table" w:styleId="17">
    <w:name w:val="Table Grid"/>
    <w:basedOn w:val="1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Strong"/>
    <w:basedOn w:val="18"/>
    <w:qFormat/>
    <w:locked/>
    <w:uiPriority w:val="22"/>
    <w:rPr>
      <w:b/>
    </w:rPr>
  </w:style>
  <w:style w:type="character" w:styleId="20">
    <w:name w:val="page number"/>
    <w:basedOn w:val="18"/>
    <w:unhideWhenUsed/>
    <w:qFormat/>
    <w:uiPriority w:val="99"/>
  </w:style>
  <w:style w:type="character" w:styleId="21">
    <w:name w:val="Hyperlink"/>
    <w:basedOn w:val="18"/>
    <w:semiHidden/>
    <w:unhideWhenUsed/>
    <w:qFormat/>
    <w:uiPriority w:val="99"/>
    <w:rPr>
      <w:color w:val="333333"/>
      <w:u w:val="none"/>
    </w:rPr>
  </w:style>
  <w:style w:type="character" w:customStyle="1" w:styleId="22">
    <w:name w:val="批注框文本 字符"/>
    <w:basedOn w:val="18"/>
    <w:link w:val="11"/>
    <w:semiHidden/>
    <w:qFormat/>
    <w:uiPriority w:val="99"/>
    <w:rPr>
      <w:kern w:val="2"/>
      <w:sz w:val="18"/>
      <w:szCs w:val="18"/>
    </w:rPr>
  </w:style>
  <w:style w:type="character" w:customStyle="1" w:styleId="23">
    <w:name w:val="标题 2 字符"/>
    <w:basedOn w:val="18"/>
    <w:link w:val="5"/>
    <w:qFormat/>
    <w:uiPriority w:val="0"/>
    <w:rPr>
      <w:rFonts w:ascii="宋体" w:hAnsi="宋体"/>
      <w:kern w:val="2"/>
      <w:sz w:val="28"/>
    </w:rPr>
  </w:style>
  <w:style w:type="character" w:customStyle="1" w:styleId="24">
    <w:name w:val="页脚 字符"/>
    <w:basedOn w:val="18"/>
    <w:link w:val="1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5">
    <w:name w:val="正文文本缩进 字符"/>
    <w:basedOn w:val="18"/>
    <w:link w:val="9"/>
    <w:qFormat/>
    <w:locked/>
    <w:uiPriority w:val="99"/>
    <w:rPr>
      <w:rFonts w:cs="Times New Roman"/>
      <w:sz w:val="28"/>
    </w:rPr>
  </w:style>
  <w:style w:type="character" w:customStyle="1" w:styleId="26">
    <w:name w:val="页眉 字符"/>
    <w:basedOn w:val="18"/>
    <w:link w:val="1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27">
    <w:name w:val=" Char Char7"/>
    <w:qFormat/>
    <w:uiPriority w:val="0"/>
    <w:rPr>
      <w:rFonts w:ascii="宋体" w:hAnsi="宋体" w:eastAsia="宋体"/>
      <w:kern w:val="2"/>
      <w:sz w:val="28"/>
    </w:rPr>
  </w:style>
  <w:style w:type="paragraph" w:customStyle="1" w:styleId="28">
    <w:name w:val="图例"/>
    <w:basedOn w:val="1"/>
    <w:qFormat/>
    <w:uiPriority w:val="0"/>
    <w:pPr>
      <w:spacing w:before="120" w:after="120" w:line="360" w:lineRule="auto"/>
      <w:jc w:val="center"/>
    </w:pPr>
    <w:rPr>
      <w:rFonts w:eastAsia="仿宋_GB2312"/>
      <w:b/>
      <w:sz w:val="24"/>
      <w:szCs w:val="20"/>
    </w:rPr>
  </w:style>
  <w:style w:type="paragraph" w:styleId="2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263</Words>
  <Characters>320</Characters>
  <Lines>16</Lines>
  <Paragraphs>4</Paragraphs>
  <TotalTime>0</TotalTime>
  <ScaleCrop>false</ScaleCrop>
  <LinksUpToDate>false</LinksUpToDate>
  <CharactersWithSpaces>332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2019-02-16T12:24:00Z</dcterms:created>
  <dc:creator>Administrator</dc:creator>
  <cp:lastModifiedBy>代理</cp:lastModifiedBy>
  <cp:lastPrinted>2018-05-08T03:08:00Z</cp:lastPrinted>
  <dcterms:modified xsi:type="dcterms:W3CDTF">2025-10-27T09:50:54Z</dcterms:modified>
  <dc:title>重庆市计量质量检测研究院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063FD1A6D27A4009818D3E28CEE8CE11</vt:lpwstr>
  </property>
</Properties>
</file>