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5FBF">
      <w:pPr>
        <w:jc w:val="center"/>
        <w:outlineLvl w:val="0"/>
        <w:rPr>
          <w:rFonts w:hint="default" w:ascii="仿宋" w:hAnsi="仿宋" w:eastAsia="仿宋" w:cs="仿宋"/>
          <w:spacing w:val="80"/>
          <w:sz w:val="144"/>
          <w:szCs w:val="144"/>
          <w:lang w:val="en-US" w:eastAsia="zh-CN"/>
        </w:rPr>
      </w:pPr>
      <w:r>
        <w:rPr>
          <w:rFonts w:hint="eastAsia" w:ascii="仿宋" w:hAnsi="仿宋" w:eastAsia="仿宋" w:cs="仿宋"/>
          <w:spacing w:val="80"/>
          <w:sz w:val="144"/>
          <w:szCs w:val="144"/>
          <w:lang w:val="en-US" w:eastAsia="zh-CN"/>
        </w:rPr>
        <w:t>询价通知书</w:t>
      </w:r>
    </w:p>
    <w:p w14:paraId="572476BF">
      <w:pPr>
        <w:spacing w:line="700" w:lineRule="exact"/>
        <w:ind w:left="3152" w:leftChars="557" w:hanging="1982" w:hangingChars="708"/>
        <w:rPr>
          <w:rFonts w:hint="eastAsia" w:ascii="仿宋" w:hAnsi="仿宋" w:eastAsia="仿宋" w:cs="仿宋"/>
          <w:sz w:val="28"/>
          <w:szCs w:val="28"/>
        </w:rPr>
      </w:pPr>
    </w:p>
    <w:p w14:paraId="34B87738">
      <w:pPr>
        <w:spacing w:line="700" w:lineRule="exact"/>
        <w:ind w:left="3152" w:leftChars="557" w:hanging="1982" w:hangingChars="708"/>
        <w:rPr>
          <w:rFonts w:hint="eastAsia" w:ascii="仿宋" w:hAnsi="仿宋" w:eastAsia="仿宋" w:cs="仿宋"/>
          <w:sz w:val="28"/>
          <w:szCs w:val="28"/>
        </w:rPr>
      </w:pPr>
    </w:p>
    <w:p w14:paraId="59607DE4">
      <w:pPr>
        <w:spacing w:line="700" w:lineRule="exact"/>
        <w:ind w:left="3152" w:leftChars="557" w:hanging="1982" w:hangingChars="708"/>
        <w:rPr>
          <w:rFonts w:hint="eastAsia" w:ascii="仿宋" w:hAnsi="仿宋" w:eastAsia="仿宋" w:cs="仿宋"/>
          <w:sz w:val="28"/>
          <w:szCs w:val="28"/>
        </w:rPr>
      </w:pPr>
    </w:p>
    <w:p w14:paraId="06266B97">
      <w:pPr>
        <w:spacing w:line="700" w:lineRule="exact"/>
        <w:ind w:left="3152" w:leftChars="557" w:hanging="1982" w:hangingChars="708"/>
        <w:rPr>
          <w:rFonts w:hint="eastAsia" w:ascii="仿宋" w:hAnsi="仿宋" w:eastAsia="仿宋" w:cs="仿宋"/>
          <w:sz w:val="28"/>
          <w:szCs w:val="28"/>
        </w:rPr>
      </w:pPr>
    </w:p>
    <w:p w14:paraId="558B7FCA">
      <w:pPr>
        <w:spacing w:line="360" w:lineRule="auto"/>
        <w:ind w:left="3435" w:leftChars="557" w:hanging="2265" w:hangingChars="708"/>
        <w:jc w:val="left"/>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 xml:space="preserve">灭鼠灭蟑有害生物防制  </w:t>
      </w:r>
    </w:p>
    <w:p w14:paraId="20108D25">
      <w:pPr>
        <w:spacing w:line="360" w:lineRule="auto"/>
        <w:ind w:left="3435" w:leftChars="557" w:hanging="2265" w:hangingChars="708"/>
        <w:rPr>
          <w:rFonts w:hint="eastAsia" w:ascii="仿宋" w:hAnsi="仿宋" w:eastAsia="仿宋" w:cs="仿宋"/>
          <w:sz w:val="32"/>
          <w:szCs w:val="32"/>
        </w:rPr>
      </w:pPr>
    </w:p>
    <w:p w14:paraId="1E4A3695">
      <w:pPr>
        <w:spacing w:line="360" w:lineRule="auto"/>
        <w:ind w:left="3435" w:leftChars="557" w:hanging="2265" w:hangingChars="708"/>
        <w:rPr>
          <w:rFonts w:hint="eastAsia" w:ascii="仿宋" w:hAnsi="仿宋" w:eastAsia="仿宋" w:cs="仿宋"/>
          <w:sz w:val="32"/>
          <w:szCs w:val="32"/>
        </w:rPr>
      </w:pPr>
      <w:r>
        <w:rPr>
          <w:rFonts w:hint="eastAsia" w:ascii="仿宋" w:hAnsi="仿宋" w:eastAsia="仿宋" w:cs="仿宋"/>
          <w:sz w:val="32"/>
          <w:szCs w:val="32"/>
        </w:rPr>
        <w:t>采购单位： 重庆市农业学校</w:t>
      </w:r>
    </w:p>
    <w:p w14:paraId="234BE7BA">
      <w:pPr>
        <w:spacing w:line="700" w:lineRule="exact"/>
        <w:ind w:left="3435" w:leftChars="557" w:hanging="2265" w:hangingChars="708"/>
        <w:rPr>
          <w:rFonts w:hint="eastAsia" w:ascii="仿宋" w:hAnsi="仿宋" w:eastAsia="仿宋" w:cs="仿宋"/>
          <w:sz w:val="32"/>
          <w:szCs w:val="32"/>
        </w:rPr>
      </w:pPr>
    </w:p>
    <w:p w14:paraId="2B79C227">
      <w:pPr>
        <w:spacing w:line="700" w:lineRule="exact"/>
        <w:ind w:left="3435" w:leftChars="557" w:hanging="2265" w:hangingChars="708"/>
        <w:rPr>
          <w:rFonts w:hint="eastAsia" w:ascii="仿宋" w:hAnsi="仿宋" w:eastAsia="仿宋" w:cs="仿宋"/>
          <w:sz w:val="32"/>
          <w:szCs w:val="32"/>
        </w:rPr>
      </w:pPr>
    </w:p>
    <w:p w14:paraId="4A858F15">
      <w:pPr>
        <w:spacing w:line="700" w:lineRule="exact"/>
        <w:ind w:left="3435" w:leftChars="557" w:hanging="2265" w:hangingChars="708"/>
        <w:rPr>
          <w:rFonts w:hint="eastAsia" w:ascii="仿宋" w:hAnsi="仿宋" w:eastAsia="仿宋" w:cs="仿宋"/>
          <w:sz w:val="32"/>
          <w:szCs w:val="32"/>
        </w:rPr>
      </w:pPr>
    </w:p>
    <w:p w14:paraId="3FE9EB76">
      <w:pPr>
        <w:spacing w:line="700" w:lineRule="exact"/>
        <w:jc w:val="center"/>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月</w:t>
      </w:r>
    </w:p>
    <w:p w14:paraId="16E1F60E">
      <w:pPr>
        <w:spacing w:line="700" w:lineRule="exact"/>
        <w:ind w:left="3152" w:leftChars="557" w:hanging="1982" w:hangingChars="708"/>
        <w:rPr>
          <w:rFonts w:hint="eastAsia" w:ascii="仿宋" w:hAnsi="仿宋" w:eastAsia="仿宋" w:cs="仿宋"/>
          <w:sz w:val="28"/>
          <w:szCs w:val="28"/>
        </w:rPr>
      </w:pPr>
    </w:p>
    <w:p w14:paraId="0D9E63EA">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E676B29">
      <w:pPr>
        <w:pStyle w:val="2"/>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rPr>
        <w:t>一、采购内容</w:t>
      </w:r>
    </w:p>
    <w:tbl>
      <w:tblPr>
        <w:tblStyle w:val="3"/>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2090"/>
        <w:gridCol w:w="2810"/>
      </w:tblGrid>
      <w:tr w14:paraId="337F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58" w:type="dxa"/>
            <w:tcBorders>
              <w:top w:val="single" w:color="auto" w:sz="4" w:space="0"/>
              <w:left w:val="single" w:color="auto" w:sz="4" w:space="0"/>
              <w:right w:val="single" w:color="auto" w:sz="4" w:space="0"/>
            </w:tcBorders>
            <w:noWrap w:val="0"/>
            <w:vAlign w:val="center"/>
          </w:tcPr>
          <w:p w14:paraId="0DD12E81">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项目名称</w:t>
            </w:r>
          </w:p>
        </w:tc>
        <w:tc>
          <w:tcPr>
            <w:tcW w:w="2090" w:type="dxa"/>
            <w:tcBorders>
              <w:top w:val="single" w:color="auto" w:sz="4" w:space="0"/>
              <w:left w:val="single" w:color="auto" w:sz="4" w:space="0"/>
              <w:right w:val="single" w:color="auto" w:sz="4" w:space="0"/>
            </w:tcBorders>
            <w:noWrap w:val="0"/>
            <w:vAlign w:val="center"/>
          </w:tcPr>
          <w:p w14:paraId="650100F5">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最高限价（元）</w:t>
            </w:r>
          </w:p>
        </w:tc>
        <w:tc>
          <w:tcPr>
            <w:tcW w:w="2810" w:type="dxa"/>
            <w:tcBorders>
              <w:top w:val="single" w:color="auto" w:sz="4" w:space="0"/>
              <w:left w:val="single" w:color="auto" w:sz="4" w:space="0"/>
              <w:right w:val="single" w:color="auto" w:sz="4" w:space="0"/>
            </w:tcBorders>
            <w:noWrap w:val="0"/>
            <w:vAlign w:val="center"/>
          </w:tcPr>
          <w:p w14:paraId="5663CCE1">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14:paraId="709C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58" w:type="dxa"/>
            <w:tcBorders>
              <w:top w:val="single" w:color="auto" w:sz="4" w:space="0"/>
              <w:left w:val="single" w:color="auto" w:sz="4" w:space="0"/>
              <w:right w:val="single" w:color="auto" w:sz="4" w:space="0"/>
            </w:tcBorders>
            <w:noWrap w:val="0"/>
            <w:vAlign w:val="center"/>
          </w:tcPr>
          <w:p w14:paraId="57DCD22E">
            <w:pPr>
              <w:widowControl/>
              <w:spacing w:line="360" w:lineRule="auto"/>
              <w:jc w:val="center"/>
              <w:rPr>
                <w:rFonts w:hint="default" w:ascii="仿宋" w:hAnsi="仿宋" w:eastAsia="仿宋" w:cs="仿宋"/>
                <w:kern w:val="0"/>
                <w:sz w:val="28"/>
                <w:szCs w:val="28"/>
                <w:lang w:val="en-US" w:eastAsia="zh-CN"/>
              </w:rPr>
            </w:pPr>
            <w:bookmarkStart w:id="0" w:name="_Hlk344477914"/>
            <w:r>
              <w:rPr>
                <w:rFonts w:hint="eastAsia" w:ascii="仿宋" w:hAnsi="仿宋" w:eastAsia="仿宋" w:cs="仿宋"/>
                <w:kern w:val="0"/>
                <w:sz w:val="28"/>
                <w:szCs w:val="28"/>
                <w:lang w:val="en-US" w:eastAsia="zh-CN"/>
              </w:rPr>
              <w:t>灭鼠灭蟑有害生物防制</w:t>
            </w:r>
          </w:p>
        </w:tc>
        <w:tc>
          <w:tcPr>
            <w:tcW w:w="2090" w:type="dxa"/>
            <w:tcBorders>
              <w:top w:val="single" w:color="auto" w:sz="4" w:space="0"/>
              <w:left w:val="single" w:color="auto" w:sz="4" w:space="0"/>
              <w:right w:val="single" w:color="auto" w:sz="4" w:space="0"/>
            </w:tcBorders>
            <w:noWrap w:val="0"/>
            <w:vAlign w:val="center"/>
          </w:tcPr>
          <w:p w14:paraId="370B4CDA">
            <w:pPr>
              <w:widowControl/>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lang w:val="en-US" w:eastAsia="zh-CN"/>
              </w:rPr>
              <w:t>30000</w:t>
            </w:r>
          </w:p>
        </w:tc>
        <w:tc>
          <w:tcPr>
            <w:tcW w:w="2810" w:type="dxa"/>
            <w:tcBorders>
              <w:top w:val="single" w:color="auto" w:sz="4" w:space="0"/>
              <w:left w:val="single" w:color="auto" w:sz="4" w:space="0"/>
              <w:right w:val="single" w:color="auto" w:sz="4" w:space="0"/>
            </w:tcBorders>
            <w:noWrap w:val="0"/>
            <w:vAlign w:val="center"/>
          </w:tcPr>
          <w:p w14:paraId="541BA877">
            <w:pPr>
              <w:widowControl/>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b w:val="0"/>
                <w:bCs w:val="0"/>
                <w:kern w:val="0"/>
                <w:sz w:val="28"/>
                <w:szCs w:val="28"/>
                <w:lang w:val="en-US" w:eastAsia="zh-CN"/>
              </w:rPr>
              <w:t>服务时间自合同签订之日起1年</w:t>
            </w:r>
          </w:p>
        </w:tc>
      </w:tr>
      <w:bookmarkEnd w:id="0"/>
    </w:tbl>
    <w:p w14:paraId="2381BDA0">
      <w:pPr>
        <w:pStyle w:val="2"/>
        <w:spacing w:before="0" w:after="0" w:line="360" w:lineRule="auto"/>
        <w:rPr>
          <w:rFonts w:hint="eastAsia" w:ascii="仿宋" w:hAnsi="仿宋" w:eastAsia="仿宋" w:cs="仿宋"/>
          <w:sz w:val="28"/>
          <w:szCs w:val="28"/>
        </w:rPr>
      </w:pPr>
      <w:bookmarkStart w:id="1" w:name="_Toc22399"/>
      <w:bookmarkStart w:id="2" w:name="_Toc19437"/>
      <w:bookmarkStart w:id="3" w:name="_Toc15727"/>
      <w:bookmarkStart w:id="4" w:name="_Toc15576"/>
      <w:bookmarkStart w:id="5" w:name="_Toc6462"/>
      <w:bookmarkStart w:id="6" w:name="_Toc25190"/>
      <w:bookmarkStart w:id="7" w:name="_Toc1790"/>
      <w:bookmarkStart w:id="8" w:name="_Toc317775178"/>
      <w:bookmarkStart w:id="9" w:name="_Toc373860293"/>
    </w:p>
    <w:p w14:paraId="44E16990">
      <w:pPr>
        <w:pStyle w:val="2"/>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rPr>
        <w:t>二、</w:t>
      </w:r>
      <w:bookmarkEnd w:id="1"/>
      <w:bookmarkEnd w:id="2"/>
      <w:bookmarkEnd w:id="3"/>
      <w:bookmarkEnd w:id="4"/>
      <w:bookmarkEnd w:id="5"/>
      <w:bookmarkEnd w:id="6"/>
      <w:bookmarkEnd w:id="7"/>
      <w:r>
        <w:rPr>
          <w:rFonts w:hint="eastAsia" w:ascii="仿宋" w:hAnsi="仿宋" w:eastAsia="仿宋" w:cs="仿宋"/>
          <w:sz w:val="28"/>
          <w:szCs w:val="28"/>
        </w:rPr>
        <w:t>供应商资格条件</w:t>
      </w:r>
    </w:p>
    <w:bookmarkEnd w:id="8"/>
    <w:bookmarkEnd w:id="9"/>
    <w:p w14:paraId="203DB70A">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（一）基本资格条件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符合《中华人民共和国政府采购法》第二十二条资格条件：</w:t>
      </w:r>
    </w:p>
    <w:p w14:paraId="6F5B1E5E">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1.具有独立承担民事责任的能力；</w:t>
      </w:r>
    </w:p>
    <w:p w14:paraId="758AD8AC">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2.具有良好的商业信誉和健全的财务会计制度；</w:t>
      </w:r>
    </w:p>
    <w:p w14:paraId="555EF2CF">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3.具有履行合同所必需的设备和专业技术能力；</w:t>
      </w:r>
    </w:p>
    <w:p w14:paraId="22FDB22E">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4.有依法缴纳税收和社会保障资金的良好记录；</w:t>
      </w:r>
    </w:p>
    <w:p w14:paraId="55875E9D">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5.参加政府采购活动前3年内，在经营活动中没有重大违法记录；</w:t>
      </w:r>
    </w:p>
    <w:p w14:paraId="1279F3D5">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6.法律、行政法规规定的其他条件。</w:t>
      </w:r>
    </w:p>
    <w:p w14:paraId="7F87AE1C">
      <w:pPr>
        <w:snapToGrid w:val="0"/>
        <w:spacing w:line="360" w:lineRule="auto"/>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（二）</w:t>
      </w:r>
      <w:r>
        <w:rPr>
          <w:rFonts w:hint="eastAsia" w:ascii="仿宋" w:hAnsi="仿宋" w:eastAsia="仿宋" w:cs="仿宋"/>
          <w:color w:val="auto"/>
          <w:kern w:val="0"/>
          <w:sz w:val="28"/>
          <w:szCs w:val="28"/>
          <w:lang w:val="en-US" w:eastAsia="zh-CN"/>
        </w:rPr>
        <w:t>特定资格</w:t>
      </w:r>
      <w:r>
        <w:rPr>
          <w:rFonts w:hint="eastAsia" w:ascii="仿宋" w:hAnsi="仿宋" w:eastAsia="仿宋" w:cs="仿宋"/>
          <w:color w:val="auto"/>
          <w:kern w:val="0"/>
          <w:sz w:val="28"/>
          <w:szCs w:val="28"/>
        </w:rPr>
        <w:t>条件</w:t>
      </w:r>
      <w:r>
        <w:rPr>
          <w:rFonts w:hint="eastAsia" w:ascii="仿宋" w:hAnsi="仿宋" w:eastAsia="仿宋" w:cs="仿宋"/>
          <w:color w:val="auto"/>
          <w:kern w:val="0"/>
          <w:sz w:val="28"/>
          <w:szCs w:val="28"/>
          <w:lang w:eastAsia="zh-CN"/>
        </w:rPr>
        <w:t>：</w:t>
      </w:r>
      <w:bookmarkStart w:id="24" w:name="_GoBack"/>
      <w:bookmarkEnd w:id="24"/>
    </w:p>
    <w:p w14:paraId="44122980">
      <w:pPr>
        <w:snapToGrid w:val="0"/>
        <w:spacing w:line="360" w:lineRule="auto"/>
        <w:ind w:firstLine="560" w:firstLineChars="200"/>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lang w:val="en-US" w:eastAsia="zh-CN"/>
        </w:rPr>
        <w:t>1.供应商须取得县级以上卫生健康行政部门（或当地疾控中心、爱卫办）出具的有害生物防制服务备案，持有有效的《有害生物防制服务备案凭证》；</w:t>
      </w:r>
    </w:p>
    <w:p w14:paraId="2FF08DF8">
      <w:pPr>
        <w:snapToGrid w:val="0"/>
        <w:spacing w:line="360" w:lineRule="auto"/>
        <w:ind w:firstLine="560" w:firstLineChars="200"/>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lang w:val="en-US" w:eastAsia="zh-CN"/>
        </w:rPr>
        <w:t>2.须至少配备2名持有《有害生物防制员职业资格证书》（或经专业培训考核合格）的工作人员。</w:t>
      </w:r>
    </w:p>
    <w:p w14:paraId="7AEB1442">
      <w:pPr>
        <w:snapToGrid w:val="0"/>
        <w:spacing w:line="360" w:lineRule="auto"/>
        <w:ind w:firstLine="560" w:firstLineChars="200"/>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u w:val="single"/>
          <w:lang w:val="en-US" w:eastAsia="zh-CN"/>
        </w:rPr>
        <w:t>上述《有害生物防制服务备案凭证》及相关工作人员资质证明，均须提供加盖供应商鲜章的复印件，按要求上传核查。</w:t>
      </w:r>
    </w:p>
    <w:p w14:paraId="13DA0E5F">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单位负责人为同一人或者存在直接控股、管理关系的不同供应商，不得同时参加同一包的采购活动。</w:t>
      </w:r>
    </w:p>
    <w:p w14:paraId="704A3C33">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）本项目不接受联合体报价。</w:t>
      </w:r>
    </w:p>
    <w:p w14:paraId="563745B2">
      <w:pPr>
        <w:pStyle w:val="2"/>
        <w:spacing w:before="0" w:after="0" w:line="360" w:lineRule="auto"/>
        <w:ind w:firstLine="562" w:firstLineChars="200"/>
        <w:rPr>
          <w:rFonts w:hint="eastAsia" w:ascii="仿宋" w:hAnsi="仿宋" w:eastAsia="仿宋" w:cs="仿宋"/>
          <w:sz w:val="28"/>
          <w:szCs w:val="28"/>
          <w:lang w:eastAsia="zh-CN"/>
        </w:rPr>
      </w:pPr>
      <w:r>
        <w:rPr>
          <w:rFonts w:hint="eastAsia" w:ascii="仿宋" w:hAnsi="仿宋" w:eastAsia="仿宋" w:cs="仿宋"/>
          <w:sz w:val="28"/>
          <w:szCs w:val="28"/>
        </w:rPr>
        <w:t>三、项目技术（服务）需求</w:t>
      </w:r>
    </w:p>
    <w:p w14:paraId="4ADFB5DF">
      <w:pPr>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服务范围：重庆市农业学校校内所有区域以及校外的实训基地。</w:t>
      </w:r>
      <w:r>
        <w:rPr>
          <w:rFonts w:hint="eastAsia" w:ascii="仿宋" w:hAnsi="仿宋" w:eastAsia="仿宋" w:cs="仿宋"/>
          <w:b w:val="0"/>
          <w:bCs w:val="0"/>
          <w:kern w:val="0"/>
          <w:sz w:val="28"/>
          <w:szCs w:val="28"/>
          <w:u w:val="single"/>
          <w:lang w:val="en-US" w:eastAsia="zh-CN"/>
        </w:rPr>
        <w:t>（供应商可在周末自行前往学校现场查看服务区域，到校后在门卫室登记总务后勤科马老师姓名即可进入。）</w:t>
      </w:r>
    </w:p>
    <w:p w14:paraId="710D36E7">
      <w:pPr>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服务内容及要求：</w:t>
      </w:r>
    </w:p>
    <w:p w14:paraId="7DAF8FB2">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（一）日常防制服务要求</w:t>
      </w:r>
    </w:p>
    <w:p w14:paraId="7D6C1107">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 病媒生物防制投放：每月开展灭鼠、灭蟑毒饵检查不少于2次，对消耗、缺失的毒饵及时进行投放和补充，确保毒饵足量、有效，投放位置合理，避免浪费及安全隐患；同步开展</w:t>
      </w:r>
      <w:r>
        <w:rPr>
          <w:rFonts w:hint="eastAsia" w:ascii="仿宋" w:hAnsi="仿宋" w:eastAsia="仿宋" w:cs="仿宋"/>
          <w:kern w:val="0"/>
          <w:sz w:val="28"/>
          <w:szCs w:val="28"/>
          <w:lang w:val="en-US" w:eastAsia="zh-CN"/>
        </w:rPr>
        <w:t>蚊虫</w:t>
      </w:r>
      <w:r>
        <w:rPr>
          <w:rFonts w:hint="default" w:ascii="仿宋" w:hAnsi="仿宋" w:eastAsia="仿宋" w:cs="仿宋"/>
          <w:kern w:val="0"/>
          <w:sz w:val="28"/>
          <w:szCs w:val="28"/>
          <w:lang w:val="en-US" w:eastAsia="zh-CN"/>
        </w:rPr>
        <w:t>防制工作，每月对承包范围内</w:t>
      </w:r>
      <w:r>
        <w:rPr>
          <w:rFonts w:hint="eastAsia" w:ascii="仿宋" w:hAnsi="仿宋" w:eastAsia="仿宋" w:cs="仿宋"/>
          <w:kern w:val="0"/>
          <w:sz w:val="28"/>
          <w:szCs w:val="28"/>
          <w:lang w:val="en-US" w:eastAsia="zh-CN"/>
        </w:rPr>
        <w:t>蚊虫</w:t>
      </w:r>
      <w:r>
        <w:rPr>
          <w:rFonts w:hint="default" w:ascii="仿宋" w:hAnsi="仿宋" w:eastAsia="仿宋" w:cs="仿宋"/>
          <w:kern w:val="0"/>
          <w:sz w:val="28"/>
          <w:szCs w:val="28"/>
          <w:lang w:val="en-US" w:eastAsia="zh-CN"/>
        </w:rPr>
        <w:t>滋生地（如积水区域、下水道、绿化带、垃圾堆放处等）进行排查、清理及药物喷洒不少于2次，针对不同滋生环境选用适配药物，确保灭蚊效果，有效降低</w:t>
      </w:r>
      <w:r>
        <w:rPr>
          <w:rFonts w:hint="eastAsia" w:ascii="仿宋" w:hAnsi="仿宋" w:eastAsia="仿宋" w:cs="仿宋"/>
          <w:kern w:val="0"/>
          <w:sz w:val="28"/>
          <w:szCs w:val="28"/>
          <w:lang w:val="en-US" w:eastAsia="zh-CN"/>
        </w:rPr>
        <w:t>蚊虫</w:t>
      </w:r>
      <w:r>
        <w:rPr>
          <w:rFonts w:hint="default" w:ascii="仿宋" w:hAnsi="仿宋" w:eastAsia="仿宋" w:cs="仿宋"/>
          <w:kern w:val="0"/>
          <w:sz w:val="28"/>
          <w:szCs w:val="28"/>
          <w:lang w:val="en-US" w:eastAsia="zh-CN"/>
        </w:rPr>
        <w:t>密度。</w:t>
      </w:r>
    </w:p>
    <w:p w14:paraId="6A5B3642">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 密度监测与设施指导：每季度按照国家相关标准要求，完成承包范围内鼠、蟑、</w:t>
      </w:r>
      <w:r>
        <w:rPr>
          <w:rFonts w:hint="eastAsia" w:ascii="仿宋" w:hAnsi="仿宋" w:eastAsia="仿宋" w:cs="仿宋"/>
          <w:kern w:val="0"/>
          <w:sz w:val="28"/>
          <w:szCs w:val="28"/>
          <w:lang w:val="en-US" w:eastAsia="zh-CN"/>
        </w:rPr>
        <w:t>蚊虫</w:t>
      </w:r>
      <w:r>
        <w:rPr>
          <w:rFonts w:hint="default" w:ascii="仿宋" w:hAnsi="仿宋" w:eastAsia="仿宋" w:cs="仿宋"/>
          <w:kern w:val="0"/>
          <w:sz w:val="28"/>
          <w:szCs w:val="28"/>
          <w:lang w:val="en-US" w:eastAsia="zh-CN"/>
        </w:rPr>
        <w:t>密度监测工作；针对重点区域（如食堂、卫生间、库房、绿化带、积水区域、下水道周边等），做好防鼠、防蟑、防蚊设施的专业指导，协助优化防制效果；同步完善监测记录、数据统计等相关资料，确保资料真实、完整，为病媒生物防制及传染病防控提供数据支撑。</w:t>
      </w:r>
    </w:p>
    <w:p w14:paraId="6891CAE4">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（二）服务记录与资料提交要求</w:t>
      </w:r>
    </w:p>
    <w:p w14:paraId="529F7D10">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 消杀详细记录：每次开展灭鼠、灭蟑、灭蚊消杀服务后，需对服务情况进行详细记录，具体包括但不限于：消杀日期、消杀具体地点、消杀内容（灭鼠/灭蟑/灭蚊）、消杀工作人员姓名、使用药物名称及规格、实际用药量、消杀现场图片等；所有记录需经我方负责人签字确认，确保可追溯。</w:t>
      </w:r>
    </w:p>
    <w:p w14:paraId="631FE466">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 资料提交频次：每季度向我方提交一次完整的消杀记录资料；每季度下旬，按照国家制定的标准要求与监测方法，完成一次鼠、蟑、蚊子密度监测，准确如实记录监测数据、统计监测情况；同步提交基孔肯雅热、登革热防控相关排查记录（含</w:t>
      </w:r>
      <w:r>
        <w:rPr>
          <w:rFonts w:hint="eastAsia" w:ascii="仿宋" w:hAnsi="仿宋" w:eastAsia="仿宋" w:cs="仿宋"/>
          <w:kern w:val="0"/>
          <w:sz w:val="28"/>
          <w:szCs w:val="28"/>
          <w:lang w:val="en-US" w:eastAsia="zh-CN"/>
        </w:rPr>
        <w:t>蚊虫</w:t>
      </w:r>
      <w:r>
        <w:rPr>
          <w:rFonts w:hint="default" w:ascii="仿宋" w:hAnsi="仿宋" w:eastAsia="仿宋" w:cs="仿宋"/>
          <w:kern w:val="0"/>
          <w:sz w:val="28"/>
          <w:szCs w:val="28"/>
          <w:lang w:val="en-US" w:eastAsia="zh-CN"/>
        </w:rPr>
        <w:t>滋生地排查、防控措施落实情况等），并将季度监测统计报告、每次服务统计资料、传染病防控排查记录一并送达我方负责人处，经确认后存档。</w:t>
      </w:r>
    </w:p>
    <w:p w14:paraId="2EBCFAD9">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3. 档案管理：建立健全全年服务记录档案，对所有消杀记录、监测数据、统计资料、签字确认单据、基孔肯雅热及登革热防控相关资料等进行分类整理，设立专柜妥善保管，确保档案完整、规范，便于我方查阅核查。</w:t>
      </w:r>
    </w:p>
    <w:p w14:paraId="5378B58E">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（三）安全与配套服务要求</w:t>
      </w:r>
    </w:p>
    <w:p w14:paraId="0B47660A">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 安全警示与宣传：严格做好灭鼠毒物投放、消毒杀虫药品（含灭蚊药品）喷洒的安全警示工作，在投放点、喷洒区域设置明显的安全警示标识，防止无关人员接触；同步做好相关安全宣传及传染病防控宣传工作，普及灭鼠、灭蟑、灭蚊知识，提醒我方人员注意安全，告知基孔肯雅热、登革热的传播途径及防控要点，提升防控意识。</w:t>
      </w:r>
    </w:p>
    <w:p w14:paraId="327F009C">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 防制设施配套：提供160个毒饵盒，用于规范投放灭鼠、灭蟑毒饵；若毒饵盒上的毒饵标志出现脱落、模糊等情况，服务商需无偿进行更换，确保标识清晰可辨；同步提供灭蚊相关配套设施（如诱蚊灯等），根据承包范围合理布置，定期检查维护，确保设施正常使用，提升灭蚊效果。</w:t>
      </w:r>
    </w:p>
    <w:p w14:paraId="0ABC9411">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（四）应急处置要求</w:t>
      </w:r>
    </w:p>
    <w:p w14:paraId="148005A9">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 若出现鼠、蟑、蚊</w:t>
      </w:r>
      <w:r>
        <w:rPr>
          <w:rFonts w:hint="eastAsia" w:ascii="仿宋" w:hAnsi="仿宋" w:eastAsia="仿宋" w:cs="仿宋"/>
          <w:kern w:val="0"/>
          <w:sz w:val="28"/>
          <w:szCs w:val="28"/>
          <w:lang w:val="en-US" w:eastAsia="zh-CN"/>
        </w:rPr>
        <w:t>虫</w:t>
      </w:r>
      <w:r>
        <w:rPr>
          <w:rFonts w:hint="default" w:ascii="仿宋" w:hAnsi="仿宋" w:eastAsia="仿宋" w:cs="仿宋"/>
          <w:kern w:val="0"/>
          <w:sz w:val="28"/>
          <w:szCs w:val="28"/>
          <w:lang w:val="en-US" w:eastAsia="zh-CN"/>
        </w:rPr>
        <w:t>泛滥等紧急情况，我方通知服务商后，服务商需在48小时内抵达现场处理，快速采取有效防制措施，控制事态发展，确保服务响应及时、处置高效。</w:t>
      </w:r>
    </w:p>
    <w:p w14:paraId="4DB46E9F">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 若出现基孔肯雅热、登革热疑似病例或相关疫情预警时，服务商需接到我方通知后24小时内抵达现场，配合我方及相关部门开展紧急防控工作，加大蚊子消杀频次，全面排查清理滋生地，落实各项防控措施，防止疫情扩散蔓延。</w:t>
      </w:r>
    </w:p>
    <w:p w14:paraId="76CC4C5B">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服务商需严格恪守上述所有服务要求，保质保量完成承包范围内的灭鼠、灭蟑、灭蚊及基孔肯雅热、登革热防控服务，接受我方的监督、检查与考核，对未达标项需及时整改，由此产生的相关费用由服务商自行承担。</w:t>
      </w:r>
    </w:p>
    <w:p w14:paraId="7FD7D62D">
      <w:pPr>
        <w:pStyle w:val="2"/>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、报价要求</w:t>
      </w:r>
    </w:p>
    <w:p w14:paraId="4D93D8D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本次报价为人民币报价，包含：设计费、货物费、运输费、安装调试费、装卸费、质检费、税费（含关税）等所有费用，因投标人自身原因造成漏报、少报皆由其自行承担责任，采购人不再补偿。</w:t>
      </w:r>
    </w:p>
    <w:p w14:paraId="479D506A">
      <w:pPr>
        <w:pStyle w:val="2"/>
        <w:numPr>
          <w:ilvl w:val="0"/>
          <w:numId w:val="0"/>
        </w:numPr>
        <w:spacing w:before="0" w:after="0" w:line="360" w:lineRule="auto"/>
        <w:ind w:firstLine="562"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五、</w:t>
      </w:r>
      <w:r>
        <w:rPr>
          <w:rFonts w:hint="eastAsia" w:ascii="仿宋" w:hAnsi="仿宋" w:eastAsia="仿宋" w:cs="仿宋"/>
          <w:sz w:val="28"/>
          <w:szCs w:val="28"/>
        </w:rPr>
        <w:t>付款方式</w:t>
      </w:r>
    </w:p>
    <w:p w14:paraId="241F193E">
      <w:pPr>
        <w:pStyle w:val="2"/>
        <w:spacing w:before="0" w:after="0" w:line="360" w:lineRule="auto"/>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签定合同后，合同款项按季度支付，支付时间为下个季度第一周。甲方在收到乙方开具的正规、合法、有效、等额，且发票内容与本合同约定提供的灭鼠灭蟑防制服务完全一致的增值税普通发票后，通过对公账户向乙方支付对应季度的合同款项。</w:t>
      </w:r>
    </w:p>
    <w:p w14:paraId="4C307594">
      <w:pPr>
        <w:pStyle w:val="2"/>
        <w:numPr>
          <w:ilvl w:val="0"/>
          <w:numId w:val="0"/>
        </w:numPr>
        <w:spacing w:before="0" w:after="0" w:line="360" w:lineRule="auto"/>
        <w:ind w:firstLine="562"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供应商响应文件要求</w:t>
      </w:r>
    </w:p>
    <w:p w14:paraId="5958D16B">
      <w:pPr>
        <w:ind w:firstLine="560" w:firstLineChars="200"/>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供应商营业执照经营范围须包含灭鼠、灭蟑、有害生物防制等相关服务内容，并上传清晰、加盖单位鲜章的营业执照扫描件，未按要求上传或不符合资格条件的，视为无效响应。</w:t>
      </w:r>
    </w:p>
    <w:p w14:paraId="58D77656">
      <w:pPr>
        <w:pStyle w:val="2"/>
        <w:numPr>
          <w:ilvl w:val="0"/>
          <w:numId w:val="0"/>
        </w:numPr>
        <w:spacing w:before="0" w:after="0" w:line="360" w:lineRule="auto"/>
        <w:ind w:firstLine="562"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七、成交规则</w:t>
      </w:r>
    </w:p>
    <w:p w14:paraId="08ECF571">
      <w:pPr>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采购人在符合审查的供应商中，手动确认报价最低的成为成交供应商。</w:t>
      </w:r>
    </w:p>
    <w:p w14:paraId="551C351D">
      <w:pPr>
        <w:pStyle w:val="2"/>
        <w:spacing w:before="0" w:after="0" w:line="360" w:lineRule="auto"/>
        <w:ind w:firstLine="562" w:firstLineChars="200"/>
        <w:rPr>
          <w:rFonts w:hint="eastAsia" w:ascii="仿宋" w:hAnsi="仿宋" w:eastAsia="仿宋" w:cs="仿宋"/>
          <w:sz w:val="28"/>
          <w:szCs w:val="28"/>
        </w:rPr>
      </w:pPr>
      <w:bookmarkStart w:id="10" w:name="_Toc3475"/>
      <w:bookmarkStart w:id="11" w:name="_Toc11828"/>
      <w:bookmarkStart w:id="12" w:name="_Toc27955"/>
      <w:bookmarkStart w:id="13" w:name="_Toc5085"/>
      <w:bookmarkStart w:id="14" w:name="_Toc25886"/>
      <w:bookmarkStart w:id="15" w:name="_Toc9654"/>
      <w:bookmarkStart w:id="16" w:name="_Toc20778"/>
      <w:bookmarkStart w:id="17" w:name="_Toc9027"/>
      <w:bookmarkStart w:id="18" w:name="_Toc15478"/>
      <w:bookmarkStart w:id="19" w:name="_Toc14778"/>
      <w:bookmarkStart w:id="20" w:name="_Toc31315"/>
      <w:bookmarkStart w:id="21" w:name="_Toc19730"/>
      <w:bookmarkStart w:id="22" w:name="_Toc25516"/>
      <w:bookmarkStart w:id="23" w:name="_Toc13969"/>
      <w:r>
        <w:rPr>
          <w:rFonts w:hint="eastAsia" w:ascii="仿宋" w:hAnsi="仿宋" w:eastAsia="仿宋" w:cs="仿宋"/>
          <w:sz w:val="28"/>
          <w:szCs w:val="28"/>
          <w:lang w:val="en-US" w:eastAsia="zh-CN"/>
        </w:rPr>
        <w:t>八</w:t>
      </w:r>
      <w:r>
        <w:rPr>
          <w:rFonts w:hint="eastAsia" w:ascii="仿宋" w:hAnsi="仿宋" w:eastAsia="仿宋" w:cs="仿宋"/>
          <w:sz w:val="28"/>
          <w:szCs w:val="28"/>
        </w:rPr>
        <w:t>、联系方式</w:t>
      </w:r>
      <w:bookmarkEnd w:id="10"/>
      <w:bookmarkEnd w:id="11"/>
      <w:bookmarkEnd w:id="12"/>
      <w:bookmarkEnd w:id="13"/>
      <w:bookmarkEnd w:id="14"/>
      <w:bookmarkEnd w:id="15"/>
      <w:bookmarkEnd w:id="16"/>
    </w:p>
    <w:p w14:paraId="5DF23F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采购单位：重庆市农业学校</w:t>
      </w:r>
    </w:p>
    <w:p w14:paraId="24D6D21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马</w:t>
      </w:r>
      <w:r>
        <w:rPr>
          <w:rFonts w:hint="eastAsia" w:ascii="仿宋" w:hAnsi="仿宋" w:eastAsia="仿宋" w:cs="仿宋"/>
          <w:sz w:val="28"/>
          <w:szCs w:val="28"/>
        </w:rPr>
        <w:t xml:space="preserve">老师 </w:t>
      </w:r>
    </w:p>
    <w:p w14:paraId="04D2CC2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hint="eastAsia" w:ascii="Arial" w:hAnsi="Arial" w:eastAsia="宋体" w:cs="Arial"/>
          <w:color w:val="333333"/>
          <w:kern w:val="0"/>
          <w:sz w:val="28"/>
          <w:szCs w:val="28"/>
          <w:shd w:val="clear" w:color="auto" w:fill="FFFFFF"/>
          <w:lang w:val="en-US" w:eastAsia="zh-CN" w:bidi="ar"/>
        </w:rPr>
        <w:t>023-68033150</w:t>
      </w:r>
      <w:r>
        <w:rPr>
          <w:rFonts w:hint="eastAsia" w:ascii="仿宋" w:hAnsi="仿宋" w:eastAsia="仿宋" w:cs="仿宋"/>
          <w:sz w:val="28"/>
          <w:szCs w:val="28"/>
        </w:rPr>
        <w:t xml:space="preserve"> </w:t>
      </w:r>
    </w:p>
    <w:p w14:paraId="45C4ED8C">
      <w:pPr>
        <w:spacing w:line="360" w:lineRule="auto"/>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rPr>
        <w:t>地  址：重庆高新区白市驿镇黄金桥2号</w:t>
      </w:r>
      <w:bookmarkEnd w:id="17"/>
      <w:bookmarkEnd w:id="18"/>
      <w:bookmarkEnd w:id="19"/>
      <w:bookmarkEnd w:id="20"/>
      <w:bookmarkEnd w:id="21"/>
      <w:bookmarkEnd w:id="22"/>
      <w:bookmarkEnd w:id="23"/>
    </w:p>
    <w:p w14:paraId="011E6071">
      <w:pPr>
        <w:rPr>
          <w:rFonts w:hint="eastAsia" w:ascii="仿宋" w:hAnsi="仿宋" w:eastAsia="仿宋" w:cs="仿宋"/>
          <w:b w:val="0"/>
          <w:kern w:val="2"/>
          <w:sz w:val="28"/>
          <w:szCs w:val="28"/>
          <w:lang w:val="en-US" w:eastAsia="zh-CN" w:bidi="ar-SA"/>
        </w:rPr>
      </w:pPr>
    </w:p>
    <w:p w14:paraId="7A6F4B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D1646"/>
    <w:rsid w:val="12115D39"/>
    <w:rsid w:val="170226AE"/>
    <w:rsid w:val="606D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1692</Words>
  <Characters>1723</Characters>
  <Lines>0</Lines>
  <Paragraphs>0</Paragraphs>
  <TotalTime>231</TotalTime>
  <ScaleCrop>false</ScaleCrop>
  <LinksUpToDate>false</LinksUpToDate>
  <CharactersWithSpaces>1734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2026-04-24T07:06:00Z</dcterms:created>
  <dc:creator>Horsedaughter</dc:creator>
  <cp:lastModifiedBy>Horsedaughter</cp:lastModifiedBy>
  <dcterms:modified xsi:type="dcterms:W3CDTF">2026-04-28T07:22:15Z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2053D5EC1C8E401B86EE010C57D0442F_11</vt:lpwstr>
  </property>
  <property fmtid="{D5CDD505-2E9C-101B-9397-08002B2CF9AE}" pid="4" name="KSOTemplateDocerSaveRecord">
    <vt:lpwstr>eyJoZGlkIjoiYzk5NGU4Yzk4YmEzZGM2NDkzYjRlMjY5OGEyYTZlMDYiLCJ1c2VySWQiOiIyOTY0MTA3NzQifQ==</vt:lpwstr>
  </property>
</Properties>
</file>