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3E78F">
      <w:pPr>
        <w:jc w:val="center"/>
        <w:rPr>
          <w:rFonts w:hint="eastAsia" w:ascii="微软雅黑" w:hAnsi="微软雅黑" w:eastAsia="微软雅黑" w:cs="微软雅黑"/>
          <w:b/>
          <w:bCs/>
          <w:sz w:val="36"/>
          <w:szCs w:val="30"/>
          <w:lang w:val="en-US" w:eastAsia="zh-CN"/>
        </w:rPr>
      </w:pPr>
      <w:bookmarkStart w:id="0" w:name="_Toc12789052"/>
      <w:bookmarkStart w:id="1" w:name="_Toc11641050"/>
      <w:bookmarkStart w:id="2" w:name="_Toc31344"/>
      <w:r>
        <w:rPr>
          <w:rFonts w:hint="eastAsia" w:ascii="微软雅黑" w:hAnsi="微软雅黑" w:eastAsia="微软雅黑" w:cs="微软雅黑"/>
          <w:b/>
          <w:bCs/>
          <w:sz w:val="36"/>
          <w:szCs w:val="30"/>
        </w:rPr>
        <w:t>和欣家园车库整改工程</w:t>
      </w:r>
      <w:r>
        <w:rPr>
          <w:rFonts w:hint="eastAsia" w:ascii="微软雅黑" w:hAnsi="微软雅黑" w:eastAsia="微软雅黑" w:cs="微软雅黑"/>
          <w:b/>
          <w:bCs/>
          <w:sz w:val="36"/>
          <w:szCs w:val="30"/>
          <w:lang w:eastAsia="zh-CN"/>
        </w:rPr>
        <w:t>项目</w:t>
      </w:r>
    </w:p>
    <w:p w14:paraId="5CB39A78">
      <w:pPr>
        <w:jc w:val="center"/>
        <w:rPr>
          <w:rFonts w:ascii="微软雅黑" w:hAnsi="微软雅黑" w:eastAsia="微软雅黑" w:cs="微软雅黑"/>
          <w:b/>
          <w:bCs/>
          <w:szCs w:val="30"/>
        </w:rPr>
      </w:pPr>
      <w:r>
        <w:rPr>
          <w:rFonts w:hint="eastAsia" w:ascii="微软雅黑" w:hAnsi="微软雅黑" w:eastAsia="微软雅黑" w:cs="微软雅黑"/>
          <w:b/>
          <w:bCs/>
          <w:sz w:val="36"/>
          <w:szCs w:val="30"/>
        </w:rPr>
        <w:t>采购</w:t>
      </w:r>
      <w:bookmarkEnd w:id="0"/>
      <w:bookmarkEnd w:id="1"/>
      <w:r>
        <w:rPr>
          <w:rFonts w:hint="eastAsia" w:ascii="微软雅黑" w:hAnsi="微软雅黑" w:eastAsia="微软雅黑" w:cs="微软雅黑"/>
          <w:b/>
          <w:bCs/>
          <w:sz w:val="36"/>
          <w:szCs w:val="30"/>
        </w:rPr>
        <w:t>公告</w:t>
      </w:r>
      <w:bookmarkEnd w:id="2"/>
    </w:p>
    <w:p w14:paraId="0EB3ABC3">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重庆栖庭置业顾问有限公司（以下简称：采购代理机构）接受重庆两江新区物业管理有限公司委托，对其“和欣家园车库整改工程”项目进行询比采购。欢迎有资格的供应商前来参与询比。</w:t>
      </w:r>
    </w:p>
    <w:p w14:paraId="5B6D29EB">
      <w:pPr>
        <w:pStyle w:val="3"/>
        <w:spacing w:line="400" w:lineRule="exact"/>
        <w:rPr>
          <w:rFonts w:ascii="微软雅黑" w:hAnsi="微软雅黑" w:eastAsia="微软雅黑" w:cs="微软雅黑"/>
          <w:sz w:val="24"/>
          <w:szCs w:val="24"/>
        </w:rPr>
      </w:pPr>
      <w:bookmarkStart w:id="3" w:name="_Toc47094760"/>
      <w:bookmarkStart w:id="4" w:name="_Toc152"/>
      <w:bookmarkStart w:id="5" w:name="_Toc313893526"/>
      <w:bookmarkStart w:id="6" w:name="_Toc317775175"/>
      <w:bookmarkStart w:id="7" w:name="_Toc5786"/>
      <w:bookmarkStart w:id="8" w:name="_Toc28114"/>
      <w:bookmarkStart w:id="9" w:name="_Toc10001"/>
      <w:r>
        <w:rPr>
          <w:rFonts w:hint="eastAsia" w:ascii="微软雅黑" w:hAnsi="微软雅黑" w:eastAsia="微软雅黑" w:cs="微软雅黑"/>
          <w:sz w:val="24"/>
          <w:szCs w:val="24"/>
        </w:rPr>
        <w:t>一、询比内容</w:t>
      </w:r>
      <w:bookmarkEnd w:id="3"/>
      <w:bookmarkEnd w:id="4"/>
      <w:bookmarkEnd w:id="5"/>
      <w:bookmarkEnd w:id="6"/>
      <w:bookmarkEnd w:id="7"/>
      <w:bookmarkEnd w:id="8"/>
      <w:bookmarkEnd w:id="9"/>
    </w:p>
    <w:tbl>
      <w:tblPr>
        <w:tblStyle w:val="12"/>
        <w:tblpPr w:leftFromText="180" w:rightFromText="180" w:vertAnchor="text" w:horzAnchor="page" w:tblpX="1404" w:tblpY="412"/>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646"/>
        <w:gridCol w:w="2456"/>
        <w:gridCol w:w="2097"/>
      </w:tblGrid>
      <w:tr w14:paraId="1D42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041" w:type="dxa"/>
            <w:tcBorders>
              <w:top w:val="single" w:color="auto" w:sz="4" w:space="0"/>
              <w:left w:val="single" w:color="auto" w:sz="4" w:space="0"/>
              <w:right w:val="single" w:color="auto" w:sz="4" w:space="0"/>
            </w:tcBorders>
            <w:vAlign w:val="center"/>
          </w:tcPr>
          <w:p w14:paraId="14736DC2">
            <w:pPr>
              <w:widowControl/>
              <w:spacing w:line="400" w:lineRule="exact"/>
              <w:jc w:val="center"/>
              <w:rPr>
                <w:rFonts w:ascii="微软雅黑" w:hAnsi="微软雅黑" w:eastAsia="微软雅黑" w:cs="微软雅黑"/>
                <w:b/>
                <w:bCs/>
                <w:kern w:val="0"/>
                <w:sz w:val="24"/>
                <w:szCs w:val="32"/>
              </w:rPr>
            </w:pPr>
            <w:r>
              <w:rPr>
                <w:rFonts w:hint="eastAsia" w:ascii="微软雅黑" w:hAnsi="微软雅黑" w:eastAsia="微软雅黑" w:cs="微软雅黑"/>
                <w:b/>
                <w:bCs/>
                <w:kern w:val="0"/>
                <w:sz w:val="24"/>
                <w:szCs w:val="32"/>
              </w:rPr>
              <w:t>项目名称</w:t>
            </w:r>
          </w:p>
        </w:tc>
        <w:tc>
          <w:tcPr>
            <w:tcW w:w="2646" w:type="dxa"/>
            <w:tcBorders>
              <w:top w:val="single" w:color="auto" w:sz="4" w:space="0"/>
              <w:left w:val="single" w:color="auto" w:sz="4" w:space="0"/>
              <w:right w:val="single" w:color="auto" w:sz="4" w:space="0"/>
            </w:tcBorders>
            <w:vAlign w:val="center"/>
          </w:tcPr>
          <w:p w14:paraId="12CCC70E">
            <w:pPr>
              <w:spacing w:line="400" w:lineRule="exact"/>
              <w:jc w:val="center"/>
              <w:rPr>
                <w:rFonts w:ascii="微软雅黑" w:hAnsi="微软雅黑" w:eastAsia="微软雅黑" w:cs="微软雅黑"/>
                <w:b/>
                <w:bCs/>
                <w:kern w:val="0"/>
                <w:sz w:val="24"/>
                <w:szCs w:val="32"/>
              </w:rPr>
            </w:pPr>
            <w:r>
              <w:rPr>
                <w:rFonts w:hint="eastAsia" w:ascii="微软雅黑" w:hAnsi="微软雅黑" w:eastAsia="微软雅黑" w:cs="微软雅黑"/>
                <w:b/>
                <w:bCs/>
                <w:kern w:val="0"/>
                <w:sz w:val="24"/>
                <w:szCs w:val="32"/>
              </w:rPr>
              <w:t>最高限价（元）</w:t>
            </w:r>
          </w:p>
        </w:tc>
        <w:tc>
          <w:tcPr>
            <w:tcW w:w="2456" w:type="dxa"/>
            <w:tcBorders>
              <w:top w:val="single" w:color="auto" w:sz="4" w:space="0"/>
              <w:left w:val="single" w:color="auto" w:sz="4" w:space="0"/>
              <w:right w:val="single" w:color="auto" w:sz="4" w:space="0"/>
            </w:tcBorders>
            <w:vAlign w:val="center"/>
          </w:tcPr>
          <w:p w14:paraId="5A0D75D8">
            <w:pPr>
              <w:spacing w:line="400" w:lineRule="exact"/>
              <w:jc w:val="center"/>
              <w:rPr>
                <w:rFonts w:ascii="微软雅黑" w:hAnsi="微软雅黑" w:eastAsia="微软雅黑" w:cs="微软雅黑"/>
                <w:b/>
                <w:bCs/>
                <w:kern w:val="0"/>
                <w:sz w:val="24"/>
                <w:szCs w:val="32"/>
              </w:rPr>
            </w:pPr>
            <w:r>
              <w:rPr>
                <w:rFonts w:hint="eastAsia" w:ascii="微软雅黑" w:hAnsi="微软雅黑" w:eastAsia="微软雅黑" w:cs="微软雅黑"/>
                <w:b/>
                <w:bCs/>
                <w:kern w:val="0"/>
                <w:sz w:val="24"/>
                <w:szCs w:val="32"/>
              </w:rPr>
              <w:t>成交供应商数量</w:t>
            </w:r>
          </w:p>
          <w:p w14:paraId="22BBD5B8">
            <w:pPr>
              <w:spacing w:line="400" w:lineRule="exact"/>
              <w:jc w:val="center"/>
              <w:rPr>
                <w:rFonts w:ascii="微软雅黑" w:hAnsi="微软雅黑" w:eastAsia="微软雅黑" w:cs="微软雅黑"/>
                <w:b/>
                <w:bCs/>
                <w:kern w:val="0"/>
                <w:sz w:val="24"/>
                <w:szCs w:val="32"/>
              </w:rPr>
            </w:pPr>
            <w:r>
              <w:rPr>
                <w:rFonts w:hint="eastAsia" w:ascii="微软雅黑" w:hAnsi="微软雅黑" w:eastAsia="微软雅黑" w:cs="微软雅黑"/>
                <w:b/>
                <w:bCs/>
                <w:kern w:val="0"/>
                <w:sz w:val="24"/>
                <w:szCs w:val="32"/>
              </w:rPr>
              <w:t>（名）</w:t>
            </w:r>
          </w:p>
        </w:tc>
        <w:tc>
          <w:tcPr>
            <w:tcW w:w="2097" w:type="dxa"/>
            <w:tcBorders>
              <w:top w:val="single" w:color="auto" w:sz="4" w:space="0"/>
              <w:left w:val="single" w:color="auto" w:sz="4" w:space="0"/>
              <w:right w:val="single" w:color="auto" w:sz="4" w:space="0"/>
            </w:tcBorders>
            <w:vAlign w:val="center"/>
          </w:tcPr>
          <w:p w14:paraId="216C817B">
            <w:pPr>
              <w:spacing w:line="400" w:lineRule="exact"/>
              <w:jc w:val="center"/>
              <w:rPr>
                <w:rFonts w:ascii="微软雅黑" w:hAnsi="微软雅黑" w:eastAsia="微软雅黑" w:cs="微软雅黑"/>
                <w:b/>
                <w:bCs/>
                <w:kern w:val="0"/>
                <w:sz w:val="24"/>
                <w:szCs w:val="32"/>
              </w:rPr>
            </w:pPr>
            <w:r>
              <w:rPr>
                <w:rFonts w:hint="eastAsia" w:ascii="微软雅黑" w:hAnsi="微软雅黑" w:eastAsia="微软雅黑" w:cs="微软雅黑"/>
                <w:b/>
                <w:bCs/>
                <w:kern w:val="0"/>
                <w:sz w:val="24"/>
                <w:szCs w:val="32"/>
              </w:rPr>
              <w:t>其他说明</w:t>
            </w:r>
          </w:p>
        </w:tc>
      </w:tr>
      <w:tr w14:paraId="407B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041" w:type="dxa"/>
            <w:tcBorders>
              <w:top w:val="single" w:color="auto" w:sz="4" w:space="0"/>
              <w:left w:val="single" w:color="auto" w:sz="4" w:space="0"/>
              <w:bottom w:val="single" w:color="auto" w:sz="4" w:space="0"/>
              <w:right w:val="single" w:color="auto" w:sz="4" w:space="0"/>
            </w:tcBorders>
            <w:vAlign w:val="center"/>
          </w:tcPr>
          <w:p w14:paraId="71895689">
            <w:pPr>
              <w:spacing w:line="400" w:lineRule="exact"/>
              <w:jc w:val="center"/>
              <w:rPr>
                <w:rFonts w:ascii="微软雅黑" w:hAnsi="微软雅黑" w:eastAsia="微软雅黑" w:cs="微软雅黑"/>
                <w:sz w:val="24"/>
                <w:szCs w:val="24"/>
              </w:rPr>
            </w:pPr>
            <w:bookmarkStart w:id="10" w:name="_Hlk344477914"/>
            <w:r>
              <w:rPr>
                <w:rFonts w:hint="eastAsia" w:ascii="微软雅黑" w:hAnsi="微软雅黑" w:eastAsia="微软雅黑" w:cs="微软雅黑"/>
                <w:sz w:val="24"/>
                <w:szCs w:val="24"/>
              </w:rPr>
              <w:t>和欣家园车库整改工程</w:t>
            </w:r>
          </w:p>
        </w:tc>
        <w:tc>
          <w:tcPr>
            <w:tcW w:w="2646" w:type="dxa"/>
            <w:tcBorders>
              <w:top w:val="single" w:color="auto" w:sz="4" w:space="0"/>
              <w:left w:val="single" w:color="auto" w:sz="4" w:space="0"/>
              <w:bottom w:val="single" w:color="auto" w:sz="4" w:space="0"/>
              <w:right w:val="single" w:color="auto" w:sz="4" w:space="0"/>
            </w:tcBorders>
            <w:vAlign w:val="center"/>
          </w:tcPr>
          <w:p w14:paraId="63BB6CD7">
            <w:pPr>
              <w:jc w:val="center"/>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372070.03</w:t>
            </w:r>
          </w:p>
        </w:tc>
        <w:tc>
          <w:tcPr>
            <w:tcW w:w="2456" w:type="dxa"/>
            <w:tcBorders>
              <w:top w:val="single" w:color="auto" w:sz="4" w:space="0"/>
              <w:left w:val="single" w:color="auto" w:sz="4" w:space="0"/>
              <w:bottom w:val="single" w:color="auto" w:sz="4" w:space="0"/>
              <w:right w:val="single" w:color="auto" w:sz="4" w:space="0"/>
            </w:tcBorders>
            <w:vAlign w:val="center"/>
          </w:tcPr>
          <w:p w14:paraId="218ED3A3">
            <w:pPr>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2097" w:type="dxa"/>
            <w:tcBorders>
              <w:top w:val="single" w:color="auto" w:sz="4" w:space="0"/>
              <w:left w:val="single" w:color="auto" w:sz="4" w:space="0"/>
              <w:bottom w:val="single" w:color="auto" w:sz="4" w:space="0"/>
              <w:right w:val="single" w:color="auto" w:sz="4" w:space="0"/>
            </w:tcBorders>
            <w:vAlign w:val="center"/>
          </w:tcPr>
          <w:p w14:paraId="4950BBAF">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r>
      <w:bookmarkEnd w:id="10"/>
    </w:tbl>
    <w:p w14:paraId="4B868AF6">
      <w:pPr>
        <w:pStyle w:val="3"/>
        <w:spacing w:line="400" w:lineRule="exact"/>
        <w:rPr>
          <w:rFonts w:hint="eastAsia" w:ascii="微软雅黑" w:hAnsi="微软雅黑" w:eastAsia="微软雅黑" w:cs="微软雅黑"/>
          <w:sz w:val="24"/>
          <w:szCs w:val="24"/>
          <w:lang w:val="en-US" w:eastAsia="zh-CN"/>
        </w:rPr>
      </w:pPr>
      <w:bookmarkStart w:id="11" w:name="_Toc47094761"/>
      <w:bookmarkStart w:id="12" w:name="_Toc26489"/>
      <w:bookmarkStart w:id="13" w:name="_Toc5878"/>
      <w:bookmarkStart w:id="14" w:name="_Toc20640"/>
      <w:bookmarkStart w:id="15" w:name="_Toc969"/>
      <w:bookmarkStart w:id="16" w:name="_Toc373860293"/>
      <w:bookmarkStart w:id="17" w:name="_Toc317775178"/>
      <w:r>
        <w:rPr>
          <w:rFonts w:hint="eastAsia" w:ascii="微软雅黑" w:hAnsi="微软雅黑" w:eastAsia="微软雅黑" w:cs="微软雅黑"/>
          <w:sz w:val="24"/>
          <w:szCs w:val="24"/>
          <w:lang w:val="en-US" w:eastAsia="zh-CN"/>
        </w:rPr>
        <w:t xml:space="preserve"> </w:t>
      </w:r>
    </w:p>
    <w:p w14:paraId="7F97274C">
      <w:pPr>
        <w:pStyle w:val="3"/>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二、资金来源</w:t>
      </w:r>
      <w:bookmarkEnd w:id="11"/>
      <w:bookmarkEnd w:id="12"/>
      <w:bookmarkEnd w:id="13"/>
      <w:bookmarkEnd w:id="14"/>
      <w:bookmarkEnd w:id="15"/>
    </w:p>
    <w:p w14:paraId="6026E76A">
      <w:pPr>
        <w:spacing w:line="400" w:lineRule="exact"/>
        <w:ind w:firstLine="480" w:firstLineChars="200"/>
        <w:rPr>
          <w:rFonts w:ascii="微软雅黑" w:hAnsi="微软雅黑" w:eastAsia="微软雅黑" w:cs="微软雅黑"/>
          <w:sz w:val="24"/>
          <w:szCs w:val="24"/>
        </w:rPr>
      </w:pPr>
      <w:bookmarkStart w:id="18" w:name="_Toc47094762"/>
      <w:bookmarkStart w:id="19" w:name="_Toc25320"/>
      <w:r>
        <w:rPr>
          <w:rFonts w:hint="eastAsia" w:ascii="微软雅黑" w:hAnsi="微软雅黑" w:eastAsia="微软雅黑" w:cs="微软雅黑"/>
          <w:sz w:val="24"/>
          <w:szCs w:val="24"/>
        </w:rPr>
        <w:t>物业专项维修资金</w:t>
      </w:r>
    </w:p>
    <w:p w14:paraId="43BFB14D">
      <w:pPr>
        <w:pStyle w:val="3"/>
        <w:spacing w:line="400" w:lineRule="exact"/>
        <w:rPr>
          <w:rFonts w:ascii="微软雅黑" w:hAnsi="微软雅黑" w:eastAsia="微软雅黑" w:cs="微软雅黑"/>
          <w:sz w:val="24"/>
          <w:szCs w:val="24"/>
        </w:rPr>
      </w:pPr>
      <w:bookmarkStart w:id="20" w:name="_Toc24009"/>
      <w:bookmarkStart w:id="21" w:name="_Toc22157"/>
      <w:bookmarkStart w:id="22" w:name="_Toc11135"/>
      <w:r>
        <w:rPr>
          <w:rFonts w:hint="eastAsia" w:ascii="微软雅黑" w:hAnsi="微软雅黑" w:eastAsia="微软雅黑" w:cs="微软雅黑"/>
          <w:sz w:val="24"/>
          <w:szCs w:val="24"/>
        </w:rPr>
        <w:t>三、供应商资格条件</w:t>
      </w:r>
      <w:bookmarkEnd w:id="18"/>
      <w:bookmarkEnd w:id="19"/>
      <w:bookmarkEnd w:id="20"/>
      <w:bookmarkEnd w:id="21"/>
      <w:bookmarkEnd w:id="22"/>
    </w:p>
    <w:p w14:paraId="441BB147">
      <w:pPr>
        <w:snapToGrid w:val="0"/>
        <w:spacing w:line="400" w:lineRule="exact"/>
        <w:ind w:firstLine="480" w:firstLineChars="200"/>
        <w:rPr>
          <w:rFonts w:ascii="微软雅黑" w:hAnsi="微软雅黑" w:eastAsia="微软雅黑" w:cs="微软雅黑"/>
          <w:sz w:val="24"/>
          <w:szCs w:val="24"/>
        </w:rPr>
      </w:pPr>
      <w:bookmarkStart w:id="23" w:name="_Toc29452"/>
      <w:bookmarkStart w:id="24" w:name="_Toc29265"/>
      <w:bookmarkStart w:id="25" w:name="_Toc8051"/>
      <w:bookmarkStart w:id="26" w:name="_Toc9086"/>
      <w:bookmarkStart w:id="27" w:name="_Toc9115"/>
      <w:bookmarkStart w:id="28" w:name="_Toc47094763"/>
      <w:r>
        <w:rPr>
          <w:rFonts w:hint="eastAsia" w:ascii="微软雅黑" w:hAnsi="微软雅黑" w:eastAsia="微软雅黑" w:cs="微软雅黑"/>
          <w:sz w:val="24"/>
          <w:szCs w:val="24"/>
        </w:rPr>
        <w:t>（一）基本资格条件</w:t>
      </w:r>
      <w:bookmarkEnd w:id="23"/>
      <w:bookmarkEnd w:id="24"/>
      <w:bookmarkEnd w:id="25"/>
      <w:bookmarkEnd w:id="26"/>
    </w:p>
    <w:p w14:paraId="241F4A84">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 具有独立承担民事责任的能力；</w:t>
      </w:r>
    </w:p>
    <w:p w14:paraId="3E748E06">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 具有良好的商业信誉和健全的财务会计制度；</w:t>
      </w:r>
    </w:p>
    <w:p w14:paraId="365EE0EA">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 具有履行合同所必需的设备和专业技术能力；</w:t>
      </w:r>
    </w:p>
    <w:p w14:paraId="7F5310D9">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 有依法缴纳税收和社会保障资金的良好记录；</w:t>
      </w:r>
    </w:p>
    <w:p w14:paraId="7FF93851">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 参加政府采购活动前三年内，在经营活动中没有重大违法记录；</w:t>
      </w:r>
    </w:p>
    <w:p w14:paraId="5F35D92B">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 法律、行政法规规定的其他条件。</w:t>
      </w:r>
    </w:p>
    <w:p w14:paraId="65EEB390">
      <w:pPr>
        <w:pStyle w:val="5"/>
        <w:ind w:firstLine="480" w:firstLineChars="200"/>
      </w:pPr>
      <w:bookmarkStart w:id="29" w:name="_Toc11357"/>
      <w:bookmarkStart w:id="30" w:name="_Toc1569"/>
      <w:bookmarkStart w:id="31" w:name="_Toc10828"/>
      <w:bookmarkStart w:id="32" w:name="_Toc26501"/>
      <w:bookmarkStart w:id="33" w:name="_Toc21744"/>
      <w:r>
        <w:rPr>
          <w:rFonts w:hint="eastAsia" w:ascii="微软雅黑" w:hAnsi="微软雅黑" w:eastAsia="微软雅黑" w:cs="微软雅黑"/>
          <w:sz w:val="24"/>
          <w:szCs w:val="24"/>
        </w:rPr>
        <w:t>（二）特定资格条件</w:t>
      </w:r>
      <w:bookmarkEnd w:id="29"/>
      <w:bookmarkEnd w:id="30"/>
      <w:bookmarkEnd w:id="31"/>
      <w:bookmarkEnd w:id="32"/>
    </w:p>
    <w:p w14:paraId="221D5DBA">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1、具备建设行政主管部门颁发的消防设施工程专业承包贰级及以上资质。</w:t>
      </w:r>
    </w:p>
    <w:p w14:paraId="18F944CB">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2、具备建设行政主管部门颁发的有效的安全生产许可证。</w:t>
      </w:r>
    </w:p>
    <w:p w14:paraId="3A59E8E5">
      <w:pPr>
        <w:numPr>
          <w:ilvl w:val="0"/>
          <w:numId w:val="2"/>
        </w:numPr>
        <w:snapToGrid w:val="0"/>
        <w:spacing w:line="400" w:lineRule="exact"/>
        <w:outlineLvl w:val="1"/>
        <w:rPr>
          <w:rFonts w:ascii="微软雅黑" w:hAnsi="微软雅黑" w:eastAsia="微软雅黑" w:cs="微软雅黑"/>
          <w:b/>
          <w:bCs/>
          <w:sz w:val="24"/>
          <w:szCs w:val="24"/>
        </w:rPr>
      </w:pPr>
      <w:bookmarkStart w:id="34" w:name="_Toc7737"/>
      <w:r>
        <w:rPr>
          <w:rFonts w:hint="eastAsia" w:ascii="微软雅黑" w:hAnsi="微软雅黑" w:eastAsia="微软雅黑" w:cs="微软雅黑"/>
          <w:b/>
          <w:bCs/>
          <w:sz w:val="24"/>
          <w:szCs w:val="24"/>
        </w:rPr>
        <w:t>询比有关说明</w:t>
      </w:r>
      <w:bookmarkEnd w:id="16"/>
      <w:bookmarkEnd w:id="27"/>
      <w:bookmarkEnd w:id="28"/>
      <w:bookmarkEnd w:id="33"/>
      <w:bookmarkEnd w:id="34"/>
      <w:bookmarkStart w:id="35" w:name="_Toc31116"/>
      <w:bookmarkStart w:id="36" w:name="_Toc88830797"/>
      <w:bookmarkStart w:id="37" w:name="_Toc1411"/>
      <w:bookmarkStart w:id="38" w:name="_Toc373860294"/>
      <w:bookmarkStart w:id="39" w:name="_Toc19890"/>
      <w:bookmarkStart w:id="40" w:name="_Toc47094764"/>
    </w:p>
    <w:p w14:paraId="60B05AC7">
      <w:pPr>
        <w:numPr>
          <w:ilvl w:val="0"/>
          <w:numId w:val="3"/>
        </w:numPr>
        <w:snapToGrid w:val="0"/>
        <w:spacing w:line="400" w:lineRule="exact"/>
        <w:ind w:firstLine="240" w:firstLineChars="100"/>
        <w:rPr>
          <w:rFonts w:ascii="微软雅黑" w:hAnsi="微软雅黑" w:eastAsia="微软雅黑" w:cs="微软雅黑"/>
          <w:sz w:val="24"/>
          <w:szCs w:val="24"/>
        </w:rPr>
      </w:pPr>
      <w:r>
        <w:rPr>
          <w:rFonts w:hint="eastAsia" w:ascii="微软雅黑" w:hAnsi="微软雅黑" w:eastAsia="微软雅黑" w:cs="微软雅黑"/>
          <w:sz w:val="24"/>
          <w:szCs w:val="24"/>
        </w:rPr>
        <w:t>报名</w:t>
      </w:r>
      <w:bookmarkEnd w:id="35"/>
      <w:bookmarkEnd w:id="36"/>
      <w:bookmarkEnd w:id="37"/>
      <w:r>
        <w:rPr>
          <w:rFonts w:hint="eastAsia" w:ascii="微软雅黑" w:hAnsi="微软雅黑" w:eastAsia="微软雅黑" w:cs="微软雅黑"/>
          <w:sz w:val="24"/>
          <w:szCs w:val="24"/>
        </w:rPr>
        <w:t>：请各位符合资格要求的供应商在询比文件发售期内（2025年</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13</w:t>
      </w:r>
      <w:r>
        <w:rPr>
          <w:rFonts w:hint="eastAsia" w:ascii="微软雅黑" w:hAnsi="微软雅黑" w:eastAsia="微软雅黑" w:cs="微软雅黑"/>
          <w:sz w:val="24"/>
          <w:szCs w:val="24"/>
        </w:rPr>
        <w:t>日至2025年</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19</w:t>
      </w:r>
      <w:r>
        <w:rPr>
          <w:rFonts w:hint="eastAsia" w:ascii="微软雅黑" w:hAnsi="微软雅黑" w:eastAsia="微软雅黑" w:cs="微软雅黑"/>
          <w:sz w:val="24"/>
          <w:szCs w:val="24"/>
        </w:rPr>
        <w:t>日）</w:t>
      </w:r>
      <w:r>
        <w:rPr>
          <w:rFonts w:hint="eastAsia" w:ascii="微软雅黑" w:hAnsi="微软雅黑" w:eastAsia="微软雅黑" w:cs="微软雅黑"/>
          <w:sz w:val="24"/>
          <w:szCs w:val="24"/>
          <w:lang w:eastAsia="zh-CN"/>
        </w:rPr>
        <w:t>工作日</w:t>
      </w:r>
      <w:r>
        <w:rPr>
          <w:rFonts w:hint="eastAsia" w:ascii="微软雅黑" w:hAnsi="微软雅黑" w:eastAsia="微软雅黑" w:cs="微软雅黑"/>
          <w:sz w:val="24"/>
          <w:szCs w:val="24"/>
        </w:rPr>
        <w:t>上午09:00至12:00，下午14:00至17:00（北京时间，下同），持单位营业执照（复印件加盖公章）、资质证书（复印件加盖公章）、安全生产许可证（复印件加盖公章）、介绍信（或授权委托书原件）、身份证原件及复印件、文件发售登记表（加盖公章），在代理机构报名及获取询比资料。（咨询电话：13330335377）</w:t>
      </w:r>
    </w:p>
    <w:p w14:paraId="6394AC61">
      <w:pPr>
        <w:snapToGrid w:val="0"/>
        <w:spacing w:line="40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注:未按上述要求报名的供应商不能参与本项目询比。</w:t>
      </w:r>
    </w:p>
    <w:p w14:paraId="4E9D4648">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（二）询比公告期限：自询比公告发布之日（2025年</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13</w:t>
      </w:r>
      <w:r>
        <w:rPr>
          <w:rFonts w:hint="eastAsia" w:ascii="微软雅黑" w:hAnsi="微软雅黑" w:eastAsia="微软雅黑" w:cs="微软雅黑"/>
          <w:sz w:val="24"/>
          <w:szCs w:val="24"/>
        </w:rPr>
        <w:t>日）起7天。（公示媒体：行采家www.gec123.com）</w:t>
      </w:r>
    </w:p>
    <w:p w14:paraId="26CC542B">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（三）询比文件售价：人民币500元/份（报名及获取询比资料时通过现金或银行转账缴纳，售后不退）。 </w:t>
      </w:r>
    </w:p>
    <w:p w14:paraId="50E9F260">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（四）询比响应文件的递交</w:t>
      </w:r>
      <w:bookmarkStart w:id="74" w:name="_GoBack"/>
      <w:bookmarkEnd w:id="74"/>
    </w:p>
    <w:p w14:paraId="27AA9E4A">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询比响应文件递交截至时间：</w:t>
      </w:r>
      <w:r>
        <w:rPr>
          <w:rFonts w:hint="eastAsia" w:ascii="微软雅黑" w:hAnsi="微软雅黑" w:eastAsia="微软雅黑" w:cs="微软雅黑"/>
          <w:sz w:val="24"/>
          <w:szCs w:val="24"/>
          <w:u w:val="single"/>
        </w:rPr>
        <w:t>2025年</w:t>
      </w:r>
      <w:r>
        <w:rPr>
          <w:rFonts w:hint="eastAsia" w:ascii="微软雅黑" w:hAnsi="微软雅黑" w:eastAsia="微软雅黑" w:cs="微软雅黑"/>
          <w:sz w:val="24"/>
          <w:szCs w:val="24"/>
          <w:u w:val="single"/>
          <w:lang w:val="en-US" w:eastAsia="zh-CN"/>
        </w:rPr>
        <w:t>8</w:t>
      </w:r>
      <w:r>
        <w:rPr>
          <w:rFonts w:hint="eastAsia" w:ascii="微软雅黑" w:hAnsi="微软雅黑" w:eastAsia="微软雅黑" w:cs="微软雅黑"/>
          <w:sz w:val="24"/>
          <w:szCs w:val="24"/>
          <w:u w:val="single"/>
        </w:rPr>
        <w:t>月</w:t>
      </w:r>
      <w:r>
        <w:rPr>
          <w:rFonts w:hint="eastAsia" w:ascii="微软雅黑" w:hAnsi="微软雅黑" w:eastAsia="微软雅黑" w:cs="微软雅黑"/>
          <w:sz w:val="24"/>
          <w:szCs w:val="24"/>
          <w:u w:val="single"/>
          <w:lang w:val="en-US" w:eastAsia="zh-CN"/>
        </w:rPr>
        <w:t>20</w:t>
      </w:r>
      <w:r>
        <w:rPr>
          <w:rFonts w:hint="eastAsia" w:ascii="微软雅黑" w:hAnsi="微软雅黑" w:eastAsia="微软雅黑" w:cs="微软雅黑"/>
          <w:sz w:val="24"/>
          <w:szCs w:val="24"/>
          <w:u w:val="single"/>
        </w:rPr>
        <w:t>日14时30分</w:t>
      </w:r>
      <w:r>
        <w:rPr>
          <w:rFonts w:hint="eastAsia" w:ascii="微软雅黑" w:hAnsi="微软雅黑" w:eastAsia="微软雅黑" w:cs="微软雅黑"/>
          <w:sz w:val="24"/>
          <w:szCs w:val="24"/>
        </w:rPr>
        <w:t>，</w:t>
      </w:r>
    </w:p>
    <w:p w14:paraId="520F3B73">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递交地点：</w:t>
      </w:r>
      <w:r>
        <w:rPr>
          <w:rFonts w:hint="eastAsia" w:ascii="微软雅黑" w:hAnsi="微软雅黑" w:eastAsia="微软雅黑" w:cs="微软雅黑"/>
          <w:sz w:val="24"/>
          <w:szCs w:val="24"/>
          <w:u w:val="single"/>
        </w:rPr>
        <w:t>和欣家园物业服务中心会议室</w:t>
      </w:r>
    </w:p>
    <w:p w14:paraId="5BBF1FD2">
      <w:p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
          <w:bCs/>
          <w:sz w:val="24"/>
          <w:szCs w:val="24"/>
        </w:rPr>
        <w:t>注:逾期送达或者未送达指定地点的询比申请文件，不予受理。</w:t>
      </w:r>
    </w:p>
    <w:p w14:paraId="6C7D1B90">
      <w:pPr>
        <w:numPr>
          <w:ilvl w:val="0"/>
          <w:numId w:val="4"/>
        </w:num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询比地点：</w:t>
      </w:r>
      <w:r>
        <w:rPr>
          <w:rFonts w:hint="eastAsia" w:ascii="微软雅黑" w:hAnsi="微软雅黑" w:eastAsia="微软雅黑" w:cs="微软雅黑"/>
          <w:sz w:val="24"/>
          <w:szCs w:val="24"/>
          <w:u w:val="single"/>
        </w:rPr>
        <w:t>和欣家园物业服务中心会议室</w:t>
      </w:r>
    </w:p>
    <w:p w14:paraId="5442BA61">
      <w:pPr>
        <w:numPr>
          <w:ilvl w:val="0"/>
          <w:numId w:val="4"/>
        </w:numPr>
        <w:snapToGrid w:val="0"/>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询比开始时间：</w:t>
      </w:r>
      <w:r>
        <w:rPr>
          <w:rFonts w:hint="eastAsia" w:ascii="微软雅黑" w:hAnsi="微软雅黑" w:eastAsia="微软雅黑" w:cs="微软雅黑"/>
          <w:sz w:val="24"/>
          <w:szCs w:val="24"/>
          <w:u w:val="single"/>
        </w:rPr>
        <w:t>2025年</w:t>
      </w:r>
      <w:r>
        <w:rPr>
          <w:rFonts w:hint="eastAsia" w:ascii="微软雅黑" w:hAnsi="微软雅黑" w:eastAsia="微软雅黑" w:cs="微软雅黑"/>
          <w:sz w:val="24"/>
          <w:szCs w:val="24"/>
          <w:u w:val="single"/>
          <w:lang w:val="en-US" w:eastAsia="zh-CN"/>
        </w:rPr>
        <w:t>8</w:t>
      </w:r>
      <w:r>
        <w:rPr>
          <w:rFonts w:hint="eastAsia" w:ascii="微软雅黑" w:hAnsi="微软雅黑" w:eastAsia="微软雅黑" w:cs="微软雅黑"/>
          <w:sz w:val="24"/>
          <w:szCs w:val="24"/>
          <w:u w:val="single"/>
        </w:rPr>
        <w:t>月</w:t>
      </w:r>
      <w:r>
        <w:rPr>
          <w:rFonts w:hint="eastAsia" w:ascii="微软雅黑" w:hAnsi="微软雅黑" w:eastAsia="微软雅黑" w:cs="微软雅黑"/>
          <w:sz w:val="24"/>
          <w:szCs w:val="24"/>
          <w:u w:val="single"/>
          <w:lang w:val="en-US" w:eastAsia="zh-CN"/>
        </w:rPr>
        <w:t>20</w:t>
      </w:r>
      <w:r>
        <w:rPr>
          <w:rFonts w:hint="eastAsia" w:ascii="微软雅黑" w:hAnsi="微软雅黑" w:eastAsia="微软雅黑" w:cs="微软雅黑"/>
          <w:sz w:val="24"/>
          <w:szCs w:val="24"/>
          <w:u w:val="single"/>
        </w:rPr>
        <w:t>日14时30分</w:t>
      </w:r>
      <w:r>
        <w:rPr>
          <w:rFonts w:hint="eastAsia" w:ascii="微软雅黑" w:hAnsi="微软雅黑" w:eastAsia="微软雅黑" w:cs="微软雅黑"/>
          <w:sz w:val="24"/>
          <w:szCs w:val="24"/>
        </w:rPr>
        <w:t>。</w:t>
      </w:r>
    </w:p>
    <w:p w14:paraId="094F1836">
      <w:pPr>
        <w:numPr>
          <w:ilvl w:val="0"/>
          <w:numId w:val="2"/>
        </w:numPr>
        <w:snapToGrid w:val="0"/>
        <w:spacing w:line="400" w:lineRule="exact"/>
        <w:outlineLvl w:val="1"/>
        <w:rPr>
          <w:rFonts w:ascii="微软雅黑" w:hAnsi="微软雅黑" w:eastAsia="微软雅黑" w:cs="微软雅黑"/>
          <w:b/>
          <w:bCs/>
          <w:sz w:val="24"/>
          <w:szCs w:val="24"/>
        </w:rPr>
      </w:pPr>
      <w:bookmarkStart w:id="41" w:name="_Toc17951"/>
      <w:r>
        <w:rPr>
          <w:rFonts w:hint="eastAsia" w:ascii="微软雅黑" w:hAnsi="微软雅黑" w:eastAsia="微软雅黑" w:cs="微软雅黑"/>
          <w:b/>
          <w:bCs/>
          <w:sz w:val="24"/>
          <w:szCs w:val="24"/>
        </w:rPr>
        <w:t>现场踏勘</w:t>
      </w:r>
      <w:bookmarkEnd w:id="41"/>
    </w:p>
    <w:p w14:paraId="578750B5">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1、供应商需要进行现场踏勘。踏勘时需提供公司授权函（同时提供法人身份证复印件、授权人身份证复印件等信息），服从采购人现场管理人员管理要求。</w:t>
      </w:r>
    </w:p>
    <w:p w14:paraId="005BA6DB">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2、现场踏勘时间及组织方式：供应商应提前联系采购人，在报名及询比文件发售期间：2025年</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13</w:t>
      </w:r>
      <w:r>
        <w:rPr>
          <w:rFonts w:hint="eastAsia" w:ascii="微软雅黑" w:hAnsi="微软雅黑" w:eastAsia="微软雅黑" w:cs="微软雅黑"/>
          <w:sz w:val="24"/>
          <w:szCs w:val="24"/>
        </w:rPr>
        <w:t>日-2025年</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19</w:t>
      </w:r>
      <w:r>
        <w:rPr>
          <w:rFonts w:hint="eastAsia" w:ascii="微软雅黑" w:hAnsi="微软雅黑" w:eastAsia="微软雅黑" w:cs="微软雅黑"/>
          <w:sz w:val="24"/>
          <w:szCs w:val="24"/>
        </w:rPr>
        <w:t>日17:00（工作时间内）到项目现场进行实地踏勘，管理处出具现场踏勘确认书。</w:t>
      </w:r>
    </w:p>
    <w:p w14:paraId="5F45FA3B">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现场踏勘联系方式：陈伟13896015528</w:t>
      </w:r>
    </w:p>
    <w:p w14:paraId="0D702F12">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3、供应商踏勘费用、安全等由供应商自行负责，并对考察中获取的资料负责并保密。</w:t>
      </w:r>
    </w:p>
    <w:p w14:paraId="716C7619">
      <w:pPr>
        <w:pStyle w:val="3"/>
        <w:spacing w:line="380" w:lineRule="exact"/>
        <w:rPr>
          <w:rFonts w:ascii="微软雅黑" w:hAnsi="微软雅黑" w:eastAsia="微软雅黑" w:cs="微软雅黑"/>
          <w:sz w:val="24"/>
          <w:szCs w:val="24"/>
        </w:rPr>
      </w:pPr>
      <w:bookmarkStart w:id="42" w:name="_Toc13712"/>
      <w:bookmarkStart w:id="43" w:name="_Toc14398"/>
      <w:bookmarkStart w:id="44" w:name="_Toc23295"/>
      <w:r>
        <w:rPr>
          <w:rFonts w:hint="eastAsia" w:ascii="微软雅黑" w:hAnsi="微软雅黑" w:eastAsia="微软雅黑" w:cs="微软雅黑"/>
          <w:sz w:val="24"/>
          <w:szCs w:val="24"/>
        </w:rPr>
        <w:t>六、询比保证金</w:t>
      </w:r>
      <w:bookmarkEnd w:id="38"/>
      <w:bookmarkEnd w:id="39"/>
      <w:bookmarkEnd w:id="40"/>
      <w:bookmarkEnd w:id="42"/>
      <w:bookmarkEnd w:id="43"/>
      <w:bookmarkEnd w:id="44"/>
    </w:p>
    <w:p w14:paraId="692C094D">
      <w:pPr>
        <w:spacing w:line="380" w:lineRule="exact"/>
        <w:ind w:firstLine="480" w:firstLineChars="200"/>
        <w:rPr>
          <w:rFonts w:ascii="微软雅黑" w:hAnsi="微软雅黑" w:eastAsia="微软雅黑" w:cs="微软雅黑"/>
          <w:sz w:val="24"/>
          <w:szCs w:val="24"/>
        </w:rPr>
      </w:pPr>
      <w:bookmarkStart w:id="45" w:name="_Toc23972"/>
      <w:bookmarkStart w:id="46" w:name="_Toc47094766"/>
      <w:r>
        <w:rPr>
          <w:rFonts w:hint="eastAsia" w:ascii="微软雅黑" w:hAnsi="微软雅黑" w:eastAsia="微软雅黑" w:cs="微软雅黑"/>
          <w:sz w:val="24"/>
          <w:szCs w:val="24"/>
        </w:rPr>
        <w:t>1、供应商应足额交纳询比保证金人民币：5000元（大写：伍仟元整），缴纳方式：银行转帐或现金。缴纳截止时间：2025年</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19</w:t>
      </w:r>
      <w:r>
        <w:rPr>
          <w:rFonts w:hint="eastAsia" w:ascii="微软雅黑" w:hAnsi="微软雅黑" w:eastAsia="微软雅黑" w:cs="微软雅黑"/>
          <w:sz w:val="24"/>
          <w:szCs w:val="24"/>
        </w:rPr>
        <w:t>日</w:t>
      </w:r>
      <w:r>
        <w:rPr>
          <w:rFonts w:ascii="微软雅黑" w:hAnsi="微软雅黑" w:eastAsia="微软雅黑" w:cs="微软雅黑"/>
          <w:sz w:val="24"/>
          <w:szCs w:val="24"/>
        </w:rPr>
        <w:t>1</w:t>
      </w:r>
      <w:r>
        <w:rPr>
          <w:rFonts w:hint="eastAsia" w:ascii="微软雅黑" w:hAnsi="微软雅黑" w:eastAsia="微软雅黑" w:cs="微软雅黑"/>
          <w:sz w:val="24"/>
          <w:szCs w:val="24"/>
        </w:rPr>
        <w:t>7时00分。</w:t>
      </w:r>
    </w:p>
    <w:p w14:paraId="2312FF45">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2、供应商自行将询比保证金单据同询比申请文件一并提交，密封袋封口处加盖企业公章。供应商未按时足额提交询比保证金，视为自动放弃询比。</w:t>
      </w:r>
    </w:p>
    <w:p w14:paraId="25E435FB">
      <w:pPr>
        <w:spacing w:line="380" w:lineRule="exact"/>
        <w:ind w:firstLine="480" w:firstLineChars="200"/>
        <w:rPr>
          <w:rFonts w:ascii="微软雅黑" w:hAnsi="微软雅黑" w:eastAsia="微软雅黑" w:cs="微软雅黑"/>
          <w:sz w:val="24"/>
          <w:szCs w:val="24"/>
        </w:rPr>
      </w:pPr>
      <w:bookmarkStart w:id="47" w:name="_Toc28854"/>
      <w:bookmarkStart w:id="48" w:name="_Toc25137"/>
      <w:bookmarkStart w:id="49" w:name="_Toc22777"/>
      <w:bookmarkStart w:id="50" w:name="_Toc2666"/>
      <w:r>
        <w:rPr>
          <w:rFonts w:hint="eastAsia" w:ascii="微软雅黑" w:hAnsi="微软雅黑" w:eastAsia="微软雅黑" w:cs="微软雅黑"/>
          <w:sz w:val="24"/>
          <w:szCs w:val="24"/>
        </w:rPr>
        <w:t>3、询比保证金退还（不计息）：</w:t>
      </w:r>
      <w:bookmarkEnd w:id="47"/>
      <w:bookmarkEnd w:id="48"/>
      <w:bookmarkEnd w:id="49"/>
      <w:bookmarkEnd w:id="50"/>
    </w:p>
    <w:p w14:paraId="1CE5EFC6">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（1）未成交供应商的询比保证金将于成交通知书发放后5个工作日内无息退还。</w:t>
      </w:r>
    </w:p>
    <w:p w14:paraId="6ED56962">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（2）成交供应商的询比保证金在工程合同签订后5个工作日内退还。</w:t>
      </w:r>
    </w:p>
    <w:bookmarkEnd w:id="17"/>
    <w:bookmarkEnd w:id="45"/>
    <w:bookmarkEnd w:id="46"/>
    <w:p w14:paraId="53F175A5">
      <w:pPr>
        <w:pStyle w:val="3"/>
        <w:spacing w:line="380" w:lineRule="exact"/>
        <w:rPr>
          <w:rFonts w:ascii="微软雅黑" w:hAnsi="微软雅黑" w:eastAsia="微软雅黑" w:cs="微软雅黑"/>
          <w:sz w:val="24"/>
          <w:szCs w:val="24"/>
        </w:rPr>
      </w:pPr>
      <w:bookmarkStart w:id="51" w:name="_Toc24086"/>
      <w:bookmarkStart w:id="52" w:name="_Toc10769"/>
      <w:bookmarkStart w:id="53" w:name="_Toc19057"/>
      <w:bookmarkStart w:id="54" w:name="_Toc11942"/>
      <w:bookmarkStart w:id="55" w:name="_Toc26922"/>
      <w:bookmarkStart w:id="56" w:name="_Toc47094767"/>
      <w:r>
        <w:rPr>
          <w:rFonts w:hint="eastAsia" w:ascii="微软雅黑" w:hAnsi="微软雅黑" w:eastAsia="微软雅黑" w:cs="微软雅黑"/>
          <w:sz w:val="24"/>
          <w:szCs w:val="24"/>
        </w:rPr>
        <w:t>七、采购代理服务费</w:t>
      </w:r>
      <w:bookmarkEnd w:id="51"/>
      <w:bookmarkEnd w:id="52"/>
      <w:bookmarkEnd w:id="53"/>
      <w:bookmarkEnd w:id="54"/>
    </w:p>
    <w:p w14:paraId="35AA5A6C">
      <w:pPr>
        <w:spacing w:line="3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根据国家现行取费政策，招标代理服务费按项目本次中标金额的1%收取。由成交供应商在领取成交通知书时一次性支付给代理机构。</w:t>
      </w:r>
    </w:p>
    <w:p w14:paraId="0297CF30">
      <w:pPr>
        <w:spacing w:line="3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询比保证金、询比文件购买费及采购代理服务费缴纳账户：</w:t>
      </w:r>
    </w:p>
    <w:p w14:paraId="263C3B52">
      <w:pPr>
        <w:spacing w:line="3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开户名称：重庆栖庭置业顾问有限公司</w:t>
      </w:r>
    </w:p>
    <w:p w14:paraId="78E25285">
      <w:pPr>
        <w:spacing w:line="3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开户行：中国农业银行股份有限公司重庆沙坪坝凤鸣山支行</w:t>
      </w:r>
    </w:p>
    <w:p w14:paraId="348D1EE3">
      <w:pPr>
        <w:spacing w:line="380" w:lineRule="exact"/>
        <w:ind w:firstLine="480" w:firstLineChars="200"/>
        <w:rPr>
          <w:rFonts w:ascii="微软雅黑" w:hAnsi="微软雅黑" w:eastAsia="微软雅黑" w:cs="微软雅黑"/>
          <w:sz w:val="24"/>
        </w:rPr>
      </w:pPr>
      <w:r>
        <w:rPr>
          <w:rFonts w:hint="eastAsia" w:ascii="微软雅黑" w:hAnsi="微软雅黑" w:eastAsia="微软雅黑" w:cs="微软雅黑"/>
          <w:b/>
          <w:bCs/>
          <w:sz w:val="24"/>
          <w:szCs w:val="24"/>
        </w:rPr>
        <w:t>账号：</w:t>
      </w:r>
      <w:r>
        <w:rPr>
          <w:rFonts w:hint="eastAsia" w:ascii="微软雅黑" w:hAnsi="微软雅黑" w:eastAsia="微软雅黑" w:cs="微软雅黑"/>
          <w:sz w:val="24"/>
        </w:rPr>
        <w:t>31040201040014058</w:t>
      </w:r>
      <w:bookmarkEnd w:id="55"/>
      <w:bookmarkEnd w:id="56"/>
    </w:p>
    <w:p w14:paraId="22A5BBFE">
      <w:pPr>
        <w:pStyle w:val="3"/>
        <w:spacing w:line="380" w:lineRule="exact"/>
        <w:rPr>
          <w:rFonts w:ascii="微软雅黑" w:hAnsi="微软雅黑" w:eastAsia="微软雅黑" w:cs="微软雅黑"/>
          <w:sz w:val="24"/>
          <w:szCs w:val="24"/>
        </w:rPr>
      </w:pPr>
      <w:bookmarkStart w:id="57" w:name="_Toc6492"/>
      <w:bookmarkStart w:id="58" w:name="_Toc30964"/>
      <w:bookmarkStart w:id="59" w:name="_Toc9019"/>
      <w:r>
        <w:rPr>
          <w:rFonts w:hint="eastAsia" w:ascii="微软雅黑" w:hAnsi="微软雅黑" w:eastAsia="微软雅黑" w:cs="微软雅黑"/>
          <w:sz w:val="24"/>
          <w:szCs w:val="24"/>
        </w:rPr>
        <w:t>八、联系方式</w:t>
      </w:r>
      <w:bookmarkEnd w:id="57"/>
      <w:bookmarkEnd w:id="58"/>
      <w:bookmarkEnd w:id="59"/>
    </w:p>
    <w:p w14:paraId="45FD93B8">
      <w:pPr>
        <w:snapToGrid w:val="0"/>
        <w:spacing w:line="380" w:lineRule="exact"/>
        <w:ind w:firstLine="480" w:firstLineChars="200"/>
        <w:jc w:val="left"/>
        <w:rPr>
          <w:rFonts w:ascii="微软雅黑" w:hAnsi="微软雅黑" w:eastAsia="微软雅黑" w:cs="微软雅黑"/>
          <w:sz w:val="24"/>
          <w:szCs w:val="24"/>
        </w:rPr>
      </w:pPr>
      <w:bookmarkStart w:id="60" w:name="_Toc2267"/>
      <w:bookmarkStart w:id="61" w:name="_Toc6902"/>
      <w:bookmarkStart w:id="62" w:name="_Toc26731"/>
      <w:bookmarkStart w:id="63" w:name="_Toc22296"/>
      <w:r>
        <w:rPr>
          <w:rFonts w:hint="eastAsia" w:ascii="微软雅黑" w:hAnsi="微软雅黑" w:eastAsia="微软雅黑" w:cs="微软雅黑"/>
          <w:sz w:val="24"/>
          <w:szCs w:val="24"/>
        </w:rPr>
        <w:t>（一）采购人：</w:t>
      </w:r>
      <w:bookmarkEnd w:id="60"/>
      <w:bookmarkEnd w:id="61"/>
      <w:bookmarkEnd w:id="62"/>
      <w:bookmarkEnd w:id="63"/>
      <w:r>
        <w:rPr>
          <w:rFonts w:hint="eastAsia" w:ascii="微软雅黑" w:hAnsi="微软雅黑" w:eastAsia="微软雅黑" w:cs="微软雅黑"/>
          <w:sz w:val="24"/>
          <w:szCs w:val="24"/>
        </w:rPr>
        <w:t>重庆两江新区物业管理有限公司</w:t>
      </w:r>
    </w:p>
    <w:p w14:paraId="1EEC106A">
      <w:pPr>
        <w:snapToGrid w:val="0"/>
        <w:spacing w:line="380" w:lineRule="exact"/>
        <w:ind w:firstLine="1118" w:firstLineChars="466"/>
        <w:rPr>
          <w:rFonts w:ascii="微软雅黑" w:hAnsi="微软雅黑" w:eastAsia="微软雅黑" w:cs="微软雅黑"/>
          <w:sz w:val="24"/>
          <w:szCs w:val="24"/>
        </w:rPr>
      </w:pPr>
      <w:r>
        <w:rPr>
          <w:rFonts w:hint="eastAsia" w:ascii="微软雅黑" w:hAnsi="微软雅黑" w:eastAsia="微软雅黑" w:cs="微软雅黑"/>
          <w:sz w:val="24"/>
          <w:szCs w:val="24"/>
        </w:rPr>
        <w:t>联系人：陈老师</w:t>
      </w:r>
    </w:p>
    <w:p w14:paraId="75274996">
      <w:pPr>
        <w:snapToGrid w:val="0"/>
        <w:spacing w:line="380" w:lineRule="exact"/>
        <w:ind w:firstLine="1118" w:firstLineChars="466"/>
        <w:rPr>
          <w:rFonts w:ascii="微软雅黑" w:hAnsi="微软雅黑" w:eastAsia="微软雅黑" w:cs="微软雅黑"/>
          <w:sz w:val="24"/>
          <w:szCs w:val="24"/>
        </w:rPr>
      </w:pPr>
      <w:bookmarkStart w:id="64" w:name="_Toc1280"/>
      <w:bookmarkStart w:id="65" w:name="_Toc9472"/>
      <w:bookmarkStart w:id="66" w:name="_Toc17211"/>
      <w:bookmarkStart w:id="67" w:name="_Toc28511"/>
      <w:r>
        <w:rPr>
          <w:rFonts w:hint="eastAsia" w:ascii="微软雅黑" w:hAnsi="微软雅黑" w:eastAsia="微软雅黑" w:cs="微软雅黑"/>
          <w:sz w:val="24"/>
          <w:szCs w:val="24"/>
        </w:rPr>
        <w:t>电  话：</w:t>
      </w:r>
      <w:bookmarkEnd w:id="64"/>
      <w:bookmarkEnd w:id="65"/>
      <w:bookmarkEnd w:id="66"/>
      <w:bookmarkStart w:id="68" w:name="_Toc276"/>
      <w:bookmarkStart w:id="69" w:name="_Toc19988"/>
      <w:bookmarkStart w:id="70" w:name="_Toc30277"/>
      <w:r>
        <w:rPr>
          <w:rFonts w:hint="eastAsia" w:ascii="微软雅黑" w:hAnsi="微软雅黑" w:eastAsia="微软雅黑" w:cs="微软雅黑"/>
          <w:sz w:val="24"/>
          <w:szCs w:val="24"/>
        </w:rPr>
        <w:t>13896015528</w:t>
      </w:r>
    </w:p>
    <w:p w14:paraId="109BCD72">
      <w:pPr>
        <w:snapToGrid w:val="0"/>
        <w:spacing w:line="380" w:lineRule="exact"/>
        <w:ind w:firstLine="1118" w:firstLineChars="466"/>
        <w:rPr>
          <w:rFonts w:ascii="微软雅黑" w:hAnsi="微软雅黑" w:eastAsia="微软雅黑" w:cs="微软雅黑"/>
          <w:sz w:val="24"/>
          <w:szCs w:val="24"/>
        </w:rPr>
      </w:pPr>
      <w:r>
        <w:rPr>
          <w:rFonts w:hint="eastAsia" w:ascii="微软雅黑" w:hAnsi="微软雅黑" w:eastAsia="微软雅黑" w:cs="微软雅黑"/>
          <w:sz w:val="24"/>
          <w:szCs w:val="24"/>
        </w:rPr>
        <w:t>地  址：</w:t>
      </w:r>
      <w:bookmarkEnd w:id="68"/>
      <w:bookmarkEnd w:id="69"/>
      <w:bookmarkEnd w:id="70"/>
      <w:r>
        <w:rPr>
          <w:rFonts w:hint="eastAsia" w:ascii="微软雅黑" w:hAnsi="微软雅黑" w:eastAsia="微软雅黑" w:cs="微软雅黑"/>
          <w:sz w:val="24"/>
          <w:szCs w:val="24"/>
        </w:rPr>
        <w:t xml:space="preserve"> 和欣家园小区物业办公室</w:t>
      </w:r>
    </w:p>
    <w:p w14:paraId="7DAFF9B2">
      <w:pPr>
        <w:snapToGrid w:val="0"/>
        <w:spacing w:line="380" w:lineRule="exact"/>
        <w:ind w:firstLine="480" w:firstLineChars="200"/>
        <w:rPr>
          <w:rFonts w:ascii="微软雅黑" w:hAnsi="微软雅黑" w:eastAsia="微软雅黑" w:cs="微软雅黑"/>
          <w:sz w:val="24"/>
          <w:szCs w:val="24"/>
        </w:rPr>
      </w:pPr>
      <w:bookmarkStart w:id="71" w:name="_Toc1998"/>
      <w:bookmarkStart w:id="72" w:name="_Toc537"/>
      <w:bookmarkStart w:id="73" w:name="_Toc10412"/>
      <w:r>
        <w:rPr>
          <w:rFonts w:hint="eastAsia" w:ascii="微软雅黑" w:hAnsi="微软雅黑" w:eastAsia="微软雅黑" w:cs="微软雅黑"/>
          <w:sz w:val="24"/>
          <w:szCs w:val="24"/>
        </w:rPr>
        <w:t>（二）采购代理机构：</w:t>
      </w:r>
      <w:bookmarkEnd w:id="67"/>
      <w:bookmarkEnd w:id="71"/>
      <w:bookmarkEnd w:id="72"/>
      <w:bookmarkEnd w:id="73"/>
      <w:r>
        <w:rPr>
          <w:rFonts w:hint="eastAsia" w:ascii="微软雅黑" w:hAnsi="微软雅黑" w:eastAsia="微软雅黑" w:cs="微软雅黑"/>
          <w:sz w:val="24"/>
          <w:szCs w:val="24"/>
        </w:rPr>
        <w:t>重庆栖庭置业顾问有限公司</w:t>
      </w:r>
    </w:p>
    <w:p w14:paraId="0C0E3A13">
      <w:pPr>
        <w:snapToGrid w:val="0"/>
        <w:spacing w:line="380" w:lineRule="exact"/>
        <w:ind w:firstLine="1200" w:firstLineChars="500"/>
        <w:rPr>
          <w:rFonts w:ascii="微软雅黑" w:hAnsi="微软雅黑" w:eastAsia="微软雅黑" w:cs="微软雅黑"/>
          <w:sz w:val="24"/>
          <w:szCs w:val="24"/>
        </w:rPr>
      </w:pPr>
      <w:r>
        <w:rPr>
          <w:rFonts w:hint="eastAsia" w:ascii="微软雅黑" w:hAnsi="微软雅黑" w:eastAsia="微软雅黑" w:cs="微软雅黑"/>
          <w:sz w:val="24"/>
          <w:szCs w:val="24"/>
        </w:rPr>
        <w:t>联系人：吴老师</w:t>
      </w:r>
    </w:p>
    <w:p w14:paraId="15458310">
      <w:pPr>
        <w:snapToGrid w:val="0"/>
        <w:spacing w:line="380" w:lineRule="exact"/>
        <w:ind w:firstLine="1200" w:firstLineChars="500"/>
        <w:rPr>
          <w:rFonts w:ascii="微软雅黑" w:hAnsi="微软雅黑" w:eastAsia="微软雅黑" w:cs="微软雅黑"/>
          <w:sz w:val="24"/>
          <w:szCs w:val="24"/>
        </w:rPr>
      </w:pPr>
      <w:r>
        <w:rPr>
          <w:rFonts w:hint="eastAsia" w:ascii="微软雅黑" w:hAnsi="微软雅黑" w:eastAsia="微软雅黑" w:cs="微软雅黑"/>
          <w:sz w:val="24"/>
          <w:szCs w:val="24"/>
        </w:rPr>
        <w:t>电  话：13330335377</w:t>
      </w:r>
    </w:p>
    <w:p w14:paraId="48C26A1D">
      <w:pPr>
        <w:snapToGrid w:val="0"/>
        <w:spacing w:line="380" w:lineRule="exact"/>
        <w:ind w:firstLine="1200" w:firstLineChars="500"/>
      </w:pPr>
      <w:r>
        <w:rPr>
          <w:rFonts w:hint="eastAsia" w:ascii="微软雅黑" w:hAnsi="微软雅黑" w:eastAsia="微软雅黑" w:cs="微软雅黑"/>
          <w:sz w:val="24"/>
          <w:szCs w:val="24"/>
        </w:rPr>
        <w:t>地  址：重庆市巴南区渝南大道123号附41号</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7874E">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37E8B9">
                          <w:pPr>
                            <w:pStyle w:val="8"/>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3437E8B9">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6B4E9">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73F93"/>
    <w:multiLevelType w:val="singleLevel"/>
    <w:tmpl w:val="9C473F93"/>
    <w:lvl w:ilvl="0" w:tentative="0">
      <w:start w:val="1"/>
      <w:numFmt w:val="chineseCounting"/>
      <w:suff w:val="nothing"/>
      <w:lvlText w:val="（%1）"/>
      <w:lvlJc w:val="left"/>
      <w:rPr>
        <w:rFonts w:hint="eastAsia"/>
      </w:rPr>
    </w:lvl>
  </w:abstractNum>
  <w:abstractNum w:abstractNumId="1">
    <w:nsid w:val="B81BDEFE"/>
    <w:multiLevelType w:val="singleLevel"/>
    <w:tmpl w:val="B81BDEFE"/>
    <w:lvl w:ilvl="0" w:tentative="0">
      <w:start w:val="4"/>
      <w:numFmt w:val="chineseCounting"/>
      <w:suff w:val="nothing"/>
      <w:lvlText w:val="%1、"/>
      <w:lvlJc w:val="left"/>
      <w:rPr>
        <w:rFonts w:hint="eastAsia"/>
      </w:rPr>
    </w:lvl>
  </w:abstractNum>
  <w:abstractNum w:abstractNumId="2">
    <w:nsid w:val="2D03EAA5"/>
    <w:multiLevelType w:val="singleLevel"/>
    <w:tmpl w:val="2D03EAA5"/>
    <w:lvl w:ilvl="0" w:tentative="0">
      <w:start w:val="5"/>
      <w:numFmt w:val="chineseCounting"/>
      <w:suff w:val="nothing"/>
      <w:lvlText w:val="（%1）"/>
      <w:lvlJc w:val="left"/>
      <w:rPr>
        <w:rFonts w:hint="eastAsia"/>
      </w:rPr>
    </w:lvl>
  </w:abstractNum>
  <w:abstractNum w:abstractNumId="3">
    <w:nsid w:val="791CC9E7"/>
    <w:multiLevelType w:val="singleLevel"/>
    <w:tmpl w:val="791CC9E7"/>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6CA"/>
    <w:rsid w:val="003F46CA"/>
    <w:rsid w:val="005D5E27"/>
    <w:rsid w:val="007F5042"/>
    <w:rsid w:val="03E06D69"/>
    <w:rsid w:val="049525CF"/>
    <w:rsid w:val="06C541E6"/>
    <w:rsid w:val="112565B6"/>
    <w:rsid w:val="39843819"/>
    <w:rsid w:val="6E0D4C2A"/>
    <w:rsid w:val="73567CE0"/>
    <w:rsid w:val="7D912C27"/>
    <w:rsid w:val="7E8B0441"/>
    <w:rsid w:val="7F6F2051"/>
    <w:rsid w:val="7FAA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无间隔1"/>
    <w:autoRedefine/>
    <w:qFormat/>
    <w:uiPriority w:val="1"/>
    <w:pPr>
      <w:jc w:val="both"/>
    </w:pPr>
    <w:rPr>
      <w:rFonts w:ascii="Times New Roman" w:hAnsi="Times New Roman" w:eastAsia="Times New Roman" w:cs="Times New Roman"/>
      <w:lang w:val="en-US" w:eastAsia="zh-CN" w:bidi="ar-SA"/>
    </w:rPr>
  </w:style>
  <w:style w:type="paragraph" w:styleId="4">
    <w:name w:val="Normal Indent"/>
    <w:basedOn w:val="1"/>
    <w:next w:val="1"/>
    <w:qFormat/>
    <w:uiPriority w:val="0"/>
    <w:pPr>
      <w:adjustRightInd w:val="0"/>
      <w:snapToGrid w:val="0"/>
      <w:spacing w:line="360" w:lineRule="auto"/>
      <w:ind w:firstLine="420"/>
    </w:pPr>
    <w:rPr>
      <w:sz w:val="24"/>
    </w:rPr>
  </w:style>
  <w:style w:type="paragraph" w:styleId="5">
    <w:name w:val="Body Text"/>
    <w:basedOn w:val="1"/>
    <w:next w:val="6"/>
    <w:qFormat/>
    <w:uiPriority w:val="0"/>
    <w:rPr>
      <w:rFonts w:ascii="仿宋_GB2312" w:eastAsia="仿宋_GB2312"/>
      <w:sz w:val="32"/>
    </w:rPr>
  </w:style>
  <w:style w:type="paragraph" w:styleId="6">
    <w:name w:val="index 7"/>
    <w:basedOn w:val="1"/>
    <w:next w:val="1"/>
    <w:qFormat/>
    <w:uiPriority w:val="0"/>
    <w:pPr>
      <w:ind w:left="2520"/>
    </w:pPr>
    <w:rPr>
      <w:rFonts w:ascii="Times New Roman" w:hAnsi="Times New Roman"/>
      <w:sz w:val="21"/>
      <w:szCs w:val="21"/>
    </w:rPr>
  </w:style>
  <w:style w:type="paragraph" w:styleId="7">
    <w:name w:val="List Bullet 2"/>
    <w:basedOn w:val="1"/>
    <w:qFormat/>
    <w:uiPriority w:val="0"/>
    <w:pPr>
      <w:numPr>
        <w:ilvl w:val="0"/>
        <w:numId w:val="1"/>
      </w:numPr>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pPr>
      <w:spacing w:line="180" w:lineRule="auto"/>
      <w:jc w:val="center"/>
    </w:pPr>
    <w:rPr>
      <w:sz w:val="30"/>
    </w:rPr>
  </w:style>
  <w:style w:type="paragraph" w:styleId="11">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1441</Words>
  <Characters>1592</Characters>
  <Lines>12</Lines>
  <Paragraphs>3</Paragraphs>
  <TotalTime>36</TotalTime>
  <ScaleCrop>false</ScaleCrop>
  <LinksUpToDate>false</LinksUpToDate>
  <CharactersWithSpaces>1609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2025-07-24T09:02:00Z</dcterms:created>
  <dc:creator>Administrator</dc:creator>
  <cp:lastModifiedBy> 夕儿.chan</cp:lastModifiedBy>
  <cp:lastPrinted>2025-07-24T08:25:00Z</cp:lastPrinted>
  <dcterms:modified xsi:type="dcterms:W3CDTF">2025-08-12T13:03:17Z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eyJoZGlkIjoiZjA3NTc0NmIwMTM4ZmVlODJiMDE3ODg3Yzc1MmZhOTciLCJ1c2VySWQiOiIzMTIxNTA5NTQifQ==</vt:lpwstr>
  </property>
  <property fmtid="{D5CDD505-2E9C-101B-9397-08002B2CF9AE}" pid="4" name="ICV">
    <vt:lpwstr>1D509AAFCDDD427F8C0E5F93CCD300C9_13</vt:lpwstr>
  </property>
</Properties>
</file>